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935E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935E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935E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935E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935EC" w:rsidTr="002E5576">
        <w:tc>
          <w:tcPr>
            <w:tcW w:w="4518" w:type="dxa"/>
          </w:tcPr>
          <w:p w:rsidR="00BF25F3" w:rsidRPr="002E2327" w:rsidRDefault="002B77C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B77C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935E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935E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01D73" w:rsidP="00F0068D">
      <w:pPr>
        <w:pBdr>
          <w:bottom w:val="single" w:sz="6" w:space="1" w:color="auto"/>
        </w:pBdr>
        <w:tabs>
          <w:tab w:val="center" w:pos="4680"/>
          <w:tab w:val="right" w:pos="9360"/>
        </w:tabs>
        <w:rPr>
          <w:lang w:val="fr-CA"/>
        </w:rPr>
      </w:pPr>
      <w:r>
        <w:rPr>
          <w:lang w:val="fr-CA"/>
        </w:rPr>
        <w:t>Octobe</w:t>
      </w:r>
      <w:r w:rsidR="00C73D06">
        <w:rPr>
          <w:lang w:val="fr-CA"/>
        </w:rPr>
        <w:t>r</w:t>
      </w:r>
      <w:r w:rsidR="00440E24" w:rsidRPr="00675479">
        <w:rPr>
          <w:lang w:val="fr-CA"/>
        </w:rPr>
        <w:t xml:space="preserve"> </w:t>
      </w:r>
      <w:r>
        <w:rPr>
          <w:lang w:val="fr-CA"/>
        </w:rPr>
        <w:t>5</w:t>
      </w:r>
      <w:r w:rsidR="00440E24" w:rsidRPr="00675479">
        <w:rPr>
          <w:lang w:val="fr-CA"/>
        </w:rPr>
        <w:t>, 201</w:t>
      </w:r>
      <w:r w:rsidR="00C73D06">
        <w:rPr>
          <w:lang w:val="fr-CA"/>
        </w:rPr>
        <w:t>2</w:t>
      </w:r>
      <w:r w:rsidR="00F0068D" w:rsidRPr="00675479">
        <w:rPr>
          <w:lang w:val="fr-CA"/>
        </w:rPr>
        <w:tab/>
        <w:t>1</w:t>
      </w:r>
      <w:r>
        <w:rPr>
          <w:lang w:val="fr-CA"/>
        </w:rPr>
        <w:t>443</w:t>
      </w:r>
      <w:r w:rsidR="00F0068D" w:rsidRPr="00675479">
        <w:rPr>
          <w:lang w:val="fr-CA"/>
        </w:rPr>
        <w:t xml:space="preserve"> - </w:t>
      </w:r>
      <w:r w:rsidR="003C630F">
        <w:rPr>
          <w:lang w:val="fr-CA"/>
        </w:rPr>
        <w:t>1486</w:t>
      </w:r>
      <w:r w:rsidR="00440E24" w:rsidRPr="00675479">
        <w:rPr>
          <w:lang w:val="fr-CA"/>
        </w:rPr>
        <w:tab/>
      </w:r>
      <w:r w:rsidR="00440E24" w:rsidRPr="002E2327">
        <w:rPr>
          <w:lang w:val="fr-CA"/>
        </w:rPr>
        <w:t>Le</w:t>
      </w:r>
      <w:r w:rsidR="00C73D06">
        <w:rPr>
          <w:lang w:val="fr-CA"/>
        </w:rPr>
        <w:t xml:space="preserve"> </w:t>
      </w:r>
      <w:r>
        <w:rPr>
          <w:lang w:val="fr-CA"/>
        </w:rPr>
        <w:t>5 octobre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9572E2">
            <w:pPr>
              <w:tabs>
                <w:tab w:val="right" w:pos="9360"/>
              </w:tabs>
              <w:rPr>
                <w:rFonts w:cs="Times New Roman"/>
                <w:sz w:val="20"/>
                <w:szCs w:val="20"/>
              </w:rPr>
            </w:pPr>
          </w:p>
        </w:tc>
        <w:tc>
          <w:tcPr>
            <w:tcW w:w="1980" w:type="dxa"/>
          </w:tcPr>
          <w:p w:rsidR="0095096B" w:rsidRPr="002E2327" w:rsidRDefault="00C01D73" w:rsidP="0095096B">
            <w:pPr>
              <w:jc w:val="center"/>
              <w:rPr>
                <w:rFonts w:cs="Times New Roman"/>
                <w:sz w:val="20"/>
                <w:szCs w:val="20"/>
              </w:rPr>
            </w:pPr>
            <w:r>
              <w:rPr>
                <w:rFonts w:cs="Times New Roman"/>
                <w:sz w:val="20"/>
                <w:szCs w:val="20"/>
              </w:rPr>
              <w:t xml:space="preserve">1443 </w:t>
            </w:r>
            <w:r w:rsidR="002B77C5" w:rsidRPr="002E2327">
              <w:rPr>
                <w:rFonts w:cs="Times New Roman"/>
                <w:sz w:val="20"/>
                <w:szCs w:val="20"/>
              </w:rPr>
              <w:fldChar w:fldCharType="begin"/>
            </w:r>
            <w:r w:rsidR="0095096B" w:rsidRPr="002E2327">
              <w:rPr>
                <w:rFonts w:cs="Times New Roman"/>
                <w:sz w:val="20"/>
                <w:szCs w:val="20"/>
              </w:rPr>
              <w:instrText xml:space="preserve"> SEQ CHAPTER \h \r 1</w:instrText>
            </w:r>
            <w:r w:rsidR="002B77C5" w:rsidRPr="002E2327">
              <w:rPr>
                <w:rFonts w:cs="Times New Roman"/>
                <w:sz w:val="20"/>
                <w:szCs w:val="20"/>
              </w:rPr>
              <w:fldChar w:fldCharType="end"/>
            </w:r>
            <w:r w:rsidR="0095096B" w:rsidRPr="002E2327">
              <w:rPr>
                <w:rFonts w:cs="Times New Roman"/>
                <w:sz w:val="20"/>
                <w:szCs w:val="20"/>
              </w:rPr>
              <w:t>-</w:t>
            </w:r>
            <w:r w:rsidR="00054E79">
              <w:rPr>
                <w:rFonts w:cs="Times New Roman"/>
                <w:sz w:val="20"/>
                <w:szCs w:val="20"/>
              </w:rPr>
              <w:t xml:space="preserve"> 1444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54E79" w:rsidP="0095096B">
            <w:pPr>
              <w:jc w:val="center"/>
              <w:rPr>
                <w:rFonts w:cs="Times New Roman"/>
                <w:sz w:val="20"/>
                <w:szCs w:val="20"/>
              </w:rPr>
            </w:pPr>
            <w:r>
              <w:rPr>
                <w:rFonts w:cs="Times New Roman"/>
                <w:sz w:val="20"/>
                <w:szCs w:val="20"/>
              </w:rPr>
              <w:t>1445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54E79" w:rsidP="0095096B">
            <w:pPr>
              <w:jc w:val="center"/>
              <w:rPr>
                <w:rFonts w:cs="Times New Roman"/>
                <w:sz w:val="20"/>
                <w:szCs w:val="20"/>
              </w:rPr>
            </w:pPr>
            <w:r>
              <w:rPr>
                <w:rFonts w:cs="Times New Roman"/>
                <w:sz w:val="20"/>
                <w:szCs w:val="20"/>
              </w:rPr>
              <w:t xml:space="preserve">1446 </w:t>
            </w:r>
            <w:r w:rsidR="0095096B" w:rsidRPr="002E2327">
              <w:rPr>
                <w:rFonts w:cs="Times New Roman"/>
                <w:sz w:val="20"/>
                <w:szCs w:val="20"/>
              </w:rPr>
              <w:t>-</w:t>
            </w:r>
            <w:r w:rsidR="009572E2">
              <w:rPr>
                <w:rFonts w:cs="Times New Roman"/>
                <w:sz w:val="20"/>
                <w:szCs w:val="20"/>
              </w:rPr>
              <w:t xml:space="preserve"> 1472</w:t>
            </w:r>
          </w:p>
          <w:p w:rsidR="0095096B" w:rsidRPr="002E2327" w:rsidRDefault="0095096B" w:rsidP="0095096B">
            <w:pPr>
              <w:jc w:val="center"/>
              <w:rPr>
                <w:rFonts w:cs="Times New Roman"/>
                <w:sz w:val="20"/>
                <w:szCs w:val="20"/>
              </w:rPr>
            </w:pPr>
          </w:p>
          <w:p w:rsidR="009572E2" w:rsidRDefault="009572E2" w:rsidP="0095096B">
            <w:pPr>
              <w:jc w:val="center"/>
              <w:rPr>
                <w:rFonts w:cs="Times New Roman"/>
                <w:sz w:val="20"/>
                <w:szCs w:val="20"/>
              </w:rPr>
            </w:pPr>
          </w:p>
          <w:p w:rsidR="0095096B" w:rsidRPr="002E2327" w:rsidRDefault="009572E2" w:rsidP="0095096B">
            <w:pPr>
              <w:jc w:val="center"/>
              <w:rPr>
                <w:rFonts w:cs="Times New Roman"/>
                <w:sz w:val="20"/>
                <w:szCs w:val="20"/>
              </w:rPr>
            </w:pPr>
            <w:r>
              <w:rPr>
                <w:rFonts w:cs="Times New Roman"/>
                <w:sz w:val="20"/>
                <w:szCs w:val="20"/>
              </w:rPr>
              <w:t xml:space="preserve">1473 </w:t>
            </w:r>
            <w:r w:rsidR="0095096B" w:rsidRPr="002E2327">
              <w:rPr>
                <w:rFonts w:cs="Times New Roman"/>
                <w:sz w:val="20"/>
                <w:szCs w:val="20"/>
              </w:rPr>
              <w:t>-</w:t>
            </w:r>
            <w:r>
              <w:rPr>
                <w:rFonts w:cs="Times New Roman"/>
                <w:sz w:val="20"/>
                <w:szCs w:val="20"/>
              </w:rPr>
              <w:t xml:space="preserve"> 1475</w:t>
            </w:r>
          </w:p>
          <w:p w:rsidR="0095096B" w:rsidRPr="002E2327" w:rsidRDefault="0095096B" w:rsidP="0095096B">
            <w:pPr>
              <w:jc w:val="center"/>
              <w:rPr>
                <w:rFonts w:cs="Times New Roman"/>
                <w:sz w:val="20"/>
                <w:szCs w:val="20"/>
              </w:rPr>
            </w:pPr>
          </w:p>
          <w:p w:rsidR="0095096B" w:rsidRPr="002E2327" w:rsidRDefault="009572E2" w:rsidP="0095096B">
            <w:pPr>
              <w:jc w:val="center"/>
              <w:rPr>
                <w:rFonts w:cs="Times New Roman"/>
                <w:sz w:val="20"/>
                <w:szCs w:val="20"/>
              </w:rPr>
            </w:pPr>
            <w:r>
              <w:rPr>
                <w:rFonts w:cs="Times New Roman"/>
                <w:sz w:val="20"/>
                <w:szCs w:val="20"/>
              </w:rPr>
              <w:t>1476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572E2" w:rsidP="0095096B">
            <w:pPr>
              <w:jc w:val="center"/>
              <w:rPr>
                <w:rFonts w:cs="Times New Roman"/>
                <w:sz w:val="20"/>
                <w:szCs w:val="20"/>
              </w:rPr>
            </w:pPr>
            <w:r>
              <w:rPr>
                <w:rFonts w:cs="Times New Roman"/>
                <w:sz w:val="20"/>
                <w:szCs w:val="20"/>
              </w:rPr>
              <w:t>1477</w:t>
            </w:r>
          </w:p>
          <w:p w:rsidR="0095096B" w:rsidRDefault="0095096B" w:rsidP="0095096B">
            <w:pPr>
              <w:jc w:val="center"/>
              <w:rPr>
                <w:rFonts w:cs="Times New Roman"/>
                <w:sz w:val="20"/>
                <w:szCs w:val="20"/>
              </w:rPr>
            </w:pPr>
          </w:p>
          <w:p w:rsidR="009572E2" w:rsidRPr="002E2327" w:rsidRDefault="009572E2" w:rsidP="0095096B">
            <w:pPr>
              <w:jc w:val="center"/>
              <w:rPr>
                <w:rFonts w:cs="Times New Roman"/>
                <w:sz w:val="20"/>
                <w:szCs w:val="20"/>
              </w:rPr>
            </w:pPr>
          </w:p>
          <w:p w:rsidR="0095096B" w:rsidRPr="002E2327" w:rsidRDefault="009572E2" w:rsidP="0095096B">
            <w:pPr>
              <w:jc w:val="center"/>
              <w:rPr>
                <w:rFonts w:cs="Times New Roman"/>
                <w:sz w:val="20"/>
                <w:szCs w:val="20"/>
              </w:rPr>
            </w:pPr>
            <w:r>
              <w:rPr>
                <w:rFonts w:cs="Times New Roman"/>
                <w:sz w:val="20"/>
                <w:szCs w:val="20"/>
              </w:rPr>
              <w:t xml:space="preserve">1478 </w:t>
            </w:r>
            <w:r w:rsidR="0095096B" w:rsidRPr="002E2327">
              <w:rPr>
                <w:rFonts w:cs="Times New Roman"/>
                <w:sz w:val="20"/>
                <w:szCs w:val="20"/>
              </w:rPr>
              <w:t>-</w:t>
            </w:r>
            <w:r w:rsidR="003C630F">
              <w:rPr>
                <w:rFonts w:cs="Times New Roman"/>
                <w:sz w:val="20"/>
                <w:szCs w:val="20"/>
              </w:rPr>
              <w:t xml:space="preserve"> 1486</w:t>
            </w:r>
          </w:p>
          <w:p w:rsidR="00A87207" w:rsidRPr="002E2327" w:rsidRDefault="00A87207" w:rsidP="009572E2">
            <w:pPr>
              <w:jc w:val="center"/>
              <w:rPr>
                <w:rFonts w:cs="Times New Roman"/>
                <w:sz w:val="20"/>
                <w:szCs w:val="20"/>
              </w:rPr>
            </w:pPr>
          </w:p>
        </w:tc>
        <w:tc>
          <w:tcPr>
            <w:tcW w:w="3888" w:type="dxa"/>
          </w:tcPr>
          <w:p w:rsidR="0095096B" w:rsidRPr="002E2327" w:rsidRDefault="002B77C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572E2">
            <w:pPr>
              <w:tabs>
                <w:tab w:val="right" w:pos="9360"/>
              </w:tabs>
              <w:rPr>
                <w:rFonts w:cs="Times New Roman"/>
                <w:sz w:val="20"/>
                <w:szCs w:val="20"/>
                <w:lang w:val="fr-CA"/>
              </w:rPr>
            </w:pPr>
          </w:p>
        </w:tc>
      </w:tr>
    </w:tbl>
    <w:p w:rsidR="0095096B" w:rsidRDefault="0095096B" w:rsidP="0095096B">
      <w:pPr>
        <w:tabs>
          <w:tab w:val="right" w:pos="9360"/>
        </w:tabs>
      </w:pPr>
    </w:p>
    <w:p w:rsidR="009572E2" w:rsidRDefault="009572E2" w:rsidP="0095096B">
      <w:pPr>
        <w:tabs>
          <w:tab w:val="right" w:pos="9360"/>
        </w:tabs>
      </w:pPr>
    </w:p>
    <w:p w:rsidR="009572E2" w:rsidRDefault="009572E2" w:rsidP="0095096B">
      <w:pPr>
        <w:tabs>
          <w:tab w:val="right" w:pos="9360"/>
        </w:tabs>
      </w:pPr>
    </w:p>
    <w:p w:rsidR="009572E2" w:rsidRDefault="009572E2" w:rsidP="0095096B">
      <w:pPr>
        <w:tabs>
          <w:tab w:val="right" w:pos="9360"/>
        </w:tabs>
      </w:pPr>
    </w:p>
    <w:p w:rsidR="009572E2" w:rsidRDefault="009572E2" w:rsidP="0095096B">
      <w:pPr>
        <w:tabs>
          <w:tab w:val="right" w:pos="9360"/>
        </w:tabs>
      </w:pPr>
    </w:p>
    <w:p w:rsidR="009572E2" w:rsidRPr="002E2327" w:rsidRDefault="009572E2" w:rsidP="0095096B">
      <w:pPr>
        <w:tabs>
          <w:tab w:val="right" w:pos="9360"/>
        </w:tabs>
      </w:pPr>
    </w:p>
    <w:tbl>
      <w:tblPr>
        <w:tblStyle w:val="TableGrid"/>
        <w:tblW w:w="0" w:type="auto"/>
        <w:tblLook w:val="04A0"/>
      </w:tblPr>
      <w:tblGrid>
        <w:gridCol w:w="9576"/>
      </w:tblGrid>
      <w:tr w:rsidR="0079724F" w:rsidRPr="003935E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58204A" w:rsidRPr="00A935AA" w:rsidTr="003B3977">
        <w:tc>
          <w:tcPr>
            <w:tcW w:w="4320" w:type="dxa"/>
            <w:shd w:val="clear" w:color="auto" w:fill="auto"/>
          </w:tcPr>
          <w:p w:rsidR="0058204A" w:rsidRPr="00A935AA" w:rsidRDefault="0058204A" w:rsidP="003B3977">
            <w:pPr>
              <w:rPr>
                <w:b/>
                <w:sz w:val="20"/>
                <w:szCs w:val="20"/>
              </w:rPr>
            </w:pPr>
            <w:r>
              <w:rPr>
                <w:b/>
                <w:sz w:val="20"/>
                <w:szCs w:val="20"/>
              </w:rPr>
              <w:t>Wanda Cummings</w:t>
            </w:r>
          </w:p>
          <w:p w:rsidR="0058204A" w:rsidRPr="00A935AA" w:rsidRDefault="0058204A" w:rsidP="003B3977">
            <w:pPr>
              <w:tabs>
                <w:tab w:val="left" w:pos="-1440"/>
                <w:tab w:val="left" w:pos="-720"/>
              </w:tabs>
              <w:rPr>
                <w:sz w:val="20"/>
                <w:szCs w:val="20"/>
              </w:rPr>
            </w:pPr>
            <w:r w:rsidRPr="00A935AA">
              <w:rPr>
                <w:sz w:val="20"/>
                <w:szCs w:val="20"/>
              </w:rPr>
              <w:tab/>
            </w:r>
            <w:r>
              <w:rPr>
                <w:sz w:val="20"/>
                <w:szCs w:val="20"/>
              </w:rPr>
              <w:t>Wanda Cummings</w:t>
            </w:r>
          </w:p>
          <w:p w:rsidR="0058204A" w:rsidRPr="00A935AA" w:rsidRDefault="0058204A" w:rsidP="003B3977">
            <w:pPr>
              <w:tabs>
                <w:tab w:val="left" w:pos="-1440"/>
                <w:tab w:val="left" w:pos="-720"/>
              </w:tabs>
              <w:rPr>
                <w:sz w:val="20"/>
                <w:szCs w:val="20"/>
              </w:rPr>
            </w:pPr>
          </w:p>
          <w:p w:rsidR="0058204A" w:rsidRPr="00A935AA" w:rsidRDefault="0058204A" w:rsidP="003B3977">
            <w:pPr>
              <w:tabs>
                <w:tab w:val="left" w:pos="-1440"/>
                <w:tab w:val="left" w:pos="-720"/>
              </w:tabs>
              <w:rPr>
                <w:sz w:val="20"/>
                <w:szCs w:val="20"/>
              </w:rPr>
            </w:pPr>
            <w:r w:rsidRPr="00A935AA">
              <w:rPr>
                <w:sz w:val="20"/>
                <w:szCs w:val="20"/>
              </w:rPr>
              <w:tab/>
              <w:t>v. (3</w:t>
            </w:r>
            <w:r>
              <w:rPr>
                <w:sz w:val="20"/>
                <w:szCs w:val="20"/>
              </w:rPr>
              <w:t>4962</w:t>
            </w:r>
            <w:r w:rsidRPr="00A935AA">
              <w:rPr>
                <w:sz w:val="20"/>
                <w:szCs w:val="20"/>
              </w:rPr>
              <w:t>)</w:t>
            </w:r>
          </w:p>
          <w:p w:rsidR="0058204A" w:rsidRPr="00A935AA" w:rsidRDefault="0058204A" w:rsidP="003B3977">
            <w:pPr>
              <w:tabs>
                <w:tab w:val="left" w:pos="-1440"/>
                <w:tab w:val="left" w:pos="-720"/>
              </w:tabs>
              <w:rPr>
                <w:sz w:val="20"/>
                <w:szCs w:val="20"/>
              </w:rPr>
            </w:pPr>
          </w:p>
          <w:p w:rsidR="0058204A" w:rsidRPr="00A935AA" w:rsidRDefault="0058204A" w:rsidP="003B3977">
            <w:pPr>
              <w:tabs>
                <w:tab w:val="left" w:pos="-1440"/>
                <w:tab w:val="left" w:pos="-720"/>
              </w:tabs>
              <w:rPr>
                <w:b/>
                <w:sz w:val="20"/>
                <w:szCs w:val="20"/>
              </w:rPr>
            </w:pPr>
            <w:r>
              <w:rPr>
                <w:b/>
                <w:sz w:val="20"/>
                <w:szCs w:val="20"/>
              </w:rPr>
              <w:t>Her Majesty the Queen et al.</w:t>
            </w:r>
            <w:r w:rsidRPr="00A935AA">
              <w:rPr>
                <w:b/>
                <w:sz w:val="20"/>
                <w:szCs w:val="20"/>
              </w:rPr>
              <w:t xml:space="preserve"> (</w:t>
            </w:r>
            <w:r>
              <w:rPr>
                <w:b/>
                <w:sz w:val="20"/>
                <w:szCs w:val="20"/>
              </w:rPr>
              <w:t>N</w:t>
            </w:r>
            <w:r w:rsidRPr="00A935AA">
              <w:rPr>
                <w:b/>
                <w:sz w:val="20"/>
                <w:szCs w:val="20"/>
              </w:rPr>
              <w:t>.</w:t>
            </w:r>
            <w:r>
              <w:rPr>
                <w:b/>
                <w:sz w:val="20"/>
                <w:szCs w:val="20"/>
              </w:rPr>
              <w:t>S</w:t>
            </w:r>
            <w:r w:rsidRPr="00A935AA">
              <w:rPr>
                <w:b/>
                <w:sz w:val="20"/>
                <w:szCs w:val="20"/>
              </w:rPr>
              <w:t>.)</w:t>
            </w:r>
          </w:p>
          <w:p w:rsidR="0058204A" w:rsidRPr="00A935AA" w:rsidRDefault="0058204A" w:rsidP="003B3977">
            <w:pPr>
              <w:tabs>
                <w:tab w:val="left" w:pos="-1440"/>
                <w:tab w:val="left" w:pos="-720"/>
              </w:tabs>
              <w:rPr>
                <w:sz w:val="20"/>
                <w:szCs w:val="20"/>
              </w:rPr>
            </w:pPr>
            <w:r w:rsidRPr="00A935AA">
              <w:rPr>
                <w:sz w:val="20"/>
                <w:szCs w:val="20"/>
              </w:rPr>
              <w:tab/>
            </w:r>
            <w:r>
              <w:rPr>
                <w:sz w:val="20"/>
                <w:szCs w:val="20"/>
              </w:rPr>
              <w:t>Sheldon Choo</w:t>
            </w:r>
          </w:p>
          <w:p w:rsidR="0058204A" w:rsidRPr="00A935AA" w:rsidRDefault="0058204A" w:rsidP="003B3977">
            <w:pPr>
              <w:tabs>
                <w:tab w:val="left" w:pos="-1440"/>
                <w:tab w:val="left" w:pos="-720"/>
              </w:tabs>
              <w:rPr>
                <w:sz w:val="20"/>
                <w:szCs w:val="20"/>
              </w:rPr>
            </w:pPr>
            <w:r w:rsidRPr="00A935AA">
              <w:rPr>
                <w:sz w:val="20"/>
                <w:szCs w:val="20"/>
              </w:rPr>
              <w:tab/>
            </w:r>
            <w:r>
              <w:rPr>
                <w:sz w:val="20"/>
                <w:szCs w:val="20"/>
              </w:rPr>
              <w:t>A.G. of Nova Scotia</w:t>
            </w:r>
          </w:p>
          <w:p w:rsidR="0058204A" w:rsidRPr="00A935AA" w:rsidRDefault="0058204A" w:rsidP="003B3977">
            <w:pPr>
              <w:tabs>
                <w:tab w:val="left" w:pos="-1440"/>
                <w:tab w:val="left" w:pos="-720"/>
              </w:tabs>
              <w:rPr>
                <w:sz w:val="20"/>
                <w:szCs w:val="20"/>
              </w:rPr>
            </w:pPr>
          </w:p>
          <w:p w:rsidR="0058204A" w:rsidRPr="00A935AA" w:rsidRDefault="0058204A" w:rsidP="003B3977">
            <w:pPr>
              <w:rPr>
                <w:sz w:val="20"/>
                <w:szCs w:val="20"/>
              </w:rPr>
            </w:pPr>
            <w:r w:rsidRPr="00A935AA">
              <w:rPr>
                <w:sz w:val="20"/>
                <w:szCs w:val="20"/>
              </w:rPr>
              <w:t xml:space="preserve">FILING DATE: </w:t>
            </w:r>
            <w:r>
              <w:rPr>
                <w:sz w:val="20"/>
                <w:szCs w:val="20"/>
              </w:rPr>
              <w:t>0</w:t>
            </w:r>
            <w:r w:rsidRPr="00A935AA">
              <w:rPr>
                <w:sz w:val="20"/>
                <w:szCs w:val="20"/>
              </w:rPr>
              <w:t>7.09.201</w:t>
            </w:r>
            <w:r>
              <w:rPr>
                <w:sz w:val="20"/>
                <w:szCs w:val="20"/>
              </w:rPr>
              <w:t>2</w:t>
            </w:r>
          </w:p>
          <w:p w:rsidR="0058204A" w:rsidRDefault="002B77C5" w:rsidP="003B3977">
            <w:pPr>
              <w:rPr>
                <w:sz w:val="20"/>
                <w:szCs w:val="20"/>
                <w:lang w:val="fr-CA"/>
              </w:rPr>
            </w:pPr>
            <w:r w:rsidRPr="002B77C5">
              <w:rPr>
                <w:sz w:val="20"/>
                <w:szCs w:val="20"/>
                <w:lang w:val="fr-CA"/>
              </w:rPr>
              <w:pict>
                <v:rect id="_x0000_i1025" style="width:108pt;height:1pt" o:hrpct="0" o:hralign="center" o:hrstd="t" o:hrnoshade="t" o:hr="t" fillcolor="black [3213]" stroked="f"/>
              </w:pict>
            </w:r>
          </w:p>
          <w:p w:rsidR="0058204A" w:rsidRPr="0058204A" w:rsidRDefault="0058204A" w:rsidP="003B3977">
            <w:pPr>
              <w:rPr>
                <w:sz w:val="20"/>
                <w:szCs w:val="20"/>
              </w:rPr>
            </w:pPr>
          </w:p>
        </w:tc>
        <w:tc>
          <w:tcPr>
            <w:tcW w:w="1181" w:type="dxa"/>
            <w:shd w:val="clear" w:color="auto" w:fill="auto"/>
          </w:tcPr>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Default="0058204A" w:rsidP="00242AEE">
            <w:pPr>
              <w:jc w:val="center"/>
              <w:rPr>
                <w:sz w:val="20"/>
                <w:szCs w:val="20"/>
              </w:rPr>
            </w:pPr>
          </w:p>
          <w:p w:rsidR="0058204A" w:rsidRPr="00A935AA" w:rsidRDefault="0058204A" w:rsidP="00242AEE">
            <w:pPr>
              <w:jc w:val="center"/>
              <w:rPr>
                <w:sz w:val="20"/>
                <w:szCs w:val="20"/>
              </w:rPr>
            </w:pPr>
          </w:p>
        </w:tc>
        <w:tc>
          <w:tcPr>
            <w:tcW w:w="4320" w:type="dxa"/>
            <w:shd w:val="clear" w:color="auto" w:fill="auto"/>
          </w:tcPr>
          <w:p w:rsidR="0058204A" w:rsidRPr="00A935AA" w:rsidRDefault="0058204A" w:rsidP="0058204A">
            <w:pPr>
              <w:keepNext/>
              <w:keepLines/>
              <w:tabs>
                <w:tab w:val="left" w:pos="-1440"/>
                <w:tab w:val="left" w:pos="-720"/>
              </w:tabs>
              <w:rPr>
                <w:b/>
                <w:sz w:val="20"/>
                <w:szCs w:val="20"/>
              </w:rPr>
            </w:pPr>
            <w:r>
              <w:rPr>
                <w:b/>
                <w:sz w:val="20"/>
                <w:szCs w:val="20"/>
              </w:rPr>
              <w:t>DeBeers Canada Inc. et al.</w:t>
            </w:r>
          </w:p>
          <w:p w:rsidR="0058204A" w:rsidRPr="00A935AA" w:rsidRDefault="0058204A" w:rsidP="0058204A">
            <w:pPr>
              <w:keepNext/>
              <w:keepLines/>
              <w:tabs>
                <w:tab w:val="left" w:pos="-1440"/>
                <w:tab w:val="left" w:pos="-720"/>
              </w:tabs>
              <w:rPr>
                <w:sz w:val="20"/>
                <w:szCs w:val="20"/>
              </w:rPr>
            </w:pPr>
            <w:r w:rsidRPr="00A935AA">
              <w:rPr>
                <w:sz w:val="20"/>
                <w:szCs w:val="20"/>
              </w:rPr>
              <w:tab/>
            </w:r>
            <w:r>
              <w:rPr>
                <w:sz w:val="20"/>
                <w:szCs w:val="20"/>
              </w:rPr>
              <w:t>Katherine L. Kay</w:t>
            </w:r>
          </w:p>
          <w:p w:rsidR="0058204A" w:rsidRPr="00A935AA" w:rsidRDefault="0058204A" w:rsidP="0058204A">
            <w:pPr>
              <w:keepNext/>
              <w:keepLines/>
              <w:tabs>
                <w:tab w:val="left" w:pos="-1440"/>
                <w:tab w:val="left" w:pos="-720"/>
              </w:tabs>
              <w:rPr>
                <w:sz w:val="20"/>
                <w:szCs w:val="20"/>
              </w:rPr>
            </w:pPr>
            <w:r w:rsidRPr="00A935AA">
              <w:rPr>
                <w:sz w:val="20"/>
                <w:szCs w:val="20"/>
              </w:rPr>
              <w:tab/>
            </w:r>
            <w:r>
              <w:rPr>
                <w:sz w:val="20"/>
                <w:szCs w:val="20"/>
              </w:rPr>
              <w:t>Stikeman Elliott LLP</w:t>
            </w:r>
          </w:p>
          <w:p w:rsidR="0058204A" w:rsidRPr="00A935AA" w:rsidRDefault="0058204A" w:rsidP="0058204A">
            <w:pPr>
              <w:keepNext/>
              <w:keepLines/>
              <w:tabs>
                <w:tab w:val="left" w:pos="-1440"/>
                <w:tab w:val="left" w:pos="-720"/>
              </w:tabs>
              <w:rPr>
                <w:sz w:val="20"/>
                <w:szCs w:val="20"/>
              </w:rPr>
            </w:pPr>
          </w:p>
          <w:p w:rsidR="0058204A" w:rsidRPr="0058204A" w:rsidRDefault="0058204A" w:rsidP="0058204A">
            <w:pPr>
              <w:keepNext/>
              <w:keepLines/>
              <w:tabs>
                <w:tab w:val="left" w:pos="-1440"/>
                <w:tab w:val="left" w:pos="-720"/>
              </w:tabs>
              <w:rPr>
                <w:sz w:val="20"/>
                <w:szCs w:val="20"/>
                <w:lang w:val="fr-CA"/>
              </w:rPr>
            </w:pPr>
            <w:r w:rsidRPr="00A935AA">
              <w:rPr>
                <w:sz w:val="20"/>
                <w:szCs w:val="20"/>
              </w:rPr>
              <w:tab/>
            </w:r>
            <w:r w:rsidRPr="0058204A">
              <w:rPr>
                <w:sz w:val="20"/>
                <w:szCs w:val="20"/>
                <w:lang w:val="fr-CA"/>
              </w:rPr>
              <w:t>v. (34964)</w:t>
            </w:r>
          </w:p>
          <w:p w:rsidR="0058204A" w:rsidRPr="0058204A" w:rsidRDefault="0058204A" w:rsidP="0058204A">
            <w:pPr>
              <w:keepNext/>
              <w:keepLines/>
              <w:tabs>
                <w:tab w:val="left" w:pos="-1440"/>
                <w:tab w:val="left" w:pos="-720"/>
              </w:tabs>
              <w:rPr>
                <w:sz w:val="20"/>
                <w:szCs w:val="20"/>
                <w:lang w:val="fr-CA"/>
              </w:rPr>
            </w:pPr>
          </w:p>
          <w:p w:rsidR="0058204A" w:rsidRPr="0058204A" w:rsidRDefault="0058204A" w:rsidP="0058204A">
            <w:pPr>
              <w:keepNext/>
              <w:keepLines/>
              <w:tabs>
                <w:tab w:val="left" w:pos="-1440"/>
                <w:tab w:val="left" w:pos="-720"/>
              </w:tabs>
              <w:rPr>
                <w:b/>
                <w:sz w:val="20"/>
                <w:szCs w:val="20"/>
                <w:lang w:val="fr-CA"/>
              </w:rPr>
            </w:pPr>
            <w:r w:rsidRPr="0058204A">
              <w:rPr>
                <w:b/>
                <w:sz w:val="20"/>
                <w:szCs w:val="20"/>
                <w:lang w:val="fr-CA"/>
              </w:rPr>
              <w:t>Michelle Fairhurst (B.C.)</w:t>
            </w:r>
          </w:p>
          <w:p w:rsidR="0058204A" w:rsidRPr="0058204A" w:rsidRDefault="0058204A" w:rsidP="0058204A">
            <w:pPr>
              <w:keepNext/>
              <w:keepLines/>
              <w:tabs>
                <w:tab w:val="left" w:pos="-1440"/>
                <w:tab w:val="left" w:pos="-720"/>
              </w:tabs>
              <w:rPr>
                <w:sz w:val="20"/>
                <w:szCs w:val="20"/>
              </w:rPr>
            </w:pPr>
            <w:r w:rsidRPr="0058204A">
              <w:rPr>
                <w:sz w:val="20"/>
                <w:szCs w:val="20"/>
                <w:lang w:val="fr-CA"/>
              </w:rPr>
              <w:tab/>
            </w:r>
            <w:r w:rsidRPr="0058204A">
              <w:rPr>
                <w:sz w:val="20"/>
                <w:szCs w:val="20"/>
              </w:rPr>
              <w:t>J.J. Camp</w:t>
            </w:r>
          </w:p>
          <w:p w:rsidR="0058204A" w:rsidRPr="0058204A" w:rsidRDefault="0058204A" w:rsidP="0058204A">
            <w:pPr>
              <w:keepNext/>
              <w:keepLines/>
              <w:tabs>
                <w:tab w:val="left" w:pos="-1440"/>
                <w:tab w:val="left" w:pos="-720"/>
              </w:tabs>
              <w:rPr>
                <w:sz w:val="20"/>
                <w:szCs w:val="20"/>
              </w:rPr>
            </w:pPr>
            <w:r w:rsidRPr="0058204A">
              <w:rPr>
                <w:sz w:val="20"/>
                <w:szCs w:val="20"/>
              </w:rPr>
              <w:tab/>
              <w:t>Camp Fiorante Matthews</w:t>
            </w:r>
          </w:p>
          <w:p w:rsidR="0058204A" w:rsidRPr="0058204A" w:rsidRDefault="0058204A" w:rsidP="0058204A">
            <w:pPr>
              <w:keepNext/>
              <w:keepLines/>
              <w:tabs>
                <w:tab w:val="left" w:pos="-1440"/>
                <w:tab w:val="left" w:pos="-720"/>
              </w:tabs>
              <w:rPr>
                <w:sz w:val="20"/>
                <w:szCs w:val="20"/>
              </w:rPr>
            </w:pPr>
          </w:p>
          <w:p w:rsidR="0058204A" w:rsidRPr="00A935AA" w:rsidRDefault="0058204A" w:rsidP="0058204A">
            <w:pPr>
              <w:rPr>
                <w:sz w:val="20"/>
                <w:szCs w:val="20"/>
              </w:rPr>
            </w:pPr>
            <w:r w:rsidRPr="00A935AA">
              <w:rPr>
                <w:sz w:val="20"/>
                <w:szCs w:val="20"/>
              </w:rPr>
              <w:t xml:space="preserve">FILING DATE: </w:t>
            </w:r>
            <w:r>
              <w:rPr>
                <w:sz w:val="20"/>
                <w:szCs w:val="20"/>
              </w:rPr>
              <w:t>13</w:t>
            </w:r>
            <w:r w:rsidRPr="00A935AA">
              <w:rPr>
                <w:sz w:val="20"/>
                <w:szCs w:val="20"/>
              </w:rPr>
              <w:t>.09.201</w:t>
            </w:r>
            <w:r>
              <w:rPr>
                <w:sz w:val="20"/>
                <w:szCs w:val="20"/>
              </w:rPr>
              <w:t>2</w:t>
            </w:r>
            <w:r w:rsidR="002B77C5" w:rsidRPr="002B77C5">
              <w:rPr>
                <w:sz w:val="20"/>
                <w:szCs w:val="20"/>
                <w:lang w:val="fr-CA"/>
              </w:rPr>
              <w:pict>
                <v:rect id="_x0000_i1026" style="width:108pt;height:1pt" o:hrpct="0" o:hralign="center" o:hrstd="t" o:hrnoshade="t" o:hr="t" fillcolor="black [3213]" stroked="f"/>
              </w:pict>
            </w:r>
          </w:p>
        </w:tc>
      </w:tr>
      <w:tr w:rsidR="0058204A" w:rsidRPr="00A935AA" w:rsidTr="003B3977">
        <w:tc>
          <w:tcPr>
            <w:tcW w:w="4320" w:type="dxa"/>
            <w:shd w:val="clear" w:color="auto" w:fill="auto"/>
          </w:tcPr>
          <w:p w:rsidR="0058204A" w:rsidRPr="0058204A" w:rsidRDefault="0058204A" w:rsidP="0058204A">
            <w:pPr>
              <w:rPr>
                <w:sz w:val="20"/>
                <w:szCs w:val="20"/>
              </w:rPr>
            </w:pPr>
            <w:r w:rsidRPr="0058204A">
              <w:rPr>
                <w:b/>
                <w:sz w:val="20"/>
                <w:szCs w:val="20"/>
              </w:rPr>
              <w:t>Robert Andrew McBride</w:t>
            </w:r>
          </w:p>
          <w:p w:rsidR="0058204A" w:rsidRPr="00A935AA" w:rsidRDefault="0058204A" w:rsidP="0058204A">
            <w:pPr>
              <w:keepNext/>
              <w:keepLines/>
              <w:tabs>
                <w:tab w:val="left" w:pos="-1440"/>
                <w:tab w:val="left" w:pos="-720"/>
              </w:tabs>
              <w:rPr>
                <w:sz w:val="20"/>
                <w:szCs w:val="20"/>
              </w:rPr>
            </w:pPr>
            <w:r w:rsidRPr="00A935AA">
              <w:rPr>
                <w:sz w:val="20"/>
                <w:szCs w:val="20"/>
              </w:rPr>
              <w:tab/>
            </w:r>
            <w:r>
              <w:rPr>
                <w:sz w:val="20"/>
                <w:szCs w:val="20"/>
              </w:rPr>
              <w:t>Fritz C. Gaerdes</w:t>
            </w:r>
          </w:p>
          <w:p w:rsidR="0058204A" w:rsidRPr="0058204A" w:rsidRDefault="0058204A" w:rsidP="0058204A">
            <w:pPr>
              <w:rPr>
                <w:sz w:val="20"/>
                <w:szCs w:val="20"/>
              </w:rPr>
            </w:pPr>
            <w:r w:rsidRPr="00A935AA">
              <w:rPr>
                <w:sz w:val="20"/>
                <w:szCs w:val="20"/>
              </w:rPr>
              <w:tab/>
            </w:r>
            <w:r>
              <w:rPr>
                <w:sz w:val="20"/>
                <w:szCs w:val="20"/>
              </w:rPr>
              <w:t>Alexander Holburn Beaudin + Lang LLP</w:t>
            </w:r>
          </w:p>
          <w:p w:rsidR="0058204A" w:rsidRPr="00A935AA" w:rsidRDefault="0058204A" w:rsidP="0010520C">
            <w:pPr>
              <w:tabs>
                <w:tab w:val="left" w:pos="-1440"/>
                <w:tab w:val="left" w:pos="-720"/>
              </w:tabs>
              <w:rPr>
                <w:sz w:val="20"/>
                <w:szCs w:val="20"/>
              </w:rPr>
            </w:pPr>
          </w:p>
          <w:p w:rsidR="0058204A" w:rsidRPr="00A935AA" w:rsidRDefault="0058204A" w:rsidP="0010520C">
            <w:pPr>
              <w:tabs>
                <w:tab w:val="left" w:pos="-1440"/>
                <w:tab w:val="left" w:pos="-720"/>
              </w:tabs>
              <w:rPr>
                <w:sz w:val="20"/>
                <w:szCs w:val="20"/>
              </w:rPr>
            </w:pPr>
            <w:r w:rsidRPr="00A935AA">
              <w:rPr>
                <w:sz w:val="20"/>
                <w:szCs w:val="20"/>
              </w:rPr>
              <w:tab/>
              <w:t>v. (3</w:t>
            </w:r>
            <w:r>
              <w:rPr>
                <w:sz w:val="20"/>
                <w:szCs w:val="20"/>
              </w:rPr>
              <w:t>4963</w:t>
            </w:r>
            <w:r w:rsidRPr="00A935AA">
              <w:rPr>
                <w:sz w:val="20"/>
                <w:szCs w:val="20"/>
              </w:rPr>
              <w:t>)</w:t>
            </w:r>
          </w:p>
          <w:p w:rsidR="0058204A" w:rsidRPr="00A935AA" w:rsidRDefault="0058204A" w:rsidP="0010520C">
            <w:pPr>
              <w:tabs>
                <w:tab w:val="left" w:pos="-1440"/>
                <w:tab w:val="left" w:pos="-720"/>
              </w:tabs>
              <w:rPr>
                <w:sz w:val="20"/>
                <w:szCs w:val="20"/>
              </w:rPr>
            </w:pPr>
          </w:p>
          <w:p w:rsidR="0058204A" w:rsidRPr="0058204A" w:rsidRDefault="0058204A" w:rsidP="0058204A">
            <w:pPr>
              <w:keepNext/>
              <w:keepLines/>
              <w:tabs>
                <w:tab w:val="left" w:pos="-1440"/>
                <w:tab w:val="left" w:pos="-720"/>
              </w:tabs>
              <w:rPr>
                <w:b/>
                <w:sz w:val="20"/>
                <w:szCs w:val="20"/>
              </w:rPr>
            </w:pPr>
            <w:r>
              <w:rPr>
                <w:b/>
                <w:sz w:val="20"/>
                <w:szCs w:val="20"/>
              </w:rPr>
              <w:t xml:space="preserve">Her Majesty the Queen in Right of Canada as represented by the Minister of National Defence et al. </w:t>
            </w:r>
            <w:r w:rsidRPr="0058204A">
              <w:rPr>
                <w:b/>
                <w:sz w:val="20"/>
                <w:szCs w:val="20"/>
              </w:rPr>
              <w:t>(</w:t>
            </w:r>
            <w:r>
              <w:rPr>
                <w:b/>
                <w:sz w:val="20"/>
                <w:szCs w:val="20"/>
              </w:rPr>
              <w:t>F</w:t>
            </w:r>
            <w:r w:rsidRPr="0058204A">
              <w:rPr>
                <w:b/>
                <w:sz w:val="20"/>
                <w:szCs w:val="20"/>
              </w:rPr>
              <w:t>.</w:t>
            </w:r>
            <w:r>
              <w:rPr>
                <w:b/>
                <w:sz w:val="20"/>
                <w:szCs w:val="20"/>
              </w:rPr>
              <w:t>C</w:t>
            </w:r>
            <w:r w:rsidR="00761AF0">
              <w:rPr>
                <w:b/>
                <w:sz w:val="20"/>
                <w:szCs w:val="20"/>
              </w:rPr>
              <w:t>.</w:t>
            </w:r>
            <w:r w:rsidRPr="0058204A">
              <w:rPr>
                <w:b/>
                <w:sz w:val="20"/>
                <w:szCs w:val="20"/>
              </w:rPr>
              <w:t>)</w:t>
            </w:r>
          </w:p>
          <w:p w:rsidR="0058204A" w:rsidRPr="0058204A" w:rsidRDefault="0058204A" w:rsidP="0058204A">
            <w:pPr>
              <w:keepNext/>
              <w:keepLines/>
              <w:tabs>
                <w:tab w:val="left" w:pos="-1440"/>
                <w:tab w:val="left" w:pos="-720"/>
              </w:tabs>
              <w:rPr>
                <w:sz w:val="20"/>
                <w:szCs w:val="20"/>
              </w:rPr>
            </w:pPr>
            <w:r w:rsidRPr="0058204A">
              <w:rPr>
                <w:sz w:val="20"/>
                <w:szCs w:val="20"/>
              </w:rPr>
              <w:tab/>
            </w:r>
            <w:r>
              <w:rPr>
                <w:sz w:val="20"/>
                <w:szCs w:val="20"/>
              </w:rPr>
              <w:t>Patrick Walker</w:t>
            </w:r>
          </w:p>
          <w:p w:rsidR="0058204A" w:rsidRDefault="0058204A" w:rsidP="0058204A">
            <w:pPr>
              <w:tabs>
                <w:tab w:val="left" w:pos="-1440"/>
                <w:tab w:val="left" w:pos="-720"/>
              </w:tabs>
              <w:rPr>
                <w:sz w:val="20"/>
                <w:szCs w:val="20"/>
              </w:rPr>
            </w:pPr>
            <w:r w:rsidRPr="0058204A">
              <w:rPr>
                <w:sz w:val="20"/>
                <w:szCs w:val="20"/>
              </w:rPr>
              <w:tab/>
            </w:r>
            <w:r>
              <w:rPr>
                <w:sz w:val="20"/>
                <w:szCs w:val="20"/>
              </w:rPr>
              <w:t>Department of Justice</w:t>
            </w:r>
            <w:r w:rsidRPr="00A935AA">
              <w:rPr>
                <w:sz w:val="20"/>
                <w:szCs w:val="20"/>
              </w:rPr>
              <w:t xml:space="preserve"> </w:t>
            </w:r>
          </w:p>
          <w:p w:rsidR="0058204A" w:rsidRPr="00A935AA" w:rsidRDefault="0058204A" w:rsidP="0058204A">
            <w:pPr>
              <w:tabs>
                <w:tab w:val="left" w:pos="-1440"/>
                <w:tab w:val="left" w:pos="-720"/>
              </w:tabs>
              <w:rPr>
                <w:sz w:val="20"/>
                <w:szCs w:val="20"/>
              </w:rPr>
            </w:pPr>
          </w:p>
          <w:p w:rsidR="0058204A" w:rsidRPr="00A935AA" w:rsidRDefault="0058204A" w:rsidP="0010520C">
            <w:pPr>
              <w:rPr>
                <w:sz w:val="20"/>
                <w:szCs w:val="20"/>
              </w:rPr>
            </w:pPr>
            <w:r w:rsidRPr="00A935AA">
              <w:rPr>
                <w:sz w:val="20"/>
                <w:szCs w:val="20"/>
              </w:rPr>
              <w:t xml:space="preserve">FILING DATE: </w:t>
            </w:r>
            <w:r>
              <w:rPr>
                <w:sz w:val="20"/>
                <w:szCs w:val="20"/>
              </w:rPr>
              <w:t>13</w:t>
            </w:r>
            <w:r w:rsidRPr="00A935AA">
              <w:rPr>
                <w:sz w:val="20"/>
                <w:szCs w:val="20"/>
              </w:rPr>
              <w:t>.09.201</w:t>
            </w:r>
            <w:r>
              <w:rPr>
                <w:sz w:val="20"/>
                <w:szCs w:val="20"/>
              </w:rPr>
              <w:t>2</w:t>
            </w:r>
          </w:p>
          <w:p w:rsidR="0058204A" w:rsidRPr="00A935AA" w:rsidRDefault="002B77C5" w:rsidP="0010520C">
            <w:pPr>
              <w:rPr>
                <w:sz w:val="20"/>
                <w:szCs w:val="20"/>
              </w:rPr>
            </w:pPr>
            <w:r w:rsidRPr="002B77C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Default="0058204A" w:rsidP="00242AEE">
            <w:pPr>
              <w:jc w:val="center"/>
              <w:rPr>
                <w:sz w:val="20"/>
                <w:szCs w:val="20"/>
              </w:rPr>
            </w:pPr>
          </w:p>
          <w:p w:rsidR="008A3C3B" w:rsidRPr="00A935AA" w:rsidRDefault="008A3C3B" w:rsidP="00242AEE">
            <w:pPr>
              <w:jc w:val="center"/>
              <w:rPr>
                <w:sz w:val="20"/>
                <w:szCs w:val="20"/>
              </w:rPr>
            </w:pPr>
          </w:p>
          <w:p w:rsidR="0058204A" w:rsidRPr="00A935AA" w:rsidRDefault="0058204A" w:rsidP="00242AEE">
            <w:pPr>
              <w:jc w:val="center"/>
              <w:rPr>
                <w:sz w:val="20"/>
                <w:szCs w:val="20"/>
              </w:rPr>
            </w:pPr>
          </w:p>
        </w:tc>
        <w:tc>
          <w:tcPr>
            <w:tcW w:w="4320" w:type="dxa"/>
            <w:shd w:val="clear" w:color="auto" w:fill="auto"/>
          </w:tcPr>
          <w:p w:rsidR="0058204A" w:rsidRDefault="0058204A" w:rsidP="0010520C">
            <w:pPr>
              <w:keepNext/>
              <w:keepLines/>
              <w:tabs>
                <w:tab w:val="left" w:pos="-1440"/>
                <w:tab w:val="left" w:pos="-720"/>
              </w:tabs>
              <w:rPr>
                <w:b/>
                <w:sz w:val="20"/>
                <w:szCs w:val="20"/>
              </w:rPr>
            </w:pPr>
          </w:p>
          <w:p w:rsidR="0058204A" w:rsidRPr="00A935AA" w:rsidRDefault="0058204A" w:rsidP="0010520C">
            <w:pPr>
              <w:keepNext/>
              <w:keepLines/>
              <w:tabs>
                <w:tab w:val="left" w:pos="-1440"/>
                <w:tab w:val="left" w:pos="-720"/>
              </w:tabs>
              <w:rPr>
                <w:b/>
                <w:sz w:val="20"/>
                <w:szCs w:val="20"/>
              </w:rPr>
            </w:pPr>
            <w:r>
              <w:rPr>
                <w:b/>
                <w:sz w:val="20"/>
                <w:szCs w:val="20"/>
              </w:rPr>
              <w:t>Howard Galganov et al.</w:t>
            </w:r>
          </w:p>
          <w:p w:rsidR="0058204A" w:rsidRPr="00A935AA" w:rsidRDefault="0058204A" w:rsidP="0010520C">
            <w:pPr>
              <w:keepNext/>
              <w:keepLines/>
              <w:tabs>
                <w:tab w:val="left" w:pos="-1440"/>
                <w:tab w:val="left" w:pos="-720"/>
              </w:tabs>
              <w:rPr>
                <w:sz w:val="20"/>
                <w:szCs w:val="20"/>
              </w:rPr>
            </w:pPr>
            <w:r w:rsidRPr="00A935AA">
              <w:rPr>
                <w:sz w:val="20"/>
                <w:szCs w:val="20"/>
              </w:rPr>
              <w:tab/>
            </w:r>
            <w:r>
              <w:rPr>
                <w:sz w:val="20"/>
                <w:szCs w:val="20"/>
              </w:rPr>
              <w:t>Robert J. Reynolds</w:t>
            </w:r>
          </w:p>
          <w:p w:rsidR="0058204A" w:rsidRPr="00A935AA" w:rsidRDefault="0058204A" w:rsidP="0010520C">
            <w:pPr>
              <w:keepNext/>
              <w:keepLines/>
              <w:tabs>
                <w:tab w:val="left" w:pos="-1440"/>
                <w:tab w:val="left" w:pos="-720"/>
              </w:tabs>
              <w:rPr>
                <w:sz w:val="20"/>
                <w:szCs w:val="20"/>
              </w:rPr>
            </w:pPr>
            <w:r w:rsidRPr="00A935AA">
              <w:rPr>
                <w:sz w:val="20"/>
                <w:szCs w:val="20"/>
              </w:rPr>
              <w:tab/>
            </w:r>
            <w:r>
              <w:rPr>
                <w:sz w:val="20"/>
                <w:szCs w:val="20"/>
              </w:rPr>
              <w:t>Reynolds O’Brien LLP</w:t>
            </w:r>
          </w:p>
          <w:p w:rsidR="0058204A" w:rsidRPr="00A935AA" w:rsidRDefault="0058204A" w:rsidP="0010520C">
            <w:pPr>
              <w:keepNext/>
              <w:keepLines/>
              <w:tabs>
                <w:tab w:val="left" w:pos="-1440"/>
                <w:tab w:val="left" w:pos="-720"/>
              </w:tabs>
              <w:rPr>
                <w:sz w:val="20"/>
                <w:szCs w:val="20"/>
              </w:rPr>
            </w:pPr>
          </w:p>
          <w:p w:rsidR="0058204A" w:rsidRPr="0058204A" w:rsidRDefault="0058204A" w:rsidP="0010520C">
            <w:pPr>
              <w:keepNext/>
              <w:keepLines/>
              <w:tabs>
                <w:tab w:val="left" w:pos="-1440"/>
                <w:tab w:val="left" w:pos="-720"/>
              </w:tabs>
              <w:rPr>
                <w:sz w:val="20"/>
                <w:szCs w:val="20"/>
              </w:rPr>
            </w:pPr>
            <w:r w:rsidRPr="00A935AA">
              <w:rPr>
                <w:sz w:val="20"/>
                <w:szCs w:val="20"/>
              </w:rPr>
              <w:tab/>
            </w:r>
            <w:r w:rsidRPr="0058204A">
              <w:rPr>
                <w:sz w:val="20"/>
                <w:szCs w:val="20"/>
              </w:rPr>
              <w:t>v. (34</w:t>
            </w:r>
            <w:r>
              <w:rPr>
                <w:sz w:val="20"/>
                <w:szCs w:val="20"/>
              </w:rPr>
              <w:t>965</w:t>
            </w:r>
            <w:r w:rsidRPr="0058204A">
              <w:rPr>
                <w:sz w:val="20"/>
                <w:szCs w:val="20"/>
              </w:rPr>
              <w:t>)</w:t>
            </w:r>
          </w:p>
          <w:p w:rsidR="0058204A" w:rsidRPr="0058204A" w:rsidRDefault="0058204A" w:rsidP="0010520C">
            <w:pPr>
              <w:keepNext/>
              <w:keepLines/>
              <w:tabs>
                <w:tab w:val="left" w:pos="-1440"/>
                <w:tab w:val="left" w:pos="-720"/>
              </w:tabs>
              <w:rPr>
                <w:sz w:val="20"/>
                <w:szCs w:val="20"/>
              </w:rPr>
            </w:pPr>
          </w:p>
          <w:p w:rsidR="0058204A" w:rsidRPr="0058204A" w:rsidRDefault="0058204A" w:rsidP="0010520C">
            <w:pPr>
              <w:keepNext/>
              <w:keepLines/>
              <w:tabs>
                <w:tab w:val="left" w:pos="-1440"/>
                <w:tab w:val="left" w:pos="-720"/>
              </w:tabs>
              <w:rPr>
                <w:b/>
                <w:sz w:val="20"/>
                <w:szCs w:val="20"/>
              </w:rPr>
            </w:pPr>
            <w:r>
              <w:rPr>
                <w:b/>
                <w:sz w:val="20"/>
                <w:szCs w:val="20"/>
              </w:rPr>
              <w:t>Corporation of the Township of Russell</w:t>
            </w:r>
            <w:r w:rsidRPr="0058204A">
              <w:rPr>
                <w:b/>
                <w:sz w:val="20"/>
                <w:szCs w:val="20"/>
              </w:rPr>
              <w:t xml:space="preserve"> (Ont.)</w:t>
            </w:r>
          </w:p>
          <w:p w:rsidR="0058204A" w:rsidRPr="0058204A" w:rsidRDefault="0058204A" w:rsidP="0010520C">
            <w:pPr>
              <w:keepNext/>
              <w:keepLines/>
              <w:tabs>
                <w:tab w:val="left" w:pos="-1440"/>
                <w:tab w:val="left" w:pos="-720"/>
              </w:tabs>
              <w:rPr>
                <w:sz w:val="20"/>
                <w:szCs w:val="20"/>
              </w:rPr>
            </w:pPr>
            <w:r w:rsidRPr="0058204A">
              <w:rPr>
                <w:sz w:val="20"/>
                <w:szCs w:val="20"/>
              </w:rPr>
              <w:tab/>
            </w:r>
            <w:r>
              <w:rPr>
                <w:sz w:val="20"/>
                <w:szCs w:val="20"/>
              </w:rPr>
              <w:t xml:space="preserve">Ronald F. Caza </w:t>
            </w:r>
          </w:p>
          <w:p w:rsidR="0058204A" w:rsidRPr="0058204A" w:rsidRDefault="0058204A" w:rsidP="0010520C">
            <w:pPr>
              <w:keepNext/>
              <w:keepLines/>
              <w:tabs>
                <w:tab w:val="left" w:pos="-1440"/>
                <w:tab w:val="left" w:pos="-720"/>
              </w:tabs>
              <w:rPr>
                <w:sz w:val="20"/>
                <w:szCs w:val="20"/>
              </w:rPr>
            </w:pPr>
            <w:r w:rsidRPr="0058204A">
              <w:rPr>
                <w:sz w:val="20"/>
                <w:szCs w:val="20"/>
              </w:rPr>
              <w:tab/>
            </w:r>
            <w:r>
              <w:rPr>
                <w:sz w:val="20"/>
                <w:szCs w:val="20"/>
              </w:rPr>
              <w:t>CazaSaikaley LLP</w:t>
            </w:r>
          </w:p>
          <w:p w:rsidR="0058204A" w:rsidRPr="0058204A" w:rsidRDefault="0058204A" w:rsidP="0010520C">
            <w:pPr>
              <w:keepNext/>
              <w:keepLines/>
              <w:tabs>
                <w:tab w:val="left" w:pos="-1440"/>
                <w:tab w:val="left" w:pos="-720"/>
              </w:tabs>
              <w:rPr>
                <w:sz w:val="20"/>
                <w:szCs w:val="20"/>
              </w:rPr>
            </w:pPr>
          </w:p>
          <w:p w:rsidR="0058204A" w:rsidRPr="00A935AA" w:rsidRDefault="0058204A" w:rsidP="008A3C3B">
            <w:pPr>
              <w:rPr>
                <w:sz w:val="20"/>
                <w:szCs w:val="20"/>
              </w:rPr>
            </w:pPr>
            <w:r w:rsidRPr="00A935AA">
              <w:rPr>
                <w:sz w:val="20"/>
                <w:szCs w:val="20"/>
              </w:rPr>
              <w:t xml:space="preserve">FILING DATE: </w:t>
            </w:r>
            <w:r w:rsidR="008A3C3B">
              <w:rPr>
                <w:sz w:val="20"/>
                <w:szCs w:val="20"/>
              </w:rPr>
              <w:t>13</w:t>
            </w:r>
            <w:r w:rsidRPr="00A935AA">
              <w:rPr>
                <w:sz w:val="20"/>
                <w:szCs w:val="20"/>
              </w:rPr>
              <w:t>.09.201</w:t>
            </w:r>
            <w:r>
              <w:rPr>
                <w:sz w:val="20"/>
                <w:szCs w:val="20"/>
              </w:rPr>
              <w:t>2</w:t>
            </w:r>
            <w:r w:rsidR="002B77C5" w:rsidRPr="002B77C5">
              <w:rPr>
                <w:sz w:val="20"/>
                <w:szCs w:val="20"/>
                <w:lang w:val="fr-CA"/>
              </w:rPr>
              <w:pict>
                <v:rect id="_x0000_i1028" style="width:108pt;height:1pt" o:hrpct="0" o:hralign="center" o:hrstd="t" o:hrnoshade="t" o:hr="t" fillcolor="black [3213]" stroked="f"/>
              </w:pict>
            </w:r>
          </w:p>
        </w:tc>
      </w:tr>
      <w:tr w:rsidR="0058204A" w:rsidRPr="00A935AA" w:rsidTr="003B3977">
        <w:tc>
          <w:tcPr>
            <w:tcW w:w="4320" w:type="dxa"/>
            <w:shd w:val="clear" w:color="auto" w:fill="auto"/>
          </w:tcPr>
          <w:p w:rsidR="0058204A" w:rsidRDefault="0058204A" w:rsidP="0010520C">
            <w:pPr>
              <w:rPr>
                <w:b/>
                <w:sz w:val="20"/>
                <w:szCs w:val="20"/>
              </w:rPr>
            </w:pPr>
          </w:p>
          <w:p w:rsidR="008A3C3B" w:rsidRPr="008A3C3B" w:rsidRDefault="008A3C3B" w:rsidP="0010520C">
            <w:pPr>
              <w:rPr>
                <w:b/>
                <w:sz w:val="20"/>
                <w:szCs w:val="20"/>
                <w:lang w:val="fr-CA"/>
              </w:rPr>
            </w:pPr>
            <w:r w:rsidRPr="008A3C3B">
              <w:rPr>
                <w:b/>
                <w:sz w:val="20"/>
                <w:szCs w:val="20"/>
                <w:lang w:val="fr-CA"/>
              </w:rPr>
              <w:t>Jeffrey Jiyang Ma et al.</w:t>
            </w:r>
          </w:p>
          <w:p w:rsidR="0058204A" w:rsidRPr="008A3C3B" w:rsidRDefault="0058204A" w:rsidP="0010520C">
            <w:pPr>
              <w:tabs>
                <w:tab w:val="left" w:pos="-1440"/>
                <w:tab w:val="left" w:pos="-720"/>
              </w:tabs>
              <w:rPr>
                <w:sz w:val="20"/>
                <w:szCs w:val="20"/>
              </w:rPr>
            </w:pPr>
            <w:r w:rsidRPr="008A3C3B">
              <w:rPr>
                <w:sz w:val="20"/>
                <w:szCs w:val="20"/>
                <w:lang w:val="fr-CA"/>
              </w:rPr>
              <w:tab/>
            </w:r>
            <w:r w:rsidR="008A3C3B" w:rsidRPr="008A3C3B">
              <w:rPr>
                <w:sz w:val="20"/>
                <w:szCs w:val="20"/>
              </w:rPr>
              <w:t>Jeffrey Radnoff</w:t>
            </w:r>
          </w:p>
          <w:p w:rsidR="0058204A" w:rsidRPr="008A3C3B" w:rsidRDefault="0058204A" w:rsidP="0010520C">
            <w:pPr>
              <w:tabs>
                <w:tab w:val="left" w:pos="-1440"/>
                <w:tab w:val="left" w:pos="-720"/>
              </w:tabs>
              <w:rPr>
                <w:sz w:val="20"/>
                <w:szCs w:val="20"/>
              </w:rPr>
            </w:pPr>
            <w:r w:rsidRPr="008A3C3B">
              <w:rPr>
                <w:sz w:val="20"/>
                <w:szCs w:val="20"/>
              </w:rPr>
              <w:tab/>
            </w:r>
            <w:r w:rsidR="008A3C3B" w:rsidRPr="008A3C3B">
              <w:rPr>
                <w:sz w:val="20"/>
                <w:szCs w:val="20"/>
              </w:rPr>
              <w:t>Radnoff Law Offices</w:t>
            </w:r>
          </w:p>
          <w:p w:rsidR="0058204A" w:rsidRPr="008A3C3B" w:rsidRDefault="0058204A" w:rsidP="0010520C">
            <w:pPr>
              <w:tabs>
                <w:tab w:val="left" w:pos="-1440"/>
                <w:tab w:val="left" w:pos="-720"/>
              </w:tabs>
              <w:rPr>
                <w:sz w:val="20"/>
                <w:szCs w:val="20"/>
              </w:rPr>
            </w:pPr>
          </w:p>
          <w:p w:rsidR="0058204A" w:rsidRPr="00A935AA" w:rsidRDefault="0058204A" w:rsidP="0010520C">
            <w:pPr>
              <w:tabs>
                <w:tab w:val="left" w:pos="-1440"/>
                <w:tab w:val="left" w:pos="-720"/>
              </w:tabs>
              <w:rPr>
                <w:sz w:val="20"/>
                <w:szCs w:val="20"/>
              </w:rPr>
            </w:pPr>
            <w:r w:rsidRPr="008A3C3B">
              <w:rPr>
                <w:sz w:val="20"/>
                <w:szCs w:val="20"/>
              </w:rPr>
              <w:tab/>
            </w:r>
            <w:r w:rsidRPr="00A935AA">
              <w:rPr>
                <w:sz w:val="20"/>
                <w:szCs w:val="20"/>
              </w:rPr>
              <w:t>v. (3</w:t>
            </w:r>
            <w:r>
              <w:rPr>
                <w:sz w:val="20"/>
                <w:szCs w:val="20"/>
              </w:rPr>
              <w:t>4</w:t>
            </w:r>
            <w:r w:rsidR="008A3C3B">
              <w:rPr>
                <w:sz w:val="20"/>
                <w:szCs w:val="20"/>
              </w:rPr>
              <w:t>967</w:t>
            </w:r>
            <w:r w:rsidRPr="00A935AA">
              <w:rPr>
                <w:sz w:val="20"/>
                <w:szCs w:val="20"/>
              </w:rPr>
              <w:t>)</w:t>
            </w:r>
          </w:p>
          <w:p w:rsidR="0058204A" w:rsidRPr="00A935AA" w:rsidRDefault="0058204A" w:rsidP="0010520C">
            <w:pPr>
              <w:tabs>
                <w:tab w:val="left" w:pos="-1440"/>
                <w:tab w:val="left" w:pos="-720"/>
              </w:tabs>
              <w:rPr>
                <w:sz w:val="20"/>
                <w:szCs w:val="20"/>
              </w:rPr>
            </w:pPr>
          </w:p>
          <w:p w:rsidR="0058204A" w:rsidRPr="00A935AA" w:rsidRDefault="008A3C3B" w:rsidP="0010520C">
            <w:pPr>
              <w:tabs>
                <w:tab w:val="left" w:pos="-1440"/>
                <w:tab w:val="left" w:pos="-720"/>
              </w:tabs>
              <w:rPr>
                <w:b/>
                <w:sz w:val="20"/>
                <w:szCs w:val="20"/>
              </w:rPr>
            </w:pPr>
            <w:r>
              <w:rPr>
                <w:b/>
                <w:sz w:val="20"/>
                <w:szCs w:val="20"/>
              </w:rPr>
              <w:t>Ying Ma also know</w:t>
            </w:r>
            <w:r w:rsidR="00C52D9D">
              <w:rPr>
                <w:b/>
                <w:sz w:val="20"/>
                <w:szCs w:val="20"/>
              </w:rPr>
              <w:t>n as Michelle Ma</w:t>
            </w:r>
            <w:r w:rsidR="0058204A" w:rsidRPr="00A935AA">
              <w:rPr>
                <w:b/>
                <w:sz w:val="20"/>
                <w:szCs w:val="20"/>
              </w:rPr>
              <w:t xml:space="preserve"> (</w:t>
            </w:r>
            <w:r w:rsidR="00C52D9D">
              <w:rPr>
                <w:b/>
                <w:sz w:val="20"/>
                <w:szCs w:val="20"/>
              </w:rPr>
              <w:t>Ont</w:t>
            </w:r>
            <w:r w:rsidR="0058204A" w:rsidRPr="00A935AA">
              <w:rPr>
                <w:b/>
                <w:sz w:val="20"/>
                <w:szCs w:val="20"/>
              </w:rPr>
              <w:t>.)</w:t>
            </w:r>
          </w:p>
          <w:p w:rsidR="0058204A" w:rsidRPr="00A935AA" w:rsidRDefault="0058204A" w:rsidP="0010520C">
            <w:pPr>
              <w:tabs>
                <w:tab w:val="left" w:pos="-1440"/>
                <w:tab w:val="left" w:pos="-720"/>
              </w:tabs>
              <w:rPr>
                <w:sz w:val="20"/>
                <w:szCs w:val="20"/>
              </w:rPr>
            </w:pPr>
            <w:r w:rsidRPr="00A935AA">
              <w:rPr>
                <w:sz w:val="20"/>
                <w:szCs w:val="20"/>
              </w:rPr>
              <w:tab/>
            </w:r>
            <w:r w:rsidR="00C52D9D">
              <w:rPr>
                <w:sz w:val="20"/>
                <w:szCs w:val="20"/>
              </w:rPr>
              <w:t>J. Gardner Hodder</w:t>
            </w:r>
          </w:p>
          <w:p w:rsidR="0058204A" w:rsidRPr="00A935AA" w:rsidRDefault="0058204A" w:rsidP="0010520C">
            <w:pPr>
              <w:tabs>
                <w:tab w:val="left" w:pos="-1440"/>
                <w:tab w:val="left" w:pos="-720"/>
              </w:tabs>
              <w:rPr>
                <w:sz w:val="20"/>
                <w:szCs w:val="20"/>
              </w:rPr>
            </w:pPr>
            <w:r w:rsidRPr="00A935AA">
              <w:rPr>
                <w:sz w:val="20"/>
                <w:szCs w:val="20"/>
              </w:rPr>
              <w:tab/>
            </w:r>
            <w:r w:rsidR="00C52D9D">
              <w:rPr>
                <w:sz w:val="20"/>
                <w:szCs w:val="20"/>
              </w:rPr>
              <w:t>Hodder Barristers</w:t>
            </w:r>
          </w:p>
          <w:p w:rsidR="0058204A" w:rsidRPr="00A935AA" w:rsidRDefault="0058204A" w:rsidP="0010520C">
            <w:pPr>
              <w:tabs>
                <w:tab w:val="left" w:pos="-1440"/>
                <w:tab w:val="left" w:pos="-720"/>
              </w:tabs>
              <w:rPr>
                <w:sz w:val="20"/>
                <w:szCs w:val="20"/>
              </w:rPr>
            </w:pPr>
          </w:p>
          <w:p w:rsidR="0058204A" w:rsidRPr="00A935AA" w:rsidRDefault="0058204A" w:rsidP="0010520C">
            <w:pPr>
              <w:rPr>
                <w:sz w:val="20"/>
                <w:szCs w:val="20"/>
              </w:rPr>
            </w:pPr>
            <w:r w:rsidRPr="00A935AA">
              <w:rPr>
                <w:sz w:val="20"/>
                <w:szCs w:val="20"/>
              </w:rPr>
              <w:t xml:space="preserve">FILING DATE: </w:t>
            </w:r>
            <w:r w:rsidR="00C52D9D">
              <w:rPr>
                <w:sz w:val="20"/>
                <w:szCs w:val="20"/>
              </w:rPr>
              <w:t>14</w:t>
            </w:r>
            <w:r w:rsidRPr="00A935AA">
              <w:rPr>
                <w:sz w:val="20"/>
                <w:szCs w:val="20"/>
              </w:rPr>
              <w:t>.09.201</w:t>
            </w:r>
            <w:r>
              <w:rPr>
                <w:sz w:val="20"/>
                <w:szCs w:val="20"/>
              </w:rPr>
              <w:t>2</w:t>
            </w:r>
          </w:p>
          <w:p w:rsidR="0058204A" w:rsidRPr="00A935AA" w:rsidRDefault="002B77C5" w:rsidP="0010520C">
            <w:pPr>
              <w:rPr>
                <w:sz w:val="20"/>
                <w:szCs w:val="20"/>
              </w:rPr>
            </w:pPr>
            <w:r w:rsidRPr="002B77C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Default="0058204A" w:rsidP="00242AEE">
            <w:pPr>
              <w:jc w:val="center"/>
              <w:rPr>
                <w:sz w:val="20"/>
                <w:szCs w:val="20"/>
              </w:rPr>
            </w:pPr>
          </w:p>
          <w:p w:rsidR="0058204A" w:rsidRDefault="0058204A" w:rsidP="00242AEE">
            <w:pPr>
              <w:jc w:val="center"/>
              <w:rPr>
                <w:sz w:val="20"/>
                <w:szCs w:val="20"/>
              </w:rPr>
            </w:pPr>
          </w:p>
          <w:p w:rsidR="00C52D9D" w:rsidRDefault="00C52D9D" w:rsidP="00242AEE">
            <w:pPr>
              <w:jc w:val="center"/>
              <w:rPr>
                <w:sz w:val="20"/>
                <w:szCs w:val="20"/>
              </w:rPr>
            </w:pPr>
          </w:p>
          <w:p w:rsidR="0058204A" w:rsidRPr="00A935AA" w:rsidRDefault="0058204A" w:rsidP="00242AEE">
            <w:pPr>
              <w:jc w:val="center"/>
              <w:rPr>
                <w:sz w:val="20"/>
                <w:szCs w:val="20"/>
              </w:rPr>
            </w:pPr>
          </w:p>
        </w:tc>
        <w:tc>
          <w:tcPr>
            <w:tcW w:w="4320" w:type="dxa"/>
            <w:shd w:val="clear" w:color="auto" w:fill="auto"/>
          </w:tcPr>
          <w:p w:rsidR="0058204A" w:rsidRPr="00A935AA" w:rsidRDefault="00C52D9D" w:rsidP="0010520C">
            <w:pPr>
              <w:keepNext/>
              <w:keepLines/>
              <w:tabs>
                <w:tab w:val="left" w:pos="-1440"/>
                <w:tab w:val="left" w:pos="-720"/>
              </w:tabs>
              <w:rPr>
                <w:b/>
                <w:sz w:val="20"/>
                <w:szCs w:val="20"/>
              </w:rPr>
            </w:pPr>
            <w:r>
              <w:rPr>
                <w:b/>
                <w:sz w:val="20"/>
                <w:szCs w:val="20"/>
              </w:rPr>
              <w:t>Kerry Wong</w:t>
            </w:r>
          </w:p>
          <w:p w:rsidR="0058204A" w:rsidRPr="00A935AA" w:rsidRDefault="0058204A" w:rsidP="0010520C">
            <w:pPr>
              <w:keepNext/>
              <w:keepLines/>
              <w:tabs>
                <w:tab w:val="left" w:pos="-1440"/>
                <w:tab w:val="left" w:pos="-720"/>
              </w:tabs>
              <w:rPr>
                <w:sz w:val="20"/>
                <w:szCs w:val="20"/>
              </w:rPr>
            </w:pPr>
            <w:r w:rsidRPr="00A935AA">
              <w:rPr>
                <w:sz w:val="20"/>
                <w:szCs w:val="20"/>
              </w:rPr>
              <w:tab/>
            </w:r>
            <w:r w:rsidR="00C52D9D">
              <w:rPr>
                <w:sz w:val="20"/>
                <w:szCs w:val="20"/>
              </w:rPr>
              <w:t>Mark C. Halfyard</w:t>
            </w:r>
          </w:p>
          <w:p w:rsidR="0058204A" w:rsidRPr="00A935AA" w:rsidRDefault="0058204A" w:rsidP="0010520C">
            <w:pPr>
              <w:keepNext/>
              <w:keepLines/>
              <w:tabs>
                <w:tab w:val="left" w:pos="-1440"/>
                <w:tab w:val="left" w:pos="-720"/>
              </w:tabs>
              <w:rPr>
                <w:sz w:val="20"/>
                <w:szCs w:val="20"/>
              </w:rPr>
            </w:pPr>
            <w:r w:rsidRPr="00A935AA">
              <w:rPr>
                <w:sz w:val="20"/>
                <w:szCs w:val="20"/>
              </w:rPr>
              <w:tab/>
            </w:r>
            <w:r w:rsidR="00C52D9D">
              <w:rPr>
                <w:sz w:val="20"/>
                <w:szCs w:val="20"/>
              </w:rPr>
              <w:t xml:space="preserve">Rusonik, O’Connor, Robbins, Ross, </w:t>
            </w:r>
            <w:r w:rsidR="00C52D9D">
              <w:rPr>
                <w:sz w:val="20"/>
                <w:szCs w:val="20"/>
              </w:rPr>
              <w:tab/>
              <w:t>Gorham &amp; Angelini LLP</w:t>
            </w:r>
          </w:p>
          <w:p w:rsidR="0058204A" w:rsidRPr="00A935AA" w:rsidRDefault="0058204A" w:rsidP="0010520C">
            <w:pPr>
              <w:keepNext/>
              <w:keepLines/>
              <w:tabs>
                <w:tab w:val="left" w:pos="-1440"/>
                <w:tab w:val="left" w:pos="-720"/>
              </w:tabs>
              <w:rPr>
                <w:sz w:val="20"/>
                <w:szCs w:val="20"/>
              </w:rPr>
            </w:pPr>
          </w:p>
          <w:p w:rsidR="0058204A" w:rsidRPr="0058204A" w:rsidRDefault="0058204A" w:rsidP="0010520C">
            <w:pPr>
              <w:keepNext/>
              <w:keepLines/>
              <w:tabs>
                <w:tab w:val="left" w:pos="-1440"/>
                <w:tab w:val="left" w:pos="-720"/>
              </w:tabs>
              <w:rPr>
                <w:sz w:val="20"/>
                <w:szCs w:val="20"/>
              </w:rPr>
            </w:pPr>
            <w:r w:rsidRPr="00A935AA">
              <w:rPr>
                <w:sz w:val="20"/>
                <w:szCs w:val="20"/>
              </w:rPr>
              <w:tab/>
            </w:r>
            <w:r w:rsidRPr="0058204A">
              <w:rPr>
                <w:sz w:val="20"/>
                <w:szCs w:val="20"/>
              </w:rPr>
              <w:t>v. (34</w:t>
            </w:r>
            <w:r w:rsidR="00C52D9D">
              <w:rPr>
                <w:sz w:val="20"/>
                <w:szCs w:val="20"/>
              </w:rPr>
              <w:t>966</w:t>
            </w:r>
            <w:r w:rsidRPr="0058204A">
              <w:rPr>
                <w:sz w:val="20"/>
                <w:szCs w:val="20"/>
              </w:rPr>
              <w:t>)</w:t>
            </w:r>
          </w:p>
          <w:p w:rsidR="0058204A" w:rsidRPr="0058204A" w:rsidRDefault="0058204A" w:rsidP="0010520C">
            <w:pPr>
              <w:keepNext/>
              <w:keepLines/>
              <w:tabs>
                <w:tab w:val="left" w:pos="-1440"/>
                <w:tab w:val="left" w:pos="-720"/>
              </w:tabs>
              <w:rPr>
                <w:sz w:val="20"/>
                <w:szCs w:val="20"/>
              </w:rPr>
            </w:pPr>
          </w:p>
          <w:p w:rsidR="0058204A" w:rsidRPr="0058204A" w:rsidRDefault="00C52D9D" w:rsidP="0010520C">
            <w:pPr>
              <w:keepNext/>
              <w:keepLines/>
              <w:tabs>
                <w:tab w:val="left" w:pos="-1440"/>
                <w:tab w:val="left" w:pos="-720"/>
              </w:tabs>
              <w:rPr>
                <w:b/>
                <w:sz w:val="20"/>
                <w:szCs w:val="20"/>
              </w:rPr>
            </w:pPr>
            <w:r>
              <w:rPr>
                <w:b/>
                <w:sz w:val="20"/>
                <w:szCs w:val="20"/>
              </w:rPr>
              <w:t xml:space="preserve">Her Majesty the Queen </w:t>
            </w:r>
            <w:r w:rsidR="0058204A" w:rsidRPr="0058204A">
              <w:rPr>
                <w:b/>
                <w:sz w:val="20"/>
                <w:szCs w:val="20"/>
              </w:rPr>
              <w:t>(Ont.)</w:t>
            </w:r>
          </w:p>
          <w:p w:rsidR="0058204A" w:rsidRPr="0058204A" w:rsidRDefault="0058204A" w:rsidP="0010520C">
            <w:pPr>
              <w:keepNext/>
              <w:keepLines/>
              <w:tabs>
                <w:tab w:val="left" w:pos="-1440"/>
                <w:tab w:val="left" w:pos="-720"/>
              </w:tabs>
              <w:rPr>
                <w:sz w:val="20"/>
                <w:szCs w:val="20"/>
              </w:rPr>
            </w:pPr>
            <w:r w:rsidRPr="0058204A">
              <w:rPr>
                <w:sz w:val="20"/>
                <w:szCs w:val="20"/>
              </w:rPr>
              <w:tab/>
            </w:r>
            <w:r w:rsidR="00C52D9D">
              <w:rPr>
                <w:sz w:val="20"/>
                <w:szCs w:val="20"/>
              </w:rPr>
              <w:t>John McInnes</w:t>
            </w:r>
          </w:p>
          <w:p w:rsidR="0058204A" w:rsidRPr="0058204A" w:rsidRDefault="0058204A" w:rsidP="0010520C">
            <w:pPr>
              <w:keepNext/>
              <w:keepLines/>
              <w:tabs>
                <w:tab w:val="left" w:pos="-1440"/>
                <w:tab w:val="left" w:pos="-720"/>
              </w:tabs>
              <w:rPr>
                <w:sz w:val="20"/>
                <w:szCs w:val="20"/>
              </w:rPr>
            </w:pPr>
            <w:r w:rsidRPr="0058204A">
              <w:rPr>
                <w:sz w:val="20"/>
                <w:szCs w:val="20"/>
              </w:rPr>
              <w:tab/>
            </w:r>
            <w:r w:rsidR="00C52D9D">
              <w:rPr>
                <w:sz w:val="20"/>
                <w:szCs w:val="20"/>
              </w:rPr>
              <w:t>A.G. of Ontario</w:t>
            </w:r>
          </w:p>
          <w:p w:rsidR="0058204A" w:rsidRPr="0058204A" w:rsidRDefault="0058204A" w:rsidP="0010520C">
            <w:pPr>
              <w:keepNext/>
              <w:keepLines/>
              <w:tabs>
                <w:tab w:val="left" w:pos="-1440"/>
                <w:tab w:val="left" w:pos="-720"/>
              </w:tabs>
              <w:rPr>
                <w:sz w:val="20"/>
                <w:szCs w:val="20"/>
              </w:rPr>
            </w:pPr>
          </w:p>
          <w:p w:rsidR="0058204A" w:rsidRPr="00A935AA" w:rsidRDefault="0058204A" w:rsidP="00C52D9D">
            <w:pPr>
              <w:rPr>
                <w:sz w:val="20"/>
                <w:szCs w:val="20"/>
              </w:rPr>
            </w:pPr>
            <w:r w:rsidRPr="00A935AA">
              <w:rPr>
                <w:sz w:val="20"/>
                <w:szCs w:val="20"/>
              </w:rPr>
              <w:t xml:space="preserve">FILING DATE: </w:t>
            </w:r>
            <w:r w:rsidR="00C52D9D">
              <w:rPr>
                <w:sz w:val="20"/>
                <w:szCs w:val="20"/>
              </w:rPr>
              <w:t>14</w:t>
            </w:r>
            <w:r w:rsidRPr="00A935AA">
              <w:rPr>
                <w:sz w:val="20"/>
                <w:szCs w:val="20"/>
              </w:rPr>
              <w:t>.09.201</w:t>
            </w:r>
            <w:r>
              <w:rPr>
                <w:sz w:val="20"/>
                <w:szCs w:val="20"/>
              </w:rPr>
              <w:t>2</w:t>
            </w:r>
            <w:r w:rsidR="002B77C5" w:rsidRPr="002B77C5">
              <w:rPr>
                <w:sz w:val="20"/>
                <w:szCs w:val="20"/>
                <w:lang w:val="fr-CA"/>
              </w:rPr>
              <w:pict>
                <v:rect id="_x0000_i1030" style="width:108pt;height:1pt" o:hrpct="0" o:hralign="center" o:hrstd="t" o:hrnoshade="t" o:hr="t" fillcolor="black [3213]" stroked="f"/>
              </w:pict>
            </w:r>
          </w:p>
        </w:tc>
      </w:tr>
      <w:tr w:rsidR="003C4F25" w:rsidRPr="00A935AA" w:rsidTr="003B3977">
        <w:tc>
          <w:tcPr>
            <w:tcW w:w="4320" w:type="dxa"/>
            <w:shd w:val="clear" w:color="auto" w:fill="auto"/>
          </w:tcPr>
          <w:p w:rsidR="003C4F25" w:rsidRPr="00A935AA" w:rsidRDefault="003C4F25" w:rsidP="003C4F25">
            <w:pPr>
              <w:rPr>
                <w:b/>
                <w:sz w:val="20"/>
                <w:szCs w:val="20"/>
              </w:rPr>
            </w:pPr>
            <w:r>
              <w:rPr>
                <w:b/>
                <w:sz w:val="20"/>
                <w:szCs w:val="20"/>
              </w:rPr>
              <w:t>299 Burrard Residential Limited Partnership</w:t>
            </w:r>
          </w:p>
          <w:p w:rsidR="003C4F25" w:rsidRPr="00A935AA" w:rsidRDefault="003C4F25" w:rsidP="003C4F25">
            <w:pPr>
              <w:tabs>
                <w:tab w:val="left" w:pos="-1440"/>
                <w:tab w:val="left" w:pos="-720"/>
              </w:tabs>
              <w:rPr>
                <w:sz w:val="20"/>
                <w:szCs w:val="20"/>
              </w:rPr>
            </w:pPr>
            <w:r w:rsidRPr="00A935AA">
              <w:rPr>
                <w:sz w:val="20"/>
                <w:szCs w:val="20"/>
              </w:rPr>
              <w:tab/>
            </w:r>
            <w:r>
              <w:rPr>
                <w:sz w:val="20"/>
                <w:szCs w:val="20"/>
              </w:rPr>
              <w:t>E. Neil Kornfeld, Q.C.</w:t>
            </w:r>
          </w:p>
          <w:p w:rsidR="003C4F25" w:rsidRPr="00A935AA" w:rsidRDefault="003C4F25" w:rsidP="003C4F25">
            <w:pPr>
              <w:tabs>
                <w:tab w:val="left" w:pos="-1440"/>
                <w:tab w:val="left" w:pos="-720"/>
              </w:tabs>
              <w:rPr>
                <w:sz w:val="20"/>
                <w:szCs w:val="20"/>
              </w:rPr>
            </w:pPr>
            <w:r w:rsidRPr="00A935AA">
              <w:rPr>
                <w:sz w:val="20"/>
                <w:szCs w:val="20"/>
              </w:rPr>
              <w:tab/>
            </w:r>
            <w:r>
              <w:rPr>
                <w:sz w:val="20"/>
                <w:szCs w:val="20"/>
              </w:rPr>
              <w:t>Kornfeld LLP</w:t>
            </w:r>
          </w:p>
          <w:p w:rsidR="003C4F25" w:rsidRPr="00A935AA" w:rsidRDefault="003C4F25" w:rsidP="003C4F25">
            <w:pPr>
              <w:tabs>
                <w:tab w:val="left" w:pos="-1440"/>
                <w:tab w:val="left" w:pos="-720"/>
              </w:tabs>
              <w:rPr>
                <w:sz w:val="20"/>
                <w:szCs w:val="20"/>
              </w:rPr>
            </w:pPr>
          </w:p>
          <w:p w:rsidR="003C4F25" w:rsidRPr="00A935AA" w:rsidRDefault="003C4F25" w:rsidP="003C4F25">
            <w:pPr>
              <w:tabs>
                <w:tab w:val="left" w:pos="-1440"/>
                <w:tab w:val="left" w:pos="-720"/>
              </w:tabs>
              <w:rPr>
                <w:sz w:val="20"/>
                <w:szCs w:val="20"/>
              </w:rPr>
            </w:pPr>
            <w:r w:rsidRPr="00A935AA">
              <w:rPr>
                <w:sz w:val="20"/>
                <w:szCs w:val="20"/>
              </w:rPr>
              <w:tab/>
              <w:t>v. (3</w:t>
            </w:r>
            <w:r>
              <w:rPr>
                <w:sz w:val="20"/>
                <w:szCs w:val="20"/>
              </w:rPr>
              <w:t>4968</w:t>
            </w:r>
            <w:r w:rsidRPr="00A935AA">
              <w:rPr>
                <w:sz w:val="20"/>
                <w:szCs w:val="20"/>
              </w:rPr>
              <w:t>)</w:t>
            </w:r>
          </w:p>
          <w:p w:rsidR="003C4F25" w:rsidRPr="00A935AA" w:rsidRDefault="003C4F25" w:rsidP="003C4F25">
            <w:pPr>
              <w:tabs>
                <w:tab w:val="left" w:pos="-1440"/>
                <w:tab w:val="left" w:pos="-720"/>
              </w:tabs>
              <w:rPr>
                <w:sz w:val="20"/>
                <w:szCs w:val="20"/>
              </w:rPr>
            </w:pPr>
          </w:p>
          <w:p w:rsidR="003C4F25" w:rsidRPr="00A935AA" w:rsidRDefault="003C4F25" w:rsidP="003C4F25">
            <w:pPr>
              <w:tabs>
                <w:tab w:val="left" w:pos="-1440"/>
                <w:tab w:val="left" w:pos="-720"/>
              </w:tabs>
              <w:rPr>
                <w:b/>
                <w:sz w:val="20"/>
                <w:szCs w:val="20"/>
              </w:rPr>
            </w:pPr>
            <w:r>
              <w:rPr>
                <w:b/>
                <w:sz w:val="20"/>
                <w:szCs w:val="20"/>
              </w:rPr>
              <w:t>Soroor Essalat</w:t>
            </w:r>
            <w:r w:rsidRPr="00A935AA">
              <w:rPr>
                <w:b/>
                <w:sz w:val="20"/>
                <w:szCs w:val="20"/>
              </w:rPr>
              <w:t xml:space="preserve"> (B.C.)</w:t>
            </w:r>
          </w:p>
          <w:p w:rsidR="003C4F25" w:rsidRPr="00A935AA" w:rsidRDefault="003C4F25" w:rsidP="003C4F25">
            <w:pPr>
              <w:tabs>
                <w:tab w:val="left" w:pos="-1440"/>
                <w:tab w:val="left" w:pos="-720"/>
              </w:tabs>
              <w:rPr>
                <w:sz w:val="20"/>
                <w:szCs w:val="20"/>
              </w:rPr>
            </w:pPr>
            <w:r w:rsidRPr="00A935AA">
              <w:rPr>
                <w:sz w:val="20"/>
                <w:szCs w:val="20"/>
              </w:rPr>
              <w:tab/>
            </w:r>
            <w:r>
              <w:rPr>
                <w:sz w:val="20"/>
                <w:szCs w:val="20"/>
              </w:rPr>
              <w:t>Bryan G. Baynham, Q.C.</w:t>
            </w:r>
          </w:p>
          <w:p w:rsidR="003C4F25" w:rsidRPr="00A935AA" w:rsidRDefault="003C4F25" w:rsidP="003C4F25">
            <w:pPr>
              <w:tabs>
                <w:tab w:val="left" w:pos="-1440"/>
                <w:tab w:val="left" w:pos="-720"/>
              </w:tabs>
              <w:rPr>
                <w:sz w:val="20"/>
                <w:szCs w:val="20"/>
              </w:rPr>
            </w:pPr>
            <w:r w:rsidRPr="00A935AA">
              <w:rPr>
                <w:sz w:val="20"/>
                <w:szCs w:val="20"/>
              </w:rPr>
              <w:tab/>
            </w:r>
            <w:r>
              <w:rPr>
                <w:sz w:val="20"/>
                <w:szCs w:val="20"/>
              </w:rPr>
              <w:t>Harper Grey LLP</w:t>
            </w:r>
          </w:p>
          <w:p w:rsidR="003C4F25" w:rsidRPr="00A935AA" w:rsidRDefault="003C4F25" w:rsidP="003C4F25">
            <w:pPr>
              <w:tabs>
                <w:tab w:val="left" w:pos="-1440"/>
                <w:tab w:val="left" w:pos="-720"/>
              </w:tabs>
              <w:rPr>
                <w:sz w:val="20"/>
                <w:szCs w:val="20"/>
              </w:rPr>
            </w:pPr>
          </w:p>
          <w:p w:rsidR="003C4F25" w:rsidRPr="00A935AA" w:rsidRDefault="003C4F25" w:rsidP="003C4F25">
            <w:pPr>
              <w:rPr>
                <w:sz w:val="20"/>
                <w:szCs w:val="20"/>
              </w:rPr>
            </w:pPr>
            <w:r w:rsidRPr="00A935AA">
              <w:rPr>
                <w:sz w:val="20"/>
                <w:szCs w:val="20"/>
              </w:rPr>
              <w:t xml:space="preserve">FILING DATE: </w:t>
            </w:r>
            <w:r>
              <w:rPr>
                <w:sz w:val="20"/>
                <w:szCs w:val="20"/>
              </w:rPr>
              <w:t>1</w:t>
            </w:r>
            <w:r w:rsidRPr="00A935AA">
              <w:rPr>
                <w:sz w:val="20"/>
                <w:szCs w:val="20"/>
              </w:rPr>
              <w:t>7.09.201</w:t>
            </w:r>
            <w:r>
              <w:rPr>
                <w:sz w:val="20"/>
                <w:szCs w:val="20"/>
              </w:rPr>
              <w:t>2</w:t>
            </w:r>
          </w:p>
          <w:p w:rsidR="003C4F25" w:rsidRDefault="002B77C5" w:rsidP="003C4F25">
            <w:pPr>
              <w:rPr>
                <w:sz w:val="20"/>
                <w:szCs w:val="20"/>
                <w:lang w:val="fr-CA"/>
              </w:rPr>
            </w:pPr>
            <w:r w:rsidRPr="002B77C5">
              <w:rPr>
                <w:sz w:val="20"/>
                <w:szCs w:val="20"/>
                <w:lang w:val="fr-CA"/>
              </w:rPr>
              <w:pict>
                <v:rect id="_x0000_i1031" style="width:108pt;height:1pt" o:hrpct="0" o:hralign="center" o:hrstd="t" o:hrnoshade="t" o:hr="t" fillcolor="black [3213]" stroked="f"/>
              </w:pict>
            </w:r>
          </w:p>
          <w:p w:rsidR="003C4F25" w:rsidRDefault="003C4F25" w:rsidP="0010520C">
            <w:pPr>
              <w:rPr>
                <w:b/>
                <w:sz w:val="20"/>
                <w:szCs w:val="20"/>
              </w:rPr>
            </w:pPr>
          </w:p>
        </w:tc>
        <w:tc>
          <w:tcPr>
            <w:tcW w:w="1181" w:type="dxa"/>
            <w:shd w:val="clear" w:color="auto" w:fill="auto"/>
          </w:tcPr>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Default="003C4F25" w:rsidP="00242AEE">
            <w:pPr>
              <w:jc w:val="center"/>
              <w:rPr>
                <w:sz w:val="20"/>
                <w:szCs w:val="20"/>
              </w:rPr>
            </w:pPr>
          </w:p>
          <w:p w:rsidR="003C4F25" w:rsidRPr="00A935AA" w:rsidRDefault="003C4F25" w:rsidP="00242AEE">
            <w:pPr>
              <w:jc w:val="center"/>
              <w:rPr>
                <w:sz w:val="20"/>
                <w:szCs w:val="20"/>
              </w:rPr>
            </w:pPr>
          </w:p>
        </w:tc>
        <w:tc>
          <w:tcPr>
            <w:tcW w:w="4320" w:type="dxa"/>
            <w:shd w:val="clear" w:color="auto" w:fill="auto"/>
          </w:tcPr>
          <w:p w:rsidR="003C4F25" w:rsidRPr="00A935AA" w:rsidRDefault="003C4F25" w:rsidP="00444501">
            <w:pPr>
              <w:keepNext/>
              <w:keepLines/>
              <w:tabs>
                <w:tab w:val="left" w:pos="-1440"/>
                <w:tab w:val="left" w:pos="-720"/>
              </w:tabs>
              <w:rPr>
                <w:b/>
                <w:sz w:val="20"/>
                <w:szCs w:val="20"/>
              </w:rPr>
            </w:pPr>
            <w:r>
              <w:rPr>
                <w:b/>
                <w:sz w:val="20"/>
                <w:szCs w:val="20"/>
              </w:rPr>
              <w:t xml:space="preserve">Blood Tribe et al. </w:t>
            </w:r>
          </w:p>
          <w:p w:rsidR="003C4F25" w:rsidRPr="00A935AA" w:rsidRDefault="003C4F25" w:rsidP="00444501">
            <w:pPr>
              <w:keepNext/>
              <w:keepLines/>
              <w:tabs>
                <w:tab w:val="left" w:pos="-1440"/>
                <w:tab w:val="left" w:pos="-720"/>
              </w:tabs>
              <w:rPr>
                <w:sz w:val="20"/>
                <w:szCs w:val="20"/>
              </w:rPr>
            </w:pPr>
            <w:r w:rsidRPr="00A935AA">
              <w:rPr>
                <w:sz w:val="20"/>
                <w:szCs w:val="20"/>
              </w:rPr>
              <w:tab/>
            </w:r>
            <w:r>
              <w:rPr>
                <w:sz w:val="20"/>
                <w:szCs w:val="20"/>
              </w:rPr>
              <w:t>John R. Beckman, Q.C.</w:t>
            </w:r>
          </w:p>
          <w:p w:rsidR="003C4F25" w:rsidRPr="00A935AA" w:rsidRDefault="003C4F25" w:rsidP="00444501">
            <w:pPr>
              <w:keepNext/>
              <w:keepLines/>
              <w:tabs>
                <w:tab w:val="left" w:pos="-1440"/>
                <w:tab w:val="left" w:pos="-720"/>
              </w:tabs>
              <w:rPr>
                <w:sz w:val="20"/>
                <w:szCs w:val="20"/>
              </w:rPr>
            </w:pPr>
            <w:r w:rsidRPr="00A935AA">
              <w:rPr>
                <w:sz w:val="20"/>
                <w:szCs w:val="20"/>
              </w:rPr>
              <w:tab/>
            </w:r>
            <w:r>
              <w:rPr>
                <w:sz w:val="20"/>
                <w:szCs w:val="20"/>
              </w:rPr>
              <w:t>McKercher LLP</w:t>
            </w:r>
          </w:p>
          <w:p w:rsidR="003C4F25" w:rsidRPr="00A935AA" w:rsidRDefault="003C4F25" w:rsidP="00444501">
            <w:pPr>
              <w:keepNext/>
              <w:keepLines/>
              <w:tabs>
                <w:tab w:val="left" w:pos="-1440"/>
                <w:tab w:val="left" w:pos="-720"/>
              </w:tabs>
              <w:rPr>
                <w:sz w:val="20"/>
                <w:szCs w:val="20"/>
              </w:rPr>
            </w:pPr>
          </w:p>
          <w:p w:rsidR="003C4F25" w:rsidRPr="00B64857" w:rsidRDefault="003C4F25" w:rsidP="00444501">
            <w:pPr>
              <w:keepNext/>
              <w:keepLines/>
              <w:tabs>
                <w:tab w:val="left" w:pos="-1440"/>
                <w:tab w:val="left" w:pos="-720"/>
              </w:tabs>
              <w:rPr>
                <w:sz w:val="20"/>
                <w:szCs w:val="20"/>
              </w:rPr>
            </w:pPr>
            <w:r w:rsidRPr="00A935AA">
              <w:rPr>
                <w:sz w:val="20"/>
                <w:szCs w:val="20"/>
              </w:rPr>
              <w:tab/>
            </w:r>
            <w:r w:rsidRPr="00B64857">
              <w:rPr>
                <w:sz w:val="20"/>
                <w:szCs w:val="20"/>
              </w:rPr>
              <w:t>v. (34</w:t>
            </w:r>
            <w:r>
              <w:rPr>
                <w:sz w:val="20"/>
                <w:szCs w:val="20"/>
              </w:rPr>
              <w:t>978</w:t>
            </w:r>
            <w:r w:rsidRPr="00B64857">
              <w:rPr>
                <w:sz w:val="20"/>
                <w:szCs w:val="20"/>
              </w:rPr>
              <w:t>)</w:t>
            </w:r>
          </w:p>
          <w:p w:rsidR="003C4F25" w:rsidRPr="00B64857" w:rsidRDefault="003C4F25" w:rsidP="00444501">
            <w:pPr>
              <w:keepNext/>
              <w:keepLines/>
              <w:tabs>
                <w:tab w:val="left" w:pos="-1440"/>
                <w:tab w:val="left" w:pos="-720"/>
              </w:tabs>
              <w:rPr>
                <w:sz w:val="20"/>
                <w:szCs w:val="20"/>
              </w:rPr>
            </w:pPr>
          </w:p>
          <w:p w:rsidR="003C4F25" w:rsidRPr="00B64857" w:rsidRDefault="003C4F25" w:rsidP="00444501">
            <w:pPr>
              <w:keepNext/>
              <w:keepLines/>
              <w:tabs>
                <w:tab w:val="left" w:pos="-1440"/>
                <w:tab w:val="left" w:pos="-720"/>
              </w:tabs>
              <w:rPr>
                <w:b/>
                <w:sz w:val="20"/>
                <w:szCs w:val="20"/>
              </w:rPr>
            </w:pPr>
            <w:r>
              <w:rPr>
                <w:b/>
                <w:sz w:val="20"/>
                <w:szCs w:val="20"/>
              </w:rPr>
              <w:t>Attorney General of Canada</w:t>
            </w:r>
            <w:r w:rsidRPr="00B64857">
              <w:rPr>
                <w:b/>
                <w:sz w:val="20"/>
                <w:szCs w:val="20"/>
              </w:rPr>
              <w:t xml:space="preserve"> (</w:t>
            </w:r>
            <w:r>
              <w:rPr>
                <w:b/>
                <w:sz w:val="20"/>
                <w:szCs w:val="20"/>
              </w:rPr>
              <w:t>Alta</w:t>
            </w:r>
            <w:r w:rsidRPr="00B64857">
              <w:rPr>
                <w:b/>
                <w:sz w:val="20"/>
                <w:szCs w:val="20"/>
              </w:rPr>
              <w:t>.)</w:t>
            </w:r>
          </w:p>
          <w:p w:rsidR="003C4F25" w:rsidRPr="00B64857" w:rsidRDefault="003C4F25" w:rsidP="00444501">
            <w:pPr>
              <w:keepNext/>
              <w:keepLines/>
              <w:tabs>
                <w:tab w:val="left" w:pos="-1440"/>
                <w:tab w:val="left" w:pos="-720"/>
              </w:tabs>
              <w:rPr>
                <w:sz w:val="20"/>
                <w:szCs w:val="20"/>
              </w:rPr>
            </w:pPr>
            <w:r w:rsidRPr="00B64857">
              <w:rPr>
                <w:sz w:val="20"/>
                <w:szCs w:val="20"/>
              </w:rPr>
              <w:tab/>
            </w:r>
            <w:r>
              <w:rPr>
                <w:sz w:val="20"/>
                <w:szCs w:val="20"/>
              </w:rPr>
              <w:t>William L. Softley</w:t>
            </w:r>
          </w:p>
          <w:p w:rsidR="003C4F25" w:rsidRPr="00B64857" w:rsidRDefault="003C4F25" w:rsidP="00444501">
            <w:pPr>
              <w:keepNext/>
              <w:keepLines/>
              <w:tabs>
                <w:tab w:val="left" w:pos="-1440"/>
                <w:tab w:val="left" w:pos="-720"/>
              </w:tabs>
              <w:rPr>
                <w:sz w:val="20"/>
                <w:szCs w:val="20"/>
              </w:rPr>
            </w:pPr>
            <w:r w:rsidRPr="00B64857">
              <w:rPr>
                <w:sz w:val="20"/>
                <w:szCs w:val="20"/>
              </w:rPr>
              <w:tab/>
            </w:r>
            <w:r>
              <w:rPr>
                <w:sz w:val="20"/>
                <w:szCs w:val="20"/>
              </w:rPr>
              <w:t>A.G. of Canada</w:t>
            </w:r>
          </w:p>
          <w:p w:rsidR="003C4F25" w:rsidRPr="00B64857" w:rsidRDefault="003C4F25" w:rsidP="00444501">
            <w:pPr>
              <w:keepNext/>
              <w:keepLines/>
              <w:tabs>
                <w:tab w:val="left" w:pos="-1440"/>
                <w:tab w:val="left" w:pos="-720"/>
              </w:tabs>
              <w:rPr>
                <w:sz w:val="20"/>
                <w:szCs w:val="20"/>
              </w:rPr>
            </w:pPr>
          </w:p>
          <w:p w:rsidR="003C4F25" w:rsidRPr="00A935AA" w:rsidRDefault="003C4F25" w:rsidP="00444501">
            <w:pPr>
              <w:rPr>
                <w:sz w:val="20"/>
                <w:szCs w:val="20"/>
              </w:rPr>
            </w:pPr>
            <w:r w:rsidRPr="00A935AA">
              <w:rPr>
                <w:sz w:val="20"/>
                <w:szCs w:val="20"/>
              </w:rPr>
              <w:t>FILING DATE: 2</w:t>
            </w:r>
            <w:r>
              <w:rPr>
                <w:sz w:val="20"/>
                <w:szCs w:val="20"/>
              </w:rPr>
              <w:t>0</w:t>
            </w:r>
            <w:r w:rsidRPr="00A935AA">
              <w:rPr>
                <w:sz w:val="20"/>
                <w:szCs w:val="20"/>
              </w:rPr>
              <w:t>.09.201</w:t>
            </w:r>
            <w:r>
              <w:rPr>
                <w:sz w:val="20"/>
                <w:szCs w:val="20"/>
              </w:rPr>
              <w:t>2</w:t>
            </w:r>
            <w:r w:rsidR="002B77C5" w:rsidRPr="002B77C5">
              <w:rPr>
                <w:sz w:val="20"/>
                <w:szCs w:val="20"/>
                <w:lang w:val="fr-CA"/>
              </w:rPr>
              <w:pict>
                <v:rect id="_x0000_i1032" style="width:108pt;height:1pt" o:hrpct="0" o:hralign="center" o:hrstd="t" o:hrnoshade="t" o:hr="t" fillcolor="black [3213]" stroked="f"/>
              </w:pict>
            </w:r>
          </w:p>
        </w:tc>
      </w:tr>
      <w:tr w:rsidR="0058204A" w:rsidRPr="00A935AA" w:rsidTr="003B3977">
        <w:trPr>
          <w:cantSplit/>
        </w:trPr>
        <w:tc>
          <w:tcPr>
            <w:tcW w:w="4320" w:type="dxa"/>
            <w:shd w:val="clear" w:color="auto" w:fill="auto"/>
          </w:tcPr>
          <w:p w:rsidR="00B64857" w:rsidRPr="00054E79" w:rsidRDefault="00B64857" w:rsidP="0010520C">
            <w:pPr>
              <w:rPr>
                <w:sz w:val="20"/>
                <w:szCs w:val="20"/>
              </w:rPr>
            </w:pPr>
            <w:r w:rsidRPr="00054E79">
              <w:rPr>
                <w:b/>
                <w:sz w:val="20"/>
                <w:szCs w:val="20"/>
              </w:rPr>
              <w:lastRenderedPageBreak/>
              <w:t>Enmax Power Corporation</w:t>
            </w:r>
          </w:p>
          <w:p w:rsidR="00B64857" w:rsidRPr="00054E79" w:rsidRDefault="00B64857" w:rsidP="0010520C">
            <w:pPr>
              <w:rPr>
                <w:sz w:val="20"/>
                <w:szCs w:val="20"/>
              </w:rPr>
            </w:pPr>
            <w:r w:rsidRPr="00054E79">
              <w:rPr>
                <w:sz w:val="20"/>
                <w:szCs w:val="20"/>
              </w:rPr>
              <w:tab/>
              <w:t>Dalton W. McGrath</w:t>
            </w:r>
          </w:p>
          <w:p w:rsidR="003C4F25" w:rsidRPr="00A935AA" w:rsidRDefault="003C4F25" w:rsidP="003C4F25">
            <w:pPr>
              <w:tabs>
                <w:tab w:val="left" w:pos="-1440"/>
                <w:tab w:val="left" w:pos="-720"/>
              </w:tabs>
              <w:rPr>
                <w:sz w:val="20"/>
                <w:szCs w:val="20"/>
              </w:rPr>
            </w:pPr>
            <w:r w:rsidRPr="00A935AA">
              <w:rPr>
                <w:sz w:val="20"/>
                <w:szCs w:val="20"/>
              </w:rPr>
              <w:tab/>
            </w:r>
            <w:r>
              <w:rPr>
                <w:sz w:val="20"/>
                <w:szCs w:val="20"/>
              </w:rPr>
              <w:t>Blake, Cassels &amp; Graydon LLP</w:t>
            </w:r>
          </w:p>
          <w:p w:rsidR="003C4F25" w:rsidRPr="00A935AA" w:rsidRDefault="003C4F25" w:rsidP="003C4F25">
            <w:pPr>
              <w:tabs>
                <w:tab w:val="left" w:pos="-1440"/>
                <w:tab w:val="left" w:pos="-720"/>
              </w:tabs>
              <w:rPr>
                <w:sz w:val="20"/>
                <w:szCs w:val="20"/>
              </w:rPr>
            </w:pPr>
          </w:p>
          <w:p w:rsidR="003C4F25" w:rsidRPr="00A935AA" w:rsidRDefault="003C4F25" w:rsidP="003C4F25">
            <w:pPr>
              <w:tabs>
                <w:tab w:val="left" w:pos="-1440"/>
                <w:tab w:val="left" w:pos="-720"/>
              </w:tabs>
              <w:rPr>
                <w:sz w:val="20"/>
                <w:szCs w:val="20"/>
              </w:rPr>
            </w:pPr>
            <w:r w:rsidRPr="00A935AA">
              <w:rPr>
                <w:sz w:val="20"/>
                <w:szCs w:val="20"/>
              </w:rPr>
              <w:tab/>
              <w:t>v. (3</w:t>
            </w:r>
            <w:r>
              <w:rPr>
                <w:sz w:val="20"/>
                <w:szCs w:val="20"/>
              </w:rPr>
              <w:t>4977</w:t>
            </w:r>
            <w:r w:rsidRPr="00A935AA">
              <w:rPr>
                <w:sz w:val="20"/>
                <w:szCs w:val="20"/>
              </w:rPr>
              <w:t>)</w:t>
            </w:r>
          </w:p>
          <w:p w:rsidR="003C4F25" w:rsidRPr="00A935AA" w:rsidRDefault="003C4F25" w:rsidP="003C4F25">
            <w:pPr>
              <w:tabs>
                <w:tab w:val="left" w:pos="-1440"/>
                <w:tab w:val="left" w:pos="-720"/>
              </w:tabs>
              <w:rPr>
                <w:sz w:val="20"/>
                <w:szCs w:val="20"/>
              </w:rPr>
            </w:pPr>
          </w:p>
          <w:p w:rsidR="003C4F25" w:rsidRPr="00A935AA" w:rsidRDefault="003C4F25" w:rsidP="003C4F25">
            <w:pPr>
              <w:tabs>
                <w:tab w:val="left" w:pos="-1440"/>
                <w:tab w:val="left" w:pos="-720"/>
              </w:tabs>
              <w:rPr>
                <w:b/>
                <w:sz w:val="20"/>
                <w:szCs w:val="20"/>
              </w:rPr>
            </w:pPr>
            <w:r>
              <w:rPr>
                <w:b/>
                <w:sz w:val="20"/>
                <w:szCs w:val="20"/>
              </w:rPr>
              <w:t>Remington Development Corporation</w:t>
            </w:r>
            <w:r w:rsidRPr="00A935AA">
              <w:rPr>
                <w:b/>
                <w:sz w:val="20"/>
                <w:szCs w:val="20"/>
              </w:rPr>
              <w:t xml:space="preserve"> (</w:t>
            </w:r>
            <w:r>
              <w:rPr>
                <w:b/>
                <w:sz w:val="20"/>
                <w:szCs w:val="20"/>
              </w:rPr>
              <w:t>Alta</w:t>
            </w:r>
            <w:r w:rsidRPr="00A935AA">
              <w:rPr>
                <w:b/>
                <w:sz w:val="20"/>
                <w:szCs w:val="20"/>
              </w:rPr>
              <w:t>.)</w:t>
            </w:r>
          </w:p>
          <w:p w:rsidR="003C4F25" w:rsidRPr="00A935AA" w:rsidRDefault="003C4F25" w:rsidP="003C4F25">
            <w:pPr>
              <w:tabs>
                <w:tab w:val="left" w:pos="-1440"/>
                <w:tab w:val="left" w:pos="-720"/>
              </w:tabs>
              <w:rPr>
                <w:sz w:val="20"/>
                <w:szCs w:val="20"/>
              </w:rPr>
            </w:pPr>
            <w:r w:rsidRPr="00A935AA">
              <w:rPr>
                <w:sz w:val="20"/>
                <w:szCs w:val="20"/>
              </w:rPr>
              <w:tab/>
            </w:r>
            <w:r>
              <w:rPr>
                <w:sz w:val="20"/>
                <w:szCs w:val="20"/>
              </w:rPr>
              <w:t>L. Grant Vogeli</w:t>
            </w:r>
          </w:p>
          <w:p w:rsidR="003C4F25" w:rsidRPr="00A935AA" w:rsidRDefault="003C4F25" w:rsidP="003C4F25">
            <w:pPr>
              <w:tabs>
                <w:tab w:val="left" w:pos="-1440"/>
                <w:tab w:val="left" w:pos="-720"/>
              </w:tabs>
              <w:rPr>
                <w:sz w:val="20"/>
                <w:szCs w:val="20"/>
              </w:rPr>
            </w:pPr>
            <w:r w:rsidRPr="00A935AA">
              <w:rPr>
                <w:sz w:val="20"/>
                <w:szCs w:val="20"/>
              </w:rPr>
              <w:tab/>
            </w:r>
            <w:r>
              <w:rPr>
                <w:sz w:val="20"/>
                <w:szCs w:val="20"/>
              </w:rPr>
              <w:t>Burnet, Duckworth &amp; Palmer</w:t>
            </w:r>
          </w:p>
          <w:p w:rsidR="003C4F25" w:rsidRPr="00A935AA" w:rsidRDefault="003C4F25" w:rsidP="003C4F25">
            <w:pPr>
              <w:tabs>
                <w:tab w:val="left" w:pos="-1440"/>
                <w:tab w:val="left" w:pos="-720"/>
              </w:tabs>
              <w:rPr>
                <w:sz w:val="20"/>
                <w:szCs w:val="20"/>
              </w:rPr>
            </w:pPr>
          </w:p>
          <w:p w:rsidR="003C4F25" w:rsidRPr="00A935AA" w:rsidRDefault="003C4F25" w:rsidP="003C4F25">
            <w:pPr>
              <w:rPr>
                <w:sz w:val="20"/>
                <w:szCs w:val="20"/>
              </w:rPr>
            </w:pPr>
            <w:r w:rsidRPr="00A935AA">
              <w:rPr>
                <w:sz w:val="20"/>
                <w:szCs w:val="20"/>
              </w:rPr>
              <w:t>FILING DATE: 2</w:t>
            </w:r>
            <w:r>
              <w:rPr>
                <w:sz w:val="20"/>
                <w:szCs w:val="20"/>
              </w:rPr>
              <w:t>0</w:t>
            </w:r>
            <w:r w:rsidRPr="00A935AA">
              <w:rPr>
                <w:sz w:val="20"/>
                <w:szCs w:val="20"/>
              </w:rPr>
              <w:t>.09.201</w:t>
            </w:r>
            <w:r>
              <w:rPr>
                <w:sz w:val="20"/>
                <w:szCs w:val="20"/>
              </w:rPr>
              <w:t>2</w:t>
            </w:r>
          </w:p>
          <w:p w:rsidR="003C4F25" w:rsidRDefault="002B77C5" w:rsidP="003C4F25">
            <w:pPr>
              <w:rPr>
                <w:sz w:val="20"/>
                <w:szCs w:val="20"/>
                <w:lang w:val="fr-CA"/>
              </w:rPr>
            </w:pPr>
            <w:r w:rsidRPr="002B77C5">
              <w:rPr>
                <w:sz w:val="20"/>
                <w:szCs w:val="20"/>
                <w:lang w:val="fr-CA"/>
              </w:rPr>
              <w:pict>
                <v:rect id="_x0000_i1033" style="width:108pt;height:1pt" o:hrpct="0" o:hralign="center" o:hrstd="t" o:hrnoshade="t" o:hr="t" fillcolor="black [3213]" stroked="f"/>
              </w:pict>
            </w:r>
          </w:p>
          <w:p w:rsidR="003C4F25" w:rsidRDefault="003C4F25" w:rsidP="0010520C">
            <w:pPr>
              <w:rPr>
                <w:sz w:val="20"/>
                <w:szCs w:val="20"/>
              </w:rPr>
            </w:pPr>
          </w:p>
          <w:p w:rsidR="003C4F25" w:rsidRDefault="003C4F25" w:rsidP="003C4F25">
            <w:pPr>
              <w:tabs>
                <w:tab w:val="left" w:pos="-1440"/>
                <w:tab w:val="left" w:pos="-720"/>
              </w:tabs>
              <w:rPr>
                <w:sz w:val="20"/>
                <w:szCs w:val="20"/>
              </w:rPr>
            </w:pPr>
            <w:r>
              <w:rPr>
                <w:b/>
                <w:sz w:val="20"/>
                <w:szCs w:val="20"/>
              </w:rPr>
              <w:t>Isabelle Martin</w:t>
            </w:r>
          </w:p>
          <w:p w:rsidR="003C4F25" w:rsidRPr="00B64857" w:rsidRDefault="003C4F25" w:rsidP="003C4F25">
            <w:pPr>
              <w:rPr>
                <w:sz w:val="20"/>
                <w:szCs w:val="20"/>
              </w:rPr>
            </w:pPr>
            <w:r>
              <w:rPr>
                <w:sz w:val="20"/>
                <w:szCs w:val="20"/>
                <w:lang w:val="fr-CA"/>
              </w:rPr>
              <w:tab/>
            </w:r>
            <w:r w:rsidRPr="00243F8A">
              <w:rPr>
                <w:sz w:val="20"/>
                <w:szCs w:val="20"/>
                <w:lang w:val="fr-CA"/>
              </w:rPr>
              <w:t>Denis Bonneville</w:t>
            </w:r>
          </w:p>
        </w:tc>
        <w:tc>
          <w:tcPr>
            <w:tcW w:w="1181" w:type="dxa"/>
            <w:shd w:val="clear" w:color="auto" w:fill="auto"/>
          </w:tcPr>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Pr="00A935AA" w:rsidRDefault="0058204A" w:rsidP="00242AEE">
            <w:pPr>
              <w:jc w:val="center"/>
              <w:rPr>
                <w:sz w:val="20"/>
                <w:szCs w:val="20"/>
              </w:rPr>
            </w:pPr>
          </w:p>
          <w:p w:rsidR="0058204A" w:rsidRDefault="0058204A" w:rsidP="00242AEE">
            <w:pPr>
              <w:jc w:val="center"/>
              <w:rPr>
                <w:sz w:val="20"/>
                <w:szCs w:val="20"/>
              </w:rPr>
            </w:pPr>
          </w:p>
          <w:p w:rsidR="00B64857" w:rsidRDefault="00B64857" w:rsidP="00242AEE">
            <w:pPr>
              <w:jc w:val="center"/>
              <w:rPr>
                <w:sz w:val="20"/>
                <w:szCs w:val="20"/>
              </w:rPr>
            </w:pPr>
          </w:p>
          <w:p w:rsidR="00B64857" w:rsidRPr="00A935AA" w:rsidRDefault="00B64857" w:rsidP="00242AEE">
            <w:pPr>
              <w:jc w:val="center"/>
              <w:rPr>
                <w:sz w:val="20"/>
                <w:szCs w:val="20"/>
              </w:rPr>
            </w:pPr>
          </w:p>
          <w:p w:rsidR="0058204A" w:rsidRPr="00A935AA" w:rsidRDefault="0058204A" w:rsidP="00242AEE">
            <w:pPr>
              <w:jc w:val="center"/>
              <w:rPr>
                <w:sz w:val="20"/>
                <w:szCs w:val="20"/>
              </w:rPr>
            </w:pPr>
          </w:p>
        </w:tc>
        <w:tc>
          <w:tcPr>
            <w:tcW w:w="4320" w:type="dxa"/>
            <w:shd w:val="clear" w:color="auto" w:fill="auto"/>
          </w:tcPr>
          <w:p w:rsidR="0058204A" w:rsidRPr="00B64857" w:rsidRDefault="00B64857" w:rsidP="0010520C">
            <w:pPr>
              <w:keepNext/>
              <w:keepLines/>
              <w:tabs>
                <w:tab w:val="left" w:pos="-1440"/>
                <w:tab w:val="left" w:pos="-720"/>
              </w:tabs>
              <w:rPr>
                <w:b/>
                <w:sz w:val="20"/>
                <w:szCs w:val="20"/>
                <w:lang w:val="fr-CA"/>
              </w:rPr>
            </w:pPr>
            <w:r w:rsidRPr="00B64857">
              <w:rPr>
                <w:b/>
                <w:sz w:val="20"/>
                <w:szCs w:val="20"/>
                <w:lang w:val="fr-CA"/>
              </w:rPr>
              <w:t>Allen Oberg et al.</w:t>
            </w:r>
          </w:p>
          <w:p w:rsidR="0058204A" w:rsidRPr="00B64857" w:rsidRDefault="0058204A" w:rsidP="0010520C">
            <w:pPr>
              <w:keepNext/>
              <w:keepLines/>
              <w:tabs>
                <w:tab w:val="left" w:pos="-1440"/>
                <w:tab w:val="left" w:pos="-720"/>
              </w:tabs>
              <w:rPr>
                <w:sz w:val="20"/>
                <w:szCs w:val="20"/>
                <w:lang w:val="fr-CA"/>
              </w:rPr>
            </w:pPr>
            <w:r w:rsidRPr="00B64857">
              <w:rPr>
                <w:sz w:val="20"/>
                <w:szCs w:val="20"/>
                <w:lang w:val="fr-CA"/>
              </w:rPr>
              <w:tab/>
            </w:r>
            <w:r w:rsidR="00B64857" w:rsidRPr="00B64857">
              <w:rPr>
                <w:sz w:val="20"/>
                <w:szCs w:val="20"/>
                <w:lang w:val="fr-CA"/>
              </w:rPr>
              <w:t>J.L. McDougall, Q.C.</w:t>
            </w:r>
          </w:p>
          <w:p w:rsidR="0058204A" w:rsidRPr="00B64857" w:rsidRDefault="0058204A" w:rsidP="0010520C">
            <w:pPr>
              <w:keepNext/>
              <w:keepLines/>
              <w:tabs>
                <w:tab w:val="left" w:pos="-1440"/>
                <w:tab w:val="left" w:pos="-720"/>
              </w:tabs>
              <w:rPr>
                <w:sz w:val="20"/>
                <w:szCs w:val="20"/>
                <w:lang w:val="fr-CA"/>
              </w:rPr>
            </w:pPr>
            <w:r w:rsidRPr="00B64857">
              <w:rPr>
                <w:sz w:val="20"/>
                <w:szCs w:val="20"/>
                <w:lang w:val="fr-CA"/>
              </w:rPr>
              <w:tab/>
            </w:r>
            <w:r w:rsidR="00B64857">
              <w:rPr>
                <w:sz w:val="20"/>
                <w:szCs w:val="20"/>
                <w:lang w:val="fr-CA"/>
              </w:rPr>
              <w:t>Fraser Milner Casgrain LLP</w:t>
            </w:r>
          </w:p>
          <w:p w:rsidR="0058204A" w:rsidRPr="00B64857" w:rsidRDefault="0058204A" w:rsidP="0010520C">
            <w:pPr>
              <w:keepNext/>
              <w:keepLines/>
              <w:tabs>
                <w:tab w:val="left" w:pos="-1440"/>
                <w:tab w:val="left" w:pos="-720"/>
              </w:tabs>
              <w:rPr>
                <w:sz w:val="20"/>
                <w:szCs w:val="20"/>
                <w:lang w:val="fr-CA"/>
              </w:rPr>
            </w:pPr>
          </w:p>
          <w:p w:rsidR="0058204A" w:rsidRPr="00B64857" w:rsidRDefault="0058204A" w:rsidP="0010520C">
            <w:pPr>
              <w:keepNext/>
              <w:keepLines/>
              <w:tabs>
                <w:tab w:val="left" w:pos="-1440"/>
                <w:tab w:val="left" w:pos="-720"/>
              </w:tabs>
              <w:rPr>
                <w:sz w:val="20"/>
                <w:szCs w:val="20"/>
                <w:lang w:val="fr-CA"/>
              </w:rPr>
            </w:pPr>
            <w:r w:rsidRPr="00B64857">
              <w:rPr>
                <w:sz w:val="20"/>
                <w:szCs w:val="20"/>
                <w:lang w:val="fr-CA"/>
              </w:rPr>
              <w:tab/>
              <w:t>v. (34</w:t>
            </w:r>
            <w:r w:rsidR="00B64857" w:rsidRPr="00B64857">
              <w:rPr>
                <w:sz w:val="20"/>
                <w:szCs w:val="20"/>
                <w:lang w:val="fr-CA"/>
              </w:rPr>
              <w:t>971</w:t>
            </w:r>
            <w:r w:rsidRPr="00B64857">
              <w:rPr>
                <w:sz w:val="20"/>
                <w:szCs w:val="20"/>
                <w:lang w:val="fr-CA"/>
              </w:rPr>
              <w:t>)</w:t>
            </w:r>
          </w:p>
          <w:p w:rsidR="0058204A" w:rsidRPr="00B64857" w:rsidRDefault="0058204A" w:rsidP="0010520C">
            <w:pPr>
              <w:keepNext/>
              <w:keepLines/>
              <w:tabs>
                <w:tab w:val="left" w:pos="-1440"/>
                <w:tab w:val="left" w:pos="-720"/>
              </w:tabs>
              <w:rPr>
                <w:sz w:val="20"/>
                <w:szCs w:val="20"/>
                <w:lang w:val="fr-CA"/>
              </w:rPr>
            </w:pPr>
          </w:p>
          <w:p w:rsidR="0058204A" w:rsidRPr="00C52D9D" w:rsidRDefault="00B64857" w:rsidP="0010520C">
            <w:pPr>
              <w:keepNext/>
              <w:keepLines/>
              <w:tabs>
                <w:tab w:val="left" w:pos="-1440"/>
                <w:tab w:val="left" w:pos="-720"/>
              </w:tabs>
              <w:rPr>
                <w:b/>
                <w:sz w:val="20"/>
                <w:szCs w:val="20"/>
              </w:rPr>
            </w:pPr>
            <w:r w:rsidRPr="00B64857">
              <w:rPr>
                <w:b/>
                <w:sz w:val="20"/>
                <w:szCs w:val="20"/>
              </w:rPr>
              <w:t>Minister of Agriculture and Agri-Food in his Capacity as Minister Responsible for the Canadian Wheat Board</w:t>
            </w:r>
            <w:r w:rsidR="0058204A" w:rsidRPr="00B64857">
              <w:rPr>
                <w:b/>
                <w:sz w:val="20"/>
                <w:szCs w:val="20"/>
              </w:rPr>
              <w:t xml:space="preserve"> </w:t>
            </w:r>
            <w:r w:rsidR="0058204A" w:rsidRPr="00C52D9D">
              <w:rPr>
                <w:b/>
                <w:sz w:val="20"/>
                <w:szCs w:val="20"/>
              </w:rPr>
              <w:t>(</w:t>
            </w:r>
            <w:r>
              <w:rPr>
                <w:b/>
                <w:sz w:val="20"/>
                <w:szCs w:val="20"/>
              </w:rPr>
              <w:t>F.C</w:t>
            </w:r>
            <w:r w:rsidR="0058204A" w:rsidRPr="00C52D9D">
              <w:rPr>
                <w:b/>
                <w:sz w:val="20"/>
                <w:szCs w:val="20"/>
              </w:rPr>
              <w:t>.)</w:t>
            </w:r>
          </w:p>
          <w:p w:rsidR="0058204A" w:rsidRPr="00C52D9D" w:rsidRDefault="0058204A" w:rsidP="0010520C">
            <w:pPr>
              <w:keepNext/>
              <w:keepLines/>
              <w:tabs>
                <w:tab w:val="left" w:pos="-1440"/>
                <w:tab w:val="left" w:pos="-720"/>
              </w:tabs>
              <w:rPr>
                <w:sz w:val="20"/>
                <w:szCs w:val="20"/>
              </w:rPr>
            </w:pPr>
            <w:r w:rsidRPr="00C52D9D">
              <w:rPr>
                <w:sz w:val="20"/>
                <w:szCs w:val="20"/>
              </w:rPr>
              <w:tab/>
            </w:r>
            <w:r w:rsidR="00B64857">
              <w:rPr>
                <w:sz w:val="20"/>
                <w:szCs w:val="20"/>
              </w:rPr>
              <w:t>Robert MacKinnon</w:t>
            </w:r>
          </w:p>
          <w:p w:rsidR="0058204A" w:rsidRPr="00C52D9D" w:rsidRDefault="0058204A" w:rsidP="0010520C">
            <w:pPr>
              <w:keepNext/>
              <w:keepLines/>
              <w:tabs>
                <w:tab w:val="left" w:pos="-1440"/>
                <w:tab w:val="left" w:pos="-720"/>
              </w:tabs>
              <w:rPr>
                <w:sz w:val="20"/>
                <w:szCs w:val="20"/>
              </w:rPr>
            </w:pPr>
            <w:r w:rsidRPr="00C52D9D">
              <w:rPr>
                <w:sz w:val="20"/>
                <w:szCs w:val="20"/>
              </w:rPr>
              <w:tab/>
            </w:r>
            <w:r w:rsidR="00B64857">
              <w:rPr>
                <w:sz w:val="20"/>
                <w:szCs w:val="20"/>
              </w:rPr>
              <w:t>A.G. of Canada</w:t>
            </w:r>
          </w:p>
          <w:p w:rsidR="0058204A" w:rsidRPr="00C52D9D" w:rsidRDefault="0058204A" w:rsidP="0010520C">
            <w:pPr>
              <w:keepNext/>
              <w:keepLines/>
              <w:tabs>
                <w:tab w:val="left" w:pos="-1440"/>
                <w:tab w:val="left" w:pos="-720"/>
              </w:tabs>
              <w:rPr>
                <w:sz w:val="20"/>
                <w:szCs w:val="20"/>
              </w:rPr>
            </w:pPr>
          </w:p>
          <w:p w:rsidR="0058204A" w:rsidRPr="00A935AA" w:rsidRDefault="0058204A" w:rsidP="00B64857">
            <w:pPr>
              <w:rPr>
                <w:sz w:val="20"/>
                <w:szCs w:val="20"/>
              </w:rPr>
            </w:pPr>
            <w:r w:rsidRPr="00A935AA">
              <w:rPr>
                <w:sz w:val="20"/>
                <w:szCs w:val="20"/>
              </w:rPr>
              <w:t xml:space="preserve">FILING DATE: </w:t>
            </w:r>
            <w:r w:rsidR="00B64857">
              <w:rPr>
                <w:sz w:val="20"/>
                <w:szCs w:val="20"/>
              </w:rPr>
              <w:t>19</w:t>
            </w:r>
            <w:r w:rsidRPr="00A935AA">
              <w:rPr>
                <w:sz w:val="20"/>
                <w:szCs w:val="20"/>
              </w:rPr>
              <w:t>.09.201</w:t>
            </w:r>
            <w:r>
              <w:rPr>
                <w:sz w:val="20"/>
                <w:szCs w:val="20"/>
              </w:rPr>
              <w:t>2</w:t>
            </w:r>
            <w:r w:rsidR="002B77C5" w:rsidRPr="002B77C5">
              <w:rPr>
                <w:sz w:val="20"/>
                <w:szCs w:val="20"/>
                <w:lang w:val="fr-CA"/>
              </w:rPr>
              <w:pict>
                <v:rect id="_x0000_i1034" style="width:108pt;height:1pt" o:hrpct="0" o:hralign="center" o:hrstd="t" o:hrnoshade="t" o:hr="t" fillcolor="black [3213]" stroked="f"/>
              </w:pict>
            </w:r>
          </w:p>
        </w:tc>
      </w:tr>
      <w:tr w:rsidR="003C4F25" w:rsidRPr="003C4F25" w:rsidTr="003B3977">
        <w:trPr>
          <w:cantSplit/>
        </w:trPr>
        <w:tc>
          <w:tcPr>
            <w:tcW w:w="4320" w:type="dxa"/>
            <w:shd w:val="clear" w:color="auto" w:fill="auto"/>
          </w:tcPr>
          <w:p w:rsidR="003C4F25" w:rsidRDefault="003C4F25" w:rsidP="003C4F25">
            <w:pPr>
              <w:rPr>
                <w:sz w:val="20"/>
                <w:szCs w:val="20"/>
                <w:lang w:val="fr-CA"/>
              </w:rPr>
            </w:pPr>
            <w:r>
              <w:rPr>
                <w:sz w:val="20"/>
                <w:szCs w:val="20"/>
                <w:lang w:val="fr-CA"/>
              </w:rPr>
              <w:tab/>
              <w:t xml:space="preserve">Larouche Lalancette Pilote, avocats </w:t>
            </w:r>
            <w:r>
              <w:rPr>
                <w:sz w:val="20"/>
                <w:szCs w:val="20"/>
                <w:lang w:val="fr-CA"/>
              </w:rPr>
              <w:tab/>
              <w:t>s.e.n.c.r.l.</w:t>
            </w:r>
          </w:p>
          <w:p w:rsidR="003C4F25" w:rsidRDefault="003C4F25" w:rsidP="003C4F25">
            <w:pPr>
              <w:keepNext/>
              <w:keepLines/>
              <w:tabs>
                <w:tab w:val="left" w:pos="-1440"/>
                <w:tab w:val="left" w:pos="-720"/>
              </w:tabs>
              <w:rPr>
                <w:sz w:val="20"/>
                <w:szCs w:val="20"/>
                <w:lang w:val="fr-CA"/>
              </w:rPr>
            </w:pPr>
          </w:p>
          <w:p w:rsidR="003C4F25" w:rsidRPr="00243F8A" w:rsidRDefault="003C4F25" w:rsidP="003C4F25">
            <w:pPr>
              <w:keepNext/>
              <w:keepLines/>
              <w:tabs>
                <w:tab w:val="left" w:pos="-1440"/>
                <w:tab w:val="left" w:pos="-720"/>
              </w:tabs>
              <w:rPr>
                <w:sz w:val="20"/>
                <w:szCs w:val="20"/>
                <w:lang w:val="fr-CA"/>
              </w:rPr>
            </w:pPr>
            <w:r w:rsidRPr="00243F8A">
              <w:rPr>
                <w:sz w:val="20"/>
                <w:szCs w:val="20"/>
                <w:lang w:val="fr-CA"/>
              </w:rPr>
              <w:tab/>
              <w:t>c. (34983)</w:t>
            </w:r>
          </w:p>
          <w:p w:rsidR="003C4F25" w:rsidRPr="00243F8A" w:rsidRDefault="003C4F25" w:rsidP="003C4F25">
            <w:pPr>
              <w:keepNext/>
              <w:keepLines/>
              <w:tabs>
                <w:tab w:val="left" w:pos="-1440"/>
                <w:tab w:val="left" w:pos="-720"/>
              </w:tabs>
              <w:rPr>
                <w:sz w:val="20"/>
                <w:szCs w:val="20"/>
                <w:lang w:val="fr-CA"/>
              </w:rPr>
            </w:pPr>
          </w:p>
          <w:p w:rsidR="003C4F25" w:rsidRPr="00243F8A" w:rsidRDefault="003C4F25" w:rsidP="003C4F25">
            <w:pPr>
              <w:keepNext/>
              <w:keepLines/>
              <w:tabs>
                <w:tab w:val="left" w:pos="-1440"/>
                <w:tab w:val="left" w:pos="-720"/>
              </w:tabs>
              <w:rPr>
                <w:b/>
                <w:sz w:val="20"/>
                <w:szCs w:val="20"/>
                <w:lang w:val="fr-CA"/>
              </w:rPr>
            </w:pPr>
            <w:r w:rsidRPr="00243F8A">
              <w:rPr>
                <w:b/>
                <w:sz w:val="20"/>
                <w:szCs w:val="20"/>
                <w:lang w:val="fr-CA"/>
              </w:rPr>
              <w:t>Commission des relations du travail et autres (Qc)</w:t>
            </w:r>
          </w:p>
          <w:p w:rsidR="003C4F25" w:rsidRPr="00243F8A" w:rsidRDefault="003C4F25" w:rsidP="003C4F25">
            <w:pPr>
              <w:keepNext/>
              <w:keepLines/>
              <w:tabs>
                <w:tab w:val="left" w:pos="-1440"/>
                <w:tab w:val="left" w:pos="-720"/>
              </w:tabs>
              <w:rPr>
                <w:sz w:val="20"/>
                <w:szCs w:val="20"/>
                <w:lang w:val="fr-CA"/>
              </w:rPr>
            </w:pPr>
            <w:r w:rsidRPr="00243F8A">
              <w:rPr>
                <w:sz w:val="20"/>
                <w:szCs w:val="20"/>
                <w:lang w:val="fr-CA"/>
              </w:rPr>
              <w:tab/>
            </w:r>
            <w:r>
              <w:rPr>
                <w:sz w:val="20"/>
                <w:szCs w:val="20"/>
                <w:lang w:val="fr-CA"/>
              </w:rPr>
              <w:t>Véronique Morin</w:t>
            </w:r>
          </w:p>
          <w:p w:rsidR="003C4F25" w:rsidRPr="00243F8A" w:rsidRDefault="003C4F25" w:rsidP="003C4F25">
            <w:pPr>
              <w:keepNext/>
              <w:keepLines/>
              <w:tabs>
                <w:tab w:val="left" w:pos="-1440"/>
                <w:tab w:val="left" w:pos="-720"/>
              </w:tabs>
              <w:rPr>
                <w:sz w:val="20"/>
                <w:szCs w:val="20"/>
                <w:lang w:val="fr-CA"/>
              </w:rPr>
            </w:pPr>
            <w:r w:rsidRPr="00243F8A">
              <w:rPr>
                <w:sz w:val="20"/>
                <w:szCs w:val="20"/>
                <w:lang w:val="fr-CA"/>
              </w:rPr>
              <w:tab/>
            </w:r>
            <w:r>
              <w:rPr>
                <w:sz w:val="20"/>
                <w:szCs w:val="20"/>
                <w:lang w:val="fr-CA"/>
              </w:rPr>
              <w:t>Commission des relations du travail</w:t>
            </w:r>
          </w:p>
          <w:p w:rsidR="003C4F25" w:rsidRPr="00243F8A" w:rsidRDefault="003C4F25" w:rsidP="003C4F25">
            <w:pPr>
              <w:keepNext/>
              <w:keepLines/>
              <w:tabs>
                <w:tab w:val="left" w:pos="-1440"/>
                <w:tab w:val="left" w:pos="-720"/>
              </w:tabs>
              <w:rPr>
                <w:sz w:val="20"/>
                <w:szCs w:val="20"/>
                <w:lang w:val="fr-CA"/>
              </w:rPr>
            </w:pPr>
          </w:p>
          <w:p w:rsidR="003C4F25" w:rsidRDefault="003C4F25" w:rsidP="003C4F25">
            <w:pPr>
              <w:tabs>
                <w:tab w:val="left" w:pos="-1440"/>
                <w:tab w:val="left" w:pos="-720"/>
              </w:tabs>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1</w:t>
            </w:r>
            <w:r w:rsidRPr="00A935AA">
              <w:rPr>
                <w:sz w:val="20"/>
                <w:szCs w:val="20"/>
              </w:rPr>
              <w:t>.09.201</w:t>
            </w:r>
            <w:r>
              <w:rPr>
                <w:sz w:val="20"/>
                <w:szCs w:val="20"/>
              </w:rPr>
              <w:t>2</w:t>
            </w:r>
          </w:p>
          <w:p w:rsidR="003C4F25" w:rsidRPr="003C4F25" w:rsidRDefault="002B77C5" w:rsidP="003C4F25">
            <w:pPr>
              <w:rPr>
                <w:sz w:val="20"/>
                <w:szCs w:val="20"/>
                <w:lang w:val="fr-CA"/>
              </w:rPr>
            </w:pPr>
            <w:r w:rsidRPr="002B77C5">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p w:rsidR="003C4F25" w:rsidRPr="003C4F25" w:rsidRDefault="003C4F25" w:rsidP="00242AEE">
            <w:pPr>
              <w:jc w:val="center"/>
              <w:rPr>
                <w:sz w:val="20"/>
                <w:szCs w:val="20"/>
                <w:lang w:val="fr-CA"/>
              </w:rPr>
            </w:pPr>
          </w:p>
        </w:tc>
        <w:tc>
          <w:tcPr>
            <w:tcW w:w="4320" w:type="dxa"/>
            <w:shd w:val="clear" w:color="auto" w:fill="auto"/>
          </w:tcPr>
          <w:p w:rsidR="003C4F25" w:rsidRDefault="003C4F25" w:rsidP="00444501">
            <w:pPr>
              <w:keepNext/>
              <w:keepLines/>
              <w:tabs>
                <w:tab w:val="left" w:pos="-1440"/>
                <w:tab w:val="left" w:pos="-720"/>
              </w:tabs>
              <w:rPr>
                <w:sz w:val="20"/>
                <w:szCs w:val="20"/>
              </w:rPr>
            </w:pPr>
            <w:r>
              <w:rPr>
                <w:b/>
                <w:sz w:val="20"/>
                <w:szCs w:val="20"/>
              </w:rPr>
              <w:t>Brad William MacDonald</w:t>
            </w:r>
          </w:p>
          <w:p w:rsidR="003C4F25" w:rsidRPr="003C4F25" w:rsidRDefault="003C4F25" w:rsidP="00444501">
            <w:pPr>
              <w:keepNext/>
              <w:keepLines/>
              <w:tabs>
                <w:tab w:val="left" w:pos="-1440"/>
                <w:tab w:val="left" w:pos="-720"/>
              </w:tabs>
              <w:rPr>
                <w:sz w:val="20"/>
                <w:szCs w:val="20"/>
              </w:rPr>
            </w:pPr>
            <w:r w:rsidRPr="003C4F25">
              <w:rPr>
                <w:sz w:val="20"/>
                <w:szCs w:val="20"/>
              </w:rPr>
              <w:tab/>
              <w:t>Brad William MacDonald</w:t>
            </w:r>
          </w:p>
          <w:p w:rsidR="003C4F25" w:rsidRPr="00A935AA" w:rsidRDefault="003C4F25" w:rsidP="00444501">
            <w:pPr>
              <w:tabs>
                <w:tab w:val="left" w:pos="-1440"/>
                <w:tab w:val="left" w:pos="-720"/>
              </w:tabs>
              <w:rPr>
                <w:sz w:val="20"/>
                <w:szCs w:val="20"/>
              </w:rPr>
            </w:pPr>
          </w:p>
          <w:p w:rsidR="003C4F25" w:rsidRPr="00A935AA" w:rsidRDefault="003C4F25" w:rsidP="00444501">
            <w:pPr>
              <w:tabs>
                <w:tab w:val="left" w:pos="-1440"/>
                <w:tab w:val="left" w:pos="-720"/>
              </w:tabs>
              <w:rPr>
                <w:sz w:val="20"/>
                <w:szCs w:val="20"/>
              </w:rPr>
            </w:pPr>
            <w:r w:rsidRPr="00A935AA">
              <w:rPr>
                <w:sz w:val="20"/>
                <w:szCs w:val="20"/>
              </w:rPr>
              <w:tab/>
              <w:t>v. (3</w:t>
            </w:r>
            <w:r>
              <w:rPr>
                <w:sz w:val="20"/>
                <w:szCs w:val="20"/>
              </w:rPr>
              <w:t>4990</w:t>
            </w:r>
            <w:r w:rsidRPr="00A935AA">
              <w:rPr>
                <w:sz w:val="20"/>
                <w:szCs w:val="20"/>
              </w:rPr>
              <w:t>)</w:t>
            </w:r>
          </w:p>
          <w:p w:rsidR="003C4F25" w:rsidRPr="00A935AA" w:rsidRDefault="003C4F25" w:rsidP="00444501">
            <w:pPr>
              <w:tabs>
                <w:tab w:val="left" w:pos="-1440"/>
                <w:tab w:val="left" w:pos="-720"/>
              </w:tabs>
              <w:rPr>
                <w:sz w:val="20"/>
                <w:szCs w:val="20"/>
              </w:rPr>
            </w:pPr>
          </w:p>
          <w:p w:rsidR="003C4F25" w:rsidRPr="00A935AA" w:rsidRDefault="003C4F25" w:rsidP="00444501">
            <w:pPr>
              <w:tabs>
                <w:tab w:val="left" w:pos="-1440"/>
                <w:tab w:val="left" w:pos="-720"/>
              </w:tabs>
              <w:rPr>
                <w:b/>
                <w:sz w:val="20"/>
                <w:szCs w:val="20"/>
              </w:rPr>
            </w:pPr>
            <w:r>
              <w:rPr>
                <w:b/>
                <w:sz w:val="20"/>
                <w:szCs w:val="20"/>
              </w:rPr>
              <w:t>Attorney General of Nova Scotia representing Her Majesty the Queen in Right of the Province of Nova Scotia</w:t>
            </w:r>
            <w:r w:rsidRPr="00A935AA">
              <w:rPr>
                <w:b/>
                <w:sz w:val="20"/>
                <w:szCs w:val="20"/>
              </w:rPr>
              <w:t xml:space="preserve"> (</w:t>
            </w:r>
            <w:r>
              <w:rPr>
                <w:b/>
                <w:sz w:val="20"/>
                <w:szCs w:val="20"/>
              </w:rPr>
              <w:t>N</w:t>
            </w:r>
            <w:r w:rsidRPr="00A935AA">
              <w:rPr>
                <w:b/>
                <w:sz w:val="20"/>
                <w:szCs w:val="20"/>
              </w:rPr>
              <w:t>.</w:t>
            </w:r>
            <w:r>
              <w:rPr>
                <w:b/>
                <w:sz w:val="20"/>
                <w:szCs w:val="20"/>
              </w:rPr>
              <w:t>S</w:t>
            </w:r>
            <w:r w:rsidRPr="00A935AA">
              <w:rPr>
                <w:b/>
                <w:sz w:val="20"/>
                <w:szCs w:val="20"/>
              </w:rPr>
              <w:t>.)</w:t>
            </w:r>
          </w:p>
          <w:p w:rsidR="003C4F25" w:rsidRPr="00A935AA" w:rsidRDefault="003C4F25" w:rsidP="00444501">
            <w:pPr>
              <w:tabs>
                <w:tab w:val="left" w:pos="-1440"/>
                <w:tab w:val="left" w:pos="-720"/>
              </w:tabs>
              <w:rPr>
                <w:sz w:val="20"/>
                <w:szCs w:val="20"/>
              </w:rPr>
            </w:pPr>
            <w:r w:rsidRPr="00A935AA">
              <w:rPr>
                <w:sz w:val="20"/>
                <w:szCs w:val="20"/>
              </w:rPr>
              <w:tab/>
            </w:r>
            <w:r>
              <w:rPr>
                <w:sz w:val="20"/>
                <w:szCs w:val="20"/>
              </w:rPr>
              <w:t>Ryan Brothers</w:t>
            </w:r>
          </w:p>
          <w:p w:rsidR="003C4F25" w:rsidRPr="00A935AA" w:rsidRDefault="003C4F25" w:rsidP="00444501">
            <w:pPr>
              <w:tabs>
                <w:tab w:val="left" w:pos="-1440"/>
                <w:tab w:val="left" w:pos="-720"/>
              </w:tabs>
              <w:rPr>
                <w:sz w:val="20"/>
                <w:szCs w:val="20"/>
              </w:rPr>
            </w:pPr>
            <w:r w:rsidRPr="00A935AA">
              <w:rPr>
                <w:sz w:val="20"/>
                <w:szCs w:val="20"/>
              </w:rPr>
              <w:tab/>
            </w:r>
            <w:r>
              <w:rPr>
                <w:sz w:val="20"/>
                <w:szCs w:val="20"/>
              </w:rPr>
              <w:t>A.G. of Nova Scotia</w:t>
            </w:r>
          </w:p>
          <w:p w:rsidR="003C4F25" w:rsidRPr="00A935AA" w:rsidRDefault="003C4F25" w:rsidP="00444501">
            <w:pPr>
              <w:tabs>
                <w:tab w:val="left" w:pos="-1440"/>
                <w:tab w:val="left" w:pos="-720"/>
              </w:tabs>
              <w:rPr>
                <w:sz w:val="20"/>
                <w:szCs w:val="20"/>
              </w:rPr>
            </w:pPr>
          </w:p>
          <w:p w:rsidR="003C4F25" w:rsidRPr="00A935AA" w:rsidRDefault="003C4F25" w:rsidP="00444501">
            <w:pPr>
              <w:rPr>
                <w:sz w:val="20"/>
                <w:szCs w:val="20"/>
              </w:rPr>
            </w:pPr>
            <w:r w:rsidRPr="00A935AA">
              <w:rPr>
                <w:sz w:val="20"/>
                <w:szCs w:val="20"/>
              </w:rPr>
              <w:t>FILING DATE: 2</w:t>
            </w:r>
            <w:r>
              <w:rPr>
                <w:sz w:val="20"/>
                <w:szCs w:val="20"/>
              </w:rPr>
              <w:t>0</w:t>
            </w:r>
            <w:r w:rsidRPr="00A935AA">
              <w:rPr>
                <w:sz w:val="20"/>
                <w:szCs w:val="20"/>
              </w:rPr>
              <w:t>.09.201</w:t>
            </w:r>
            <w:r>
              <w:rPr>
                <w:sz w:val="20"/>
                <w:szCs w:val="20"/>
              </w:rPr>
              <w:t>2</w:t>
            </w:r>
          </w:p>
          <w:p w:rsidR="003C4F25" w:rsidRPr="00243F8A" w:rsidRDefault="002B77C5" w:rsidP="00444501">
            <w:pPr>
              <w:keepNext/>
              <w:keepLines/>
              <w:tabs>
                <w:tab w:val="left" w:pos="-1440"/>
                <w:tab w:val="left" w:pos="-720"/>
              </w:tabs>
              <w:rPr>
                <w:sz w:val="20"/>
                <w:szCs w:val="20"/>
              </w:rPr>
            </w:pPr>
            <w:r w:rsidRPr="002B77C5">
              <w:rPr>
                <w:sz w:val="20"/>
                <w:szCs w:val="20"/>
                <w:lang w:val="fr-CA"/>
              </w:rPr>
              <w:pict>
                <v:rect id="_x0000_i1036" style="width:108pt;height:1pt" o:hrpct="0" o:hralign="center" o:hrstd="t" o:hrnoshade="t" o:hr="t" fillcolor="black [3213]" stroked="f"/>
              </w:pict>
            </w:r>
          </w:p>
        </w:tc>
      </w:tr>
      <w:tr w:rsidR="001E50A0" w:rsidRPr="00A935AA" w:rsidTr="003B3977">
        <w:trPr>
          <w:cantSplit/>
        </w:trPr>
        <w:tc>
          <w:tcPr>
            <w:tcW w:w="4320" w:type="dxa"/>
            <w:shd w:val="clear" w:color="auto" w:fill="auto"/>
          </w:tcPr>
          <w:p w:rsidR="001E50A0" w:rsidRDefault="001E50A0" w:rsidP="00B64857">
            <w:pPr>
              <w:rPr>
                <w:sz w:val="20"/>
                <w:szCs w:val="20"/>
              </w:rPr>
            </w:pPr>
            <w:r>
              <w:rPr>
                <w:b/>
                <w:sz w:val="20"/>
                <w:szCs w:val="20"/>
              </w:rPr>
              <w:t>Sobeys Québec inc.</w:t>
            </w:r>
          </w:p>
          <w:p w:rsidR="001E50A0" w:rsidRPr="00054E79" w:rsidRDefault="001E50A0" w:rsidP="001E50A0">
            <w:pPr>
              <w:keepNext/>
              <w:keepLines/>
              <w:tabs>
                <w:tab w:val="left" w:pos="-1440"/>
                <w:tab w:val="left" w:pos="-720"/>
              </w:tabs>
              <w:rPr>
                <w:sz w:val="20"/>
                <w:szCs w:val="20"/>
              </w:rPr>
            </w:pPr>
            <w:r w:rsidRPr="00A935AA">
              <w:rPr>
                <w:sz w:val="20"/>
                <w:szCs w:val="20"/>
              </w:rPr>
              <w:tab/>
            </w:r>
            <w:r w:rsidRPr="00054E79">
              <w:rPr>
                <w:sz w:val="20"/>
                <w:szCs w:val="20"/>
              </w:rPr>
              <w:t>André Johnson</w:t>
            </w:r>
          </w:p>
          <w:p w:rsidR="001E50A0" w:rsidRPr="00054E79" w:rsidRDefault="001E50A0" w:rsidP="001E50A0">
            <w:pPr>
              <w:keepNext/>
              <w:keepLines/>
              <w:tabs>
                <w:tab w:val="left" w:pos="-1440"/>
                <w:tab w:val="left" w:pos="-720"/>
              </w:tabs>
              <w:rPr>
                <w:sz w:val="20"/>
                <w:szCs w:val="20"/>
              </w:rPr>
            </w:pPr>
            <w:r w:rsidRPr="00054E79">
              <w:rPr>
                <w:sz w:val="20"/>
                <w:szCs w:val="20"/>
              </w:rPr>
              <w:tab/>
              <w:t>Stein Monast s.e.n.c.r.l.</w:t>
            </w:r>
          </w:p>
          <w:p w:rsidR="001E50A0" w:rsidRPr="00054E79" w:rsidRDefault="001E50A0" w:rsidP="001E50A0">
            <w:pPr>
              <w:keepNext/>
              <w:keepLines/>
              <w:tabs>
                <w:tab w:val="left" w:pos="-1440"/>
                <w:tab w:val="left" w:pos="-720"/>
              </w:tabs>
              <w:rPr>
                <w:sz w:val="20"/>
                <w:szCs w:val="20"/>
              </w:rPr>
            </w:pPr>
          </w:p>
          <w:p w:rsidR="001E50A0" w:rsidRPr="001E50A0" w:rsidRDefault="001E50A0" w:rsidP="001E50A0">
            <w:pPr>
              <w:keepNext/>
              <w:keepLines/>
              <w:tabs>
                <w:tab w:val="left" w:pos="-1440"/>
                <w:tab w:val="left" w:pos="-720"/>
              </w:tabs>
              <w:rPr>
                <w:sz w:val="20"/>
                <w:szCs w:val="20"/>
                <w:lang w:val="fr-CA"/>
              </w:rPr>
            </w:pPr>
            <w:r w:rsidRPr="00054E79">
              <w:rPr>
                <w:sz w:val="20"/>
                <w:szCs w:val="20"/>
              </w:rPr>
              <w:tab/>
            </w:r>
            <w:r w:rsidRPr="001E50A0">
              <w:rPr>
                <w:sz w:val="20"/>
                <w:szCs w:val="20"/>
                <w:lang w:val="fr-CA"/>
              </w:rPr>
              <w:t>c. (34989)</w:t>
            </w:r>
          </w:p>
          <w:p w:rsidR="001E50A0" w:rsidRPr="001E50A0" w:rsidRDefault="001E50A0" w:rsidP="001E50A0">
            <w:pPr>
              <w:keepNext/>
              <w:keepLines/>
              <w:tabs>
                <w:tab w:val="left" w:pos="-1440"/>
                <w:tab w:val="left" w:pos="-720"/>
              </w:tabs>
              <w:rPr>
                <w:sz w:val="20"/>
                <w:szCs w:val="20"/>
                <w:lang w:val="fr-CA"/>
              </w:rPr>
            </w:pPr>
          </w:p>
          <w:p w:rsidR="001E50A0" w:rsidRPr="001E50A0" w:rsidRDefault="001E50A0" w:rsidP="001E50A0">
            <w:pPr>
              <w:keepNext/>
              <w:keepLines/>
              <w:tabs>
                <w:tab w:val="left" w:pos="-1440"/>
                <w:tab w:val="left" w:pos="-720"/>
              </w:tabs>
              <w:rPr>
                <w:b/>
                <w:sz w:val="20"/>
                <w:szCs w:val="20"/>
                <w:lang w:val="fr-CA"/>
              </w:rPr>
            </w:pPr>
            <w:r w:rsidRPr="001E50A0">
              <w:rPr>
                <w:b/>
                <w:sz w:val="20"/>
                <w:szCs w:val="20"/>
                <w:lang w:val="fr-CA"/>
              </w:rPr>
              <w:t xml:space="preserve">Commission de la santé et de la sécurité </w:t>
            </w:r>
            <w:r w:rsidR="00843ADA">
              <w:rPr>
                <w:b/>
                <w:sz w:val="20"/>
                <w:szCs w:val="20"/>
                <w:lang w:val="fr-CA"/>
              </w:rPr>
              <w:t>d</w:t>
            </w:r>
            <w:r w:rsidRPr="001E50A0">
              <w:rPr>
                <w:b/>
                <w:sz w:val="20"/>
                <w:szCs w:val="20"/>
                <w:lang w:val="fr-CA"/>
              </w:rPr>
              <w:t>u travail (Qc)</w:t>
            </w:r>
          </w:p>
          <w:p w:rsidR="001E50A0" w:rsidRPr="001E50A0" w:rsidRDefault="001E50A0" w:rsidP="001E50A0">
            <w:pPr>
              <w:keepNext/>
              <w:keepLines/>
              <w:tabs>
                <w:tab w:val="left" w:pos="-1440"/>
                <w:tab w:val="left" w:pos="-720"/>
              </w:tabs>
              <w:rPr>
                <w:sz w:val="20"/>
                <w:szCs w:val="20"/>
                <w:lang w:val="fr-CA"/>
              </w:rPr>
            </w:pPr>
            <w:r w:rsidRPr="001E50A0">
              <w:rPr>
                <w:sz w:val="20"/>
                <w:szCs w:val="20"/>
                <w:lang w:val="fr-CA"/>
              </w:rPr>
              <w:tab/>
            </w:r>
            <w:r>
              <w:rPr>
                <w:sz w:val="20"/>
                <w:szCs w:val="20"/>
                <w:lang w:val="fr-CA"/>
              </w:rPr>
              <w:t>Berthi Fillion</w:t>
            </w:r>
          </w:p>
          <w:p w:rsidR="001E50A0" w:rsidRPr="001E50A0" w:rsidRDefault="001E50A0" w:rsidP="001E50A0">
            <w:pPr>
              <w:keepNext/>
              <w:keepLines/>
              <w:tabs>
                <w:tab w:val="left" w:pos="-1440"/>
                <w:tab w:val="left" w:pos="-720"/>
              </w:tabs>
              <w:rPr>
                <w:sz w:val="20"/>
                <w:szCs w:val="20"/>
                <w:lang w:val="fr-CA"/>
              </w:rPr>
            </w:pPr>
            <w:r w:rsidRPr="001E50A0">
              <w:rPr>
                <w:sz w:val="20"/>
                <w:szCs w:val="20"/>
                <w:lang w:val="fr-CA"/>
              </w:rPr>
              <w:tab/>
            </w:r>
            <w:r>
              <w:rPr>
                <w:sz w:val="20"/>
                <w:szCs w:val="20"/>
                <w:lang w:val="fr-CA"/>
              </w:rPr>
              <w:t>Vigneault Thibodeau Bergeron, avocats</w:t>
            </w:r>
          </w:p>
          <w:p w:rsidR="001E50A0" w:rsidRPr="001E50A0" w:rsidRDefault="001E50A0" w:rsidP="001E50A0">
            <w:pPr>
              <w:keepNext/>
              <w:keepLines/>
              <w:tabs>
                <w:tab w:val="left" w:pos="-1440"/>
                <w:tab w:val="left" w:pos="-720"/>
              </w:tabs>
              <w:rPr>
                <w:sz w:val="20"/>
                <w:szCs w:val="20"/>
                <w:lang w:val="fr-CA"/>
              </w:rPr>
            </w:pPr>
          </w:p>
          <w:p w:rsidR="001E50A0" w:rsidRDefault="001E50A0" w:rsidP="001E50A0">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5</w:t>
            </w:r>
            <w:r w:rsidRPr="00A935AA">
              <w:rPr>
                <w:sz w:val="20"/>
                <w:szCs w:val="20"/>
              </w:rPr>
              <w:t>.09.201</w:t>
            </w:r>
            <w:r>
              <w:rPr>
                <w:sz w:val="20"/>
                <w:szCs w:val="20"/>
              </w:rPr>
              <w:t>2</w:t>
            </w:r>
          </w:p>
          <w:p w:rsidR="001E50A0" w:rsidRPr="001E50A0" w:rsidRDefault="002B77C5" w:rsidP="001E50A0">
            <w:pPr>
              <w:rPr>
                <w:sz w:val="20"/>
                <w:szCs w:val="20"/>
              </w:rPr>
            </w:pPr>
            <w:r w:rsidRPr="002B77C5">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1E50A0" w:rsidRDefault="001E50A0" w:rsidP="00242AEE">
            <w:pPr>
              <w:jc w:val="center"/>
              <w:rPr>
                <w:sz w:val="20"/>
                <w:szCs w:val="20"/>
              </w:rPr>
            </w:pPr>
          </w:p>
          <w:p w:rsidR="003C4F25" w:rsidRDefault="003C4F25" w:rsidP="00242AEE">
            <w:pPr>
              <w:jc w:val="center"/>
              <w:rPr>
                <w:sz w:val="20"/>
                <w:szCs w:val="20"/>
              </w:rPr>
            </w:pPr>
          </w:p>
          <w:p w:rsidR="001E50A0" w:rsidRDefault="001E50A0" w:rsidP="00242AEE">
            <w:pPr>
              <w:jc w:val="center"/>
              <w:rPr>
                <w:sz w:val="20"/>
                <w:szCs w:val="20"/>
              </w:rPr>
            </w:pPr>
          </w:p>
        </w:tc>
        <w:tc>
          <w:tcPr>
            <w:tcW w:w="4320" w:type="dxa"/>
            <w:shd w:val="clear" w:color="auto" w:fill="auto"/>
          </w:tcPr>
          <w:p w:rsidR="001E50A0" w:rsidRDefault="001E50A0" w:rsidP="00B64857">
            <w:pPr>
              <w:keepNext/>
              <w:keepLines/>
              <w:tabs>
                <w:tab w:val="left" w:pos="-1440"/>
                <w:tab w:val="left" w:pos="-720"/>
              </w:tabs>
              <w:rPr>
                <w:b/>
                <w:sz w:val="20"/>
                <w:szCs w:val="20"/>
              </w:rPr>
            </w:pPr>
          </w:p>
          <w:p w:rsidR="001E50A0" w:rsidRDefault="001E50A0" w:rsidP="00B64857">
            <w:pPr>
              <w:keepNext/>
              <w:keepLines/>
              <w:tabs>
                <w:tab w:val="left" w:pos="-1440"/>
                <w:tab w:val="left" w:pos="-720"/>
              </w:tabs>
              <w:rPr>
                <w:sz w:val="20"/>
                <w:szCs w:val="20"/>
              </w:rPr>
            </w:pPr>
            <w:r>
              <w:rPr>
                <w:b/>
                <w:sz w:val="20"/>
                <w:szCs w:val="20"/>
              </w:rPr>
              <w:t>Canadian Imperial Bank of Commerce</w:t>
            </w:r>
          </w:p>
          <w:p w:rsidR="001E50A0" w:rsidRPr="00A935AA" w:rsidRDefault="001E50A0" w:rsidP="001E50A0">
            <w:pPr>
              <w:tabs>
                <w:tab w:val="left" w:pos="-1440"/>
                <w:tab w:val="left" w:pos="-720"/>
              </w:tabs>
              <w:rPr>
                <w:sz w:val="20"/>
                <w:szCs w:val="20"/>
              </w:rPr>
            </w:pPr>
            <w:r w:rsidRPr="00A935AA">
              <w:rPr>
                <w:sz w:val="20"/>
                <w:szCs w:val="20"/>
              </w:rPr>
              <w:tab/>
            </w:r>
            <w:r>
              <w:rPr>
                <w:sz w:val="20"/>
                <w:szCs w:val="20"/>
              </w:rPr>
              <w:t>Patricia D.S. Jackson</w:t>
            </w:r>
          </w:p>
          <w:p w:rsidR="001E50A0" w:rsidRPr="00A935AA" w:rsidRDefault="001E50A0" w:rsidP="001E50A0">
            <w:pPr>
              <w:tabs>
                <w:tab w:val="left" w:pos="-1440"/>
                <w:tab w:val="left" w:pos="-720"/>
              </w:tabs>
              <w:rPr>
                <w:sz w:val="20"/>
                <w:szCs w:val="20"/>
              </w:rPr>
            </w:pPr>
            <w:r w:rsidRPr="00A935AA">
              <w:rPr>
                <w:sz w:val="20"/>
                <w:szCs w:val="20"/>
              </w:rPr>
              <w:tab/>
            </w:r>
            <w:r>
              <w:rPr>
                <w:sz w:val="20"/>
                <w:szCs w:val="20"/>
              </w:rPr>
              <w:t>Torys LLP</w:t>
            </w:r>
          </w:p>
          <w:p w:rsidR="001E50A0" w:rsidRPr="00A935AA" w:rsidRDefault="001E50A0" w:rsidP="001E50A0">
            <w:pPr>
              <w:tabs>
                <w:tab w:val="left" w:pos="-1440"/>
                <w:tab w:val="left" w:pos="-720"/>
              </w:tabs>
              <w:rPr>
                <w:sz w:val="20"/>
                <w:szCs w:val="20"/>
              </w:rPr>
            </w:pPr>
          </w:p>
          <w:p w:rsidR="001E50A0" w:rsidRPr="00054E79" w:rsidRDefault="001E50A0" w:rsidP="001E50A0">
            <w:pPr>
              <w:tabs>
                <w:tab w:val="left" w:pos="-1440"/>
                <w:tab w:val="left" w:pos="-720"/>
              </w:tabs>
              <w:rPr>
                <w:sz w:val="20"/>
                <w:szCs w:val="20"/>
              </w:rPr>
            </w:pPr>
            <w:r w:rsidRPr="00A935AA">
              <w:rPr>
                <w:sz w:val="20"/>
                <w:szCs w:val="20"/>
              </w:rPr>
              <w:tab/>
            </w:r>
            <w:r w:rsidRPr="00054E79">
              <w:rPr>
                <w:sz w:val="20"/>
                <w:szCs w:val="20"/>
              </w:rPr>
              <w:t>v. (34987)</w:t>
            </w:r>
          </w:p>
          <w:p w:rsidR="001E50A0" w:rsidRPr="00054E79" w:rsidRDefault="001E50A0" w:rsidP="001E50A0">
            <w:pPr>
              <w:tabs>
                <w:tab w:val="left" w:pos="-1440"/>
                <w:tab w:val="left" w:pos="-720"/>
              </w:tabs>
              <w:rPr>
                <w:sz w:val="20"/>
                <w:szCs w:val="20"/>
              </w:rPr>
            </w:pPr>
          </w:p>
          <w:p w:rsidR="001E50A0" w:rsidRPr="00054E79" w:rsidRDefault="001E50A0" w:rsidP="001E50A0">
            <w:pPr>
              <w:tabs>
                <w:tab w:val="left" w:pos="-1440"/>
                <w:tab w:val="left" w:pos="-720"/>
              </w:tabs>
              <w:rPr>
                <w:b/>
                <w:sz w:val="20"/>
                <w:szCs w:val="20"/>
              </w:rPr>
            </w:pPr>
            <w:r w:rsidRPr="00054E79">
              <w:rPr>
                <w:b/>
                <w:sz w:val="20"/>
                <w:szCs w:val="20"/>
              </w:rPr>
              <w:t>Dara Fresco (Ont.)</w:t>
            </w:r>
          </w:p>
          <w:p w:rsidR="001E50A0" w:rsidRPr="00054E79" w:rsidRDefault="001E50A0" w:rsidP="001E50A0">
            <w:pPr>
              <w:tabs>
                <w:tab w:val="left" w:pos="-1440"/>
                <w:tab w:val="left" w:pos="-720"/>
              </w:tabs>
              <w:rPr>
                <w:sz w:val="20"/>
                <w:szCs w:val="20"/>
              </w:rPr>
            </w:pPr>
            <w:r w:rsidRPr="00054E79">
              <w:rPr>
                <w:sz w:val="20"/>
                <w:szCs w:val="20"/>
              </w:rPr>
              <w:tab/>
              <w:t>Louis Sokolov</w:t>
            </w:r>
          </w:p>
          <w:p w:rsidR="001E50A0" w:rsidRPr="00A935AA" w:rsidRDefault="001E50A0" w:rsidP="001E50A0">
            <w:pPr>
              <w:tabs>
                <w:tab w:val="left" w:pos="-1440"/>
                <w:tab w:val="left" w:pos="-720"/>
              </w:tabs>
              <w:rPr>
                <w:sz w:val="20"/>
                <w:szCs w:val="20"/>
              </w:rPr>
            </w:pPr>
            <w:r w:rsidRPr="00054E79">
              <w:rPr>
                <w:sz w:val="20"/>
                <w:szCs w:val="20"/>
              </w:rPr>
              <w:tab/>
            </w:r>
            <w:r>
              <w:rPr>
                <w:sz w:val="20"/>
                <w:szCs w:val="20"/>
              </w:rPr>
              <w:t>Sack Goldblatt Mitchell LLP</w:t>
            </w:r>
          </w:p>
          <w:p w:rsidR="001E50A0" w:rsidRPr="00A935AA" w:rsidRDefault="001E50A0" w:rsidP="001E50A0">
            <w:pPr>
              <w:tabs>
                <w:tab w:val="left" w:pos="-1440"/>
                <w:tab w:val="left" w:pos="-720"/>
              </w:tabs>
              <w:rPr>
                <w:sz w:val="20"/>
                <w:szCs w:val="20"/>
              </w:rPr>
            </w:pPr>
          </w:p>
          <w:p w:rsidR="001E50A0" w:rsidRPr="00A935AA" w:rsidRDefault="001E50A0" w:rsidP="001E50A0">
            <w:pPr>
              <w:rPr>
                <w:sz w:val="20"/>
                <w:szCs w:val="20"/>
              </w:rPr>
            </w:pPr>
            <w:r w:rsidRPr="00A935AA">
              <w:rPr>
                <w:sz w:val="20"/>
                <w:szCs w:val="20"/>
              </w:rPr>
              <w:t>FILING DATE: 2</w:t>
            </w:r>
            <w:r>
              <w:rPr>
                <w:sz w:val="20"/>
                <w:szCs w:val="20"/>
              </w:rPr>
              <w:t>5</w:t>
            </w:r>
            <w:r w:rsidRPr="00A935AA">
              <w:rPr>
                <w:sz w:val="20"/>
                <w:szCs w:val="20"/>
              </w:rPr>
              <w:t>.09.201</w:t>
            </w:r>
            <w:r>
              <w:rPr>
                <w:sz w:val="20"/>
                <w:szCs w:val="20"/>
              </w:rPr>
              <w:t>2</w:t>
            </w:r>
          </w:p>
          <w:p w:rsidR="001E50A0" w:rsidRPr="001E50A0" w:rsidRDefault="002B77C5" w:rsidP="00B64857">
            <w:pPr>
              <w:keepNext/>
              <w:keepLines/>
              <w:tabs>
                <w:tab w:val="left" w:pos="-1440"/>
                <w:tab w:val="left" w:pos="-720"/>
              </w:tabs>
              <w:rPr>
                <w:sz w:val="20"/>
                <w:szCs w:val="20"/>
              </w:rPr>
            </w:pPr>
            <w:r w:rsidRPr="002B77C5">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01D73">
          <w:headerReference w:type="default" r:id="rId17"/>
          <w:footerReference w:type="default" r:id="rId18"/>
          <w:headerReference w:type="first" r:id="rId19"/>
          <w:footerReference w:type="first" r:id="rId20"/>
          <w:pgSz w:w="12240" w:h="15840"/>
          <w:pgMar w:top="720" w:right="965" w:bottom="1080" w:left="1656" w:header="706" w:footer="706" w:gutter="0"/>
          <w:pgNumType w:start="144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935E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O</w:t>
      </w:r>
      <w:r w:rsidR="001F6C28">
        <w:rPr>
          <w:b/>
          <w:sz w:val="20"/>
          <w:szCs w:val="20"/>
        </w:rPr>
        <w:t>CTO</w:t>
      </w:r>
      <w:r>
        <w:rPr>
          <w:b/>
          <w:sz w:val="20"/>
          <w:szCs w:val="20"/>
        </w:rPr>
        <w:t>BER</w:t>
      </w:r>
      <w:r w:rsidRPr="00C50A5C">
        <w:rPr>
          <w:b/>
          <w:sz w:val="20"/>
          <w:szCs w:val="20"/>
        </w:rPr>
        <w:t xml:space="preserve"> </w:t>
      </w:r>
      <w:r w:rsidR="001F6C28">
        <w:rPr>
          <w:b/>
          <w:sz w:val="20"/>
          <w:szCs w:val="20"/>
        </w:rPr>
        <w:t>1</w:t>
      </w:r>
      <w:r w:rsidRPr="00C50A5C">
        <w:rPr>
          <w:b/>
          <w:sz w:val="20"/>
          <w:szCs w:val="20"/>
        </w:rPr>
        <w:t>, 201</w:t>
      </w:r>
      <w:r w:rsidR="001F6C28">
        <w:rPr>
          <w:b/>
          <w:sz w:val="20"/>
          <w:szCs w:val="20"/>
        </w:rPr>
        <w:t>2</w:t>
      </w:r>
      <w:r w:rsidRPr="00C50A5C">
        <w:rPr>
          <w:b/>
          <w:sz w:val="20"/>
          <w:szCs w:val="20"/>
        </w:rPr>
        <w:t xml:space="preserve"> / LE </w:t>
      </w:r>
      <w:r w:rsidR="001F6C28">
        <w:rPr>
          <w:b/>
          <w:sz w:val="20"/>
          <w:szCs w:val="20"/>
        </w:rPr>
        <w:t>1</w:t>
      </w:r>
      <w:r w:rsidR="001F6C28" w:rsidRPr="001F6C28">
        <w:rPr>
          <w:b/>
          <w:sz w:val="20"/>
          <w:szCs w:val="20"/>
          <w:vertAlign w:val="superscript"/>
        </w:rPr>
        <w:t>er</w:t>
      </w:r>
      <w:r>
        <w:rPr>
          <w:b/>
          <w:sz w:val="20"/>
          <w:szCs w:val="20"/>
        </w:rPr>
        <w:t xml:space="preserve"> O</w:t>
      </w:r>
      <w:r w:rsidR="001F6C28">
        <w:rPr>
          <w:b/>
          <w:sz w:val="20"/>
          <w:szCs w:val="20"/>
        </w:rPr>
        <w:t>CTO</w:t>
      </w:r>
      <w:r>
        <w:rPr>
          <w:b/>
          <w:sz w:val="20"/>
          <w:szCs w:val="20"/>
        </w:rPr>
        <w:t>BRE</w:t>
      </w:r>
      <w:r w:rsidRPr="00C50A5C">
        <w:rPr>
          <w:b/>
          <w:sz w:val="20"/>
          <w:szCs w:val="20"/>
        </w:rPr>
        <w:t xml:space="preserve"> 201</w:t>
      </w:r>
      <w:r w:rsidR="001F6C28">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444501" w:rsidP="004B7F60">
      <w:pPr>
        <w:pStyle w:val="ListParagraph"/>
        <w:widowControl w:val="0"/>
        <w:numPr>
          <w:ilvl w:val="0"/>
          <w:numId w:val="1"/>
        </w:numPr>
        <w:ind w:hanging="720"/>
        <w:jc w:val="both"/>
        <w:rPr>
          <w:sz w:val="20"/>
          <w:szCs w:val="20"/>
        </w:rPr>
      </w:pPr>
      <w:r w:rsidRPr="00444501">
        <w:rPr>
          <w:i/>
          <w:sz w:val="20"/>
          <w:szCs w:val="20"/>
        </w:rPr>
        <w:t>Hoang Anh Pham v. Her Majesty the Queen</w:t>
      </w:r>
      <w:r w:rsidRPr="005B42D6">
        <w:rPr>
          <w:sz w:val="20"/>
          <w:szCs w:val="20"/>
        </w:rPr>
        <w:t xml:space="preserve"> (Alta.) (Crim</w:t>
      </w:r>
      <w:r>
        <w:rPr>
          <w:sz w:val="20"/>
          <w:szCs w:val="20"/>
        </w:rPr>
        <w:t>.</w:t>
      </w:r>
      <w:r w:rsidRPr="005B42D6">
        <w:rPr>
          <w:sz w:val="20"/>
          <w:szCs w:val="20"/>
        </w:rPr>
        <w:t>) (By Leave)</w:t>
      </w:r>
      <w:r w:rsidRPr="00C50A5C">
        <w:rPr>
          <w:sz w:val="20"/>
          <w:szCs w:val="20"/>
        </w:rPr>
        <w:t xml:space="preserve"> </w:t>
      </w:r>
      <w:r w:rsidR="004B7F60" w:rsidRPr="00C50A5C">
        <w:rPr>
          <w:sz w:val="20"/>
          <w:szCs w:val="20"/>
        </w:rPr>
        <w:t>(3</w:t>
      </w:r>
      <w:r w:rsidR="004B7F60">
        <w:rPr>
          <w:sz w:val="20"/>
          <w:szCs w:val="20"/>
        </w:rPr>
        <w:t>4</w:t>
      </w:r>
      <w:r w:rsidR="00D93A47">
        <w:rPr>
          <w:sz w:val="20"/>
          <w:szCs w:val="20"/>
        </w:rPr>
        <w:t>897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44501" w:rsidP="004B7F60">
      <w:pPr>
        <w:pStyle w:val="ListParagraph"/>
        <w:widowControl w:val="0"/>
        <w:numPr>
          <w:ilvl w:val="0"/>
          <w:numId w:val="1"/>
        </w:numPr>
        <w:ind w:hanging="720"/>
        <w:jc w:val="both"/>
        <w:rPr>
          <w:sz w:val="20"/>
          <w:szCs w:val="20"/>
        </w:rPr>
      </w:pPr>
      <w:r w:rsidRPr="00444501">
        <w:rPr>
          <w:i/>
          <w:sz w:val="20"/>
          <w:szCs w:val="20"/>
        </w:rPr>
        <w:t>Her Majesty the Queen v. Chay Brooks Gladue</w:t>
      </w:r>
      <w:r w:rsidRPr="005B42D6">
        <w:rPr>
          <w:sz w:val="20"/>
          <w:szCs w:val="20"/>
        </w:rPr>
        <w:t xml:space="preserve"> (Alta.) (Crim</w:t>
      </w:r>
      <w:r>
        <w:rPr>
          <w:sz w:val="20"/>
          <w:szCs w:val="20"/>
        </w:rPr>
        <w:t>.</w:t>
      </w:r>
      <w:r w:rsidRPr="005B42D6">
        <w:rPr>
          <w:sz w:val="20"/>
          <w:szCs w:val="20"/>
        </w:rPr>
        <w:t>) (By Leave)</w:t>
      </w:r>
      <w:r w:rsidRPr="00C612D0">
        <w:rPr>
          <w:sz w:val="20"/>
          <w:szCs w:val="20"/>
        </w:rPr>
        <w:t xml:space="preserve"> </w:t>
      </w:r>
      <w:r w:rsidR="004B7F60" w:rsidRPr="00C612D0">
        <w:rPr>
          <w:sz w:val="20"/>
          <w:szCs w:val="20"/>
        </w:rPr>
        <w:t>(34</w:t>
      </w:r>
      <w:r w:rsidR="00D93A47">
        <w:rPr>
          <w:sz w:val="20"/>
          <w:szCs w:val="20"/>
        </w:rPr>
        <w:t>906</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444501" w:rsidP="004B7F60">
      <w:pPr>
        <w:pStyle w:val="ListParagraph"/>
        <w:widowControl w:val="0"/>
        <w:numPr>
          <w:ilvl w:val="0"/>
          <w:numId w:val="1"/>
        </w:numPr>
        <w:ind w:hanging="720"/>
        <w:jc w:val="both"/>
        <w:rPr>
          <w:sz w:val="20"/>
          <w:szCs w:val="20"/>
        </w:rPr>
      </w:pPr>
      <w:r w:rsidRPr="00444501">
        <w:rPr>
          <w:i/>
          <w:sz w:val="20"/>
          <w:szCs w:val="20"/>
        </w:rPr>
        <w:t>Dustin Duke Darby v. Her Majesty the Queen</w:t>
      </w:r>
      <w:r w:rsidRPr="005B42D6">
        <w:rPr>
          <w:sz w:val="20"/>
          <w:szCs w:val="20"/>
        </w:rPr>
        <w:t xml:space="preserve"> (Alta.) (Crim</w:t>
      </w:r>
      <w:r>
        <w:rPr>
          <w:sz w:val="20"/>
          <w:szCs w:val="20"/>
        </w:rPr>
        <w:t>.</w:t>
      </w:r>
      <w:r w:rsidRPr="005B42D6">
        <w:rPr>
          <w:sz w:val="20"/>
          <w:szCs w:val="20"/>
        </w:rPr>
        <w:t>) (By Leave)</w:t>
      </w:r>
      <w:r>
        <w:rPr>
          <w:sz w:val="20"/>
          <w:szCs w:val="20"/>
        </w:rPr>
        <w:t xml:space="preserve"> </w:t>
      </w:r>
      <w:r w:rsidR="004B7F60" w:rsidRPr="00940CAD">
        <w:rPr>
          <w:sz w:val="20"/>
          <w:szCs w:val="20"/>
        </w:rPr>
        <w:t>(34</w:t>
      </w:r>
      <w:r w:rsidR="00D93A47">
        <w:rPr>
          <w:sz w:val="20"/>
          <w:szCs w:val="20"/>
        </w:rPr>
        <w:t>865)</w:t>
      </w:r>
    </w:p>
    <w:p w:rsidR="004B7F60" w:rsidRPr="00C50A5C" w:rsidRDefault="004B7F60" w:rsidP="004B7F60">
      <w:pPr>
        <w:widowControl w:val="0"/>
        <w:rPr>
          <w:sz w:val="20"/>
          <w:szCs w:val="20"/>
        </w:rPr>
      </w:pPr>
    </w:p>
    <w:p w:rsidR="004B7F60" w:rsidRPr="00C50A5C" w:rsidRDefault="00444501" w:rsidP="004B7F60">
      <w:pPr>
        <w:pStyle w:val="ListParagraph"/>
        <w:widowControl w:val="0"/>
        <w:numPr>
          <w:ilvl w:val="0"/>
          <w:numId w:val="1"/>
        </w:numPr>
        <w:ind w:hanging="720"/>
        <w:jc w:val="both"/>
        <w:rPr>
          <w:sz w:val="20"/>
          <w:szCs w:val="20"/>
        </w:rPr>
      </w:pPr>
      <w:r w:rsidRPr="00444501">
        <w:rPr>
          <w:i/>
          <w:sz w:val="20"/>
          <w:szCs w:val="20"/>
        </w:rPr>
        <w:t>Victor J. Buencamino v. Canada Minister of Justice</w:t>
      </w:r>
      <w:r w:rsidRPr="005B42D6">
        <w:rPr>
          <w:sz w:val="20"/>
          <w:szCs w:val="20"/>
        </w:rPr>
        <w:t xml:space="preserve"> (B.C.) (Crim</w:t>
      </w:r>
      <w:r>
        <w:rPr>
          <w:sz w:val="20"/>
          <w:szCs w:val="20"/>
        </w:rPr>
        <w:t>.</w:t>
      </w:r>
      <w:r w:rsidRPr="005B42D6">
        <w:rPr>
          <w:sz w:val="20"/>
          <w:szCs w:val="20"/>
        </w:rPr>
        <w:t>) (By Leave)</w:t>
      </w:r>
      <w:r w:rsidRPr="00C50A5C">
        <w:rPr>
          <w:sz w:val="20"/>
          <w:szCs w:val="20"/>
        </w:rPr>
        <w:t xml:space="preserve"> </w:t>
      </w:r>
      <w:r w:rsidR="004B7F60" w:rsidRPr="00C50A5C">
        <w:rPr>
          <w:sz w:val="20"/>
          <w:szCs w:val="20"/>
        </w:rPr>
        <w:t>(3</w:t>
      </w:r>
      <w:r w:rsidR="004B7F60">
        <w:rPr>
          <w:sz w:val="20"/>
          <w:szCs w:val="20"/>
        </w:rPr>
        <w:t>4</w:t>
      </w:r>
      <w:r w:rsidR="00D93A47">
        <w:rPr>
          <w:sz w:val="20"/>
          <w:szCs w:val="20"/>
        </w:rPr>
        <w:t>892</w:t>
      </w:r>
      <w:r w:rsidR="004B7F60" w:rsidRPr="00C50A5C">
        <w:rPr>
          <w:sz w:val="20"/>
          <w:szCs w:val="20"/>
        </w:rPr>
        <w:t>)</w:t>
      </w:r>
    </w:p>
    <w:p w:rsidR="004B7F60" w:rsidRDefault="004B7F60" w:rsidP="004B7F60">
      <w:pPr>
        <w:widowControl w:val="0"/>
        <w:jc w:val="both"/>
        <w:rPr>
          <w:sz w:val="20"/>
          <w:szCs w:val="20"/>
        </w:rPr>
      </w:pPr>
    </w:p>
    <w:p w:rsidR="004B7F60" w:rsidRPr="00444501" w:rsidRDefault="00444501" w:rsidP="004B7F60">
      <w:pPr>
        <w:pStyle w:val="ListParagraph"/>
        <w:widowControl w:val="0"/>
        <w:numPr>
          <w:ilvl w:val="0"/>
          <w:numId w:val="1"/>
        </w:numPr>
        <w:ind w:hanging="720"/>
        <w:jc w:val="both"/>
        <w:rPr>
          <w:sz w:val="20"/>
          <w:szCs w:val="20"/>
        </w:rPr>
      </w:pPr>
      <w:r w:rsidRPr="00444501">
        <w:rPr>
          <w:i/>
          <w:sz w:val="20"/>
          <w:szCs w:val="20"/>
        </w:rPr>
        <w:t>Michael Downer v. Personal Insurance Company of Canada</w:t>
      </w:r>
      <w:r w:rsidRPr="005B42D6">
        <w:rPr>
          <w:sz w:val="20"/>
          <w:szCs w:val="20"/>
        </w:rPr>
        <w:t xml:space="preserve"> (Ont.) (Civil) (By Leave)</w:t>
      </w:r>
      <w:r w:rsidRPr="00444501">
        <w:rPr>
          <w:sz w:val="20"/>
          <w:szCs w:val="20"/>
        </w:rPr>
        <w:t xml:space="preserve"> </w:t>
      </w:r>
      <w:r w:rsidR="004B7F60" w:rsidRPr="00444501">
        <w:rPr>
          <w:sz w:val="20"/>
          <w:szCs w:val="20"/>
        </w:rPr>
        <w:t>(34</w:t>
      </w:r>
      <w:r w:rsidR="00D93A47" w:rsidRPr="00444501">
        <w:rPr>
          <w:sz w:val="20"/>
          <w:szCs w:val="20"/>
        </w:rPr>
        <w:t>919</w:t>
      </w:r>
      <w:r w:rsidR="004B7F60" w:rsidRPr="00444501">
        <w:rPr>
          <w:sz w:val="20"/>
          <w:szCs w:val="20"/>
        </w:rPr>
        <w:t>)</w:t>
      </w:r>
    </w:p>
    <w:p w:rsidR="004B7F60" w:rsidRPr="00444501" w:rsidRDefault="004B7F60" w:rsidP="004B7F60">
      <w:pPr>
        <w:widowControl w:val="0"/>
        <w:rPr>
          <w:sz w:val="20"/>
          <w:szCs w:val="20"/>
        </w:rPr>
      </w:pPr>
    </w:p>
    <w:p w:rsidR="00D93A47" w:rsidRPr="00444501" w:rsidRDefault="00D93A47" w:rsidP="004B7F60">
      <w:pPr>
        <w:widowControl w:val="0"/>
        <w:rPr>
          <w:sz w:val="20"/>
          <w:szCs w:val="20"/>
        </w:rPr>
      </w:pPr>
    </w:p>
    <w:p w:rsidR="00D93A47" w:rsidRPr="00C50A5C" w:rsidRDefault="00D93A47" w:rsidP="00D93A4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D93A47" w:rsidRPr="00C50A5C" w:rsidRDefault="00D93A47" w:rsidP="00D93A4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D93A47" w:rsidRPr="00C612D0" w:rsidRDefault="00D93A47" w:rsidP="004B7F60">
      <w:pPr>
        <w:widowControl w:val="0"/>
        <w:rPr>
          <w:sz w:val="20"/>
          <w:szCs w:val="20"/>
          <w:lang w:val="fr-CA"/>
        </w:rPr>
      </w:pPr>
    </w:p>
    <w:p w:rsidR="004B7F60" w:rsidRPr="00115C9E" w:rsidRDefault="00444501" w:rsidP="004B7F60">
      <w:pPr>
        <w:pStyle w:val="ListParagraph"/>
        <w:widowControl w:val="0"/>
        <w:numPr>
          <w:ilvl w:val="0"/>
          <w:numId w:val="1"/>
        </w:numPr>
        <w:ind w:hanging="720"/>
        <w:jc w:val="both"/>
        <w:rPr>
          <w:sz w:val="20"/>
          <w:szCs w:val="20"/>
          <w:lang w:val="fr-CA"/>
        </w:rPr>
      </w:pPr>
      <w:r w:rsidRPr="00444501">
        <w:rPr>
          <w:i/>
          <w:sz w:val="20"/>
          <w:szCs w:val="20"/>
          <w:lang w:val="fr-CA"/>
        </w:rPr>
        <w:t>R.L. c. Sa Majesté la Reine</w:t>
      </w:r>
      <w:r w:rsidRPr="00444501">
        <w:rPr>
          <w:sz w:val="20"/>
          <w:szCs w:val="20"/>
          <w:lang w:val="fr-CA"/>
        </w:rPr>
        <w:t xml:space="preserve"> (Qc) (Crim.) (Autorisation)</w:t>
      </w:r>
      <w:r w:rsidRPr="00115C9E">
        <w:rPr>
          <w:sz w:val="20"/>
          <w:szCs w:val="20"/>
          <w:lang w:val="fr-CA"/>
        </w:rPr>
        <w:t xml:space="preserve"> </w:t>
      </w:r>
      <w:r w:rsidR="004B7F60" w:rsidRPr="00115C9E">
        <w:rPr>
          <w:sz w:val="20"/>
          <w:szCs w:val="20"/>
          <w:lang w:val="fr-CA"/>
        </w:rPr>
        <w:t>(34</w:t>
      </w:r>
      <w:r w:rsidR="00D93A47">
        <w:rPr>
          <w:sz w:val="20"/>
          <w:szCs w:val="20"/>
          <w:lang w:val="fr-CA"/>
        </w:rPr>
        <w:t>871</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444501" w:rsidP="004B7F60">
      <w:pPr>
        <w:pStyle w:val="ListParagraph"/>
        <w:widowControl w:val="0"/>
        <w:numPr>
          <w:ilvl w:val="0"/>
          <w:numId w:val="1"/>
        </w:numPr>
        <w:ind w:hanging="720"/>
        <w:jc w:val="both"/>
        <w:rPr>
          <w:sz w:val="20"/>
          <w:szCs w:val="20"/>
          <w:lang w:val="fr-CA"/>
        </w:rPr>
      </w:pPr>
      <w:r w:rsidRPr="00444501">
        <w:rPr>
          <w:i/>
          <w:sz w:val="20"/>
          <w:szCs w:val="20"/>
          <w:lang w:val="fr-CA"/>
        </w:rPr>
        <w:t>Antal Babos et autre c. Sa Majesté la Reine</w:t>
      </w:r>
      <w:r w:rsidRPr="005B42D6">
        <w:rPr>
          <w:sz w:val="20"/>
          <w:szCs w:val="20"/>
          <w:lang w:val="fr-CA"/>
        </w:rPr>
        <w:t xml:space="preserve"> (Qc) (Crim</w:t>
      </w:r>
      <w:r>
        <w:rPr>
          <w:sz w:val="20"/>
          <w:szCs w:val="20"/>
          <w:lang w:val="fr-CA"/>
        </w:rPr>
        <w:t>.</w:t>
      </w:r>
      <w:r w:rsidRPr="005B42D6">
        <w:rPr>
          <w:sz w:val="20"/>
          <w:szCs w:val="20"/>
          <w:lang w:val="fr-CA"/>
        </w:rPr>
        <w:t>) (Autorisation)</w:t>
      </w:r>
      <w:r w:rsidRPr="00115C9E">
        <w:rPr>
          <w:sz w:val="20"/>
          <w:szCs w:val="20"/>
          <w:lang w:val="fr-CA"/>
        </w:rPr>
        <w:t xml:space="preserve"> </w:t>
      </w:r>
      <w:r w:rsidR="004B7F60" w:rsidRPr="00115C9E">
        <w:rPr>
          <w:sz w:val="20"/>
          <w:szCs w:val="20"/>
          <w:lang w:val="fr-CA"/>
        </w:rPr>
        <w:t>(34</w:t>
      </w:r>
      <w:r w:rsidR="00D93A47">
        <w:rPr>
          <w:sz w:val="20"/>
          <w:szCs w:val="20"/>
          <w:lang w:val="fr-CA"/>
        </w:rPr>
        <w:t>824</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444501" w:rsidP="004B7F60">
      <w:pPr>
        <w:pStyle w:val="ListParagraph"/>
        <w:widowControl w:val="0"/>
        <w:numPr>
          <w:ilvl w:val="0"/>
          <w:numId w:val="1"/>
        </w:numPr>
        <w:ind w:hanging="720"/>
        <w:jc w:val="both"/>
        <w:rPr>
          <w:sz w:val="20"/>
          <w:szCs w:val="20"/>
          <w:lang w:val="fr-CA"/>
        </w:rPr>
      </w:pPr>
      <w:r w:rsidRPr="00444501">
        <w:rPr>
          <w:i/>
          <w:sz w:val="20"/>
          <w:szCs w:val="20"/>
          <w:lang w:val="fr-CA"/>
        </w:rPr>
        <w:t>Sylvain Roger c. Linda Mercier et autres</w:t>
      </w:r>
      <w:r w:rsidRPr="005B42D6">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D93A47">
        <w:rPr>
          <w:sz w:val="20"/>
          <w:szCs w:val="20"/>
          <w:lang w:val="fr-CA"/>
        </w:rPr>
        <w:t>950</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444501" w:rsidP="004B7F60">
      <w:pPr>
        <w:pStyle w:val="ListParagraph"/>
        <w:widowControl w:val="0"/>
        <w:numPr>
          <w:ilvl w:val="0"/>
          <w:numId w:val="1"/>
        </w:numPr>
        <w:ind w:hanging="720"/>
        <w:jc w:val="both"/>
        <w:rPr>
          <w:sz w:val="20"/>
          <w:szCs w:val="20"/>
          <w:lang w:val="fr-CA"/>
        </w:rPr>
      </w:pPr>
      <w:r w:rsidRPr="00444501">
        <w:rPr>
          <w:i/>
          <w:sz w:val="20"/>
          <w:szCs w:val="20"/>
          <w:lang w:val="fr-CA"/>
        </w:rPr>
        <w:t>Diane Bouchard c. Réjean Lebel, ès qualité de syndic adjoint et autre</w:t>
      </w:r>
      <w:r w:rsidRPr="005B42D6">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D93A47">
        <w:rPr>
          <w:sz w:val="20"/>
          <w:szCs w:val="20"/>
          <w:lang w:val="fr-CA"/>
        </w:rPr>
        <w:t>921</w:t>
      </w:r>
      <w:r w:rsidR="004B7F60" w:rsidRPr="00C50A5C">
        <w:rPr>
          <w:sz w:val="20"/>
          <w:szCs w:val="20"/>
          <w:lang w:val="fr-CA"/>
        </w:rPr>
        <w:t>)</w:t>
      </w:r>
    </w:p>
    <w:p w:rsidR="004B7F60" w:rsidRDefault="004B7F60" w:rsidP="004B7F60">
      <w:pPr>
        <w:widowControl w:val="0"/>
        <w:jc w:val="both"/>
        <w:rPr>
          <w:sz w:val="20"/>
          <w:szCs w:val="20"/>
          <w:lang w:val="fr-CA"/>
        </w:rPr>
      </w:pPr>
    </w:p>
    <w:p w:rsidR="004B7F60" w:rsidRPr="00444501" w:rsidRDefault="00444501" w:rsidP="004B7F60">
      <w:pPr>
        <w:pStyle w:val="ListParagraph"/>
        <w:widowControl w:val="0"/>
        <w:numPr>
          <w:ilvl w:val="0"/>
          <w:numId w:val="1"/>
        </w:numPr>
        <w:ind w:hanging="720"/>
        <w:jc w:val="both"/>
        <w:rPr>
          <w:sz w:val="20"/>
          <w:szCs w:val="20"/>
          <w:lang w:val="fr-CA"/>
        </w:rPr>
      </w:pPr>
      <w:r w:rsidRPr="00444501">
        <w:rPr>
          <w:i/>
          <w:sz w:val="20"/>
          <w:szCs w:val="20"/>
          <w:lang w:val="fr-CA"/>
        </w:rPr>
        <w:t>Auberge des Glycines inc., faisant affaire sous la raison sociale Auberge le Pomerol inc. c. Ville de Montréal</w:t>
      </w:r>
      <w:r w:rsidRPr="005B42D6">
        <w:rPr>
          <w:sz w:val="20"/>
          <w:szCs w:val="20"/>
          <w:lang w:val="fr-CA"/>
        </w:rPr>
        <w:t xml:space="preserve"> (Qc) (Civile) (Autorisation)</w:t>
      </w:r>
      <w:r w:rsidRPr="00444501">
        <w:rPr>
          <w:sz w:val="20"/>
          <w:szCs w:val="20"/>
          <w:lang w:val="fr-CA"/>
        </w:rPr>
        <w:t xml:space="preserve"> </w:t>
      </w:r>
      <w:r w:rsidR="004B7F60" w:rsidRPr="00444501">
        <w:rPr>
          <w:sz w:val="20"/>
          <w:szCs w:val="20"/>
          <w:lang w:val="fr-CA"/>
        </w:rPr>
        <w:t>(34</w:t>
      </w:r>
      <w:r w:rsidR="00D93A47" w:rsidRPr="00444501">
        <w:rPr>
          <w:sz w:val="20"/>
          <w:szCs w:val="20"/>
          <w:lang w:val="fr-CA"/>
        </w:rPr>
        <w:t>837</w:t>
      </w:r>
      <w:r w:rsidR="004B7F60" w:rsidRPr="00444501">
        <w:rPr>
          <w:sz w:val="20"/>
          <w:szCs w:val="20"/>
          <w:lang w:val="fr-CA"/>
        </w:rPr>
        <w:t>)</w:t>
      </w:r>
    </w:p>
    <w:p w:rsidR="004B7F60" w:rsidRPr="00444501" w:rsidRDefault="004B7F60" w:rsidP="004B7F60">
      <w:pPr>
        <w:widowControl w:val="0"/>
        <w:jc w:val="both"/>
        <w:rPr>
          <w:sz w:val="20"/>
          <w:szCs w:val="20"/>
          <w:lang w:val="fr-CA"/>
        </w:rPr>
      </w:pPr>
    </w:p>
    <w:p w:rsidR="00D93A47" w:rsidRPr="00444501" w:rsidRDefault="00D93A47" w:rsidP="004B7F60">
      <w:pPr>
        <w:widowControl w:val="0"/>
        <w:jc w:val="both"/>
        <w:rPr>
          <w:sz w:val="20"/>
          <w:szCs w:val="20"/>
          <w:lang w:val="fr-CA"/>
        </w:rPr>
      </w:pPr>
    </w:p>
    <w:p w:rsidR="00D93A47" w:rsidRPr="00C50A5C" w:rsidRDefault="00D93A47" w:rsidP="00D93A47">
      <w:pPr>
        <w:widowControl w:val="0"/>
        <w:jc w:val="center"/>
        <w:rPr>
          <w:b/>
          <w:sz w:val="20"/>
          <w:szCs w:val="20"/>
        </w:rPr>
      </w:pPr>
      <w:r w:rsidRPr="00C50A5C">
        <w:rPr>
          <w:b/>
          <w:sz w:val="20"/>
          <w:szCs w:val="20"/>
        </w:rPr>
        <w:t xml:space="preserve">CORAM: </w:t>
      </w:r>
      <w:r>
        <w:rPr>
          <w:b/>
          <w:sz w:val="20"/>
          <w:szCs w:val="20"/>
        </w:rPr>
        <w:t>Fish, Moldaver</w:t>
      </w:r>
      <w:r w:rsidRPr="00C50A5C">
        <w:rPr>
          <w:b/>
          <w:sz w:val="20"/>
          <w:szCs w:val="20"/>
        </w:rPr>
        <w:t xml:space="preserve"> and </w:t>
      </w:r>
      <w:r>
        <w:rPr>
          <w:b/>
          <w:sz w:val="20"/>
          <w:szCs w:val="20"/>
        </w:rPr>
        <w:t>Karakatsanis</w:t>
      </w:r>
      <w:r w:rsidRPr="00C50A5C">
        <w:rPr>
          <w:b/>
          <w:sz w:val="20"/>
          <w:szCs w:val="20"/>
        </w:rPr>
        <w:t xml:space="preserve"> JJ.</w:t>
      </w:r>
    </w:p>
    <w:p w:rsidR="00D93A47" w:rsidRPr="00C50A5C" w:rsidRDefault="00D93A47" w:rsidP="00D93A47">
      <w:pPr>
        <w:widowControl w:val="0"/>
        <w:jc w:val="center"/>
        <w:rPr>
          <w:b/>
          <w:sz w:val="20"/>
          <w:szCs w:val="20"/>
          <w:lang w:val="fr-CA"/>
        </w:rPr>
      </w:pPr>
      <w:r w:rsidRPr="00C50A5C">
        <w:rPr>
          <w:b/>
          <w:sz w:val="20"/>
          <w:szCs w:val="20"/>
          <w:lang w:val="fr-CA"/>
        </w:rPr>
        <w:t xml:space="preserve">Les juges </w:t>
      </w:r>
      <w:r>
        <w:rPr>
          <w:b/>
          <w:sz w:val="20"/>
          <w:szCs w:val="20"/>
          <w:lang w:val="fr-CA"/>
        </w:rPr>
        <w:t>Fish, Moldaver</w:t>
      </w:r>
      <w:r w:rsidRPr="00C50A5C">
        <w:rPr>
          <w:b/>
          <w:sz w:val="20"/>
          <w:szCs w:val="20"/>
          <w:lang w:val="fr-CA"/>
        </w:rPr>
        <w:t xml:space="preserve"> et </w:t>
      </w:r>
      <w:r>
        <w:rPr>
          <w:b/>
          <w:sz w:val="20"/>
          <w:szCs w:val="20"/>
          <w:lang w:val="fr-CA"/>
        </w:rPr>
        <w:t>Karakatsanis</w:t>
      </w:r>
    </w:p>
    <w:p w:rsidR="00D93A47" w:rsidRPr="00D93A47" w:rsidRDefault="00D93A47" w:rsidP="004B7F60">
      <w:pPr>
        <w:widowControl w:val="0"/>
        <w:jc w:val="both"/>
        <w:rPr>
          <w:sz w:val="20"/>
          <w:szCs w:val="20"/>
          <w:lang w:val="fr-CA"/>
        </w:rPr>
      </w:pPr>
    </w:p>
    <w:p w:rsidR="004B7F60" w:rsidRPr="00115C9E" w:rsidRDefault="00444501" w:rsidP="004B7F60">
      <w:pPr>
        <w:pStyle w:val="ListParagraph"/>
        <w:widowControl w:val="0"/>
        <w:numPr>
          <w:ilvl w:val="0"/>
          <w:numId w:val="1"/>
        </w:numPr>
        <w:ind w:hanging="720"/>
        <w:jc w:val="both"/>
        <w:rPr>
          <w:sz w:val="20"/>
          <w:szCs w:val="20"/>
        </w:rPr>
      </w:pPr>
      <w:r w:rsidRPr="00444501">
        <w:rPr>
          <w:i/>
          <w:sz w:val="20"/>
          <w:szCs w:val="20"/>
        </w:rPr>
        <w:t>Farrokh Rohani v. Her Majesty the Queen</w:t>
      </w:r>
      <w:r w:rsidRPr="00444501">
        <w:rPr>
          <w:sz w:val="20"/>
          <w:szCs w:val="20"/>
        </w:rPr>
        <w:t xml:space="preserve"> (B.C.) </w:t>
      </w:r>
      <w:r w:rsidRPr="005B42D6">
        <w:rPr>
          <w:sz w:val="20"/>
          <w:szCs w:val="20"/>
        </w:rPr>
        <w:t>(Crim</w:t>
      </w:r>
      <w:r>
        <w:rPr>
          <w:sz w:val="20"/>
          <w:szCs w:val="20"/>
        </w:rPr>
        <w:t>.</w:t>
      </w:r>
      <w:r w:rsidRPr="005B42D6">
        <w:rPr>
          <w:sz w:val="20"/>
          <w:szCs w:val="20"/>
        </w:rPr>
        <w:t>) (By Leave)</w:t>
      </w:r>
      <w:r w:rsidRPr="00115C9E">
        <w:rPr>
          <w:sz w:val="20"/>
          <w:szCs w:val="20"/>
        </w:rPr>
        <w:t xml:space="preserve"> </w:t>
      </w:r>
      <w:r w:rsidR="004B7F60" w:rsidRPr="00115C9E">
        <w:rPr>
          <w:sz w:val="20"/>
          <w:szCs w:val="20"/>
        </w:rPr>
        <w:t>(34</w:t>
      </w:r>
      <w:r w:rsidR="00D93A47">
        <w:rPr>
          <w:sz w:val="20"/>
          <w:szCs w:val="20"/>
        </w:rPr>
        <w:t>913</w:t>
      </w:r>
      <w:r w:rsidR="004B7F60" w:rsidRPr="00115C9E">
        <w:rPr>
          <w:sz w:val="20"/>
          <w:szCs w:val="20"/>
        </w:rPr>
        <w:t>)</w:t>
      </w:r>
    </w:p>
    <w:p w:rsidR="004B7F60" w:rsidRPr="00115C9E" w:rsidRDefault="004B7F60" w:rsidP="004B7F60">
      <w:pPr>
        <w:widowControl w:val="0"/>
        <w:jc w:val="both"/>
        <w:rPr>
          <w:sz w:val="20"/>
          <w:szCs w:val="20"/>
        </w:rPr>
      </w:pPr>
    </w:p>
    <w:p w:rsidR="004B7F60" w:rsidRDefault="00B03EE3" w:rsidP="004B7F60">
      <w:pPr>
        <w:pStyle w:val="ListParagraph"/>
        <w:widowControl w:val="0"/>
        <w:numPr>
          <w:ilvl w:val="0"/>
          <w:numId w:val="1"/>
        </w:numPr>
        <w:ind w:hanging="720"/>
        <w:jc w:val="both"/>
        <w:rPr>
          <w:sz w:val="20"/>
          <w:szCs w:val="20"/>
        </w:rPr>
      </w:pPr>
      <w:r w:rsidRPr="00B03EE3">
        <w:rPr>
          <w:i/>
          <w:sz w:val="20"/>
          <w:szCs w:val="20"/>
        </w:rPr>
        <w:t>Anees Chaudhary v. Warden of Frontenac Institution</w:t>
      </w:r>
      <w:r w:rsidRPr="005B42D6">
        <w:rPr>
          <w:sz w:val="20"/>
          <w:szCs w:val="20"/>
        </w:rPr>
        <w:t xml:space="preserve"> (Ont.) (Crim</w:t>
      </w:r>
      <w:r>
        <w:rPr>
          <w:sz w:val="20"/>
          <w:szCs w:val="20"/>
        </w:rPr>
        <w:t>.</w:t>
      </w:r>
      <w:r w:rsidRPr="005B42D6">
        <w:rPr>
          <w:sz w:val="20"/>
          <w:szCs w:val="20"/>
        </w:rPr>
        <w:t>) (By Leave)</w:t>
      </w:r>
      <w:r w:rsidRPr="00C50A5C">
        <w:rPr>
          <w:sz w:val="20"/>
          <w:szCs w:val="20"/>
        </w:rPr>
        <w:t xml:space="preserve"> </w:t>
      </w:r>
      <w:r w:rsidR="004B7F60" w:rsidRPr="00C50A5C">
        <w:rPr>
          <w:sz w:val="20"/>
          <w:szCs w:val="20"/>
        </w:rPr>
        <w:t>(3</w:t>
      </w:r>
      <w:r w:rsidR="004B7F60">
        <w:rPr>
          <w:sz w:val="20"/>
          <w:szCs w:val="20"/>
        </w:rPr>
        <w:t>4</w:t>
      </w:r>
      <w:r w:rsidR="00D93A47">
        <w:rPr>
          <w:sz w:val="20"/>
          <w:szCs w:val="20"/>
        </w:rPr>
        <w:t>917</w:t>
      </w:r>
      <w:r w:rsidR="004B7F60" w:rsidRPr="00C50A5C">
        <w:rPr>
          <w:sz w:val="20"/>
          <w:szCs w:val="20"/>
        </w:rPr>
        <w:t>)</w:t>
      </w:r>
    </w:p>
    <w:p w:rsidR="004B7F60" w:rsidRDefault="004B7F60" w:rsidP="004B7F60">
      <w:pPr>
        <w:widowControl w:val="0"/>
        <w:rPr>
          <w:sz w:val="20"/>
          <w:szCs w:val="20"/>
        </w:rPr>
      </w:pPr>
    </w:p>
    <w:p w:rsidR="002E2327" w:rsidRPr="00B03EE3" w:rsidRDefault="00B03EE3" w:rsidP="00C50A5C">
      <w:pPr>
        <w:pStyle w:val="ListParagraph"/>
        <w:widowControl w:val="0"/>
        <w:numPr>
          <w:ilvl w:val="0"/>
          <w:numId w:val="1"/>
        </w:numPr>
        <w:ind w:hanging="720"/>
        <w:jc w:val="both"/>
        <w:rPr>
          <w:sz w:val="20"/>
          <w:szCs w:val="20"/>
        </w:rPr>
      </w:pPr>
      <w:r w:rsidRPr="00B03EE3">
        <w:rPr>
          <w:i/>
          <w:sz w:val="20"/>
          <w:szCs w:val="20"/>
        </w:rPr>
        <w:t>John Murphy et al. v. John Wynne et al.</w:t>
      </w:r>
      <w:r w:rsidRPr="005B42D6">
        <w:rPr>
          <w:sz w:val="20"/>
          <w:szCs w:val="20"/>
        </w:rPr>
        <w:t xml:space="preserve"> (B.C.) (Civil) (By Leave)</w:t>
      </w:r>
      <w:r w:rsidRPr="00B03EE3">
        <w:rPr>
          <w:sz w:val="20"/>
          <w:szCs w:val="20"/>
        </w:rPr>
        <w:t xml:space="preserve"> </w:t>
      </w:r>
      <w:r w:rsidR="002E2327" w:rsidRPr="00B03EE3">
        <w:rPr>
          <w:sz w:val="20"/>
          <w:szCs w:val="20"/>
        </w:rPr>
        <w:t>(3</w:t>
      </w:r>
      <w:r w:rsidR="001F6C28" w:rsidRPr="00B03EE3">
        <w:rPr>
          <w:sz w:val="20"/>
          <w:szCs w:val="20"/>
        </w:rPr>
        <w:t>4</w:t>
      </w:r>
      <w:r w:rsidR="00D93A47" w:rsidRPr="00B03EE3">
        <w:rPr>
          <w:sz w:val="20"/>
          <w:szCs w:val="20"/>
        </w:rPr>
        <w:t>977</w:t>
      </w:r>
      <w:r w:rsidR="002E2327" w:rsidRPr="00B03EE3">
        <w:rPr>
          <w:sz w:val="20"/>
          <w:szCs w:val="20"/>
        </w:rPr>
        <w:t>)</w:t>
      </w:r>
    </w:p>
    <w:p w:rsidR="002E2327" w:rsidRPr="00B03EE3" w:rsidRDefault="002E2327" w:rsidP="00C50A5C">
      <w:pPr>
        <w:widowControl w:val="0"/>
        <w:jc w:val="both"/>
        <w:rPr>
          <w:sz w:val="20"/>
          <w:szCs w:val="20"/>
        </w:rPr>
      </w:pPr>
    </w:p>
    <w:p w:rsidR="002E2327" w:rsidRPr="00B03EE3" w:rsidRDefault="00B03EE3" w:rsidP="00C50A5C">
      <w:pPr>
        <w:pStyle w:val="ListParagraph"/>
        <w:widowControl w:val="0"/>
        <w:numPr>
          <w:ilvl w:val="0"/>
          <w:numId w:val="1"/>
        </w:numPr>
        <w:ind w:hanging="720"/>
        <w:jc w:val="both"/>
        <w:rPr>
          <w:sz w:val="20"/>
          <w:szCs w:val="20"/>
        </w:rPr>
      </w:pPr>
      <w:r w:rsidRPr="00B03EE3">
        <w:rPr>
          <w:i/>
          <w:sz w:val="20"/>
          <w:szCs w:val="20"/>
        </w:rPr>
        <w:t>Wanda Bond v. Brookfield Asset Management Inc. et al.</w:t>
      </w:r>
      <w:r w:rsidRPr="005B42D6">
        <w:rPr>
          <w:sz w:val="20"/>
          <w:szCs w:val="20"/>
        </w:rPr>
        <w:t xml:space="preserve"> (Ont.) (Civil) (By Leave)</w:t>
      </w:r>
      <w:r w:rsidRPr="00B03EE3">
        <w:rPr>
          <w:sz w:val="20"/>
          <w:szCs w:val="20"/>
        </w:rPr>
        <w:t xml:space="preserve"> </w:t>
      </w:r>
      <w:r w:rsidR="002E2327" w:rsidRPr="00B03EE3">
        <w:rPr>
          <w:sz w:val="20"/>
          <w:szCs w:val="20"/>
        </w:rPr>
        <w:t>(34</w:t>
      </w:r>
      <w:r w:rsidR="00D93A47" w:rsidRPr="00B03EE3">
        <w:rPr>
          <w:sz w:val="20"/>
          <w:szCs w:val="20"/>
        </w:rPr>
        <w:t>885</w:t>
      </w:r>
      <w:r w:rsidR="002E2327" w:rsidRPr="00B03EE3">
        <w:rPr>
          <w:sz w:val="20"/>
          <w:szCs w:val="20"/>
        </w:rPr>
        <w:t>)</w:t>
      </w:r>
    </w:p>
    <w:p w:rsidR="002E2327" w:rsidRPr="00B03EE3" w:rsidRDefault="002E2327" w:rsidP="002E2327">
      <w:pPr>
        <w:widowControl w:val="0"/>
        <w:rPr>
          <w:sz w:val="20"/>
          <w:szCs w:val="20"/>
        </w:rPr>
      </w:pPr>
    </w:p>
    <w:p w:rsidR="002E2327" w:rsidRPr="00C50A5C" w:rsidRDefault="002B77C5" w:rsidP="002E2327">
      <w:pPr>
        <w:widowControl w:val="0"/>
        <w:rPr>
          <w:sz w:val="20"/>
          <w:szCs w:val="20"/>
        </w:rPr>
      </w:pPr>
      <w:r w:rsidRPr="002B77C5">
        <w:rPr>
          <w:sz w:val="20"/>
          <w:szCs w:val="20"/>
        </w:rPr>
        <w:pict>
          <v:rect id="_x0000_i104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935E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054E79" w:rsidRDefault="008D292F" w:rsidP="00ED7E83">
            <w:pPr>
              <w:keepNext/>
              <w:keepLines/>
              <w:jc w:val="both"/>
              <w:rPr>
                <w:b/>
                <w:szCs w:val="24"/>
                <w:lang w:val="fr-CA"/>
              </w:rPr>
            </w:pPr>
            <w:r w:rsidRPr="00054E79">
              <w:rPr>
                <w:b/>
                <w:szCs w:val="24"/>
                <w:lang w:val="fr-CA"/>
              </w:rPr>
              <w:t>JUGEMENTS RENDUS SUR LES DEMANDES D’AUTORISATION</w:t>
            </w:r>
          </w:p>
        </w:tc>
      </w:tr>
    </w:tbl>
    <w:p w:rsidR="008D292F" w:rsidRPr="00054E79" w:rsidRDefault="008D292F" w:rsidP="008D292F">
      <w:pPr>
        <w:rPr>
          <w:sz w:val="20"/>
          <w:szCs w:val="20"/>
          <w:lang w:val="fr-CA"/>
        </w:rPr>
      </w:pPr>
    </w:p>
    <w:p w:rsidR="008D292F" w:rsidRPr="00C50A5C" w:rsidRDefault="005F361C" w:rsidP="008D292F">
      <w:pPr>
        <w:rPr>
          <w:b/>
          <w:sz w:val="20"/>
          <w:szCs w:val="20"/>
        </w:rPr>
      </w:pPr>
      <w:r>
        <w:rPr>
          <w:b/>
          <w:sz w:val="20"/>
          <w:szCs w:val="20"/>
        </w:rPr>
        <w:t>OCTOBE</w:t>
      </w:r>
      <w:r w:rsidR="008D292F" w:rsidRPr="00C50A5C">
        <w:rPr>
          <w:b/>
          <w:sz w:val="20"/>
          <w:szCs w:val="20"/>
        </w:rPr>
        <w:t xml:space="preserve">R </w:t>
      </w:r>
      <w:r>
        <w:rPr>
          <w:b/>
          <w:sz w:val="20"/>
          <w:szCs w:val="20"/>
        </w:rPr>
        <w:t>4</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4 OCTOB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8080A" w:rsidRPr="00AF7C00" w:rsidTr="00594C0F">
        <w:trPr>
          <w:cantSplit/>
        </w:trPr>
        <w:tc>
          <w:tcPr>
            <w:tcW w:w="1458" w:type="dxa"/>
          </w:tcPr>
          <w:p w:rsidR="0028080A" w:rsidRPr="00AF7C00" w:rsidRDefault="0028080A" w:rsidP="00594C0F">
            <w:pPr>
              <w:rPr>
                <w:sz w:val="20"/>
                <w:szCs w:val="20"/>
              </w:rPr>
            </w:pPr>
            <w:r w:rsidRPr="00AF7C00">
              <w:rPr>
                <w:rStyle w:val="SCCFileNumberChar"/>
                <w:sz w:val="20"/>
                <w:szCs w:val="20"/>
              </w:rPr>
              <w:t>34734</w:t>
            </w:r>
          </w:p>
          <w:p w:rsidR="0028080A" w:rsidRPr="00AF7C00" w:rsidRDefault="0028080A" w:rsidP="00594C0F">
            <w:pPr>
              <w:rPr>
                <w:b/>
                <w:sz w:val="20"/>
                <w:szCs w:val="20"/>
                <w:lang w:val="fr-CA"/>
              </w:rPr>
            </w:pPr>
          </w:p>
        </w:tc>
        <w:tc>
          <w:tcPr>
            <w:tcW w:w="8118" w:type="dxa"/>
          </w:tcPr>
          <w:p w:rsidR="0028080A" w:rsidRPr="00AF7C00" w:rsidRDefault="0028080A" w:rsidP="00594C0F">
            <w:pPr>
              <w:jc w:val="both"/>
              <w:rPr>
                <w:sz w:val="20"/>
                <w:szCs w:val="20"/>
              </w:rPr>
            </w:pPr>
            <w:r w:rsidRPr="00AF7C00">
              <w:rPr>
                <w:rStyle w:val="SCCLsocChar"/>
                <w:sz w:val="20"/>
                <w:szCs w:val="20"/>
                <w:lang w:val="en-CA"/>
              </w:rPr>
              <w:t>MCAP Financial Corporation v. Condominium Corporation No. 0321365</w:t>
            </w:r>
            <w:r>
              <w:rPr>
                <w:rStyle w:val="SCCLsocChar"/>
                <w:sz w:val="20"/>
                <w:szCs w:val="20"/>
                <w:lang w:val="en-CA"/>
              </w:rPr>
              <w:t xml:space="preserve"> and</w:t>
            </w:r>
            <w:r w:rsidRPr="00AF7C00">
              <w:rPr>
                <w:rStyle w:val="SCCLsocChar"/>
                <w:sz w:val="20"/>
                <w:szCs w:val="20"/>
                <w:lang w:val="en-CA"/>
              </w:rPr>
              <w:t xml:space="preserve"> An Unspecified Unit Holder, As Representative Plaintiff</w:t>
            </w:r>
            <w:r w:rsidRPr="00AF7C00">
              <w:rPr>
                <w:sz w:val="20"/>
                <w:szCs w:val="20"/>
              </w:rPr>
              <w:t xml:space="preserve"> (Alta.) (Civil) (By Leave)</w:t>
            </w:r>
          </w:p>
          <w:p w:rsidR="0028080A" w:rsidRPr="00AF7C00" w:rsidRDefault="0028080A" w:rsidP="00594C0F">
            <w:pPr>
              <w:rPr>
                <w:sz w:val="20"/>
                <w:szCs w:val="20"/>
              </w:rPr>
            </w:pPr>
          </w:p>
        </w:tc>
      </w:tr>
      <w:tr w:rsidR="0028080A" w:rsidRPr="00AF7C00" w:rsidTr="00594C0F">
        <w:trPr>
          <w:cantSplit/>
        </w:trPr>
        <w:tc>
          <w:tcPr>
            <w:tcW w:w="1458" w:type="dxa"/>
          </w:tcPr>
          <w:p w:rsidR="0028080A" w:rsidRPr="00AF7C00" w:rsidRDefault="0028080A" w:rsidP="00594C0F">
            <w:pPr>
              <w:rPr>
                <w:sz w:val="20"/>
                <w:szCs w:val="20"/>
              </w:rPr>
            </w:pPr>
            <w:r w:rsidRPr="00AF7C00">
              <w:rPr>
                <w:sz w:val="20"/>
                <w:szCs w:val="20"/>
              </w:rPr>
              <w:t>Coram :</w:t>
            </w:r>
          </w:p>
        </w:tc>
        <w:tc>
          <w:tcPr>
            <w:tcW w:w="8118" w:type="dxa"/>
          </w:tcPr>
          <w:p w:rsidR="0028080A" w:rsidRPr="00AF7C00" w:rsidRDefault="0028080A" w:rsidP="00594C0F">
            <w:pPr>
              <w:rPr>
                <w:sz w:val="20"/>
                <w:szCs w:val="20"/>
              </w:rPr>
            </w:pPr>
            <w:r w:rsidRPr="00AF7C00">
              <w:rPr>
                <w:rStyle w:val="SCCCoramChar"/>
                <w:sz w:val="20"/>
                <w:szCs w:val="20"/>
                <w:lang w:val="en-CA"/>
              </w:rPr>
              <w:t>McLachlin C.J. and Rothstein and Moldaver JJ.</w:t>
            </w:r>
          </w:p>
          <w:p w:rsidR="0028080A" w:rsidRPr="00AF7C00" w:rsidRDefault="0028080A" w:rsidP="00594C0F">
            <w:pPr>
              <w:rPr>
                <w:sz w:val="20"/>
                <w:szCs w:val="20"/>
                <w:u w:val="single"/>
              </w:rPr>
            </w:pPr>
          </w:p>
        </w:tc>
      </w:tr>
      <w:tr w:rsidR="0028080A" w:rsidRPr="003935EC" w:rsidTr="00594C0F">
        <w:trPr>
          <w:cantSplit/>
        </w:trPr>
        <w:tc>
          <w:tcPr>
            <w:tcW w:w="9576" w:type="dxa"/>
            <w:gridSpan w:val="2"/>
          </w:tcPr>
          <w:p w:rsidR="0028080A" w:rsidRPr="00AF7C00" w:rsidRDefault="0028080A" w:rsidP="00594C0F">
            <w:pPr>
              <w:pStyle w:val="SCCShortJudgment"/>
              <w:rPr>
                <w:szCs w:val="20"/>
              </w:rPr>
            </w:pPr>
            <w:r w:rsidRPr="00AF7C00">
              <w:rPr>
                <w:szCs w:val="20"/>
              </w:rPr>
              <w:t>The application for leave to appeal from the judgment of the Court of Appeal of Alberta (Calgary), Number 1001-0308-AC, 2012 ABCA 26, dated January 27, 2012, is dismissed without costs.</w:t>
            </w:r>
          </w:p>
          <w:p w:rsidR="0028080A" w:rsidRPr="00AF7C00" w:rsidRDefault="0028080A" w:rsidP="00594C0F">
            <w:pPr>
              <w:pStyle w:val="SCCShortJudgment"/>
              <w:ind w:firstLine="0"/>
              <w:rPr>
                <w:szCs w:val="20"/>
              </w:rPr>
            </w:pPr>
          </w:p>
          <w:p w:rsidR="0028080A" w:rsidRPr="00AF7C00" w:rsidRDefault="0028080A" w:rsidP="00594C0F">
            <w:pPr>
              <w:pStyle w:val="SCCShortJudgment"/>
              <w:rPr>
                <w:szCs w:val="20"/>
                <w:lang w:val="fr-CA"/>
              </w:rPr>
            </w:pPr>
            <w:r w:rsidRPr="00AF7C00">
              <w:rPr>
                <w:szCs w:val="20"/>
                <w:lang w:val="fr-CA"/>
              </w:rPr>
              <w:t>La demande d’autorisation d’appel de l’arrêt de la Cour d’appel de l’Alberta (Calgary), numéro 1001-0308-AC, 2012 ABCA 26, daté du 27 janvier 2012, est rejetée sans dépens.</w:t>
            </w:r>
          </w:p>
        </w:tc>
      </w:tr>
    </w:tbl>
    <w:p w:rsidR="005F361C" w:rsidRPr="0028080A" w:rsidRDefault="005F361C" w:rsidP="008D292F">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7905" w:rsidRPr="00F056F0" w:rsidTr="00594C0F">
        <w:tc>
          <w:tcPr>
            <w:tcW w:w="5000" w:type="pct"/>
            <w:gridSpan w:val="3"/>
          </w:tcPr>
          <w:p w:rsidR="00EF7905" w:rsidRPr="00F056F0" w:rsidRDefault="00EF7905" w:rsidP="00594C0F">
            <w:pPr>
              <w:jc w:val="both"/>
              <w:rPr>
                <w:rFonts w:eastAsia="Calibri"/>
                <w:sz w:val="20"/>
              </w:rPr>
            </w:pPr>
            <w:r w:rsidRPr="00F056F0">
              <w:rPr>
                <w:rFonts w:eastAsia="Calibri"/>
                <w:sz w:val="20"/>
              </w:rPr>
              <w:t>Procedural law — Summary judgment — Property law — Condominiums — Condominium development — Financing — Whether the decision on summary judgment raises issues of public or national importance — Whether the Court of Appeal erred in implicitly finding that the policy considerations which negated a duty of care in ordinary negligence should be disregarded when assessing a claim in negligent misrepresentation — Whether the Court of Appeal erred in failing to find that the negligent misrepresentation claim failed based on the failure to prove detrimental reliance by Condo Corp. and the representative unit holder.</w:t>
            </w:r>
          </w:p>
        </w:tc>
      </w:tr>
      <w:tr w:rsidR="00EF7905" w:rsidRPr="00F056F0" w:rsidTr="00594C0F">
        <w:tc>
          <w:tcPr>
            <w:tcW w:w="5000" w:type="pct"/>
            <w:gridSpan w:val="3"/>
          </w:tcPr>
          <w:p w:rsidR="00EF7905" w:rsidRPr="00F056F0" w:rsidRDefault="00EF7905" w:rsidP="00594C0F">
            <w:pPr>
              <w:jc w:val="both"/>
              <w:rPr>
                <w:rFonts w:eastAsia="Calibri"/>
                <w:sz w:val="20"/>
              </w:rPr>
            </w:pPr>
          </w:p>
        </w:tc>
      </w:tr>
      <w:tr w:rsidR="00EF7905" w:rsidRPr="00F056F0" w:rsidTr="00594C0F">
        <w:tc>
          <w:tcPr>
            <w:tcW w:w="5000" w:type="pct"/>
            <w:gridSpan w:val="3"/>
          </w:tcPr>
          <w:p w:rsidR="00EF7905" w:rsidRPr="00F056F0" w:rsidRDefault="00EF7905" w:rsidP="00594C0F">
            <w:pPr>
              <w:jc w:val="both"/>
              <w:rPr>
                <w:rFonts w:eastAsia="Calibri"/>
                <w:sz w:val="20"/>
              </w:rPr>
            </w:pPr>
            <w:r w:rsidRPr="00F056F0">
              <w:rPr>
                <w:rFonts w:eastAsia="Calibri"/>
                <w:sz w:val="20"/>
              </w:rPr>
              <w:t xml:space="preserve">The respondent Condominium Corporation No. 0321365 (“Condo Corp.”) owns the common property of a seven building, 168 unit condominium complex in Fort McMurray.  Real Estate Strategies Group Inc. was involved with and, in some fashion, assisted purchasers of 72 of the units.  Condo Corp. and the representative unit holder sued for damages to remedy the alleged faulty design and construction.  The defendants included, 970365 Alberta Ltd., (“970365”), which was the developer of the project, and MCAP Financial Corporation (“MCAP”), which provided interim financing to 970365 for the project.  The suit alleged that the project suffered from several serious problems, including the fact that the units in the condo project and related common property were not substantially completed at the time of transfer, which triggered certain statutory protections in favour of the purchasers under the </w:t>
            </w:r>
            <w:r w:rsidRPr="00F056F0">
              <w:rPr>
                <w:rFonts w:eastAsia="Calibri"/>
                <w:i/>
                <w:sz w:val="20"/>
              </w:rPr>
              <w:t>Condominium Property Act</w:t>
            </w:r>
            <w:r w:rsidRPr="00F056F0">
              <w:rPr>
                <w:rFonts w:eastAsia="Calibri"/>
                <w:sz w:val="20"/>
              </w:rPr>
              <w:t>, R.S.A. 2000, c. C</w:t>
            </w:r>
            <w:r w:rsidRPr="00F056F0">
              <w:rPr>
                <w:rFonts w:eastAsia="Calibri"/>
                <w:sz w:val="20"/>
              </w:rPr>
              <w:noBreakHyphen/>
              <w:t>22.</w:t>
            </w:r>
          </w:p>
          <w:p w:rsidR="00EF7905" w:rsidRPr="00F056F0" w:rsidRDefault="00EF7905" w:rsidP="00594C0F">
            <w:pPr>
              <w:jc w:val="both"/>
              <w:rPr>
                <w:rFonts w:eastAsia="Calibri"/>
                <w:sz w:val="20"/>
              </w:rPr>
            </w:pPr>
          </w:p>
          <w:p w:rsidR="00EF7905" w:rsidRPr="00F056F0" w:rsidRDefault="00EF7905" w:rsidP="00594C0F">
            <w:pPr>
              <w:jc w:val="both"/>
              <w:rPr>
                <w:rFonts w:eastAsia="Calibri"/>
                <w:sz w:val="20"/>
              </w:rPr>
            </w:pPr>
            <w:r w:rsidRPr="00F056F0">
              <w:rPr>
                <w:rFonts w:eastAsia="Calibri"/>
                <w:sz w:val="20"/>
              </w:rPr>
              <w:t>MCAP applied for summary judgment dismissing all of the claims against MCAP. </w:t>
            </w:r>
            <w:r w:rsidRPr="00F056F0">
              <w:rPr>
                <w:sz w:val="20"/>
                <w:lang w:eastAsia="en-CA"/>
              </w:rPr>
              <w:t xml:space="preserve"> </w:t>
            </w:r>
            <w:r w:rsidRPr="00F056F0">
              <w:rPr>
                <w:rFonts w:eastAsia="Calibri"/>
                <w:sz w:val="20"/>
              </w:rPr>
              <w:t>The trial judge granted summary judgment and dismissed the action. A majority of the Court of Appeal found that the action presented genuine issues for trial with respect to negligent misrepresentation, claims related to breach of statutory trust and unjust enrichment, and whether MCAP was a “developer”.</w:t>
            </w:r>
          </w:p>
          <w:p w:rsidR="00EF7905" w:rsidRPr="00F056F0" w:rsidRDefault="00EF7905" w:rsidP="00594C0F">
            <w:pPr>
              <w:jc w:val="both"/>
              <w:rPr>
                <w:rFonts w:eastAsia="Calibri"/>
                <w:sz w:val="20"/>
              </w:rPr>
            </w:pPr>
          </w:p>
        </w:tc>
      </w:tr>
      <w:tr w:rsidR="00EF7905" w:rsidRPr="00F056F0" w:rsidTr="00594C0F">
        <w:tc>
          <w:tcPr>
            <w:tcW w:w="2427" w:type="pct"/>
          </w:tcPr>
          <w:p w:rsidR="00EF7905" w:rsidRPr="00F056F0" w:rsidRDefault="00EF7905" w:rsidP="00594C0F">
            <w:pPr>
              <w:jc w:val="both"/>
              <w:rPr>
                <w:rFonts w:eastAsia="Calibri"/>
                <w:sz w:val="20"/>
              </w:rPr>
            </w:pPr>
            <w:r w:rsidRPr="00F056F0">
              <w:rPr>
                <w:rFonts w:eastAsia="Calibri"/>
                <w:sz w:val="20"/>
              </w:rPr>
              <w:t>June 18, 2010</w:t>
            </w:r>
          </w:p>
          <w:p w:rsidR="00EF7905" w:rsidRPr="00F056F0" w:rsidRDefault="00EF7905" w:rsidP="00594C0F">
            <w:pPr>
              <w:jc w:val="both"/>
              <w:rPr>
                <w:rFonts w:eastAsia="Calibri"/>
                <w:sz w:val="20"/>
              </w:rPr>
            </w:pPr>
            <w:r w:rsidRPr="00F056F0">
              <w:rPr>
                <w:rFonts w:eastAsia="Calibri"/>
                <w:sz w:val="20"/>
              </w:rPr>
              <w:t>Court of Queen’s Bench of Alberta</w:t>
            </w:r>
          </w:p>
          <w:p w:rsidR="00EF7905" w:rsidRPr="00F056F0" w:rsidRDefault="00EF7905" w:rsidP="00594C0F">
            <w:pPr>
              <w:jc w:val="both"/>
              <w:rPr>
                <w:rFonts w:eastAsia="Calibri"/>
                <w:sz w:val="20"/>
              </w:rPr>
            </w:pPr>
            <w:r w:rsidRPr="00F056F0">
              <w:rPr>
                <w:rFonts w:eastAsia="Calibri"/>
                <w:sz w:val="20"/>
              </w:rPr>
              <w:t>(Wilkins J.)</w:t>
            </w:r>
          </w:p>
          <w:p w:rsidR="00EF7905" w:rsidRPr="00F056F0" w:rsidRDefault="00EF7905" w:rsidP="00594C0F">
            <w:pPr>
              <w:jc w:val="both"/>
              <w:rPr>
                <w:rFonts w:eastAsia="Calibri"/>
                <w:sz w:val="20"/>
              </w:rPr>
            </w:pPr>
          </w:p>
        </w:tc>
        <w:tc>
          <w:tcPr>
            <w:tcW w:w="243" w:type="pct"/>
          </w:tcPr>
          <w:p w:rsidR="00EF7905" w:rsidRPr="00F056F0" w:rsidRDefault="00EF7905" w:rsidP="00594C0F">
            <w:pPr>
              <w:jc w:val="both"/>
              <w:rPr>
                <w:rFonts w:eastAsia="Calibri"/>
                <w:sz w:val="20"/>
              </w:rPr>
            </w:pPr>
          </w:p>
        </w:tc>
        <w:tc>
          <w:tcPr>
            <w:tcW w:w="2330" w:type="pct"/>
          </w:tcPr>
          <w:p w:rsidR="00EF7905" w:rsidRPr="00F056F0" w:rsidRDefault="00EF7905" w:rsidP="00594C0F">
            <w:pPr>
              <w:jc w:val="both"/>
              <w:rPr>
                <w:rFonts w:eastAsia="Calibri"/>
                <w:sz w:val="20"/>
              </w:rPr>
            </w:pPr>
            <w:r w:rsidRPr="00F056F0">
              <w:rPr>
                <w:rFonts w:eastAsia="Calibri"/>
                <w:sz w:val="20"/>
              </w:rPr>
              <w:t>Summary dismissal granted</w:t>
            </w:r>
          </w:p>
          <w:p w:rsidR="00EF7905" w:rsidRPr="00F056F0" w:rsidRDefault="00EF7905" w:rsidP="00594C0F">
            <w:pPr>
              <w:jc w:val="both"/>
              <w:rPr>
                <w:rFonts w:eastAsia="Calibri"/>
                <w:sz w:val="20"/>
              </w:rPr>
            </w:pPr>
          </w:p>
        </w:tc>
      </w:tr>
      <w:tr w:rsidR="00EF7905" w:rsidRPr="00F056F0" w:rsidTr="00594C0F">
        <w:tc>
          <w:tcPr>
            <w:tcW w:w="2427" w:type="pct"/>
          </w:tcPr>
          <w:p w:rsidR="00EF7905" w:rsidRPr="00F056F0" w:rsidRDefault="00EF7905" w:rsidP="00594C0F">
            <w:pPr>
              <w:jc w:val="both"/>
              <w:rPr>
                <w:rFonts w:eastAsia="Calibri"/>
                <w:sz w:val="20"/>
              </w:rPr>
            </w:pPr>
            <w:r w:rsidRPr="00F056F0">
              <w:rPr>
                <w:rFonts w:eastAsia="Calibri"/>
                <w:sz w:val="20"/>
              </w:rPr>
              <w:t>January 27, 2012</w:t>
            </w:r>
          </w:p>
          <w:p w:rsidR="00EF7905" w:rsidRPr="00F056F0" w:rsidRDefault="00EF7905" w:rsidP="00594C0F">
            <w:pPr>
              <w:jc w:val="both"/>
              <w:rPr>
                <w:rFonts w:eastAsia="Calibri"/>
                <w:sz w:val="20"/>
              </w:rPr>
            </w:pPr>
            <w:r w:rsidRPr="00F056F0">
              <w:rPr>
                <w:rFonts w:eastAsia="Calibri"/>
                <w:sz w:val="20"/>
              </w:rPr>
              <w:t>Court of Appeal of Alberta (Calgary)</w:t>
            </w:r>
          </w:p>
          <w:p w:rsidR="00EF7905" w:rsidRPr="00F056F0" w:rsidRDefault="00EF7905" w:rsidP="00594C0F">
            <w:pPr>
              <w:jc w:val="both"/>
              <w:rPr>
                <w:rFonts w:eastAsia="Calibri"/>
                <w:sz w:val="20"/>
              </w:rPr>
            </w:pPr>
            <w:r w:rsidRPr="00F056F0">
              <w:rPr>
                <w:rFonts w:eastAsia="Calibri"/>
                <w:sz w:val="20"/>
              </w:rPr>
              <w:t>(Fraser C.J.A., Watson and McDonald JJ.A.)</w:t>
            </w:r>
          </w:p>
          <w:p w:rsidR="00EF7905" w:rsidRPr="00F056F0" w:rsidRDefault="00EF7905" w:rsidP="0028080A">
            <w:pPr>
              <w:jc w:val="both"/>
              <w:rPr>
                <w:rFonts w:eastAsia="Calibri"/>
                <w:sz w:val="20"/>
              </w:rPr>
            </w:pPr>
            <w:r w:rsidRPr="00F056F0">
              <w:rPr>
                <w:rFonts w:eastAsia="Calibri"/>
                <w:sz w:val="20"/>
              </w:rPr>
              <w:t>2012 ABCA 26</w:t>
            </w:r>
          </w:p>
        </w:tc>
        <w:tc>
          <w:tcPr>
            <w:tcW w:w="243" w:type="pct"/>
          </w:tcPr>
          <w:p w:rsidR="00EF7905" w:rsidRPr="00F056F0" w:rsidRDefault="00EF7905" w:rsidP="00594C0F">
            <w:pPr>
              <w:jc w:val="both"/>
              <w:rPr>
                <w:rFonts w:eastAsia="Calibri"/>
                <w:sz w:val="20"/>
              </w:rPr>
            </w:pPr>
          </w:p>
        </w:tc>
        <w:tc>
          <w:tcPr>
            <w:tcW w:w="2330" w:type="pct"/>
          </w:tcPr>
          <w:p w:rsidR="00EF7905" w:rsidRPr="00F056F0" w:rsidRDefault="00EF7905" w:rsidP="0028080A">
            <w:pPr>
              <w:jc w:val="both"/>
              <w:rPr>
                <w:rFonts w:eastAsia="Calibri"/>
                <w:sz w:val="20"/>
              </w:rPr>
            </w:pPr>
            <w:r w:rsidRPr="00F056F0">
              <w:rPr>
                <w:rFonts w:eastAsia="Calibri"/>
                <w:sz w:val="20"/>
              </w:rPr>
              <w:t>Appeal allowed in part: claims for negligent misrepresentation, knowing assistance, knowing receipt, unjust enrichment, and the s. 14 developer issue should go to trial</w:t>
            </w:r>
          </w:p>
        </w:tc>
      </w:tr>
    </w:tbl>
    <w:p w:rsidR="0028080A" w:rsidRDefault="0028080A"/>
    <w:p w:rsidR="0028080A" w:rsidRDefault="0028080A">
      <w:r>
        <w:br w:type="page"/>
      </w:r>
    </w:p>
    <w:tbl>
      <w:tblPr>
        <w:tblW w:w="4952" w:type="pct"/>
        <w:tblLayout w:type="fixed"/>
        <w:tblCellMar>
          <w:left w:w="0" w:type="dxa"/>
          <w:bottom w:w="99" w:type="dxa"/>
          <w:right w:w="0" w:type="dxa"/>
        </w:tblCellMar>
        <w:tblLook w:val="04A0"/>
      </w:tblPr>
      <w:tblGrid>
        <w:gridCol w:w="4624"/>
        <w:gridCol w:w="463"/>
        <w:gridCol w:w="4440"/>
      </w:tblGrid>
      <w:tr w:rsidR="00EF7905" w:rsidRPr="00F056F0" w:rsidTr="00594C0F">
        <w:tc>
          <w:tcPr>
            <w:tcW w:w="2427" w:type="pct"/>
          </w:tcPr>
          <w:p w:rsidR="00EF7905" w:rsidRPr="00F056F0" w:rsidRDefault="00EF7905" w:rsidP="00594C0F">
            <w:pPr>
              <w:jc w:val="both"/>
              <w:rPr>
                <w:rFonts w:eastAsia="Calibri"/>
                <w:sz w:val="20"/>
              </w:rPr>
            </w:pPr>
            <w:r w:rsidRPr="00F056F0">
              <w:rPr>
                <w:rFonts w:eastAsia="Calibri"/>
                <w:sz w:val="20"/>
              </w:rPr>
              <w:lastRenderedPageBreak/>
              <w:t>March 27, 2012</w:t>
            </w:r>
          </w:p>
          <w:p w:rsidR="00EF7905" w:rsidRPr="00F056F0" w:rsidRDefault="00EF7905" w:rsidP="00594C0F">
            <w:pPr>
              <w:jc w:val="both"/>
              <w:rPr>
                <w:rFonts w:eastAsia="Calibri"/>
                <w:sz w:val="20"/>
              </w:rPr>
            </w:pPr>
            <w:r w:rsidRPr="00F056F0">
              <w:rPr>
                <w:rFonts w:eastAsia="Calibri"/>
                <w:sz w:val="20"/>
              </w:rPr>
              <w:t>Supreme Court of Canada</w:t>
            </w:r>
          </w:p>
        </w:tc>
        <w:tc>
          <w:tcPr>
            <w:tcW w:w="243" w:type="pct"/>
          </w:tcPr>
          <w:p w:rsidR="00EF7905" w:rsidRPr="00F056F0" w:rsidRDefault="00EF7905" w:rsidP="00594C0F">
            <w:pPr>
              <w:jc w:val="both"/>
              <w:rPr>
                <w:rFonts w:eastAsia="Calibri"/>
                <w:sz w:val="20"/>
              </w:rPr>
            </w:pPr>
          </w:p>
        </w:tc>
        <w:tc>
          <w:tcPr>
            <w:tcW w:w="2330" w:type="pct"/>
          </w:tcPr>
          <w:p w:rsidR="00EF7905" w:rsidRPr="00F056F0" w:rsidRDefault="00EF7905" w:rsidP="00594C0F">
            <w:pPr>
              <w:jc w:val="both"/>
              <w:rPr>
                <w:rFonts w:eastAsia="Calibri"/>
                <w:sz w:val="20"/>
              </w:rPr>
            </w:pPr>
            <w:r w:rsidRPr="00F056F0">
              <w:rPr>
                <w:rFonts w:eastAsia="Calibri"/>
                <w:sz w:val="20"/>
              </w:rPr>
              <w:t>Application for leave to appeal filed</w:t>
            </w: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44"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F7905" w:rsidRPr="003935EC" w:rsidTr="00594C0F">
        <w:tc>
          <w:tcPr>
            <w:tcW w:w="5000" w:type="pct"/>
            <w:gridSpan w:val="3"/>
          </w:tcPr>
          <w:p w:rsidR="00EF7905" w:rsidRPr="00F056F0" w:rsidRDefault="00EF7905" w:rsidP="00594C0F">
            <w:pPr>
              <w:jc w:val="both"/>
              <w:rPr>
                <w:rFonts w:eastAsia="Calibri"/>
                <w:sz w:val="20"/>
                <w:lang w:val="fr-CA"/>
              </w:rPr>
            </w:pPr>
            <w:r w:rsidRPr="00F056F0">
              <w:rPr>
                <w:rFonts w:eastAsia="Calibri"/>
                <w:sz w:val="20"/>
                <w:lang w:val="fr-CA"/>
              </w:rPr>
              <w:t>Droit procédural — Jugement sommaire — Droit de biens — Condominiums — Aménagement de condominiums — Financement — Le jugement sommaire soulève</w:t>
            </w:r>
            <w:r w:rsidRPr="00F056F0">
              <w:rPr>
                <w:rFonts w:eastAsia="Calibri"/>
                <w:sz w:val="20"/>
                <w:lang w:val="fr-CA"/>
              </w:rPr>
              <w:noBreakHyphen/>
              <w:t>t</w:t>
            </w:r>
            <w:r w:rsidRPr="00F056F0">
              <w:rPr>
                <w:rFonts w:eastAsia="Calibri"/>
                <w:sz w:val="20"/>
                <w:lang w:val="fr-CA"/>
              </w:rPr>
              <w:noBreakHyphen/>
              <w:t>il des questions d’importance pour le public ou des questions d’importance nationale? — La Cour d’appel a</w:t>
            </w:r>
            <w:r w:rsidRPr="00F056F0">
              <w:rPr>
                <w:rFonts w:eastAsia="Calibri"/>
                <w:sz w:val="20"/>
                <w:lang w:val="fr-CA"/>
              </w:rPr>
              <w:noBreakHyphen/>
              <w:t>t</w:t>
            </w:r>
            <w:r w:rsidRPr="00F056F0">
              <w:rPr>
                <w:rFonts w:eastAsia="Calibri"/>
                <w:sz w:val="20"/>
                <w:lang w:val="fr-CA"/>
              </w:rPr>
              <w:noBreakHyphen/>
              <w:t>elle eu tort de conclure implicitement qu’il y faut faire abstraction de considérations de politique qui écartent l’obligation de diligence dans une affaire de négligence ordinaire lorsqu’il s’agit d’évaluer le bien</w:t>
            </w:r>
            <w:r w:rsidRPr="00F056F0">
              <w:rPr>
                <w:rFonts w:eastAsia="Calibri"/>
                <w:sz w:val="20"/>
                <w:lang w:val="fr-CA"/>
              </w:rPr>
              <w:noBreakHyphen/>
              <w:t>fondé d’une demande en déclaration inexacte faite par négligence? — La Cour d’appel a</w:t>
            </w:r>
            <w:r w:rsidRPr="00F056F0">
              <w:rPr>
                <w:rFonts w:eastAsia="Calibri"/>
                <w:sz w:val="20"/>
                <w:lang w:val="fr-CA"/>
              </w:rPr>
              <w:noBreakHyphen/>
              <w:t>t</w:t>
            </w:r>
            <w:r w:rsidRPr="00F056F0">
              <w:rPr>
                <w:rFonts w:eastAsia="Calibri"/>
                <w:sz w:val="20"/>
                <w:lang w:val="fr-CA"/>
              </w:rPr>
              <w:noBreakHyphen/>
              <w:t>elle eu tort de ne pas conclure que la demande en déclaration inexacte faite par négligence devait être rejetée faute de preuve d’acte de confiance préjudiciable de la part de Condo Corp. et du copropriétaire qui représente le groupe de demandeurs?</w:t>
            </w:r>
          </w:p>
        </w:tc>
      </w:tr>
      <w:tr w:rsidR="00EF7905" w:rsidRPr="003935EC" w:rsidTr="00594C0F">
        <w:tc>
          <w:tcPr>
            <w:tcW w:w="5000" w:type="pct"/>
            <w:gridSpan w:val="3"/>
          </w:tcPr>
          <w:p w:rsidR="00EF7905" w:rsidRPr="00F056F0" w:rsidRDefault="00EF7905" w:rsidP="00594C0F">
            <w:pPr>
              <w:jc w:val="both"/>
              <w:rPr>
                <w:rFonts w:eastAsia="Calibri"/>
                <w:sz w:val="20"/>
                <w:lang w:val="fr-CA"/>
              </w:rPr>
            </w:pPr>
          </w:p>
        </w:tc>
      </w:tr>
      <w:tr w:rsidR="00EF7905" w:rsidRPr="003935EC" w:rsidTr="00594C0F">
        <w:tc>
          <w:tcPr>
            <w:tcW w:w="5000" w:type="pct"/>
            <w:gridSpan w:val="3"/>
          </w:tcPr>
          <w:p w:rsidR="00EF7905" w:rsidRPr="00F056F0" w:rsidRDefault="00EF7905" w:rsidP="00594C0F">
            <w:pPr>
              <w:jc w:val="both"/>
              <w:rPr>
                <w:rFonts w:eastAsia="Calibri"/>
                <w:sz w:val="20"/>
                <w:lang w:val="fr-CA"/>
              </w:rPr>
            </w:pPr>
            <w:r w:rsidRPr="00F056F0">
              <w:rPr>
                <w:rFonts w:eastAsia="Calibri"/>
                <w:sz w:val="20"/>
                <w:lang w:val="fr-CA"/>
              </w:rPr>
              <w:t>L’intimée Condominium Corporation No. 0321365 (« Condo Corp. ») est propriétaire des parties communes d’un complexe de condominiums de sept édifices et de 168 unités à Fort McMurray.  Real Estate Strategies Group Inc. avait travaillé avec les acheteurs de 72 des unités et les avait aidés en quelque sorte.  Condo Corp. et le copropriétaire qui représente le groupe de demandeurs ont intenté une poursuite en dommages</w:t>
            </w:r>
            <w:r w:rsidRPr="00F056F0">
              <w:rPr>
                <w:rFonts w:eastAsia="Calibri"/>
                <w:sz w:val="20"/>
                <w:lang w:val="fr-CA"/>
              </w:rPr>
              <w:noBreakHyphen/>
              <w:t>intérêts pour vice de conception et de construction.  Les défenderesses comprenaient notamment 970365 Alberta Ltd., (« 970365 »), le promoteur du projet et MCAP Financial Corporation (« MCAP »), qui avaient fourni à 970365 du financement provisoire pour le projet.  Dans la poursuite, il est allégué que le projet comportait plusieurs problèmes graves, notamment que les unités du projet de condo et les parties communes connexes n’avaient pas été quasi</w:t>
            </w:r>
            <w:r w:rsidRPr="00F056F0">
              <w:rPr>
                <w:rFonts w:eastAsia="Calibri"/>
                <w:sz w:val="20"/>
                <w:lang w:val="fr-CA"/>
              </w:rPr>
              <w:noBreakHyphen/>
              <w:t xml:space="preserve">achevés au moment du transfert, ce qui a déclenché certaines protections légales en faveur des acheteurs sous le régime de la </w:t>
            </w:r>
            <w:r w:rsidRPr="00F056F0">
              <w:rPr>
                <w:rFonts w:eastAsia="Calibri"/>
                <w:i/>
                <w:sz w:val="20"/>
                <w:lang w:val="fr-CA"/>
              </w:rPr>
              <w:t>Condominium Property Act</w:t>
            </w:r>
            <w:r w:rsidRPr="00F056F0">
              <w:rPr>
                <w:rFonts w:eastAsia="Calibri"/>
                <w:sz w:val="20"/>
                <w:lang w:val="fr-CA"/>
              </w:rPr>
              <w:t>, R.S.A. 2000, ch. C</w:t>
            </w:r>
            <w:r w:rsidRPr="00F056F0">
              <w:rPr>
                <w:rFonts w:eastAsia="Calibri"/>
                <w:sz w:val="20"/>
                <w:lang w:val="fr-CA"/>
              </w:rPr>
              <w:noBreakHyphen/>
              <w:t>22.</w:t>
            </w:r>
          </w:p>
          <w:p w:rsidR="00EF7905" w:rsidRPr="00F056F0" w:rsidRDefault="00EF7905" w:rsidP="00594C0F">
            <w:pPr>
              <w:jc w:val="both"/>
              <w:rPr>
                <w:rFonts w:eastAsia="Calibri"/>
                <w:sz w:val="20"/>
                <w:lang w:val="fr-CA"/>
              </w:rPr>
            </w:pPr>
          </w:p>
          <w:p w:rsidR="00EF7905" w:rsidRPr="00F056F0" w:rsidRDefault="00EF7905" w:rsidP="00594C0F">
            <w:pPr>
              <w:jc w:val="both"/>
              <w:rPr>
                <w:rFonts w:eastAsia="Calibri"/>
                <w:sz w:val="20"/>
                <w:lang w:val="fr-CA"/>
              </w:rPr>
            </w:pPr>
            <w:r w:rsidRPr="00F056F0">
              <w:rPr>
                <w:rFonts w:eastAsia="Calibri"/>
                <w:sz w:val="20"/>
                <w:lang w:val="fr-CA"/>
              </w:rPr>
              <w:t>MCAP a demandé le rejet par jugement sommaire de toutes les demandes contre elle.</w:t>
            </w:r>
            <w:r w:rsidRPr="00F056F0">
              <w:rPr>
                <w:rFonts w:eastAsia="Calibri"/>
                <w:sz w:val="20"/>
                <w:lang w:val="fr-CA" w:eastAsia="en-CA"/>
              </w:rPr>
              <w:t xml:space="preserve">  </w:t>
            </w:r>
            <w:r w:rsidRPr="00F056F0">
              <w:rPr>
                <w:rFonts w:eastAsia="Calibri"/>
                <w:sz w:val="20"/>
                <w:lang w:val="fr-CA"/>
              </w:rPr>
              <w:t>Le juge de première instance a rejeté l’action par jugement sommaire.  Les juges majoritaires de la Cour d’appel ont conclu que l’action soulevait de véritables questions litigieuses relativement à la déclaration inexacte faite par négligence, aux allégations liées à la violation d’une fiducie d’origine législative et à l’enrichissement injustifié et à la question de savoir si MCAP était un « promoteur ».</w:t>
            </w:r>
          </w:p>
          <w:p w:rsidR="00EF7905" w:rsidRPr="00F056F0" w:rsidRDefault="00EF7905" w:rsidP="00594C0F">
            <w:pPr>
              <w:jc w:val="both"/>
              <w:rPr>
                <w:rFonts w:eastAsia="Calibri"/>
                <w:sz w:val="20"/>
                <w:lang w:val="fr-CA"/>
              </w:rPr>
            </w:pPr>
          </w:p>
        </w:tc>
      </w:tr>
      <w:tr w:rsidR="00EF7905" w:rsidRPr="00F056F0" w:rsidTr="00594C0F">
        <w:tc>
          <w:tcPr>
            <w:tcW w:w="2427" w:type="pct"/>
          </w:tcPr>
          <w:p w:rsidR="00EF7905" w:rsidRPr="00F056F0" w:rsidRDefault="00EF7905" w:rsidP="00594C0F">
            <w:pPr>
              <w:jc w:val="both"/>
              <w:rPr>
                <w:rFonts w:eastAsia="Calibri"/>
                <w:sz w:val="20"/>
                <w:lang w:val="fr-CA"/>
              </w:rPr>
            </w:pPr>
            <w:r w:rsidRPr="00F056F0">
              <w:rPr>
                <w:rFonts w:eastAsia="Calibri"/>
                <w:sz w:val="20"/>
                <w:lang w:val="fr-CA"/>
              </w:rPr>
              <w:t>18 juin 2010</w:t>
            </w:r>
          </w:p>
          <w:p w:rsidR="00EF7905" w:rsidRPr="00F056F0" w:rsidRDefault="00EF7905" w:rsidP="00594C0F">
            <w:pPr>
              <w:jc w:val="both"/>
              <w:rPr>
                <w:rFonts w:eastAsia="Calibri"/>
                <w:sz w:val="20"/>
                <w:lang w:val="fr-CA"/>
              </w:rPr>
            </w:pPr>
            <w:r w:rsidRPr="00F056F0">
              <w:rPr>
                <w:rFonts w:eastAsia="Calibri"/>
                <w:sz w:val="20"/>
                <w:lang w:val="fr-CA"/>
              </w:rPr>
              <w:t>Cour du Banc de la Reine de l’Alberta</w:t>
            </w:r>
          </w:p>
          <w:p w:rsidR="00EF7905" w:rsidRPr="00F056F0" w:rsidRDefault="00EF7905" w:rsidP="00594C0F">
            <w:pPr>
              <w:jc w:val="both"/>
              <w:rPr>
                <w:rFonts w:eastAsia="Calibri"/>
                <w:sz w:val="20"/>
                <w:lang w:val="fr-CA"/>
              </w:rPr>
            </w:pPr>
            <w:r w:rsidRPr="00F056F0">
              <w:rPr>
                <w:rFonts w:eastAsia="Calibri"/>
                <w:sz w:val="20"/>
                <w:lang w:val="fr-CA"/>
              </w:rPr>
              <w:t>(Juge Wilkins)</w:t>
            </w:r>
          </w:p>
          <w:p w:rsidR="00EF7905" w:rsidRPr="00F056F0" w:rsidRDefault="00EF7905" w:rsidP="00594C0F">
            <w:pPr>
              <w:jc w:val="both"/>
              <w:rPr>
                <w:rFonts w:eastAsia="Calibri"/>
                <w:sz w:val="20"/>
                <w:lang w:val="fr-CA"/>
              </w:rPr>
            </w:pPr>
          </w:p>
        </w:tc>
        <w:tc>
          <w:tcPr>
            <w:tcW w:w="243" w:type="pct"/>
          </w:tcPr>
          <w:p w:rsidR="00EF7905" w:rsidRPr="00F056F0" w:rsidRDefault="00EF7905" w:rsidP="00594C0F">
            <w:pPr>
              <w:jc w:val="both"/>
              <w:rPr>
                <w:rFonts w:eastAsia="Calibri"/>
                <w:sz w:val="20"/>
                <w:lang w:val="fr-CA"/>
              </w:rPr>
            </w:pPr>
          </w:p>
        </w:tc>
        <w:tc>
          <w:tcPr>
            <w:tcW w:w="2330" w:type="pct"/>
          </w:tcPr>
          <w:p w:rsidR="00EF7905" w:rsidRPr="00F056F0" w:rsidRDefault="00EF7905" w:rsidP="00594C0F">
            <w:pPr>
              <w:jc w:val="both"/>
              <w:rPr>
                <w:rFonts w:eastAsia="Calibri"/>
                <w:sz w:val="20"/>
                <w:lang w:val="fr-CA"/>
              </w:rPr>
            </w:pPr>
            <w:r w:rsidRPr="00F056F0">
              <w:rPr>
                <w:rFonts w:eastAsia="Calibri"/>
                <w:sz w:val="20"/>
                <w:lang w:val="fr-CA"/>
              </w:rPr>
              <w:t>Rejet sommaire prononcé</w:t>
            </w:r>
          </w:p>
          <w:p w:rsidR="00EF7905" w:rsidRPr="00F056F0" w:rsidRDefault="00EF7905" w:rsidP="00594C0F">
            <w:pPr>
              <w:jc w:val="both"/>
              <w:rPr>
                <w:rFonts w:eastAsia="Calibri"/>
                <w:sz w:val="20"/>
                <w:lang w:val="fr-CA"/>
              </w:rPr>
            </w:pPr>
          </w:p>
        </w:tc>
      </w:tr>
      <w:tr w:rsidR="00EF7905" w:rsidRPr="003935EC" w:rsidTr="00594C0F">
        <w:tc>
          <w:tcPr>
            <w:tcW w:w="2427" w:type="pct"/>
          </w:tcPr>
          <w:p w:rsidR="00EF7905" w:rsidRPr="00F056F0" w:rsidRDefault="00EF7905" w:rsidP="00594C0F">
            <w:pPr>
              <w:jc w:val="both"/>
              <w:rPr>
                <w:rFonts w:eastAsia="Calibri"/>
                <w:sz w:val="20"/>
                <w:lang w:val="fr-CA"/>
              </w:rPr>
            </w:pPr>
            <w:r w:rsidRPr="00F056F0">
              <w:rPr>
                <w:rFonts w:eastAsia="Calibri"/>
                <w:sz w:val="20"/>
                <w:lang w:val="fr-CA"/>
              </w:rPr>
              <w:t>27 janvier 2012</w:t>
            </w:r>
          </w:p>
          <w:p w:rsidR="00EF7905" w:rsidRPr="00F056F0" w:rsidRDefault="00EF7905" w:rsidP="00594C0F">
            <w:pPr>
              <w:jc w:val="both"/>
              <w:rPr>
                <w:rFonts w:eastAsia="Calibri"/>
                <w:sz w:val="20"/>
                <w:lang w:val="fr-CA"/>
              </w:rPr>
            </w:pPr>
            <w:r w:rsidRPr="00F056F0">
              <w:rPr>
                <w:rFonts w:eastAsia="Calibri"/>
                <w:sz w:val="20"/>
                <w:lang w:val="fr-CA"/>
              </w:rPr>
              <w:t>Cour d’appel de l’Alberta (Calgary)</w:t>
            </w:r>
          </w:p>
          <w:p w:rsidR="00EF7905" w:rsidRPr="00F056F0" w:rsidRDefault="00EF7905" w:rsidP="00594C0F">
            <w:pPr>
              <w:jc w:val="both"/>
              <w:rPr>
                <w:rFonts w:eastAsia="Calibri"/>
                <w:sz w:val="20"/>
                <w:lang w:val="fr-CA"/>
              </w:rPr>
            </w:pPr>
            <w:r w:rsidRPr="00F056F0">
              <w:rPr>
                <w:rFonts w:eastAsia="Calibri"/>
                <w:sz w:val="20"/>
                <w:lang w:val="fr-CA"/>
              </w:rPr>
              <w:t>(Juge en chef Fraser, juges Watson et McDonald)</w:t>
            </w:r>
          </w:p>
          <w:p w:rsidR="00EF7905" w:rsidRPr="00F056F0" w:rsidRDefault="00EF7905" w:rsidP="00594C0F">
            <w:pPr>
              <w:jc w:val="both"/>
              <w:rPr>
                <w:rFonts w:eastAsia="Calibri"/>
                <w:sz w:val="20"/>
                <w:lang w:val="fr-CA"/>
              </w:rPr>
            </w:pPr>
            <w:r w:rsidRPr="00F056F0">
              <w:rPr>
                <w:rFonts w:eastAsia="Calibri"/>
                <w:sz w:val="20"/>
                <w:lang w:val="fr-CA"/>
              </w:rPr>
              <w:t>2012 ABCA 26</w:t>
            </w:r>
          </w:p>
          <w:p w:rsidR="00EF7905" w:rsidRPr="00F056F0" w:rsidRDefault="00EF7905" w:rsidP="00594C0F">
            <w:pPr>
              <w:jc w:val="both"/>
              <w:rPr>
                <w:rFonts w:eastAsia="Calibri"/>
                <w:sz w:val="20"/>
                <w:lang w:val="fr-CA"/>
              </w:rPr>
            </w:pPr>
          </w:p>
        </w:tc>
        <w:tc>
          <w:tcPr>
            <w:tcW w:w="243" w:type="pct"/>
          </w:tcPr>
          <w:p w:rsidR="00EF7905" w:rsidRPr="00F056F0" w:rsidRDefault="00EF7905" w:rsidP="00594C0F">
            <w:pPr>
              <w:jc w:val="both"/>
              <w:rPr>
                <w:rFonts w:eastAsia="Calibri"/>
                <w:sz w:val="20"/>
                <w:lang w:val="fr-CA"/>
              </w:rPr>
            </w:pPr>
          </w:p>
        </w:tc>
        <w:tc>
          <w:tcPr>
            <w:tcW w:w="2330" w:type="pct"/>
          </w:tcPr>
          <w:p w:rsidR="00EF7905" w:rsidRPr="00F056F0" w:rsidRDefault="00EF7905" w:rsidP="00594C0F">
            <w:pPr>
              <w:jc w:val="both"/>
              <w:rPr>
                <w:rFonts w:eastAsia="Calibri"/>
                <w:sz w:val="20"/>
                <w:lang w:val="fr-CA"/>
              </w:rPr>
            </w:pPr>
            <w:r w:rsidRPr="00F056F0">
              <w:rPr>
                <w:rFonts w:eastAsia="Calibri"/>
                <w:sz w:val="20"/>
                <w:lang w:val="fr-CA"/>
              </w:rPr>
              <w:t>Appel accueilli en partie : les demandes en déclaration inexacte faite par négligence, aide apportée en connaissance de cause, réception en connaissance de cause, enrichissement injustifié et la question relative au statut de promoteur en application de l’art. 14 devraient être tranchées à l’issue d’un procès</w:t>
            </w:r>
          </w:p>
          <w:p w:rsidR="00EF7905" w:rsidRPr="00F056F0" w:rsidRDefault="00EF7905" w:rsidP="00594C0F">
            <w:pPr>
              <w:jc w:val="both"/>
              <w:rPr>
                <w:rFonts w:eastAsia="Calibri"/>
                <w:sz w:val="20"/>
                <w:lang w:val="fr-CA"/>
              </w:rPr>
            </w:pPr>
          </w:p>
        </w:tc>
      </w:tr>
      <w:tr w:rsidR="00EF7905" w:rsidRPr="00F056F0" w:rsidTr="00594C0F">
        <w:tc>
          <w:tcPr>
            <w:tcW w:w="2427" w:type="pct"/>
          </w:tcPr>
          <w:p w:rsidR="00EF7905" w:rsidRPr="00F056F0" w:rsidRDefault="00EF7905" w:rsidP="00594C0F">
            <w:pPr>
              <w:jc w:val="both"/>
              <w:rPr>
                <w:rFonts w:eastAsia="Calibri"/>
                <w:sz w:val="20"/>
                <w:lang w:val="fr-CA"/>
              </w:rPr>
            </w:pPr>
            <w:r w:rsidRPr="00F056F0">
              <w:rPr>
                <w:rFonts w:eastAsia="Calibri"/>
                <w:sz w:val="20"/>
                <w:lang w:val="fr-CA"/>
              </w:rPr>
              <w:t>27 mars 2012</w:t>
            </w:r>
          </w:p>
          <w:p w:rsidR="00EF7905" w:rsidRPr="00F056F0" w:rsidRDefault="00EF7905" w:rsidP="00594C0F">
            <w:pPr>
              <w:jc w:val="both"/>
              <w:rPr>
                <w:rFonts w:eastAsia="Calibri"/>
                <w:sz w:val="20"/>
                <w:lang w:val="fr-CA"/>
              </w:rPr>
            </w:pPr>
            <w:r w:rsidRPr="00F056F0">
              <w:rPr>
                <w:rFonts w:eastAsia="Calibri"/>
                <w:sz w:val="20"/>
                <w:lang w:val="fr-CA"/>
              </w:rPr>
              <w:t>Cour suprême du Canada</w:t>
            </w:r>
          </w:p>
        </w:tc>
        <w:tc>
          <w:tcPr>
            <w:tcW w:w="243" w:type="pct"/>
          </w:tcPr>
          <w:p w:rsidR="00EF7905" w:rsidRPr="00F056F0" w:rsidRDefault="00EF7905" w:rsidP="00594C0F">
            <w:pPr>
              <w:jc w:val="both"/>
              <w:rPr>
                <w:rFonts w:eastAsia="Calibri"/>
                <w:sz w:val="20"/>
                <w:lang w:val="fr-CA"/>
              </w:rPr>
            </w:pPr>
          </w:p>
        </w:tc>
        <w:tc>
          <w:tcPr>
            <w:tcW w:w="2330" w:type="pct"/>
          </w:tcPr>
          <w:p w:rsidR="00EF7905" w:rsidRPr="00F056F0" w:rsidRDefault="00EF7905" w:rsidP="00594C0F">
            <w:pPr>
              <w:jc w:val="both"/>
              <w:rPr>
                <w:rFonts w:eastAsia="Calibri"/>
                <w:sz w:val="20"/>
                <w:lang w:val="fr-CA"/>
              </w:rPr>
            </w:pPr>
            <w:r w:rsidRPr="00F056F0">
              <w:rPr>
                <w:rFonts w:eastAsia="Calibri"/>
                <w:sz w:val="20"/>
                <w:lang w:val="fr-CA"/>
              </w:rPr>
              <w:t>Demande d’autorisation d’appel, déposée</w:t>
            </w:r>
          </w:p>
        </w:tc>
      </w:tr>
    </w:tbl>
    <w:p w:rsidR="005F361C" w:rsidRDefault="005F361C" w:rsidP="008D292F">
      <w:pPr>
        <w:rPr>
          <w:sz w:val="20"/>
          <w:szCs w:val="20"/>
        </w:rPr>
      </w:pPr>
    </w:p>
    <w:p w:rsidR="005F361C" w:rsidRDefault="002B77C5" w:rsidP="008D292F">
      <w:pPr>
        <w:rPr>
          <w:sz w:val="20"/>
          <w:szCs w:val="20"/>
        </w:rPr>
      </w:pPr>
      <w:r w:rsidRPr="002B77C5">
        <w:rPr>
          <w:sz w:val="20"/>
          <w:szCs w:val="20"/>
          <w:lang w:val="fr-CA"/>
        </w:rPr>
        <w:pict>
          <v:rect id="_x0000_i1045" style="width:2in;height:1pt" o:hrpct="0" o:hralign="center" o:hrstd="t" o:hrnoshade="t" o:hr="t" fillcolor="black [3213]" stroked="f"/>
        </w:pict>
      </w:r>
    </w:p>
    <w:p w:rsidR="00E61DD3" w:rsidRDefault="00E61DD3">
      <w:pPr>
        <w:rPr>
          <w:sz w:val="20"/>
          <w:szCs w:val="20"/>
        </w:rPr>
      </w:pPr>
    </w:p>
    <w:p w:rsidR="00E61DD3" w:rsidRDefault="00E61DD3">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1DD3" w:rsidRPr="003935EC" w:rsidTr="00594C0F">
        <w:trPr>
          <w:cantSplit/>
        </w:trPr>
        <w:tc>
          <w:tcPr>
            <w:tcW w:w="1458" w:type="dxa"/>
          </w:tcPr>
          <w:p w:rsidR="00E61DD3" w:rsidRPr="00303448" w:rsidRDefault="00E61DD3" w:rsidP="00594C0F">
            <w:pPr>
              <w:rPr>
                <w:sz w:val="20"/>
                <w:szCs w:val="20"/>
              </w:rPr>
            </w:pPr>
            <w:r w:rsidRPr="00303448">
              <w:rPr>
                <w:rStyle w:val="SCCFileNumberChar"/>
                <w:sz w:val="20"/>
                <w:szCs w:val="20"/>
              </w:rPr>
              <w:lastRenderedPageBreak/>
              <w:t>34795</w:t>
            </w:r>
          </w:p>
          <w:p w:rsidR="00E61DD3" w:rsidRPr="00303448" w:rsidRDefault="00E61DD3" w:rsidP="00594C0F">
            <w:pPr>
              <w:rPr>
                <w:b/>
                <w:sz w:val="20"/>
                <w:szCs w:val="20"/>
                <w:lang w:val="fr-CA"/>
              </w:rPr>
            </w:pPr>
          </w:p>
        </w:tc>
        <w:tc>
          <w:tcPr>
            <w:tcW w:w="8118" w:type="dxa"/>
          </w:tcPr>
          <w:p w:rsidR="00E61DD3" w:rsidRPr="00303448" w:rsidRDefault="00E61DD3" w:rsidP="00594C0F">
            <w:pPr>
              <w:rPr>
                <w:sz w:val="20"/>
                <w:szCs w:val="20"/>
                <w:lang w:val="fr-CA"/>
              </w:rPr>
            </w:pPr>
            <w:r w:rsidRPr="00303448">
              <w:rPr>
                <w:rStyle w:val="SCCLsocChar"/>
                <w:sz w:val="20"/>
                <w:szCs w:val="20"/>
              </w:rPr>
              <w:t>3028879 Canada inc. c. Gaston Malette</w:t>
            </w:r>
            <w:r w:rsidRPr="00303448">
              <w:rPr>
                <w:sz w:val="20"/>
                <w:szCs w:val="20"/>
                <w:lang w:val="fr-CA"/>
              </w:rPr>
              <w:t xml:space="preserve"> (Qc) (Civile) (Autorisation)</w:t>
            </w:r>
          </w:p>
          <w:p w:rsidR="00E61DD3" w:rsidRPr="00303448" w:rsidRDefault="00E61DD3" w:rsidP="00594C0F">
            <w:pPr>
              <w:rPr>
                <w:sz w:val="20"/>
                <w:szCs w:val="20"/>
                <w:lang w:val="fr-CA"/>
              </w:rPr>
            </w:pPr>
          </w:p>
        </w:tc>
      </w:tr>
      <w:tr w:rsidR="00E61DD3" w:rsidRPr="003935EC" w:rsidTr="00594C0F">
        <w:trPr>
          <w:cantSplit/>
        </w:trPr>
        <w:tc>
          <w:tcPr>
            <w:tcW w:w="1458" w:type="dxa"/>
          </w:tcPr>
          <w:p w:rsidR="00E61DD3" w:rsidRPr="00303448" w:rsidRDefault="00E61DD3" w:rsidP="00594C0F">
            <w:pPr>
              <w:rPr>
                <w:sz w:val="20"/>
                <w:szCs w:val="20"/>
              </w:rPr>
            </w:pPr>
            <w:r w:rsidRPr="00303448">
              <w:rPr>
                <w:sz w:val="20"/>
                <w:szCs w:val="20"/>
              </w:rPr>
              <w:t>Coram :</w:t>
            </w:r>
          </w:p>
        </w:tc>
        <w:tc>
          <w:tcPr>
            <w:tcW w:w="8118" w:type="dxa"/>
          </w:tcPr>
          <w:p w:rsidR="00E61DD3" w:rsidRPr="00303448" w:rsidRDefault="00E61DD3" w:rsidP="00594C0F">
            <w:pPr>
              <w:rPr>
                <w:sz w:val="20"/>
                <w:szCs w:val="20"/>
                <w:lang w:val="fr-CA"/>
              </w:rPr>
            </w:pPr>
            <w:r w:rsidRPr="00303448">
              <w:rPr>
                <w:rStyle w:val="SCCCoramChar"/>
                <w:sz w:val="20"/>
                <w:szCs w:val="20"/>
              </w:rPr>
              <w:t>Les juges LeBel, Abella et Cromwell</w:t>
            </w:r>
          </w:p>
          <w:p w:rsidR="00E61DD3" w:rsidRPr="00303448" w:rsidRDefault="00E61DD3" w:rsidP="00594C0F">
            <w:pPr>
              <w:rPr>
                <w:sz w:val="20"/>
                <w:szCs w:val="20"/>
                <w:u w:val="single"/>
                <w:lang w:val="fr-CA"/>
              </w:rPr>
            </w:pPr>
          </w:p>
        </w:tc>
      </w:tr>
      <w:tr w:rsidR="00E61DD3" w:rsidRPr="00303448" w:rsidTr="00594C0F">
        <w:trPr>
          <w:cantSplit/>
        </w:trPr>
        <w:tc>
          <w:tcPr>
            <w:tcW w:w="9576" w:type="dxa"/>
            <w:gridSpan w:val="2"/>
          </w:tcPr>
          <w:p w:rsidR="00E61DD3" w:rsidRPr="00303448" w:rsidRDefault="00E61DD3" w:rsidP="00594C0F">
            <w:pPr>
              <w:pStyle w:val="SCCShortJudgment"/>
              <w:rPr>
                <w:szCs w:val="20"/>
                <w:lang w:val="fr-CA"/>
              </w:rPr>
            </w:pPr>
            <w:r w:rsidRPr="00303448">
              <w:rPr>
                <w:szCs w:val="20"/>
                <w:lang w:val="fr-CA"/>
              </w:rPr>
              <w:t>La demande d’autorisation d’appel de l’arrêt de la Cour d’appel du Québec (Montréal), numéro 500-09-020631-107, 2012 QCCA 382, daté du 28 février 2012, est rejetée avec dépens.</w:t>
            </w:r>
          </w:p>
          <w:p w:rsidR="00E61DD3" w:rsidRPr="00303448" w:rsidRDefault="00E61DD3" w:rsidP="00594C0F">
            <w:pPr>
              <w:pStyle w:val="SCCShortJudgment"/>
              <w:ind w:firstLine="0"/>
              <w:rPr>
                <w:szCs w:val="20"/>
                <w:lang w:val="fr-CA"/>
              </w:rPr>
            </w:pPr>
          </w:p>
          <w:p w:rsidR="00E61DD3" w:rsidRPr="00303448" w:rsidRDefault="00E61DD3" w:rsidP="00594C0F">
            <w:pPr>
              <w:pStyle w:val="SCCShortJudgment"/>
              <w:rPr>
                <w:szCs w:val="20"/>
              </w:rPr>
            </w:pPr>
            <w:r w:rsidRPr="00303448">
              <w:rPr>
                <w:szCs w:val="20"/>
              </w:rPr>
              <w:t>The application for leave to appeal from the judgment of the Court of Appeal of Quebec (Montréal), Number 500-09-020631-107, 2012 QCCA 382, dated February 28, 2012, is dismissed with costs.</w:t>
            </w:r>
          </w:p>
        </w:tc>
      </w:tr>
    </w:tbl>
    <w:p w:rsidR="00A921C3" w:rsidRDefault="00A921C3" w:rsidP="005F361C">
      <w:pPr>
        <w:rPr>
          <w:sz w:val="20"/>
          <w:szCs w:val="20"/>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921C3" w:rsidRPr="00F056F0" w:rsidTr="00594C0F">
        <w:tc>
          <w:tcPr>
            <w:tcW w:w="5000" w:type="pct"/>
            <w:gridSpan w:val="3"/>
          </w:tcPr>
          <w:p w:rsidR="00A921C3" w:rsidRPr="00F056F0" w:rsidRDefault="00A921C3" w:rsidP="00594C0F">
            <w:pPr>
              <w:jc w:val="both"/>
              <w:rPr>
                <w:rFonts w:eastAsia="Calibri"/>
                <w:sz w:val="20"/>
              </w:rPr>
            </w:pPr>
            <w:r w:rsidRPr="00F056F0">
              <w:rPr>
                <w:rFonts w:eastAsia="Calibri"/>
                <w:sz w:val="20"/>
              </w:rPr>
              <w:t>Civil law — Contracts — Suretyship — Financing — Whether Court of Appeal erred in holding that  conclusion of “Intercreditor Agreement” depended on its being signed by CIT Business Credit Canada Inc. — Whether Court of Appeal erred in finding that suspensive condition of suretyship was not fulfilled.</w:t>
            </w:r>
          </w:p>
        </w:tc>
      </w:tr>
      <w:tr w:rsidR="00A921C3" w:rsidRPr="00F056F0" w:rsidTr="00594C0F">
        <w:tc>
          <w:tcPr>
            <w:tcW w:w="5000" w:type="pct"/>
            <w:gridSpan w:val="3"/>
          </w:tcPr>
          <w:p w:rsidR="00A921C3" w:rsidRPr="00F056F0" w:rsidRDefault="00A921C3" w:rsidP="00594C0F">
            <w:pPr>
              <w:jc w:val="both"/>
              <w:rPr>
                <w:rFonts w:eastAsia="Calibri"/>
                <w:sz w:val="20"/>
              </w:rPr>
            </w:pPr>
          </w:p>
        </w:tc>
      </w:tr>
      <w:tr w:rsidR="00A921C3" w:rsidRPr="00F056F0" w:rsidTr="00594C0F">
        <w:tc>
          <w:tcPr>
            <w:tcW w:w="5000" w:type="pct"/>
            <w:gridSpan w:val="3"/>
          </w:tcPr>
          <w:p w:rsidR="00A921C3" w:rsidRPr="00F056F0" w:rsidRDefault="00A921C3" w:rsidP="00594C0F">
            <w:pPr>
              <w:jc w:val="both"/>
              <w:rPr>
                <w:sz w:val="20"/>
              </w:rPr>
            </w:pPr>
            <w:r w:rsidRPr="00F056F0">
              <w:rPr>
                <w:sz w:val="20"/>
              </w:rPr>
              <w:t>Entreprises Daigle Internationale inc. (Entreprises Daigle) sold its sawmill to Malette International inc. (Malette International), of which Gilles Malette and his brother Denis were shareholders.  The Malette brothers then ran into difficulty with their business.  They contacted CIT Business Credit Canada Inc. (CIT), a company specializing in business financing.  In the summer of 2006, CIT offered them $10,000,000 in financing on condition that it be granted a first-ranking hypothec on all Malette International’s assets.  Jacques Daigle, the senior officer of Entreprises Daigle, signed the “Intercreditor Agreement”, under which the applicant, 3028879 Canada Inc., a real estate investment company, was to transfer its priority as a creditor to CIT.  Canada Inc. signed a contract with the respondent, Gaston Malette, a director and shareholder of Industries Malette, under which Mr. Malette stood surety for a $2,000,000 loan in the form of a convertible debenture.  This suretyship was conditional upon the conclusion of the Intercreditor Agreement and not simply upon its being signed by Jacques Daigle.  The Malette brothers met with representatives of CIT to finalize their financing agreement.  The agreement was not concluded, because some of the accounts receivable of Industries Malette were unpaid as of the 90-day due date and were therefore of no value to CIT.  Canada Inc. sent a notice of default to Gilles Malette in which it claimed payment of interest owed by Malette International up to January 31, 2007.  A similar notice of default was also sent to Gaston Malette.  Canada Inc. then sent a second notice of default to Gilles and Gaston Malette.  This time, it sought payment of the entire debt of $2,000,000, plus the interest payable.  In its motion to institute proceedings,   Canada Inc. claimed $2,060,000 from Industries Malette and Gaston Malette solidarily.  The action against Gaston Malette was based on the deed of suretyship by which Mr. Malette undertook to guarantee the performance of Industries Malette’s obligations.</w:t>
            </w:r>
          </w:p>
          <w:p w:rsidR="00A921C3" w:rsidRPr="00F056F0" w:rsidRDefault="00A921C3" w:rsidP="00594C0F">
            <w:pPr>
              <w:jc w:val="both"/>
              <w:rPr>
                <w:sz w:val="20"/>
              </w:rPr>
            </w:pPr>
          </w:p>
        </w:tc>
      </w:tr>
      <w:tr w:rsidR="00A921C3" w:rsidRPr="00F056F0" w:rsidTr="00594C0F">
        <w:tc>
          <w:tcPr>
            <w:tcW w:w="2427" w:type="pct"/>
          </w:tcPr>
          <w:p w:rsidR="00A921C3" w:rsidRPr="00F056F0" w:rsidRDefault="00A921C3" w:rsidP="00594C0F">
            <w:pPr>
              <w:jc w:val="both"/>
              <w:rPr>
                <w:rFonts w:eastAsia="Calibri"/>
                <w:sz w:val="20"/>
              </w:rPr>
            </w:pPr>
            <w:r w:rsidRPr="00F056F0">
              <w:rPr>
                <w:rFonts w:eastAsia="Calibri"/>
                <w:sz w:val="20"/>
              </w:rPr>
              <w:t>April 1, 2010</w:t>
            </w:r>
          </w:p>
          <w:p w:rsidR="00A921C3" w:rsidRPr="00F056F0" w:rsidRDefault="00A921C3" w:rsidP="00594C0F">
            <w:pPr>
              <w:jc w:val="both"/>
              <w:rPr>
                <w:rFonts w:eastAsia="Calibri"/>
                <w:sz w:val="20"/>
              </w:rPr>
            </w:pPr>
            <w:r w:rsidRPr="00F056F0">
              <w:rPr>
                <w:rFonts w:eastAsia="Calibri"/>
                <w:sz w:val="20"/>
              </w:rPr>
              <w:t>Quebec Superior Court</w:t>
            </w:r>
          </w:p>
          <w:p w:rsidR="00A921C3" w:rsidRPr="00F056F0" w:rsidRDefault="00A921C3" w:rsidP="00594C0F">
            <w:pPr>
              <w:jc w:val="both"/>
              <w:rPr>
                <w:rFonts w:eastAsia="Calibri"/>
                <w:sz w:val="20"/>
              </w:rPr>
            </w:pPr>
            <w:r w:rsidRPr="00F056F0">
              <w:rPr>
                <w:rFonts w:eastAsia="Calibri"/>
                <w:sz w:val="20"/>
              </w:rPr>
              <w:t>(Dumas J.)</w:t>
            </w:r>
          </w:p>
          <w:p w:rsidR="00A921C3" w:rsidRPr="00F056F0" w:rsidRDefault="00A921C3" w:rsidP="00594C0F">
            <w:pPr>
              <w:jc w:val="both"/>
              <w:rPr>
                <w:rFonts w:eastAsia="Calibri"/>
                <w:sz w:val="20"/>
              </w:rPr>
            </w:pPr>
            <w:r w:rsidRPr="00F056F0">
              <w:rPr>
                <w:rFonts w:eastAsia="Calibri"/>
                <w:sz w:val="20"/>
              </w:rPr>
              <w:t>2010 QCCS 1316</w:t>
            </w:r>
          </w:p>
          <w:p w:rsidR="00A921C3" w:rsidRPr="00F056F0" w:rsidRDefault="00A921C3" w:rsidP="00594C0F">
            <w:pPr>
              <w:jc w:val="both"/>
              <w:rPr>
                <w:rFonts w:eastAsia="Calibri"/>
                <w:sz w:val="20"/>
              </w:rPr>
            </w:pPr>
          </w:p>
        </w:tc>
        <w:tc>
          <w:tcPr>
            <w:tcW w:w="243" w:type="pct"/>
          </w:tcPr>
          <w:p w:rsidR="00A921C3" w:rsidRPr="00F056F0" w:rsidRDefault="00A921C3" w:rsidP="00594C0F">
            <w:pPr>
              <w:jc w:val="both"/>
              <w:rPr>
                <w:rFonts w:eastAsia="Calibri"/>
                <w:sz w:val="20"/>
              </w:rPr>
            </w:pPr>
          </w:p>
        </w:tc>
        <w:tc>
          <w:tcPr>
            <w:tcW w:w="2330" w:type="pct"/>
          </w:tcPr>
          <w:p w:rsidR="00A921C3" w:rsidRPr="00F056F0" w:rsidRDefault="00A921C3" w:rsidP="00594C0F">
            <w:pPr>
              <w:jc w:val="both"/>
              <w:rPr>
                <w:rFonts w:eastAsia="Calibri"/>
                <w:sz w:val="20"/>
              </w:rPr>
            </w:pPr>
            <w:r w:rsidRPr="00F056F0">
              <w:rPr>
                <w:rFonts w:eastAsia="Calibri"/>
                <w:sz w:val="20"/>
              </w:rPr>
              <w:t>Respondent, Mr. Malette, ordered solidarily to pay applicant $2,000,000</w:t>
            </w:r>
          </w:p>
          <w:p w:rsidR="00A921C3" w:rsidRPr="00F056F0" w:rsidRDefault="00A921C3" w:rsidP="00594C0F">
            <w:pPr>
              <w:jc w:val="both"/>
              <w:rPr>
                <w:rFonts w:eastAsia="Calibri"/>
                <w:sz w:val="20"/>
              </w:rPr>
            </w:pPr>
          </w:p>
          <w:p w:rsidR="00A921C3" w:rsidRPr="00F056F0" w:rsidRDefault="00A921C3" w:rsidP="00594C0F">
            <w:pPr>
              <w:jc w:val="both"/>
              <w:rPr>
                <w:rFonts w:eastAsia="Calibri"/>
                <w:sz w:val="20"/>
              </w:rPr>
            </w:pPr>
          </w:p>
        </w:tc>
      </w:tr>
      <w:tr w:rsidR="00A921C3" w:rsidRPr="00F056F0" w:rsidTr="00594C0F">
        <w:tc>
          <w:tcPr>
            <w:tcW w:w="2427" w:type="pct"/>
          </w:tcPr>
          <w:p w:rsidR="00A921C3" w:rsidRPr="00F056F0" w:rsidRDefault="00A921C3" w:rsidP="00594C0F">
            <w:pPr>
              <w:jc w:val="both"/>
              <w:rPr>
                <w:rFonts w:eastAsia="Calibri"/>
                <w:sz w:val="20"/>
              </w:rPr>
            </w:pPr>
            <w:r w:rsidRPr="00F056F0">
              <w:rPr>
                <w:rFonts w:eastAsia="Calibri"/>
                <w:sz w:val="20"/>
              </w:rPr>
              <w:t>February 28, 2012</w:t>
            </w:r>
          </w:p>
          <w:p w:rsidR="00A921C3" w:rsidRPr="00F056F0" w:rsidRDefault="00A921C3" w:rsidP="00594C0F">
            <w:pPr>
              <w:jc w:val="both"/>
              <w:rPr>
                <w:rFonts w:eastAsia="Calibri"/>
                <w:sz w:val="20"/>
              </w:rPr>
            </w:pPr>
            <w:r w:rsidRPr="00F056F0">
              <w:rPr>
                <w:rFonts w:eastAsia="Calibri"/>
                <w:sz w:val="20"/>
              </w:rPr>
              <w:t>Quebec Court of Appeal (Montréal)</w:t>
            </w:r>
          </w:p>
          <w:p w:rsidR="00A921C3" w:rsidRPr="00F056F0" w:rsidRDefault="00A921C3" w:rsidP="00594C0F">
            <w:pPr>
              <w:jc w:val="both"/>
              <w:rPr>
                <w:rFonts w:eastAsia="Calibri"/>
                <w:sz w:val="20"/>
              </w:rPr>
            </w:pPr>
            <w:r w:rsidRPr="00F056F0">
              <w:rPr>
                <w:rFonts w:eastAsia="Calibri"/>
                <w:sz w:val="20"/>
              </w:rPr>
              <w:t>(Rochon and Dutil JJ.A. and Jacques J. (</w:t>
            </w:r>
            <w:r w:rsidRPr="00F056F0">
              <w:rPr>
                <w:rFonts w:eastAsia="Calibri"/>
                <w:i/>
                <w:sz w:val="20"/>
              </w:rPr>
              <w:t>ad hoc</w:t>
            </w:r>
            <w:r w:rsidRPr="00F056F0">
              <w:rPr>
                <w:rFonts w:eastAsia="Calibri"/>
                <w:sz w:val="20"/>
              </w:rPr>
              <w:t>))</w:t>
            </w:r>
          </w:p>
          <w:p w:rsidR="00A921C3" w:rsidRPr="00F056F0" w:rsidRDefault="00A921C3" w:rsidP="00594C0F">
            <w:pPr>
              <w:jc w:val="both"/>
              <w:rPr>
                <w:rFonts w:eastAsia="Calibri"/>
                <w:sz w:val="20"/>
              </w:rPr>
            </w:pPr>
            <w:r w:rsidRPr="00F056F0">
              <w:rPr>
                <w:rFonts w:eastAsia="Calibri"/>
                <w:sz w:val="20"/>
              </w:rPr>
              <w:t>2012 QCCA 382</w:t>
            </w:r>
          </w:p>
          <w:p w:rsidR="00A921C3" w:rsidRPr="00F056F0" w:rsidRDefault="00A921C3" w:rsidP="00594C0F">
            <w:pPr>
              <w:jc w:val="both"/>
              <w:rPr>
                <w:rFonts w:eastAsia="Calibri"/>
                <w:sz w:val="20"/>
              </w:rPr>
            </w:pPr>
          </w:p>
        </w:tc>
        <w:tc>
          <w:tcPr>
            <w:tcW w:w="243" w:type="pct"/>
          </w:tcPr>
          <w:p w:rsidR="00A921C3" w:rsidRPr="00F056F0" w:rsidRDefault="00A921C3" w:rsidP="00594C0F">
            <w:pPr>
              <w:jc w:val="both"/>
              <w:rPr>
                <w:rFonts w:eastAsia="Calibri"/>
                <w:sz w:val="20"/>
              </w:rPr>
            </w:pPr>
          </w:p>
        </w:tc>
        <w:tc>
          <w:tcPr>
            <w:tcW w:w="2330" w:type="pct"/>
          </w:tcPr>
          <w:p w:rsidR="00A921C3" w:rsidRPr="00F056F0" w:rsidRDefault="00A921C3" w:rsidP="00594C0F">
            <w:pPr>
              <w:jc w:val="both"/>
              <w:rPr>
                <w:rFonts w:eastAsia="Calibri"/>
                <w:sz w:val="20"/>
              </w:rPr>
            </w:pPr>
            <w:r w:rsidRPr="00F056F0">
              <w:rPr>
                <w:rFonts w:eastAsia="Calibri"/>
                <w:sz w:val="20"/>
              </w:rPr>
              <w:t>Appeal allowed</w:t>
            </w:r>
          </w:p>
          <w:p w:rsidR="00A921C3" w:rsidRPr="00F056F0" w:rsidRDefault="00A921C3" w:rsidP="00594C0F">
            <w:pPr>
              <w:jc w:val="both"/>
              <w:rPr>
                <w:rFonts w:eastAsia="Calibri"/>
                <w:sz w:val="20"/>
              </w:rPr>
            </w:pPr>
          </w:p>
        </w:tc>
      </w:tr>
      <w:tr w:rsidR="00A921C3" w:rsidRPr="00F056F0" w:rsidTr="00594C0F">
        <w:tc>
          <w:tcPr>
            <w:tcW w:w="2427" w:type="pct"/>
          </w:tcPr>
          <w:p w:rsidR="00A921C3" w:rsidRPr="00F056F0" w:rsidRDefault="00A921C3" w:rsidP="00594C0F">
            <w:pPr>
              <w:jc w:val="both"/>
              <w:rPr>
                <w:rFonts w:eastAsia="Calibri"/>
                <w:sz w:val="20"/>
              </w:rPr>
            </w:pPr>
            <w:r w:rsidRPr="00F056F0">
              <w:rPr>
                <w:rFonts w:eastAsia="Calibri"/>
                <w:sz w:val="20"/>
              </w:rPr>
              <w:t>April 26, 2012</w:t>
            </w:r>
          </w:p>
          <w:p w:rsidR="00A921C3" w:rsidRPr="00F056F0" w:rsidRDefault="00A921C3" w:rsidP="00594C0F">
            <w:pPr>
              <w:jc w:val="both"/>
              <w:rPr>
                <w:rFonts w:eastAsia="Calibri"/>
                <w:sz w:val="20"/>
              </w:rPr>
            </w:pPr>
            <w:r w:rsidRPr="00F056F0">
              <w:rPr>
                <w:rFonts w:eastAsia="Calibri"/>
                <w:sz w:val="20"/>
              </w:rPr>
              <w:t>Supreme Court of Canada</w:t>
            </w:r>
          </w:p>
        </w:tc>
        <w:tc>
          <w:tcPr>
            <w:tcW w:w="243" w:type="pct"/>
          </w:tcPr>
          <w:p w:rsidR="00A921C3" w:rsidRPr="00F056F0" w:rsidRDefault="00A921C3" w:rsidP="00594C0F">
            <w:pPr>
              <w:jc w:val="both"/>
              <w:rPr>
                <w:rFonts w:eastAsia="Calibri"/>
                <w:sz w:val="20"/>
              </w:rPr>
            </w:pPr>
          </w:p>
        </w:tc>
        <w:tc>
          <w:tcPr>
            <w:tcW w:w="2330" w:type="pct"/>
          </w:tcPr>
          <w:p w:rsidR="00A921C3" w:rsidRPr="00F056F0" w:rsidRDefault="00A921C3" w:rsidP="00594C0F">
            <w:pPr>
              <w:jc w:val="both"/>
              <w:rPr>
                <w:rFonts w:eastAsia="Calibri"/>
                <w:sz w:val="20"/>
              </w:rPr>
            </w:pPr>
            <w:r w:rsidRPr="00F056F0">
              <w:rPr>
                <w:rFonts w:eastAsia="Calibri"/>
                <w:sz w:val="20"/>
              </w:rPr>
              <w:t>Application for leave to appeal filed</w:t>
            </w:r>
          </w:p>
          <w:p w:rsidR="00A921C3" w:rsidRPr="00F056F0" w:rsidRDefault="00A921C3"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46"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lastRenderedPageBreak/>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921C3" w:rsidRPr="003935EC" w:rsidTr="00594C0F">
        <w:tc>
          <w:tcPr>
            <w:tcW w:w="5000" w:type="pct"/>
            <w:gridSpan w:val="3"/>
          </w:tcPr>
          <w:p w:rsidR="00A921C3" w:rsidRPr="00F056F0" w:rsidRDefault="00A921C3" w:rsidP="00594C0F">
            <w:pPr>
              <w:jc w:val="both"/>
              <w:rPr>
                <w:rFonts w:eastAsia="Calibri"/>
                <w:sz w:val="20"/>
                <w:lang w:val="fr-CA"/>
              </w:rPr>
            </w:pPr>
            <w:r w:rsidRPr="00F056F0">
              <w:rPr>
                <w:rFonts w:eastAsia="Calibri"/>
                <w:sz w:val="20"/>
                <w:lang w:val="fr-CA"/>
              </w:rPr>
              <w:t>Droit civil — Contrats — Cautionnement — Financement — La Cour d’appel a</w:t>
            </w:r>
            <w:r w:rsidRPr="00F056F0">
              <w:rPr>
                <w:rFonts w:eastAsia="Calibri"/>
                <w:sz w:val="20"/>
                <w:lang w:val="fr-CA"/>
              </w:rPr>
              <w:noBreakHyphen/>
              <w:t>t</w:t>
            </w:r>
            <w:r w:rsidRPr="00F056F0">
              <w:rPr>
                <w:rFonts w:eastAsia="Calibri"/>
                <w:sz w:val="20"/>
                <w:lang w:val="fr-CA"/>
              </w:rPr>
              <w:noBreakHyphen/>
              <w:t>elle fait erreur en soumettant la conclusion de l’« Intercreditor Agreement » à la signature de CIT Business Credit Canada Inc.? — La Cour d’appel a</w:t>
            </w:r>
            <w:r w:rsidRPr="00F056F0">
              <w:rPr>
                <w:rFonts w:eastAsia="Calibri"/>
                <w:sz w:val="20"/>
                <w:lang w:val="fr-CA"/>
              </w:rPr>
              <w:noBreakHyphen/>
              <w:t>t</w:t>
            </w:r>
            <w:r w:rsidRPr="00F056F0">
              <w:rPr>
                <w:rFonts w:eastAsia="Calibri"/>
                <w:sz w:val="20"/>
                <w:lang w:val="fr-CA"/>
              </w:rPr>
              <w:noBreakHyphen/>
              <w:t>elle fait erreur en concluant que la condition suspensive du cautionnement ne s’est pas réalisée?</w:t>
            </w:r>
          </w:p>
        </w:tc>
      </w:tr>
      <w:tr w:rsidR="00A921C3" w:rsidRPr="003935EC" w:rsidTr="00594C0F">
        <w:tc>
          <w:tcPr>
            <w:tcW w:w="5000" w:type="pct"/>
            <w:gridSpan w:val="3"/>
          </w:tcPr>
          <w:p w:rsidR="00A921C3" w:rsidRPr="00F056F0" w:rsidRDefault="00A921C3" w:rsidP="00594C0F">
            <w:pPr>
              <w:jc w:val="both"/>
              <w:rPr>
                <w:rFonts w:eastAsia="Calibri"/>
                <w:sz w:val="20"/>
                <w:lang w:val="fr-CA"/>
              </w:rPr>
            </w:pPr>
          </w:p>
        </w:tc>
      </w:tr>
      <w:tr w:rsidR="00A921C3" w:rsidRPr="003935EC" w:rsidTr="00594C0F">
        <w:tc>
          <w:tcPr>
            <w:tcW w:w="5000" w:type="pct"/>
            <w:gridSpan w:val="3"/>
          </w:tcPr>
          <w:p w:rsidR="00A921C3" w:rsidRPr="00F056F0" w:rsidRDefault="00A921C3" w:rsidP="00594C0F">
            <w:pPr>
              <w:jc w:val="both"/>
              <w:rPr>
                <w:color w:val="000000"/>
                <w:sz w:val="20"/>
                <w:lang w:val="fr-FR"/>
              </w:rPr>
            </w:pPr>
            <w:r w:rsidRPr="00F056F0">
              <w:rPr>
                <w:color w:val="000000"/>
                <w:sz w:val="20"/>
                <w:lang w:val="fr-FR"/>
              </w:rPr>
              <w:t>Entreprises Daigle Internationale inc. (« Entreprises Daigle ») vend sa scierie à Malette International inc. (Malette International), dont MM. Gilles Malette et son frère Denis sont actionnaires.  Les frères Malette éprouvent ensuite des difficultés avec leur entreprise.  Ils contactent alors CIT Business Credit Canada Inc. (CIT), une société spécialisée dans le financement des entreprises.  À l'été 2006, elle leur propose un financement de 10 000 000 $ à la condition de détenir une hypothèque de premier rang sur tous les actifs de Malette International.  Jacques Daigle, principal dirigeant d’Entreprises Daigle, signe l’</w:t>
            </w:r>
            <w:r w:rsidRPr="00F056F0">
              <w:rPr>
                <w:i/>
                <w:color w:val="000000"/>
                <w:sz w:val="20"/>
                <w:lang w:val="fr-FR"/>
              </w:rPr>
              <w:t>Intercreditor Agreement</w:t>
            </w:r>
            <w:r w:rsidRPr="00F056F0">
              <w:rPr>
                <w:color w:val="000000"/>
                <w:sz w:val="20"/>
                <w:lang w:val="fr-FR"/>
              </w:rPr>
              <w:t>, une entente qui vise à s’assurer que la demanderesse, Canada inc., qui est une société de placement immobilier, cède sa priorité de créance à CIT.  Canada inc. signe un contrat avec l’intimé Gaston Malette, un des administrateurs et actionnaire d’Industrie Malette, par lequel ce dernier se porte caution d’un emprunt de 2 000 000 $ qui constitue une débenture convertible.  Ce cautionnement est conditionnel à la conclusion de l’</w:t>
            </w:r>
            <w:r w:rsidRPr="00F056F0">
              <w:rPr>
                <w:i/>
                <w:color w:val="000000"/>
                <w:sz w:val="20"/>
                <w:lang w:val="fr-FR"/>
              </w:rPr>
              <w:t>Intercreditor Agreement</w:t>
            </w:r>
            <w:r w:rsidRPr="00F056F0">
              <w:rPr>
                <w:color w:val="000000"/>
                <w:sz w:val="20"/>
                <w:lang w:val="fr-FR"/>
              </w:rPr>
              <w:t xml:space="preserve"> et non simplement à sa signature par Jacques Daigle.  Les frères Malette rencontrent les représentants de CIT afin de finaliser leur entente de financement.  L’entente n’est pas conclue puisqu’une partie des comptes clients d’Industries Malette a dépassé un délai de 90 jours, devenant ainsi sans valeur pour CIT.  Canada inc. envoie une mise en demeure à Gilles Malette et lui réclame le paiement des intérêts dus par Malette International au 31 janvier 2007.  Une mise en demeure semblable est aussi expédiée à Gaston Malette. Canada inc. fait parvenir une deuxième mise en demeure à Gilles et Gaston Malette.  Canada inc. désire cette fois obtenir le paiement de la totalité de la dette de 2 000 000 $, plus les intérêts exigibles.  Dans sa requête introductive d’instance, Canada inc. réclame 2 060 000 $ solidairement d’Industries Malette et de Gaston Malette.  Le recours contre Gaston Malette est fondé sur l’acte de cautionnement par lequel ce dernier s’engageait à garantir l’exécution les obligations d’Industries Malette.</w:t>
            </w:r>
          </w:p>
          <w:p w:rsidR="00A921C3" w:rsidRPr="00F056F0" w:rsidRDefault="00A921C3" w:rsidP="00594C0F">
            <w:pPr>
              <w:jc w:val="both"/>
              <w:rPr>
                <w:sz w:val="20"/>
                <w:lang w:val="fr-CA"/>
              </w:rPr>
            </w:pPr>
          </w:p>
        </w:tc>
      </w:tr>
      <w:tr w:rsidR="00A921C3" w:rsidRPr="003935EC" w:rsidTr="00594C0F">
        <w:tc>
          <w:tcPr>
            <w:tcW w:w="2427" w:type="pct"/>
          </w:tcPr>
          <w:p w:rsidR="00A921C3" w:rsidRPr="00F056F0" w:rsidRDefault="00A921C3" w:rsidP="00594C0F">
            <w:pPr>
              <w:jc w:val="both"/>
              <w:rPr>
                <w:rFonts w:eastAsia="Calibri"/>
                <w:sz w:val="20"/>
                <w:lang w:val="fr-CA"/>
              </w:rPr>
            </w:pPr>
            <w:r w:rsidRPr="00F056F0">
              <w:rPr>
                <w:rFonts w:eastAsia="Calibri"/>
                <w:sz w:val="20"/>
                <w:lang w:val="fr-CA"/>
              </w:rPr>
              <w:t>Le 1 avril 2010</w:t>
            </w:r>
          </w:p>
          <w:p w:rsidR="00A921C3" w:rsidRPr="00F056F0" w:rsidRDefault="00A921C3" w:rsidP="00594C0F">
            <w:pPr>
              <w:jc w:val="both"/>
              <w:rPr>
                <w:rFonts w:eastAsia="Calibri"/>
                <w:sz w:val="20"/>
                <w:lang w:val="fr-CA"/>
              </w:rPr>
            </w:pPr>
            <w:r w:rsidRPr="00F056F0">
              <w:rPr>
                <w:rFonts w:eastAsia="Calibri"/>
                <w:sz w:val="20"/>
                <w:lang w:val="fr-CA"/>
              </w:rPr>
              <w:t>Cour supérieure du Québec</w:t>
            </w:r>
          </w:p>
          <w:p w:rsidR="00A921C3" w:rsidRPr="00F056F0" w:rsidRDefault="00A921C3" w:rsidP="00594C0F">
            <w:pPr>
              <w:jc w:val="both"/>
              <w:rPr>
                <w:rFonts w:eastAsia="Calibri"/>
                <w:sz w:val="20"/>
                <w:lang w:val="fr-CA"/>
              </w:rPr>
            </w:pPr>
            <w:r w:rsidRPr="00F056F0">
              <w:rPr>
                <w:rFonts w:eastAsia="Calibri"/>
                <w:sz w:val="20"/>
                <w:lang w:val="fr-CA"/>
              </w:rPr>
              <w:t>(Le juge Dumas)</w:t>
            </w:r>
          </w:p>
          <w:p w:rsidR="00A921C3" w:rsidRPr="00F056F0" w:rsidRDefault="00A921C3" w:rsidP="00594C0F">
            <w:pPr>
              <w:jc w:val="both"/>
              <w:rPr>
                <w:rFonts w:eastAsia="Calibri"/>
                <w:sz w:val="20"/>
                <w:lang w:val="fr-CA"/>
              </w:rPr>
            </w:pPr>
            <w:r w:rsidRPr="00F056F0">
              <w:rPr>
                <w:rFonts w:eastAsia="Calibri"/>
                <w:sz w:val="20"/>
                <w:lang w:val="fr-CA"/>
              </w:rPr>
              <w:t>2010 QCCS 1316</w:t>
            </w:r>
          </w:p>
          <w:p w:rsidR="00A921C3" w:rsidRPr="00F056F0" w:rsidRDefault="00A921C3" w:rsidP="00594C0F">
            <w:pPr>
              <w:jc w:val="both"/>
              <w:rPr>
                <w:rFonts w:eastAsia="Calibri"/>
                <w:sz w:val="20"/>
              </w:rPr>
            </w:pPr>
          </w:p>
        </w:tc>
        <w:tc>
          <w:tcPr>
            <w:tcW w:w="243" w:type="pct"/>
          </w:tcPr>
          <w:p w:rsidR="00A921C3" w:rsidRPr="00F056F0" w:rsidRDefault="00A921C3" w:rsidP="00594C0F">
            <w:pPr>
              <w:jc w:val="both"/>
              <w:rPr>
                <w:rFonts w:eastAsia="Calibri"/>
                <w:sz w:val="20"/>
              </w:rPr>
            </w:pPr>
          </w:p>
        </w:tc>
        <w:tc>
          <w:tcPr>
            <w:tcW w:w="2330" w:type="pct"/>
          </w:tcPr>
          <w:p w:rsidR="00A921C3" w:rsidRPr="00F056F0" w:rsidRDefault="00A921C3" w:rsidP="00594C0F">
            <w:pPr>
              <w:jc w:val="both"/>
              <w:rPr>
                <w:rFonts w:eastAsia="Calibri"/>
                <w:sz w:val="20"/>
                <w:lang w:val="fr-CA"/>
              </w:rPr>
            </w:pPr>
            <w:r w:rsidRPr="00F056F0">
              <w:rPr>
                <w:rFonts w:eastAsia="Calibri"/>
                <w:sz w:val="20"/>
                <w:lang w:val="fr-CA"/>
              </w:rPr>
              <w:t>L’intimé M. Malette condamné conjointement et solidairement à payer à la demanderesse la somme de 2 000 000 $.</w:t>
            </w:r>
          </w:p>
          <w:p w:rsidR="00A921C3" w:rsidRPr="00F056F0" w:rsidRDefault="00A921C3" w:rsidP="00594C0F">
            <w:pPr>
              <w:jc w:val="both"/>
              <w:rPr>
                <w:rFonts w:eastAsia="Calibri"/>
                <w:sz w:val="20"/>
                <w:lang w:val="fr-CA"/>
              </w:rPr>
            </w:pPr>
          </w:p>
          <w:p w:rsidR="00A921C3" w:rsidRPr="00F056F0" w:rsidRDefault="00A921C3" w:rsidP="00594C0F">
            <w:pPr>
              <w:jc w:val="both"/>
              <w:rPr>
                <w:rFonts w:eastAsia="Calibri"/>
                <w:sz w:val="20"/>
                <w:lang w:val="fr-CA"/>
              </w:rPr>
            </w:pPr>
          </w:p>
        </w:tc>
      </w:tr>
      <w:tr w:rsidR="00A921C3" w:rsidRPr="00F056F0" w:rsidTr="00594C0F">
        <w:tc>
          <w:tcPr>
            <w:tcW w:w="2427" w:type="pct"/>
          </w:tcPr>
          <w:p w:rsidR="00A921C3" w:rsidRPr="00F056F0" w:rsidRDefault="00A921C3" w:rsidP="00594C0F">
            <w:pPr>
              <w:jc w:val="both"/>
              <w:rPr>
                <w:rFonts w:eastAsia="Calibri"/>
                <w:sz w:val="20"/>
                <w:lang w:val="fr-CA"/>
              </w:rPr>
            </w:pPr>
            <w:r w:rsidRPr="00F056F0">
              <w:rPr>
                <w:rFonts w:eastAsia="Calibri"/>
                <w:sz w:val="20"/>
                <w:lang w:val="fr-CA"/>
              </w:rPr>
              <w:t>Le 28 février 2012</w:t>
            </w:r>
          </w:p>
          <w:p w:rsidR="00A921C3" w:rsidRPr="00F056F0" w:rsidRDefault="00A921C3" w:rsidP="00594C0F">
            <w:pPr>
              <w:jc w:val="both"/>
              <w:rPr>
                <w:rFonts w:eastAsia="Calibri"/>
                <w:sz w:val="20"/>
                <w:lang w:val="fr-CA"/>
              </w:rPr>
            </w:pPr>
            <w:r w:rsidRPr="00F056F0">
              <w:rPr>
                <w:rFonts w:eastAsia="Calibri"/>
                <w:sz w:val="20"/>
                <w:lang w:val="fr-CA"/>
              </w:rPr>
              <w:t>Cour d’appel du Québec (Montréal)</w:t>
            </w:r>
          </w:p>
          <w:p w:rsidR="00A921C3" w:rsidRPr="00F056F0" w:rsidRDefault="00A921C3" w:rsidP="00594C0F">
            <w:pPr>
              <w:jc w:val="both"/>
              <w:rPr>
                <w:rFonts w:eastAsia="Calibri"/>
                <w:sz w:val="20"/>
                <w:lang w:val="fr-CA"/>
              </w:rPr>
            </w:pPr>
            <w:r w:rsidRPr="00F056F0">
              <w:rPr>
                <w:rFonts w:eastAsia="Calibri"/>
                <w:sz w:val="20"/>
                <w:lang w:val="fr-CA"/>
              </w:rPr>
              <w:t>(Les juges Rochon, Dutil et Jacques (</w:t>
            </w:r>
            <w:r w:rsidRPr="00F056F0">
              <w:rPr>
                <w:rFonts w:eastAsia="Calibri"/>
                <w:i/>
                <w:sz w:val="20"/>
                <w:lang w:val="fr-CA"/>
              </w:rPr>
              <w:t>ad hoc</w:t>
            </w:r>
            <w:r w:rsidRPr="00F056F0">
              <w:rPr>
                <w:rFonts w:eastAsia="Calibri"/>
                <w:sz w:val="20"/>
                <w:lang w:val="fr-CA"/>
              </w:rPr>
              <w:t>))</w:t>
            </w:r>
          </w:p>
          <w:p w:rsidR="00A921C3" w:rsidRPr="00F056F0" w:rsidRDefault="00A921C3" w:rsidP="00594C0F">
            <w:pPr>
              <w:jc w:val="both"/>
              <w:rPr>
                <w:rFonts w:eastAsia="Calibri"/>
                <w:sz w:val="20"/>
                <w:lang w:val="fr-CA"/>
              </w:rPr>
            </w:pPr>
            <w:r w:rsidRPr="00F056F0">
              <w:rPr>
                <w:rFonts w:eastAsia="Calibri"/>
                <w:sz w:val="20"/>
                <w:lang w:val="fr-CA"/>
              </w:rPr>
              <w:t>2012 QCCA 382</w:t>
            </w:r>
          </w:p>
          <w:p w:rsidR="00A921C3" w:rsidRPr="00F056F0" w:rsidRDefault="00A921C3" w:rsidP="00594C0F">
            <w:pPr>
              <w:jc w:val="both"/>
              <w:rPr>
                <w:rFonts w:eastAsia="Calibri"/>
                <w:sz w:val="20"/>
                <w:lang w:val="fr-CA"/>
              </w:rPr>
            </w:pPr>
          </w:p>
        </w:tc>
        <w:tc>
          <w:tcPr>
            <w:tcW w:w="243" w:type="pct"/>
          </w:tcPr>
          <w:p w:rsidR="00A921C3" w:rsidRPr="00F056F0" w:rsidRDefault="00A921C3" w:rsidP="00594C0F">
            <w:pPr>
              <w:jc w:val="both"/>
              <w:rPr>
                <w:rFonts w:eastAsia="Calibri"/>
                <w:sz w:val="20"/>
                <w:lang w:val="fr-CA"/>
              </w:rPr>
            </w:pPr>
          </w:p>
        </w:tc>
        <w:tc>
          <w:tcPr>
            <w:tcW w:w="2330" w:type="pct"/>
          </w:tcPr>
          <w:p w:rsidR="00A921C3" w:rsidRPr="00F056F0" w:rsidRDefault="00A921C3" w:rsidP="00594C0F">
            <w:pPr>
              <w:jc w:val="both"/>
              <w:rPr>
                <w:rFonts w:eastAsia="Calibri"/>
                <w:sz w:val="20"/>
                <w:lang w:val="fr-CA"/>
              </w:rPr>
            </w:pPr>
            <w:r w:rsidRPr="00F056F0">
              <w:rPr>
                <w:rFonts w:eastAsia="Calibri"/>
                <w:sz w:val="20"/>
                <w:lang w:val="fr-CA"/>
              </w:rPr>
              <w:t>Appel accueilli.</w:t>
            </w:r>
          </w:p>
          <w:p w:rsidR="00A921C3" w:rsidRPr="00F056F0" w:rsidRDefault="00A921C3" w:rsidP="00594C0F">
            <w:pPr>
              <w:jc w:val="both"/>
              <w:rPr>
                <w:rFonts w:eastAsia="Calibri"/>
                <w:sz w:val="20"/>
                <w:lang w:val="fr-CA"/>
              </w:rPr>
            </w:pPr>
          </w:p>
        </w:tc>
      </w:tr>
      <w:tr w:rsidR="00A921C3" w:rsidRPr="00F056F0" w:rsidTr="00594C0F">
        <w:tc>
          <w:tcPr>
            <w:tcW w:w="2427" w:type="pct"/>
          </w:tcPr>
          <w:p w:rsidR="00A921C3" w:rsidRPr="00F056F0" w:rsidRDefault="00A921C3" w:rsidP="00594C0F">
            <w:pPr>
              <w:jc w:val="both"/>
              <w:rPr>
                <w:rFonts w:eastAsia="Calibri"/>
                <w:sz w:val="20"/>
                <w:lang w:val="fr-CA"/>
              </w:rPr>
            </w:pPr>
            <w:r w:rsidRPr="00F056F0">
              <w:rPr>
                <w:rFonts w:eastAsia="Calibri"/>
                <w:sz w:val="20"/>
                <w:lang w:val="fr-CA"/>
              </w:rPr>
              <w:t>Le 26 avril 2012</w:t>
            </w:r>
          </w:p>
          <w:p w:rsidR="00A921C3" w:rsidRPr="00F056F0" w:rsidRDefault="00A921C3" w:rsidP="00594C0F">
            <w:pPr>
              <w:jc w:val="both"/>
              <w:rPr>
                <w:rFonts w:eastAsia="Calibri"/>
                <w:sz w:val="20"/>
                <w:lang w:val="fr-CA"/>
              </w:rPr>
            </w:pPr>
            <w:r w:rsidRPr="00F056F0">
              <w:rPr>
                <w:rFonts w:eastAsia="Calibri"/>
                <w:sz w:val="20"/>
                <w:lang w:val="fr-CA"/>
              </w:rPr>
              <w:t>Cour suprême du Canada</w:t>
            </w:r>
          </w:p>
        </w:tc>
        <w:tc>
          <w:tcPr>
            <w:tcW w:w="243" w:type="pct"/>
          </w:tcPr>
          <w:p w:rsidR="00A921C3" w:rsidRPr="00F056F0" w:rsidRDefault="00A921C3" w:rsidP="00594C0F">
            <w:pPr>
              <w:jc w:val="both"/>
              <w:rPr>
                <w:rFonts w:eastAsia="Calibri"/>
                <w:sz w:val="20"/>
                <w:lang w:val="fr-CA"/>
              </w:rPr>
            </w:pPr>
          </w:p>
        </w:tc>
        <w:tc>
          <w:tcPr>
            <w:tcW w:w="2330" w:type="pct"/>
          </w:tcPr>
          <w:p w:rsidR="00A921C3" w:rsidRPr="00F056F0" w:rsidRDefault="00A921C3" w:rsidP="00594C0F">
            <w:pPr>
              <w:jc w:val="both"/>
              <w:rPr>
                <w:rFonts w:eastAsia="Calibri"/>
                <w:sz w:val="20"/>
                <w:lang w:val="fr-CA"/>
              </w:rPr>
            </w:pPr>
            <w:r w:rsidRPr="00F056F0">
              <w:rPr>
                <w:rFonts w:eastAsia="Calibri"/>
                <w:sz w:val="20"/>
                <w:lang w:val="fr-CA"/>
              </w:rPr>
              <w:t>Demande d’autorisation d’appel déposée.</w:t>
            </w:r>
          </w:p>
          <w:p w:rsidR="00A921C3" w:rsidRPr="00F056F0" w:rsidRDefault="00A921C3"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47"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1DD3" w:rsidRPr="00303448" w:rsidTr="00594C0F">
        <w:trPr>
          <w:cantSplit/>
        </w:trPr>
        <w:tc>
          <w:tcPr>
            <w:tcW w:w="1458" w:type="dxa"/>
          </w:tcPr>
          <w:p w:rsidR="00E61DD3" w:rsidRPr="00303448" w:rsidRDefault="00E61DD3" w:rsidP="00594C0F">
            <w:pPr>
              <w:rPr>
                <w:sz w:val="20"/>
                <w:szCs w:val="20"/>
              </w:rPr>
            </w:pPr>
            <w:r w:rsidRPr="00303448">
              <w:rPr>
                <w:rStyle w:val="SCCFileNumberChar"/>
                <w:sz w:val="20"/>
                <w:szCs w:val="20"/>
              </w:rPr>
              <w:t>34822</w:t>
            </w:r>
          </w:p>
          <w:p w:rsidR="00E61DD3" w:rsidRPr="00303448" w:rsidRDefault="00E61DD3" w:rsidP="00594C0F">
            <w:pPr>
              <w:rPr>
                <w:b/>
                <w:sz w:val="20"/>
                <w:szCs w:val="20"/>
                <w:lang w:val="fr-CA"/>
              </w:rPr>
            </w:pPr>
          </w:p>
        </w:tc>
        <w:tc>
          <w:tcPr>
            <w:tcW w:w="8118" w:type="dxa"/>
          </w:tcPr>
          <w:p w:rsidR="00E61DD3" w:rsidRPr="00303448" w:rsidRDefault="00E61DD3" w:rsidP="00E61DD3">
            <w:pPr>
              <w:jc w:val="both"/>
              <w:rPr>
                <w:sz w:val="20"/>
                <w:szCs w:val="20"/>
              </w:rPr>
            </w:pPr>
            <w:r w:rsidRPr="00303448">
              <w:rPr>
                <w:rStyle w:val="SCCLsocChar"/>
                <w:sz w:val="20"/>
                <w:szCs w:val="20"/>
                <w:lang w:val="en-CA"/>
              </w:rPr>
              <w:t>Ranko Todorovic v. Her Majesty the Queen in Right of Ontario AND BETWEEN Ranko Todorovic v. C</w:t>
            </w:r>
            <w:r>
              <w:rPr>
                <w:rStyle w:val="SCCLsocChar"/>
                <w:sz w:val="20"/>
                <w:szCs w:val="20"/>
                <w:lang w:val="en-CA"/>
              </w:rPr>
              <w:t>i</w:t>
            </w:r>
            <w:r w:rsidRPr="00303448">
              <w:rPr>
                <w:rStyle w:val="SCCLsocChar"/>
                <w:sz w:val="20"/>
                <w:szCs w:val="20"/>
                <w:lang w:val="en-CA"/>
              </w:rPr>
              <w:t>ty of Hamilton</w:t>
            </w:r>
            <w:r w:rsidRPr="00303448">
              <w:rPr>
                <w:sz w:val="20"/>
                <w:szCs w:val="20"/>
              </w:rPr>
              <w:t xml:space="preserve"> (Ont.) (Civil) (By Leave)</w:t>
            </w:r>
          </w:p>
          <w:p w:rsidR="00E61DD3" w:rsidRPr="00303448" w:rsidRDefault="00E61DD3" w:rsidP="00E61DD3">
            <w:pPr>
              <w:jc w:val="both"/>
              <w:rPr>
                <w:sz w:val="20"/>
                <w:szCs w:val="20"/>
              </w:rPr>
            </w:pPr>
          </w:p>
        </w:tc>
      </w:tr>
      <w:tr w:rsidR="00E61DD3" w:rsidRPr="00303448" w:rsidTr="00594C0F">
        <w:trPr>
          <w:cantSplit/>
        </w:trPr>
        <w:tc>
          <w:tcPr>
            <w:tcW w:w="1458" w:type="dxa"/>
          </w:tcPr>
          <w:p w:rsidR="00E61DD3" w:rsidRPr="00303448" w:rsidRDefault="00E61DD3" w:rsidP="00594C0F">
            <w:pPr>
              <w:rPr>
                <w:sz w:val="20"/>
                <w:szCs w:val="20"/>
              </w:rPr>
            </w:pPr>
            <w:r w:rsidRPr="00303448">
              <w:rPr>
                <w:sz w:val="20"/>
                <w:szCs w:val="20"/>
              </w:rPr>
              <w:t>Coram :</w:t>
            </w:r>
          </w:p>
        </w:tc>
        <w:tc>
          <w:tcPr>
            <w:tcW w:w="8118" w:type="dxa"/>
          </w:tcPr>
          <w:p w:rsidR="00E61DD3" w:rsidRPr="00303448" w:rsidRDefault="00E61DD3" w:rsidP="00594C0F">
            <w:pPr>
              <w:rPr>
                <w:sz w:val="20"/>
                <w:szCs w:val="20"/>
              </w:rPr>
            </w:pPr>
            <w:r w:rsidRPr="00303448">
              <w:rPr>
                <w:rStyle w:val="SCCCoramChar"/>
                <w:sz w:val="20"/>
                <w:szCs w:val="20"/>
                <w:lang w:val="en-CA"/>
              </w:rPr>
              <w:t>LeBel, Abella and Cromwell JJ.</w:t>
            </w:r>
          </w:p>
          <w:p w:rsidR="00E61DD3" w:rsidRPr="00303448" w:rsidRDefault="00E61DD3" w:rsidP="00594C0F">
            <w:pPr>
              <w:rPr>
                <w:sz w:val="20"/>
                <w:szCs w:val="20"/>
                <w:u w:val="single"/>
              </w:rPr>
            </w:pPr>
          </w:p>
        </w:tc>
      </w:tr>
      <w:tr w:rsidR="00E61DD3" w:rsidRPr="003935EC" w:rsidTr="00594C0F">
        <w:trPr>
          <w:cantSplit/>
        </w:trPr>
        <w:tc>
          <w:tcPr>
            <w:tcW w:w="9576" w:type="dxa"/>
            <w:gridSpan w:val="2"/>
          </w:tcPr>
          <w:p w:rsidR="00E61DD3" w:rsidRPr="00303448" w:rsidRDefault="00E61DD3" w:rsidP="00594C0F">
            <w:pPr>
              <w:pStyle w:val="SCCShortJudgment"/>
              <w:rPr>
                <w:szCs w:val="20"/>
              </w:rPr>
            </w:pPr>
            <w:r w:rsidRPr="00303448">
              <w:rPr>
                <w:szCs w:val="20"/>
              </w:rPr>
              <w:lastRenderedPageBreak/>
              <w:t>The application for leave to appeal from the judgment of the Court of Appeal for Ontario, Numbers C54412, C54413, C54470 and C54624, 2012 ONCA 198, dated March 22, 2012, is dismissed with cost in accordance with the Tariff.</w:t>
            </w:r>
          </w:p>
          <w:p w:rsidR="00E61DD3" w:rsidRPr="00303448" w:rsidRDefault="00E61DD3" w:rsidP="00594C0F">
            <w:pPr>
              <w:pStyle w:val="SCCShortJudgment"/>
              <w:ind w:firstLine="0"/>
              <w:rPr>
                <w:szCs w:val="20"/>
              </w:rPr>
            </w:pPr>
          </w:p>
          <w:p w:rsidR="00E61DD3" w:rsidRPr="00303448" w:rsidRDefault="00E61DD3" w:rsidP="00594C0F">
            <w:pPr>
              <w:pStyle w:val="SCCShortJudgment"/>
              <w:rPr>
                <w:szCs w:val="20"/>
                <w:lang w:val="fr-CA"/>
              </w:rPr>
            </w:pPr>
            <w:r w:rsidRPr="00303448">
              <w:rPr>
                <w:szCs w:val="20"/>
                <w:lang w:val="fr-CA"/>
              </w:rPr>
              <w:t>La demande d’autorisation d’appel de l’arrêt de la Cour d’appel de l’Ontario, numéros C54412, C54413, C54470 et C54624, 2012 ONCA 198, daté du 22 mars 2012, est rejetée avec dépens selon le montant qui sera établi conformément au Tarif.</w:t>
            </w:r>
          </w:p>
        </w:tc>
      </w:tr>
    </w:tbl>
    <w:p w:rsidR="005F361C" w:rsidRPr="00E61DD3"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D20F0" w:rsidRPr="00F056F0" w:rsidTr="00594C0F">
        <w:tc>
          <w:tcPr>
            <w:tcW w:w="5000" w:type="pct"/>
            <w:gridSpan w:val="3"/>
          </w:tcPr>
          <w:p w:rsidR="00FD20F0" w:rsidRPr="00F056F0" w:rsidRDefault="00FD20F0" w:rsidP="00594C0F">
            <w:pPr>
              <w:jc w:val="both"/>
              <w:rPr>
                <w:rFonts w:eastAsia="Calibri"/>
                <w:sz w:val="20"/>
              </w:rPr>
            </w:pPr>
            <w:r w:rsidRPr="00F056F0">
              <w:rPr>
                <w:rFonts w:eastAsia="Calibri"/>
                <w:sz w:val="20"/>
              </w:rPr>
              <w:t>Civil procedure — Pleadings — Whether the Court of Appeal for Ontario acted as a private agency of the Ontario’s Class in Power by blindly protecting the interests of the Respondents — Whether the Ontario legislature is deliberately designed to serve the Ontario’s Class in Power — Whether the Court of Appeal for Ontario has any accountability to the Ontario population — Whether the Applicant, as a member of the Canadian immigration is a permanent victim of the Ontario Class in Power’s conspiracy, expressed through perfectly conducted discrimination.</w:t>
            </w:r>
          </w:p>
        </w:tc>
      </w:tr>
      <w:tr w:rsidR="00FD20F0" w:rsidRPr="00F056F0" w:rsidTr="00594C0F">
        <w:tc>
          <w:tcPr>
            <w:tcW w:w="5000" w:type="pct"/>
            <w:gridSpan w:val="3"/>
          </w:tcPr>
          <w:p w:rsidR="00FD20F0" w:rsidRPr="00F056F0" w:rsidRDefault="00FD20F0" w:rsidP="00594C0F">
            <w:pPr>
              <w:jc w:val="both"/>
              <w:rPr>
                <w:rFonts w:eastAsia="Calibri"/>
                <w:sz w:val="20"/>
              </w:rPr>
            </w:pPr>
          </w:p>
        </w:tc>
      </w:tr>
      <w:tr w:rsidR="00FD20F0" w:rsidRPr="00F056F0" w:rsidTr="00594C0F">
        <w:tc>
          <w:tcPr>
            <w:tcW w:w="5000" w:type="pct"/>
            <w:gridSpan w:val="3"/>
          </w:tcPr>
          <w:p w:rsidR="00FD20F0" w:rsidRPr="00F056F0" w:rsidRDefault="00FD20F0" w:rsidP="00594C0F">
            <w:pPr>
              <w:jc w:val="both"/>
              <w:rPr>
                <w:rFonts w:eastAsia="Calibri"/>
                <w:sz w:val="20"/>
              </w:rPr>
            </w:pPr>
            <w:r w:rsidRPr="00F056F0">
              <w:rPr>
                <w:rFonts w:eastAsia="Calibri"/>
                <w:sz w:val="20"/>
              </w:rPr>
              <w:t>Mr. Todorovic appeals four orders of Superior Court judges made between August 25 and September 26, 2011, namely:</w:t>
            </w:r>
          </w:p>
          <w:p w:rsidR="00FD20F0" w:rsidRPr="00F056F0" w:rsidRDefault="00FD20F0" w:rsidP="00594C0F">
            <w:pPr>
              <w:jc w:val="both"/>
              <w:rPr>
                <w:rFonts w:eastAsia="Calibri"/>
                <w:sz w:val="20"/>
              </w:rPr>
            </w:pPr>
          </w:p>
          <w:p w:rsidR="00FD20F0" w:rsidRPr="00F056F0" w:rsidRDefault="00FD20F0" w:rsidP="00594C0F">
            <w:pPr>
              <w:ind w:left="720"/>
              <w:jc w:val="both"/>
              <w:rPr>
                <w:rFonts w:eastAsia="Calibri"/>
                <w:sz w:val="20"/>
              </w:rPr>
            </w:pPr>
            <w:r w:rsidRPr="00F056F0">
              <w:rPr>
                <w:rFonts w:eastAsia="Calibri"/>
                <w:sz w:val="20"/>
              </w:rPr>
              <w:t>(1)</w:t>
            </w:r>
            <w:r w:rsidRPr="00F056F0">
              <w:rPr>
                <w:rFonts w:eastAsia="Calibri"/>
                <w:sz w:val="20"/>
              </w:rPr>
              <w:tab/>
              <w:t>the order of Parayeski J. dated August 25, 2011 striking out Mr. Todorovic’s statement of claim in an action against the City of Hamilton.  The claim was that the City failed to provide a program that was designed to advance the employability of foreign trained professionals;</w:t>
            </w:r>
          </w:p>
          <w:p w:rsidR="00FD20F0" w:rsidRPr="00F056F0" w:rsidRDefault="00FD20F0" w:rsidP="00594C0F">
            <w:pPr>
              <w:ind w:firstLine="720"/>
              <w:jc w:val="both"/>
              <w:rPr>
                <w:rFonts w:eastAsia="Calibri"/>
                <w:sz w:val="20"/>
              </w:rPr>
            </w:pPr>
          </w:p>
          <w:p w:rsidR="00FD20F0" w:rsidRPr="00F056F0" w:rsidRDefault="00FD20F0" w:rsidP="00594C0F">
            <w:pPr>
              <w:ind w:left="720"/>
              <w:jc w:val="both"/>
              <w:rPr>
                <w:rFonts w:eastAsia="Calibri"/>
                <w:sz w:val="20"/>
              </w:rPr>
            </w:pPr>
            <w:r w:rsidRPr="00F056F0">
              <w:rPr>
                <w:rFonts w:eastAsia="Calibri"/>
                <w:sz w:val="20"/>
              </w:rPr>
              <w:t>(2)</w:t>
            </w:r>
            <w:r w:rsidRPr="00F056F0">
              <w:rPr>
                <w:rFonts w:eastAsia="Calibri"/>
                <w:sz w:val="20"/>
              </w:rPr>
              <w:tab/>
              <w:t>the order of Parayeski J. dated August 25, 2011 striking out Todorovic’s statement of claim in an action against the City of Hamilton, with the exception of Mr. Todorovic’s soccer injury claim concerning which Mr. Todorovic was given permission to file an amended statement of claim within 30 days;</w:t>
            </w:r>
          </w:p>
          <w:p w:rsidR="00FD20F0" w:rsidRPr="00F056F0" w:rsidRDefault="00FD20F0" w:rsidP="00594C0F">
            <w:pPr>
              <w:ind w:firstLine="720"/>
              <w:jc w:val="both"/>
              <w:rPr>
                <w:rFonts w:eastAsia="Calibri"/>
                <w:sz w:val="20"/>
              </w:rPr>
            </w:pPr>
          </w:p>
          <w:p w:rsidR="00FD20F0" w:rsidRPr="00F056F0" w:rsidRDefault="00FD20F0" w:rsidP="00594C0F">
            <w:pPr>
              <w:ind w:left="720"/>
              <w:jc w:val="both"/>
              <w:rPr>
                <w:rFonts w:eastAsia="Calibri"/>
                <w:sz w:val="20"/>
              </w:rPr>
            </w:pPr>
            <w:r w:rsidRPr="00F056F0">
              <w:rPr>
                <w:rFonts w:eastAsia="Calibri"/>
                <w:sz w:val="20"/>
              </w:rPr>
              <w:t>(3)</w:t>
            </w:r>
            <w:r w:rsidRPr="00F056F0">
              <w:rPr>
                <w:rFonts w:eastAsia="Calibri"/>
                <w:sz w:val="20"/>
              </w:rPr>
              <w:tab/>
              <w:t>the order of Gordon J. dated September 14, 2011 dismissing Mr. Todorovic’s action against the Government of Ontario for disclosing no reasonable cause of action.  Mr. Todorovic’s action was based on allegations that the Crown failed to fund or establish additional employment assistance programs that would be satisfactory to Mr. Todorovic and that the Crown failed to ensure a “competitive” job market in Ontario to an acceptable standard so that Mr. Todorovic could obtain a job commensurate with his training and experience; and</w:t>
            </w:r>
          </w:p>
          <w:p w:rsidR="00FD20F0" w:rsidRPr="00F056F0" w:rsidRDefault="00FD20F0" w:rsidP="00594C0F">
            <w:pPr>
              <w:jc w:val="both"/>
              <w:rPr>
                <w:rFonts w:eastAsia="Calibri"/>
                <w:sz w:val="20"/>
              </w:rPr>
            </w:pPr>
          </w:p>
          <w:p w:rsidR="00FD20F0" w:rsidRPr="00F056F0" w:rsidRDefault="00FD20F0" w:rsidP="00594C0F">
            <w:pPr>
              <w:ind w:left="720"/>
              <w:jc w:val="both"/>
              <w:rPr>
                <w:rFonts w:eastAsia="Calibri"/>
                <w:sz w:val="20"/>
              </w:rPr>
            </w:pPr>
            <w:r w:rsidRPr="00F056F0">
              <w:rPr>
                <w:rFonts w:eastAsia="Calibri"/>
                <w:sz w:val="20"/>
              </w:rPr>
              <w:t>(4)</w:t>
            </w:r>
            <w:r w:rsidRPr="00F056F0">
              <w:rPr>
                <w:rFonts w:eastAsia="Calibri"/>
                <w:sz w:val="20"/>
              </w:rPr>
              <w:tab/>
              <w:t>the order of Parayeski J. dated September 26, 2011 dismissing Mr. Todorovic’s action against the Government of Ontario.  The action sought to require the provincial legislature to enact laws to address alleged abuses of power by local Hamilton MPPs and to establish a more democratic Ontario.</w:t>
            </w:r>
          </w:p>
          <w:p w:rsidR="00FD20F0" w:rsidRPr="00F056F0" w:rsidRDefault="00FD20F0" w:rsidP="00594C0F">
            <w:pPr>
              <w:jc w:val="both"/>
              <w:rPr>
                <w:rFonts w:eastAsia="Calibri"/>
                <w:sz w:val="20"/>
              </w:rPr>
            </w:pPr>
          </w:p>
          <w:p w:rsidR="00FD20F0" w:rsidRPr="00F056F0" w:rsidRDefault="00FD20F0" w:rsidP="00594C0F">
            <w:pPr>
              <w:jc w:val="both"/>
              <w:rPr>
                <w:rFonts w:eastAsia="Calibri"/>
                <w:sz w:val="20"/>
              </w:rPr>
            </w:pPr>
            <w:r w:rsidRPr="00F056F0">
              <w:rPr>
                <w:rFonts w:eastAsia="Calibri"/>
                <w:sz w:val="20"/>
              </w:rPr>
              <w:t>All four appeals were dismissed by the Court of Appeal.</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t>August 25, 2011</w:t>
            </w:r>
          </w:p>
          <w:p w:rsidR="00FD20F0" w:rsidRPr="00F056F0" w:rsidRDefault="00FD20F0" w:rsidP="00594C0F">
            <w:pPr>
              <w:jc w:val="both"/>
              <w:rPr>
                <w:rFonts w:eastAsia="Calibri"/>
                <w:sz w:val="20"/>
              </w:rPr>
            </w:pPr>
            <w:r w:rsidRPr="00F056F0">
              <w:rPr>
                <w:rFonts w:eastAsia="Calibri"/>
                <w:sz w:val="20"/>
              </w:rPr>
              <w:t>Ontario Superior Court of Justice</w:t>
            </w:r>
          </w:p>
          <w:p w:rsidR="00FD20F0" w:rsidRPr="00F056F0" w:rsidRDefault="00FD20F0" w:rsidP="00594C0F">
            <w:pPr>
              <w:jc w:val="both"/>
              <w:rPr>
                <w:rFonts w:eastAsia="Calibri"/>
                <w:sz w:val="20"/>
              </w:rPr>
            </w:pPr>
            <w:r w:rsidRPr="00F056F0">
              <w:rPr>
                <w:rFonts w:eastAsia="Calibri"/>
                <w:sz w:val="20"/>
              </w:rPr>
              <w:t>(Parayeski J.)</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Actions against city dismissed except for limited issue of claim related to soccer injury</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t>September 14, 2011</w:t>
            </w:r>
          </w:p>
          <w:p w:rsidR="00FD20F0" w:rsidRPr="00F056F0" w:rsidRDefault="00FD20F0" w:rsidP="00594C0F">
            <w:pPr>
              <w:jc w:val="both"/>
              <w:rPr>
                <w:rFonts w:eastAsia="Calibri"/>
                <w:sz w:val="20"/>
              </w:rPr>
            </w:pPr>
            <w:r w:rsidRPr="00F056F0">
              <w:rPr>
                <w:rFonts w:eastAsia="Calibri"/>
                <w:sz w:val="20"/>
              </w:rPr>
              <w:t>Ontario Superior Court of Justice</w:t>
            </w:r>
          </w:p>
          <w:p w:rsidR="00FD20F0" w:rsidRPr="00F056F0" w:rsidRDefault="00FD20F0" w:rsidP="00594C0F">
            <w:pPr>
              <w:jc w:val="both"/>
              <w:rPr>
                <w:rFonts w:eastAsia="Calibri"/>
                <w:sz w:val="20"/>
              </w:rPr>
            </w:pPr>
            <w:r w:rsidRPr="00F056F0">
              <w:rPr>
                <w:rFonts w:eastAsia="Calibri"/>
                <w:sz w:val="20"/>
              </w:rPr>
              <w:t>(Gordon J.)</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Action against province dismissed</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t>September 26, 2011</w:t>
            </w:r>
          </w:p>
          <w:p w:rsidR="00FD20F0" w:rsidRPr="00F056F0" w:rsidRDefault="00FD20F0" w:rsidP="00594C0F">
            <w:pPr>
              <w:jc w:val="both"/>
              <w:rPr>
                <w:rFonts w:eastAsia="Calibri"/>
                <w:sz w:val="20"/>
              </w:rPr>
            </w:pPr>
            <w:r w:rsidRPr="00F056F0">
              <w:rPr>
                <w:rFonts w:eastAsia="Calibri"/>
                <w:sz w:val="20"/>
              </w:rPr>
              <w:t>Ontario Superior Court of Justice</w:t>
            </w:r>
          </w:p>
          <w:p w:rsidR="00FD20F0" w:rsidRPr="00F056F0" w:rsidRDefault="00FD20F0" w:rsidP="00594C0F">
            <w:pPr>
              <w:jc w:val="both"/>
              <w:rPr>
                <w:rFonts w:eastAsia="Calibri"/>
                <w:sz w:val="20"/>
              </w:rPr>
            </w:pPr>
            <w:r w:rsidRPr="00F056F0">
              <w:rPr>
                <w:rFonts w:eastAsia="Calibri"/>
                <w:sz w:val="20"/>
              </w:rPr>
              <w:t>(Parayeski J.)</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Action against province dismissed</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lastRenderedPageBreak/>
              <w:t>March 22, 2012</w:t>
            </w:r>
          </w:p>
          <w:p w:rsidR="00FD20F0" w:rsidRPr="00F056F0" w:rsidRDefault="00FD20F0" w:rsidP="00594C0F">
            <w:pPr>
              <w:jc w:val="both"/>
              <w:rPr>
                <w:rFonts w:eastAsia="Calibri"/>
                <w:sz w:val="20"/>
              </w:rPr>
            </w:pPr>
            <w:r w:rsidRPr="00F056F0">
              <w:rPr>
                <w:rFonts w:eastAsia="Calibri"/>
                <w:sz w:val="20"/>
              </w:rPr>
              <w:t>Court of Appeal for Ontario</w:t>
            </w:r>
          </w:p>
          <w:p w:rsidR="00FD20F0" w:rsidRPr="00F056F0" w:rsidRDefault="00FD20F0" w:rsidP="00594C0F">
            <w:pPr>
              <w:jc w:val="both"/>
              <w:rPr>
                <w:rFonts w:eastAsia="Calibri"/>
                <w:sz w:val="20"/>
              </w:rPr>
            </w:pPr>
            <w:r w:rsidRPr="00F056F0">
              <w:rPr>
                <w:rFonts w:eastAsia="Calibri"/>
                <w:sz w:val="20"/>
              </w:rPr>
              <w:t>(MacPherson, LaForme and Pattillo JJ.A.)</w:t>
            </w:r>
          </w:p>
          <w:p w:rsidR="00FD20F0" w:rsidRPr="00F056F0" w:rsidRDefault="00FD20F0" w:rsidP="00594C0F">
            <w:pPr>
              <w:jc w:val="both"/>
              <w:rPr>
                <w:rFonts w:eastAsia="Calibri"/>
                <w:sz w:val="20"/>
              </w:rPr>
            </w:pPr>
            <w:r w:rsidRPr="00F056F0">
              <w:rPr>
                <w:rFonts w:eastAsia="Calibri"/>
                <w:sz w:val="20"/>
              </w:rPr>
              <w:t>2012 ONCA 198; C54412, C54413, C54470, C54624</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Appeals dismissed</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t>May 1, 2012</w:t>
            </w:r>
          </w:p>
          <w:p w:rsidR="00FD20F0" w:rsidRPr="00F056F0" w:rsidRDefault="00FD20F0" w:rsidP="00594C0F">
            <w:pPr>
              <w:jc w:val="both"/>
              <w:rPr>
                <w:rFonts w:eastAsia="Calibri"/>
                <w:sz w:val="20"/>
              </w:rPr>
            </w:pPr>
            <w:r w:rsidRPr="00F056F0">
              <w:rPr>
                <w:rFonts w:eastAsia="Calibri"/>
                <w:sz w:val="20"/>
              </w:rPr>
              <w:t>Supreme Court of Canada</w:t>
            </w: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Applications (4) for leave to appeal filed</w:t>
            </w:r>
          </w:p>
          <w:p w:rsidR="00FD20F0" w:rsidRPr="00F056F0" w:rsidRDefault="00FD20F0"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48"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sz w:val="20"/>
                <w:lang w:val="fr-CA"/>
              </w:rPr>
              <w:t>Procédure civile — Actes de procédure — La Cour d’appel de l’Ontario a</w:t>
            </w:r>
            <w:r w:rsidRPr="00F056F0">
              <w:rPr>
                <w:rFonts w:eastAsia="Calibri"/>
                <w:sz w:val="20"/>
                <w:lang w:val="fr-CA"/>
              </w:rPr>
              <w:noBreakHyphen/>
              <w:t>t</w:t>
            </w:r>
            <w:r w:rsidRPr="00F056F0">
              <w:rPr>
                <w:rFonts w:eastAsia="Calibri"/>
                <w:sz w:val="20"/>
                <w:lang w:val="fr-CA"/>
              </w:rPr>
              <w:noBreakHyphen/>
              <w:t>elle agi comme organisme privé de la classe au pouvoir en Ontario en protégeant aveuglément les intérêts des intimées? — La législature de l’Ontario est</w:t>
            </w:r>
            <w:r w:rsidRPr="00F056F0">
              <w:rPr>
                <w:rFonts w:eastAsia="Calibri"/>
                <w:sz w:val="20"/>
                <w:lang w:val="fr-CA"/>
              </w:rPr>
              <w:noBreakHyphen/>
              <w:t>elle délibérément conçue pour servir la classe au pouvoir en Ontario? — La Cour d’appel de l’Ontario a</w:t>
            </w:r>
            <w:r w:rsidRPr="00F056F0">
              <w:rPr>
                <w:rFonts w:eastAsia="Calibri"/>
                <w:sz w:val="20"/>
                <w:lang w:val="fr-CA"/>
              </w:rPr>
              <w:noBreakHyphen/>
              <w:t>t</w:t>
            </w:r>
            <w:r w:rsidRPr="00F056F0">
              <w:rPr>
                <w:rFonts w:eastAsia="Calibri"/>
                <w:sz w:val="20"/>
                <w:lang w:val="fr-CA"/>
              </w:rPr>
              <w:noBreakHyphen/>
              <w:t>elle une obligation de rendre des comptes à la population de l’Ontario? — Le demandeur, à titre de membre de l’immigration canadienne, est</w:t>
            </w:r>
            <w:r w:rsidRPr="00F056F0">
              <w:rPr>
                <w:rFonts w:eastAsia="Calibri"/>
                <w:sz w:val="20"/>
                <w:lang w:val="fr-CA"/>
              </w:rPr>
              <w:noBreakHyphen/>
              <w:t>il une victime permanente du complot de la classe au pouvoir en Ontario, exprimée par une discrimination parfaitement exercée?</w:t>
            </w:r>
          </w:p>
          <w:p w:rsidR="00FD20F0" w:rsidRPr="00F056F0" w:rsidRDefault="00FD20F0" w:rsidP="00594C0F">
            <w:pPr>
              <w:jc w:val="both"/>
              <w:rPr>
                <w:rFonts w:eastAsia="Calibri"/>
                <w:sz w:val="20"/>
                <w:lang w:val="fr-CA"/>
              </w:rPr>
            </w:pPr>
          </w:p>
        </w:tc>
      </w:tr>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sz w:val="20"/>
                <w:lang w:val="fr-CA"/>
              </w:rPr>
              <w:t>Monsieur Todorovic interjette appel de quatre ordonnances rendues par des juges de la Cour supérieure entre le 25 août et le 26 septembre 2011, à savoir :</w:t>
            </w:r>
          </w:p>
          <w:p w:rsidR="00FD20F0" w:rsidRPr="00F056F0" w:rsidRDefault="00FD20F0" w:rsidP="00594C0F">
            <w:pPr>
              <w:jc w:val="both"/>
              <w:rPr>
                <w:rFonts w:eastAsia="Calibri"/>
                <w:sz w:val="20"/>
                <w:lang w:val="fr-CA"/>
              </w:rPr>
            </w:pPr>
          </w:p>
          <w:p w:rsidR="00FD20F0" w:rsidRPr="00F056F0" w:rsidRDefault="00FD20F0" w:rsidP="00594C0F">
            <w:pPr>
              <w:ind w:left="720"/>
              <w:jc w:val="both"/>
              <w:rPr>
                <w:rFonts w:eastAsia="Calibri"/>
                <w:sz w:val="20"/>
                <w:lang w:val="fr-CA"/>
              </w:rPr>
            </w:pPr>
            <w:r w:rsidRPr="00F056F0">
              <w:rPr>
                <w:rFonts w:eastAsia="Calibri"/>
                <w:sz w:val="20"/>
                <w:lang w:val="fr-CA"/>
              </w:rPr>
              <w:t>(1)</w:t>
            </w:r>
            <w:r w:rsidRPr="00F056F0">
              <w:rPr>
                <w:rFonts w:eastAsia="Calibri"/>
                <w:sz w:val="20"/>
                <w:lang w:val="fr-CA"/>
              </w:rPr>
              <w:tab/>
              <w:t>l’ordonnance du juge Parayeski en date du 25 août 2011 en radiation de la déclaration de M. Todorovic dans une action intentée contre la Ville de Hamilton.  Dans l’action, il est allégué que la Ville avait omis d’offrir un programme conçu pour favoriser l’employabilité de professionnels formés à l’étranger;</w:t>
            </w:r>
          </w:p>
          <w:p w:rsidR="00FD20F0" w:rsidRPr="00F056F0" w:rsidRDefault="00FD20F0" w:rsidP="00594C0F">
            <w:pPr>
              <w:ind w:firstLine="720"/>
              <w:jc w:val="both"/>
              <w:rPr>
                <w:rFonts w:eastAsia="Calibri"/>
                <w:sz w:val="20"/>
                <w:lang w:val="fr-CA"/>
              </w:rPr>
            </w:pPr>
          </w:p>
          <w:p w:rsidR="00FD20F0" w:rsidRPr="00F056F0" w:rsidRDefault="00FD20F0" w:rsidP="00594C0F">
            <w:pPr>
              <w:ind w:left="720"/>
              <w:jc w:val="both"/>
              <w:rPr>
                <w:rFonts w:eastAsia="Calibri"/>
                <w:sz w:val="20"/>
                <w:lang w:val="fr-CA"/>
              </w:rPr>
            </w:pPr>
            <w:r w:rsidRPr="00F056F0">
              <w:rPr>
                <w:rFonts w:eastAsia="Calibri"/>
                <w:sz w:val="20"/>
                <w:lang w:val="fr-CA"/>
              </w:rPr>
              <w:t>(2)</w:t>
            </w:r>
            <w:r w:rsidRPr="00F056F0">
              <w:rPr>
                <w:rFonts w:eastAsia="Calibri"/>
                <w:sz w:val="20"/>
                <w:lang w:val="fr-CA"/>
              </w:rPr>
              <w:tab/>
              <w:t>l’ordonnance du juge Parayeski en date du 25 août 2011 en radiation de la déclaration de M. Todorovic dans une action intentée contre la Ville de Hamilton, à l’exception de la demande d’indemnisation de M. Todorovic pour blessures corporelles subies au cours d’un match de soccer à l’égard de laquelle M. Todorovic s’est vu accorder la permission de déposer une déclaration modifiée dans un délai de 30 jours;</w:t>
            </w:r>
          </w:p>
          <w:p w:rsidR="00FD20F0" w:rsidRPr="00F056F0" w:rsidRDefault="00FD20F0" w:rsidP="00594C0F">
            <w:pPr>
              <w:ind w:firstLine="720"/>
              <w:jc w:val="both"/>
              <w:rPr>
                <w:rFonts w:eastAsia="Calibri"/>
                <w:sz w:val="20"/>
                <w:lang w:val="fr-CA"/>
              </w:rPr>
            </w:pPr>
          </w:p>
          <w:p w:rsidR="00FD20F0" w:rsidRPr="00F056F0" w:rsidRDefault="00FD20F0" w:rsidP="00594C0F">
            <w:pPr>
              <w:ind w:left="720"/>
              <w:jc w:val="both"/>
              <w:rPr>
                <w:rFonts w:eastAsia="Calibri"/>
                <w:sz w:val="20"/>
                <w:lang w:val="fr-CA"/>
              </w:rPr>
            </w:pPr>
            <w:r w:rsidRPr="00F056F0">
              <w:rPr>
                <w:rFonts w:eastAsia="Calibri"/>
                <w:sz w:val="20"/>
                <w:lang w:val="fr-CA"/>
              </w:rPr>
              <w:t>(3)</w:t>
            </w:r>
            <w:r w:rsidRPr="00F056F0">
              <w:rPr>
                <w:rFonts w:eastAsia="Calibri"/>
                <w:sz w:val="20"/>
                <w:lang w:val="fr-CA"/>
              </w:rPr>
              <w:tab/>
              <w:t>l’ordonnance du juge Gordon en date du 14 septembre 2011 rejetant l’action intentée par M. Todorovic contre le gouvernement de l’Ontario parce qu’elle ne révélait aucune cause d’action fondée.  L’action de M. Todorovic était fondée sur des allégations selon lesquelles l’État avait omis de financer ou d’établir des programmes supplémentaires d’aide à l’emploi que M. Todorovic jugerait satisfaisants et que l’État avait omis d’assurer un marché de l’emploi « concurrentiel » en Ontario, selon une norme acceptable pour que M. Todorovic puisse obtenir un emploi correspondant à sa formation et à son expérience;</w:t>
            </w:r>
          </w:p>
          <w:p w:rsidR="00FD20F0" w:rsidRPr="00F056F0" w:rsidRDefault="00FD20F0" w:rsidP="00594C0F">
            <w:pPr>
              <w:jc w:val="both"/>
              <w:rPr>
                <w:rFonts w:eastAsia="Calibri"/>
                <w:sz w:val="20"/>
                <w:lang w:val="fr-CA"/>
              </w:rPr>
            </w:pPr>
          </w:p>
          <w:p w:rsidR="00FD20F0" w:rsidRPr="00F056F0" w:rsidRDefault="00FD20F0" w:rsidP="00594C0F">
            <w:pPr>
              <w:ind w:left="720"/>
              <w:jc w:val="both"/>
              <w:rPr>
                <w:rFonts w:eastAsia="Calibri"/>
                <w:sz w:val="20"/>
                <w:lang w:val="fr-CA"/>
              </w:rPr>
            </w:pPr>
            <w:r w:rsidRPr="00F056F0">
              <w:rPr>
                <w:rFonts w:eastAsia="Calibri"/>
                <w:sz w:val="20"/>
                <w:lang w:val="fr-CA"/>
              </w:rPr>
              <w:t>(4)</w:t>
            </w:r>
            <w:r w:rsidRPr="00F056F0">
              <w:rPr>
                <w:rFonts w:eastAsia="Calibri"/>
                <w:sz w:val="20"/>
                <w:lang w:val="fr-CA"/>
              </w:rPr>
              <w:tab/>
              <w:t>l’ordonnance du juge Parayeski en date du 26 septembre 2011 rejetant l’action intentée par M. Todorovic contre le gouvernement de l’Ontario.  L’action visait à obliger la législature provinciale à s’attaquer aux abus de pouvoir censément commises par des députés provinciaux de la région de Hamilton et à établir un Ontario plus démocratique.</w:t>
            </w:r>
          </w:p>
          <w:p w:rsidR="00FD20F0" w:rsidRPr="00F056F0" w:rsidRDefault="00FD20F0" w:rsidP="00594C0F">
            <w:pPr>
              <w:jc w:val="both"/>
              <w:rPr>
                <w:rFonts w:eastAsia="Calibri"/>
                <w:sz w:val="20"/>
                <w:lang w:val="fr-CA"/>
              </w:rPr>
            </w:pPr>
          </w:p>
          <w:p w:rsidR="00FD20F0" w:rsidRPr="00F056F0" w:rsidRDefault="00FD20F0" w:rsidP="00594C0F">
            <w:pPr>
              <w:jc w:val="both"/>
              <w:rPr>
                <w:rFonts w:eastAsia="Calibri"/>
                <w:sz w:val="20"/>
                <w:lang w:val="fr-CA"/>
              </w:rPr>
            </w:pPr>
            <w:r w:rsidRPr="00F056F0">
              <w:rPr>
                <w:rFonts w:eastAsia="Calibri"/>
                <w:sz w:val="20"/>
                <w:lang w:val="fr-CA"/>
              </w:rPr>
              <w:t>La Cour d’appel a rejeté les quatre appels.</w:t>
            </w:r>
          </w:p>
          <w:p w:rsidR="00FD20F0" w:rsidRPr="00F056F0" w:rsidRDefault="00FD20F0" w:rsidP="00594C0F">
            <w:pPr>
              <w:jc w:val="both"/>
              <w:rPr>
                <w:rFonts w:eastAsia="Calibri"/>
                <w:sz w:val="20"/>
                <w:lang w:val="fr-CA"/>
              </w:rPr>
            </w:pP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25 août 2011</w:t>
            </w:r>
          </w:p>
          <w:p w:rsidR="00FD20F0" w:rsidRPr="00F056F0" w:rsidRDefault="00FD20F0" w:rsidP="00594C0F">
            <w:pPr>
              <w:jc w:val="both"/>
              <w:rPr>
                <w:rFonts w:eastAsia="Calibri"/>
                <w:sz w:val="20"/>
                <w:lang w:val="fr-CA"/>
              </w:rPr>
            </w:pPr>
            <w:r w:rsidRPr="00F056F0">
              <w:rPr>
                <w:rFonts w:eastAsia="Calibri"/>
                <w:sz w:val="20"/>
                <w:lang w:val="fr-CA"/>
              </w:rPr>
              <w:t>Cour supérieure de justice de l'Ontario</w:t>
            </w:r>
          </w:p>
          <w:p w:rsidR="00FD20F0" w:rsidRPr="00F056F0" w:rsidRDefault="00FD20F0" w:rsidP="00594C0F">
            <w:pPr>
              <w:jc w:val="both"/>
              <w:rPr>
                <w:rFonts w:eastAsia="Calibri"/>
                <w:sz w:val="20"/>
                <w:lang w:val="fr-CA"/>
              </w:rPr>
            </w:pPr>
            <w:r w:rsidRPr="00F056F0">
              <w:rPr>
                <w:rFonts w:eastAsia="Calibri"/>
                <w:sz w:val="20"/>
                <w:lang w:val="fr-CA"/>
              </w:rPr>
              <w:t>(Juge Parayeski)</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Actions contre la ville rejetées, à l'exception de la demande d'indemnisation liée à une blessure subie pendant un match de soccer</w:t>
            </w:r>
          </w:p>
          <w:p w:rsidR="00FD20F0" w:rsidRPr="00F056F0" w:rsidRDefault="00FD20F0" w:rsidP="00594C0F">
            <w:pPr>
              <w:jc w:val="both"/>
              <w:rPr>
                <w:rFonts w:eastAsia="Calibri"/>
                <w:sz w:val="20"/>
                <w:lang w:val="fr-CA"/>
              </w:rPr>
            </w:pPr>
          </w:p>
        </w:tc>
      </w:tr>
      <w:tr w:rsidR="00FD20F0" w:rsidRPr="00F056F0"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lastRenderedPageBreak/>
              <w:t>14 septembre 2011</w:t>
            </w:r>
          </w:p>
          <w:p w:rsidR="00FD20F0" w:rsidRPr="00F056F0" w:rsidRDefault="00FD20F0" w:rsidP="00594C0F">
            <w:pPr>
              <w:jc w:val="both"/>
              <w:rPr>
                <w:rFonts w:eastAsia="Calibri"/>
                <w:sz w:val="20"/>
                <w:lang w:val="fr-CA"/>
              </w:rPr>
            </w:pPr>
            <w:r w:rsidRPr="00F056F0">
              <w:rPr>
                <w:rFonts w:eastAsia="Calibri"/>
                <w:sz w:val="20"/>
                <w:lang w:val="fr-CA"/>
              </w:rPr>
              <w:t xml:space="preserve">Cour supérieure de justice de l'Ontario </w:t>
            </w:r>
          </w:p>
          <w:p w:rsidR="00FD20F0" w:rsidRPr="00F056F0" w:rsidRDefault="00FD20F0" w:rsidP="00594C0F">
            <w:pPr>
              <w:jc w:val="both"/>
              <w:rPr>
                <w:rFonts w:eastAsia="Calibri"/>
                <w:sz w:val="20"/>
                <w:lang w:val="fr-CA"/>
              </w:rPr>
            </w:pPr>
            <w:r w:rsidRPr="00F056F0">
              <w:rPr>
                <w:rFonts w:eastAsia="Calibri"/>
                <w:sz w:val="20"/>
                <w:lang w:val="fr-CA"/>
              </w:rPr>
              <w:t>(Juge Gordon)</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Action contre la province, rejetée</w:t>
            </w:r>
          </w:p>
          <w:p w:rsidR="00FD20F0" w:rsidRPr="00F056F0" w:rsidRDefault="00FD20F0" w:rsidP="00594C0F">
            <w:pPr>
              <w:jc w:val="both"/>
              <w:rPr>
                <w:rFonts w:eastAsia="Calibri"/>
                <w:sz w:val="20"/>
                <w:lang w:val="fr-CA"/>
              </w:rPr>
            </w:pPr>
          </w:p>
        </w:tc>
      </w:tr>
      <w:tr w:rsidR="00FD20F0" w:rsidRPr="00F056F0"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26 septembre 2011</w:t>
            </w:r>
          </w:p>
          <w:p w:rsidR="00FD20F0" w:rsidRPr="00F056F0" w:rsidRDefault="00FD20F0" w:rsidP="00594C0F">
            <w:pPr>
              <w:jc w:val="both"/>
              <w:rPr>
                <w:rFonts w:eastAsia="Calibri"/>
                <w:sz w:val="20"/>
                <w:lang w:val="fr-CA"/>
              </w:rPr>
            </w:pPr>
            <w:r w:rsidRPr="00F056F0">
              <w:rPr>
                <w:rFonts w:eastAsia="Calibri"/>
                <w:sz w:val="20"/>
                <w:lang w:val="fr-CA"/>
              </w:rPr>
              <w:t xml:space="preserve">Cour supérieure de justice de l'Ontario </w:t>
            </w:r>
          </w:p>
          <w:p w:rsidR="00FD20F0" w:rsidRPr="00F056F0" w:rsidRDefault="00FD20F0" w:rsidP="00594C0F">
            <w:pPr>
              <w:jc w:val="both"/>
              <w:rPr>
                <w:rFonts w:eastAsia="Calibri"/>
                <w:sz w:val="20"/>
                <w:lang w:val="fr-CA"/>
              </w:rPr>
            </w:pPr>
            <w:r w:rsidRPr="00F056F0">
              <w:rPr>
                <w:rFonts w:eastAsia="Calibri"/>
                <w:sz w:val="20"/>
                <w:lang w:val="fr-CA"/>
              </w:rPr>
              <w:t>(Juge Parayeski)</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Action contre la province, rejetée</w:t>
            </w:r>
          </w:p>
          <w:p w:rsidR="00FD20F0" w:rsidRPr="00F056F0" w:rsidRDefault="00FD20F0" w:rsidP="00594C0F">
            <w:pPr>
              <w:jc w:val="both"/>
              <w:rPr>
                <w:rFonts w:eastAsia="Calibri"/>
                <w:sz w:val="20"/>
                <w:lang w:val="fr-CA"/>
              </w:rPr>
            </w:pPr>
          </w:p>
        </w:tc>
      </w:tr>
      <w:tr w:rsidR="00FD20F0" w:rsidRPr="00F056F0"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22 mars 2012</w:t>
            </w:r>
          </w:p>
          <w:p w:rsidR="00FD20F0" w:rsidRPr="00F056F0" w:rsidRDefault="00FD20F0" w:rsidP="00594C0F">
            <w:pPr>
              <w:jc w:val="both"/>
              <w:rPr>
                <w:rFonts w:eastAsia="Calibri"/>
                <w:sz w:val="20"/>
                <w:lang w:val="fr-CA"/>
              </w:rPr>
            </w:pPr>
            <w:r w:rsidRPr="00F056F0">
              <w:rPr>
                <w:rFonts w:eastAsia="Calibri"/>
                <w:sz w:val="20"/>
                <w:lang w:val="fr-CA"/>
              </w:rPr>
              <w:t xml:space="preserve">Cour d'appel de l'Ontario </w:t>
            </w:r>
          </w:p>
          <w:p w:rsidR="00FD20F0" w:rsidRPr="00F056F0" w:rsidRDefault="00FD20F0" w:rsidP="00594C0F">
            <w:pPr>
              <w:jc w:val="both"/>
              <w:rPr>
                <w:rFonts w:eastAsia="Calibri"/>
                <w:sz w:val="20"/>
                <w:lang w:val="fr-CA"/>
              </w:rPr>
            </w:pPr>
            <w:r w:rsidRPr="00F056F0">
              <w:rPr>
                <w:rFonts w:eastAsia="Calibri"/>
                <w:sz w:val="20"/>
                <w:lang w:val="fr-CA"/>
              </w:rPr>
              <w:t>(Juges MacPherson, LaForme et Pattillo)</w:t>
            </w:r>
          </w:p>
          <w:p w:rsidR="00FD20F0" w:rsidRPr="00F056F0" w:rsidRDefault="00FD20F0" w:rsidP="00594C0F">
            <w:pPr>
              <w:jc w:val="both"/>
              <w:rPr>
                <w:rFonts w:eastAsia="Calibri"/>
                <w:sz w:val="20"/>
                <w:lang w:val="fr-CA"/>
              </w:rPr>
            </w:pPr>
            <w:r w:rsidRPr="00F056F0">
              <w:rPr>
                <w:rFonts w:eastAsia="Calibri"/>
                <w:sz w:val="20"/>
                <w:lang w:val="fr-CA"/>
              </w:rPr>
              <w:t>2012 ONCA 198; C54412, C54413, C54470, C54624</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Appels rejetés</w:t>
            </w:r>
          </w:p>
          <w:p w:rsidR="00FD20F0" w:rsidRPr="00F056F0" w:rsidRDefault="00FD20F0" w:rsidP="00594C0F">
            <w:pPr>
              <w:jc w:val="both"/>
              <w:rPr>
                <w:rFonts w:eastAsia="Calibri"/>
                <w:sz w:val="20"/>
                <w:lang w:val="fr-CA"/>
              </w:rPr>
            </w:pPr>
          </w:p>
        </w:tc>
      </w:tr>
      <w:tr w:rsidR="00FD20F0" w:rsidRPr="00F056F0"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1</w:t>
            </w:r>
            <w:r w:rsidRPr="00F056F0">
              <w:rPr>
                <w:rFonts w:eastAsia="Calibri"/>
                <w:sz w:val="20"/>
                <w:vertAlign w:val="superscript"/>
                <w:lang w:val="fr-CA"/>
              </w:rPr>
              <w:t>er</w:t>
            </w:r>
            <w:r w:rsidRPr="00F056F0">
              <w:rPr>
                <w:rFonts w:eastAsia="Calibri"/>
                <w:sz w:val="20"/>
                <w:lang w:val="fr-CA"/>
              </w:rPr>
              <w:t xml:space="preserve"> mai 2012</w:t>
            </w:r>
          </w:p>
          <w:p w:rsidR="00FD20F0" w:rsidRPr="00F056F0" w:rsidRDefault="00FD20F0" w:rsidP="00594C0F">
            <w:pPr>
              <w:jc w:val="both"/>
              <w:rPr>
                <w:rFonts w:eastAsia="Calibri"/>
                <w:sz w:val="20"/>
                <w:lang w:val="fr-CA"/>
              </w:rPr>
            </w:pPr>
            <w:r w:rsidRPr="00F056F0">
              <w:rPr>
                <w:rFonts w:eastAsia="Calibri"/>
                <w:sz w:val="20"/>
                <w:lang w:val="fr-CA"/>
              </w:rPr>
              <w:t>Cour suprême du Canada</w:t>
            </w: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Demandes d'autorisation d'appel (4), déposées</w:t>
            </w:r>
          </w:p>
          <w:p w:rsidR="00FD20F0" w:rsidRPr="00F056F0" w:rsidRDefault="00FD20F0"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49"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8080A" w:rsidRPr="0028080A" w:rsidTr="00594C0F">
        <w:trPr>
          <w:cantSplit/>
        </w:trPr>
        <w:tc>
          <w:tcPr>
            <w:tcW w:w="1458" w:type="dxa"/>
          </w:tcPr>
          <w:p w:rsidR="0028080A" w:rsidRPr="0028080A" w:rsidRDefault="0028080A" w:rsidP="00594C0F">
            <w:pPr>
              <w:rPr>
                <w:sz w:val="20"/>
                <w:szCs w:val="20"/>
              </w:rPr>
            </w:pPr>
            <w:r w:rsidRPr="0028080A">
              <w:rPr>
                <w:rStyle w:val="SCCFileNumberChar"/>
                <w:sz w:val="20"/>
                <w:szCs w:val="20"/>
              </w:rPr>
              <w:t>34831</w:t>
            </w:r>
          </w:p>
          <w:p w:rsidR="0028080A" w:rsidRPr="0028080A" w:rsidRDefault="0028080A" w:rsidP="00594C0F">
            <w:pPr>
              <w:rPr>
                <w:b/>
                <w:sz w:val="20"/>
                <w:szCs w:val="20"/>
                <w:lang w:val="fr-CA"/>
              </w:rPr>
            </w:pPr>
          </w:p>
        </w:tc>
        <w:tc>
          <w:tcPr>
            <w:tcW w:w="8118" w:type="dxa"/>
          </w:tcPr>
          <w:p w:rsidR="0028080A" w:rsidRPr="0028080A" w:rsidRDefault="0028080A" w:rsidP="00594C0F">
            <w:pPr>
              <w:jc w:val="both"/>
              <w:rPr>
                <w:sz w:val="20"/>
                <w:szCs w:val="20"/>
              </w:rPr>
            </w:pPr>
            <w:r w:rsidRPr="0028080A">
              <w:rPr>
                <w:rStyle w:val="SCCLsocChar"/>
                <w:sz w:val="20"/>
                <w:szCs w:val="20"/>
                <w:lang w:val="en-CA"/>
              </w:rPr>
              <w:t>Zoltan Andrew Simon v. Her Majesty the Queen in Right of Canada</w:t>
            </w:r>
            <w:r w:rsidRPr="0028080A">
              <w:rPr>
                <w:sz w:val="20"/>
                <w:szCs w:val="20"/>
              </w:rPr>
              <w:t xml:space="preserve"> (F.C.) (Civil) (By Leave)</w:t>
            </w:r>
          </w:p>
          <w:p w:rsidR="0028080A" w:rsidRPr="0028080A" w:rsidRDefault="0028080A" w:rsidP="00594C0F">
            <w:pPr>
              <w:rPr>
                <w:sz w:val="20"/>
                <w:szCs w:val="20"/>
              </w:rPr>
            </w:pPr>
          </w:p>
        </w:tc>
      </w:tr>
      <w:tr w:rsidR="0028080A" w:rsidRPr="0028080A" w:rsidTr="00594C0F">
        <w:trPr>
          <w:cantSplit/>
        </w:trPr>
        <w:tc>
          <w:tcPr>
            <w:tcW w:w="1458" w:type="dxa"/>
          </w:tcPr>
          <w:p w:rsidR="0028080A" w:rsidRPr="0028080A" w:rsidRDefault="0028080A" w:rsidP="00594C0F">
            <w:pPr>
              <w:rPr>
                <w:sz w:val="20"/>
                <w:szCs w:val="20"/>
              </w:rPr>
            </w:pPr>
            <w:r w:rsidRPr="0028080A">
              <w:rPr>
                <w:sz w:val="20"/>
                <w:szCs w:val="20"/>
              </w:rPr>
              <w:t>Coram :</w:t>
            </w:r>
          </w:p>
        </w:tc>
        <w:tc>
          <w:tcPr>
            <w:tcW w:w="8118" w:type="dxa"/>
          </w:tcPr>
          <w:p w:rsidR="0028080A" w:rsidRPr="0028080A" w:rsidRDefault="0028080A" w:rsidP="00594C0F">
            <w:pPr>
              <w:rPr>
                <w:sz w:val="20"/>
                <w:szCs w:val="20"/>
              </w:rPr>
            </w:pPr>
            <w:r w:rsidRPr="0028080A">
              <w:rPr>
                <w:rStyle w:val="SCCCoramChar"/>
                <w:sz w:val="20"/>
                <w:szCs w:val="20"/>
                <w:lang w:val="en-CA"/>
              </w:rPr>
              <w:t>McLachlin C.J. and Rothstein and Moldaver JJ.</w:t>
            </w:r>
          </w:p>
          <w:p w:rsidR="0028080A" w:rsidRPr="0028080A" w:rsidRDefault="0028080A" w:rsidP="00594C0F">
            <w:pPr>
              <w:rPr>
                <w:sz w:val="20"/>
                <w:szCs w:val="20"/>
                <w:u w:val="single"/>
              </w:rPr>
            </w:pPr>
          </w:p>
        </w:tc>
      </w:tr>
      <w:tr w:rsidR="0028080A" w:rsidRPr="003935EC" w:rsidTr="00594C0F">
        <w:trPr>
          <w:cantSplit/>
        </w:trPr>
        <w:tc>
          <w:tcPr>
            <w:tcW w:w="9576" w:type="dxa"/>
            <w:gridSpan w:val="2"/>
          </w:tcPr>
          <w:p w:rsidR="0028080A" w:rsidRPr="0028080A" w:rsidRDefault="0028080A" w:rsidP="00594C0F">
            <w:pPr>
              <w:pStyle w:val="SCCShortJudgment"/>
              <w:rPr>
                <w:szCs w:val="20"/>
              </w:rPr>
            </w:pPr>
            <w:r w:rsidRPr="0028080A">
              <w:rPr>
                <w:szCs w:val="20"/>
              </w:rPr>
              <w:t>The motion for an extension of time to serve and file the application for leave to appeal is granted.  All other ancillary motions are dismissed. The application for leave to appeal from the judgment of the Federal Court of Appeal, Number A-232-11, 2012 FCA 49, dated February 13, 2012, is dismissed with costs.</w:t>
            </w:r>
          </w:p>
          <w:p w:rsidR="0028080A" w:rsidRPr="0028080A" w:rsidRDefault="0028080A" w:rsidP="00594C0F">
            <w:pPr>
              <w:pStyle w:val="SCCShortJudgment"/>
              <w:ind w:firstLine="0"/>
              <w:rPr>
                <w:szCs w:val="20"/>
              </w:rPr>
            </w:pPr>
          </w:p>
          <w:p w:rsidR="0028080A" w:rsidRPr="0028080A" w:rsidRDefault="0028080A" w:rsidP="00594C0F">
            <w:pPr>
              <w:pStyle w:val="SCCShortJudgment"/>
              <w:rPr>
                <w:szCs w:val="20"/>
                <w:lang w:val="fr-CA"/>
              </w:rPr>
            </w:pPr>
            <w:r w:rsidRPr="0028080A">
              <w:rPr>
                <w:szCs w:val="20"/>
                <w:lang w:val="fr-CA"/>
              </w:rPr>
              <w:t>La requête en prorogation du délai de signification et de dépôt de la demande d’autorisation d’appel est accueillie. Toutes les autres requêtes accessoires sont rejetées.  La demande d’autorisation d’appel de l’arrêt de la Cour d’appel fédérale, numéro A-232-11, 2012 CAF 49, daté du 13 février 2012, est rejetée avec dépens.</w:t>
            </w:r>
          </w:p>
        </w:tc>
      </w:tr>
    </w:tbl>
    <w:p w:rsidR="005F361C" w:rsidRPr="0028080A"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D20F0" w:rsidRPr="00F056F0" w:rsidTr="00594C0F">
        <w:tc>
          <w:tcPr>
            <w:tcW w:w="5000" w:type="pct"/>
            <w:gridSpan w:val="3"/>
          </w:tcPr>
          <w:p w:rsidR="00FD20F0" w:rsidRPr="00F056F0" w:rsidRDefault="00FD20F0" w:rsidP="00594C0F">
            <w:pPr>
              <w:jc w:val="both"/>
              <w:rPr>
                <w:rFonts w:eastAsia="Calibri"/>
                <w:sz w:val="20"/>
              </w:rPr>
            </w:pPr>
            <w:r w:rsidRPr="00F056F0">
              <w:rPr>
                <w:rFonts w:eastAsia="Calibri"/>
                <w:sz w:val="20"/>
              </w:rPr>
              <w:t>Procedural law — Summary judgment — Whether summary judgment was properly granted — Whether garnishing “other than tax” debts beyond the limitation period of 6 years and without a court procedure violates both the current legislation and common law.</w:t>
            </w:r>
          </w:p>
        </w:tc>
      </w:tr>
      <w:tr w:rsidR="00FD20F0" w:rsidRPr="00F056F0" w:rsidTr="00594C0F">
        <w:tc>
          <w:tcPr>
            <w:tcW w:w="5000" w:type="pct"/>
            <w:gridSpan w:val="3"/>
          </w:tcPr>
          <w:p w:rsidR="00FD20F0" w:rsidRPr="00F056F0" w:rsidRDefault="00FD20F0" w:rsidP="00594C0F">
            <w:pPr>
              <w:jc w:val="both"/>
              <w:rPr>
                <w:rFonts w:eastAsia="Calibri"/>
                <w:sz w:val="20"/>
              </w:rPr>
            </w:pPr>
          </w:p>
        </w:tc>
      </w:tr>
      <w:tr w:rsidR="00FD20F0" w:rsidRPr="00F056F0" w:rsidTr="00594C0F">
        <w:tc>
          <w:tcPr>
            <w:tcW w:w="5000" w:type="pct"/>
            <w:gridSpan w:val="3"/>
          </w:tcPr>
          <w:p w:rsidR="00FD20F0" w:rsidRPr="00F056F0" w:rsidRDefault="00FD20F0" w:rsidP="00594C0F">
            <w:pPr>
              <w:jc w:val="both"/>
              <w:rPr>
                <w:rFonts w:eastAsia="Calibri"/>
                <w:sz w:val="20"/>
              </w:rPr>
            </w:pPr>
            <w:r w:rsidRPr="00F056F0">
              <w:rPr>
                <w:rFonts w:eastAsia="Calibri"/>
                <w:sz w:val="20"/>
              </w:rPr>
              <w:t>In 1999, Mr. Simon entered into a sponsorship agreement with the government of British Columbia in respect of his first wife, a resident of Honduras.  She immigrated to Canada.  When they separated in 2000, she began receiving benefits from the government of British Columbia, giving rise to an alleged sponsorship debt.  In 2008, British Columbia requested and received payment of Mr. Simon’s federal tax refunds from Canada in order to realize on the sponsorship debt.  Mr. Simon filed a statement of claim seeking a declaration that he did not owe a debt to British Columbia under the sponsorship agreement.  The Federal Court struck the statement of claim without leave to amend, but the Federal Court of Appeal allowed an appeal in part, granting Mr. Simon leave to amend to particularize his claim against Canada.  Mr. Simon served and filed an amended statement of claim alleging additional facts and seeking additional remedies.  The Federal Court struck the amended statement of claim without leave to amend.  The Federal Court of Appeal dismissed Mr. Simon’s appeal.</w:t>
            </w:r>
          </w:p>
          <w:p w:rsidR="00FD20F0" w:rsidRPr="00F056F0" w:rsidRDefault="00FD20F0" w:rsidP="00594C0F">
            <w:pPr>
              <w:jc w:val="both"/>
              <w:rPr>
                <w:rFonts w:eastAsia="Calibri"/>
                <w:sz w:val="20"/>
              </w:rPr>
            </w:pPr>
          </w:p>
        </w:tc>
      </w:tr>
      <w:tr w:rsidR="00FD20F0" w:rsidRPr="00F056F0" w:rsidTr="002774C7">
        <w:trPr>
          <w:cantSplit/>
        </w:trPr>
        <w:tc>
          <w:tcPr>
            <w:tcW w:w="2427" w:type="pct"/>
          </w:tcPr>
          <w:p w:rsidR="00FD20F0" w:rsidRPr="00F056F0" w:rsidRDefault="00FD20F0" w:rsidP="00594C0F">
            <w:pPr>
              <w:jc w:val="both"/>
              <w:rPr>
                <w:rFonts w:eastAsia="Calibri"/>
                <w:sz w:val="20"/>
              </w:rPr>
            </w:pPr>
            <w:r w:rsidRPr="00F056F0">
              <w:rPr>
                <w:rFonts w:eastAsia="Calibri"/>
                <w:sz w:val="20"/>
              </w:rPr>
              <w:lastRenderedPageBreak/>
              <w:t>June 8, 2010</w:t>
            </w:r>
          </w:p>
          <w:p w:rsidR="00FD20F0" w:rsidRPr="00F056F0" w:rsidRDefault="00FD20F0" w:rsidP="00594C0F">
            <w:pPr>
              <w:jc w:val="both"/>
              <w:rPr>
                <w:rFonts w:eastAsia="Calibri"/>
                <w:sz w:val="20"/>
              </w:rPr>
            </w:pPr>
            <w:r w:rsidRPr="00F056F0">
              <w:rPr>
                <w:rFonts w:eastAsia="Calibri"/>
                <w:sz w:val="20"/>
              </w:rPr>
              <w:t>Federal Court</w:t>
            </w:r>
          </w:p>
          <w:p w:rsidR="00FD20F0" w:rsidRPr="00F056F0" w:rsidRDefault="00FD20F0" w:rsidP="00594C0F">
            <w:pPr>
              <w:jc w:val="both"/>
              <w:rPr>
                <w:rFonts w:eastAsia="Calibri"/>
                <w:sz w:val="20"/>
              </w:rPr>
            </w:pPr>
            <w:r w:rsidRPr="00F056F0">
              <w:rPr>
                <w:rFonts w:eastAsia="Calibri"/>
                <w:sz w:val="20"/>
              </w:rPr>
              <w:t>(Zinn J.)</w:t>
            </w:r>
          </w:p>
          <w:p w:rsidR="00FD20F0" w:rsidRPr="00F056F0" w:rsidRDefault="00FD20F0" w:rsidP="00594C0F">
            <w:pPr>
              <w:jc w:val="both"/>
              <w:rPr>
                <w:rFonts w:eastAsia="Calibri"/>
                <w:sz w:val="20"/>
              </w:rPr>
            </w:pPr>
            <w:r w:rsidRPr="00F056F0">
              <w:rPr>
                <w:rFonts w:eastAsia="Calibri"/>
                <w:sz w:val="20"/>
              </w:rPr>
              <w:t>2010 FC 617</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Statement of claim struck without leave to amend</w:t>
            </w:r>
          </w:p>
        </w:tc>
      </w:tr>
      <w:tr w:rsidR="00FD20F0" w:rsidRPr="00F056F0" w:rsidTr="002774C7">
        <w:trPr>
          <w:cantSplit/>
        </w:trPr>
        <w:tc>
          <w:tcPr>
            <w:tcW w:w="2427" w:type="pct"/>
          </w:tcPr>
          <w:p w:rsidR="00FD20F0" w:rsidRPr="00F056F0" w:rsidRDefault="00FD20F0" w:rsidP="00594C0F">
            <w:pPr>
              <w:jc w:val="both"/>
              <w:rPr>
                <w:rFonts w:eastAsia="Calibri"/>
                <w:sz w:val="20"/>
              </w:rPr>
            </w:pPr>
            <w:r w:rsidRPr="00F056F0">
              <w:rPr>
                <w:rFonts w:eastAsia="Calibri"/>
                <w:sz w:val="20"/>
              </w:rPr>
              <w:t>January 10, 2011</w:t>
            </w:r>
          </w:p>
          <w:p w:rsidR="00FD20F0" w:rsidRPr="00F056F0" w:rsidRDefault="00FD20F0" w:rsidP="00594C0F">
            <w:pPr>
              <w:jc w:val="both"/>
              <w:rPr>
                <w:rFonts w:eastAsia="Calibri"/>
                <w:sz w:val="20"/>
              </w:rPr>
            </w:pPr>
            <w:r w:rsidRPr="00F056F0">
              <w:rPr>
                <w:rFonts w:eastAsia="Calibri"/>
                <w:sz w:val="20"/>
              </w:rPr>
              <w:t>Federal Court of Appeal</w:t>
            </w:r>
          </w:p>
          <w:p w:rsidR="00FD20F0" w:rsidRPr="00F056F0" w:rsidRDefault="00FD20F0" w:rsidP="00594C0F">
            <w:pPr>
              <w:jc w:val="both"/>
              <w:rPr>
                <w:rFonts w:eastAsia="Calibri"/>
                <w:sz w:val="20"/>
              </w:rPr>
            </w:pPr>
            <w:r w:rsidRPr="00F056F0">
              <w:rPr>
                <w:rFonts w:eastAsia="Calibri"/>
                <w:sz w:val="20"/>
              </w:rPr>
              <w:t>(Dawson, Layden-Stevenson, Mainville JJ.A.)</w:t>
            </w:r>
          </w:p>
          <w:p w:rsidR="00FD20F0" w:rsidRPr="00F056F0" w:rsidRDefault="00FD20F0" w:rsidP="00594C0F">
            <w:pPr>
              <w:jc w:val="both"/>
              <w:rPr>
                <w:rFonts w:eastAsia="Calibri"/>
                <w:sz w:val="20"/>
              </w:rPr>
            </w:pPr>
            <w:r w:rsidRPr="00F056F0">
              <w:rPr>
                <w:rFonts w:eastAsia="Calibri"/>
                <w:sz w:val="20"/>
              </w:rPr>
              <w:t>2011 FCA 6</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Appeal allowed in part; Federal Court order varied to grant leave to file an amended statement of claim or to seek an extension of time to file an application for judicial review</w:t>
            </w:r>
          </w:p>
        </w:tc>
      </w:tr>
      <w:tr w:rsidR="00FD20F0" w:rsidRPr="00F056F0" w:rsidTr="002774C7">
        <w:trPr>
          <w:cantSplit/>
        </w:trPr>
        <w:tc>
          <w:tcPr>
            <w:tcW w:w="2427" w:type="pct"/>
          </w:tcPr>
          <w:p w:rsidR="00FD20F0" w:rsidRPr="00F056F0" w:rsidRDefault="00FD20F0" w:rsidP="00594C0F">
            <w:pPr>
              <w:jc w:val="both"/>
              <w:rPr>
                <w:rFonts w:eastAsia="Calibri"/>
                <w:sz w:val="20"/>
              </w:rPr>
            </w:pPr>
            <w:r w:rsidRPr="00F056F0">
              <w:rPr>
                <w:rFonts w:eastAsia="Calibri"/>
                <w:sz w:val="20"/>
              </w:rPr>
              <w:t>May 19, 2011</w:t>
            </w:r>
          </w:p>
          <w:p w:rsidR="00FD20F0" w:rsidRPr="00F056F0" w:rsidRDefault="00FD20F0" w:rsidP="00594C0F">
            <w:pPr>
              <w:jc w:val="both"/>
              <w:rPr>
                <w:rFonts w:eastAsia="Calibri"/>
                <w:sz w:val="20"/>
              </w:rPr>
            </w:pPr>
            <w:r w:rsidRPr="00F056F0">
              <w:rPr>
                <w:rFonts w:eastAsia="Calibri"/>
                <w:sz w:val="20"/>
              </w:rPr>
              <w:t>Federal Court</w:t>
            </w:r>
          </w:p>
          <w:p w:rsidR="00FD20F0" w:rsidRPr="00F056F0" w:rsidRDefault="00FD20F0" w:rsidP="00594C0F">
            <w:pPr>
              <w:jc w:val="both"/>
              <w:rPr>
                <w:rFonts w:eastAsia="Calibri"/>
                <w:sz w:val="20"/>
              </w:rPr>
            </w:pPr>
            <w:r w:rsidRPr="00F056F0">
              <w:rPr>
                <w:rFonts w:eastAsia="Calibri"/>
                <w:sz w:val="20"/>
              </w:rPr>
              <w:t>(Snider J.)</w:t>
            </w:r>
          </w:p>
          <w:p w:rsidR="00FD20F0" w:rsidRPr="00F056F0" w:rsidRDefault="00FD20F0" w:rsidP="00594C0F">
            <w:pPr>
              <w:jc w:val="both"/>
              <w:rPr>
                <w:rFonts w:eastAsia="Calibri"/>
                <w:sz w:val="20"/>
              </w:rPr>
            </w:pPr>
            <w:r w:rsidRPr="00F056F0">
              <w:rPr>
                <w:rFonts w:eastAsia="Calibri"/>
                <w:sz w:val="20"/>
              </w:rPr>
              <w:t>2011 FC 582</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Amended statement of claim struck without leave to amend</w:t>
            </w:r>
          </w:p>
        </w:tc>
      </w:tr>
      <w:tr w:rsidR="00FD20F0" w:rsidRPr="00F056F0" w:rsidTr="002774C7">
        <w:trPr>
          <w:cantSplit/>
        </w:trPr>
        <w:tc>
          <w:tcPr>
            <w:tcW w:w="2427" w:type="pct"/>
          </w:tcPr>
          <w:p w:rsidR="00FD20F0" w:rsidRPr="00F056F0" w:rsidRDefault="00FD20F0" w:rsidP="00594C0F">
            <w:pPr>
              <w:jc w:val="both"/>
              <w:rPr>
                <w:rFonts w:eastAsia="Calibri"/>
                <w:sz w:val="20"/>
              </w:rPr>
            </w:pPr>
            <w:r w:rsidRPr="00F056F0">
              <w:rPr>
                <w:rFonts w:eastAsia="Calibri"/>
                <w:sz w:val="20"/>
              </w:rPr>
              <w:t>February 13, 2012</w:t>
            </w:r>
          </w:p>
          <w:p w:rsidR="00FD20F0" w:rsidRPr="00F056F0" w:rsidRDefault="00FD20F0" w:rsidP="00594C0F">
            <w:pPr>
              <w:jc w:val="both"/>
              <w:rPr>
                <w:rFonts w:eastAsia="Calibri"/>
                <w:sz w:val="20"/>
              </w:rPr>
            </w:pPr>
            <w:r w:rsidRPr="00F056F0">
              <w:rPr>
                <w:rFonts w:eastAsia="Calibri"/>
                <w:sz w:val="20"/>
              </w:rPr>
              <w:t>Federal Court of Appeal</w:t>
            </w:r>
          </w:p>
          <w:p w:rsidR="00FD20F0" w:rsidRPr="00F056F0" w:rsidRDefault="00FD20F0" w:rsidP="00594C0F">
            <w:pPr>
              <w:jc w:val="both"/>
              <w:rPr>
                <w:rFonts w:eastAsia="Calibri"/>
                <w:sz w:val="20"/>
              </w:rPr>
            </w:pPr>
            <w:r w:rsidRPr="00F056F0">
              <w:rPr>
                <w:rFonts w:eastAsia="Calibri"/>
                <w:sz w:val="20"/>
              </w:rPr>
              <w:t>(Sharlow, Dawson, Trudel JJ.A.)</w:t>
            </w:r>
          </w:p>
          <w:p w:rsidR="00FD20F0" w:rsidRPr="00F056F0" w:rsidRDefault="00FD20F0" w:rsidP="00594C0F">
            <w:pPr>
              <w:jc w:val="both"/>
              <w:rPr>
                <w:rFonts w:eastAsia="Calibri"/>
                <w:sz w:val="20"/>
              </w:rPr>
            </w:pPr>
            <w:r w:rsidRPr="00F056F0">
              <w:rPr>
                <w:rFonts w:eastAsia="Calibri"/>
                <w:sz w:val="20"/>
              </w:rPr>
              <w:t>2012 FCA 49</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Appeal dismissed</w:t>
            </w:r>
          </w:p>
        </w:tc>
      </w:tr>
      <w:tr w:rsidR="00FD20F0" w:rsidRPr="00F056F0" w:rsidTr="002774C7">
        <w:trPr>
          <w:cantSplit/>
        </w:trPr>
        <w:tc>
          <w:tcPr>
            <w:tcW w:w="2427" w:type="pct"/>
          </w:tcPr>
          <w:p w:rsidR="00FD20F0" w:rsidRPr="00F056F0" w:rsidRDefault="00FD20F0" w:rsidP="00594C0F">
            <w:pPr>
              <w:jc w:val="both"/>
              <w:rPr>
                <w:rFonts w:eastAsia="Calibri"/>
                <w:sz w:val="20"/>
              </w:rPr>
            </w:pPr>
            <w:r w:rsidRPr="00F056F0">
              <w:rPr>
                <w:rFonts w:eastAsia="Calibri"/>
                <w:sz w:val="20"/>
              </w:rPr>
              <w:t>April 23, 2012</w:t>
            </w:r>
          </w:p>
          <w:p w:rsidR="00FD20F0" w:rsidRPr="00F056F0" w:rsidRDefault="00FD20F0" w:rsidP="00594C0F">
            <w:pPr>
              <w:jc w:val="both"/>
              <w:rPr>
                <w:rFonts w:eastAsia="Calibri"/>
                <w:sz w:val="20"/>
              </w:rPr>
            </w:pPr>
            <w:r w:rsidRPr="00F056F0">
              <w:rPr>
                <w:rFonts w:eastAsia="Calibri"/>
                <w:sz w:val="20"/>
              </w:rPr>
              <w:t>Supreme Court of Canada</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Application for leave to appeal and motion to extend time filed</w:t>
            </w:r>
          </w:p>
        </w:tc>
      </w:tr>
      <w:tr w:rsidR="00FD20F0" w:rsidRPr="00F056F0" w:rsidTr="002774C7">
        <w:trPr>
          <w:cantSplit/>
        </w:trPr>
        <w:tc>
          <w:tcPr>
            <w:tcW w:w="2427" w:type="pct"/>
          </w:tcPr>
          <w:p w:rsidR="00FD20F0" w:rsidRPr="00F056F0" w:rsidRDefault="00FD20F0" w:rsidP="00594C0F">
            <w:pPr>
              <w:jc w:val="both"/>
              <w:rPr>
                <w:rFonts w:eastAsia="Calibri"/>
                <w:sz w:val="20"/>
              </w:rPr>
            </w:pPr>
            <w:r w:rsidRPr="00F056F0">
              <w:rPr>
                <w:rFonts w:eastAsia="Calibri"/>
                <w:sz w:val="20"/>
              </w:rPr>
              <w:t>April 25, 2012</w:t>
            </w:r>
          </w:p>
          <w:p w:rsidR="00FD20F0" w:rsidRPr="00F056F0" w:rsidRDefault="00FD20F0" w:rsidP="00594C0F">
            <w:pPr>
              <w:jc w:val="both"/>
              <w:rPr>
                <w:rFonts w:eastAsia="Calibri"/>
                <w:sz w:val="20"/>
              </w:rPr>
            </w:pPr>
            <w:r w:rsidRPr="00F056F0">
              <w:rPr>
                <w:rFonts w:eastAsia="Calibri"/>
                <w:sz w:val="20"/>
              </w:rPr>
              <w:t>Supreme Court of Canada</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Various motions, including a motion to extend time to serve and file the leave application, filed</w:t>
            </w:r>
          </w:p>
          <w:p w:rsidR="00FD20F0" w:rsidRPr="00F056F0" w:rsidRDefault="00FD20F0" w:rsidP="00594C0F">
            <w:pPr>
              <w:jc w:val="both"/>
              <w:rPr>
                <w:rFonts w:eastAsia="Calibri"/>
                <w:sz w:val="20"/>
              </w:rPr>
            </w:pPr>
          </w:p>
        </w:tc>
      </w:tr>
      <w:tr w:rsidR="00FD20F0" w:rsidRPr="00F056F0" w:rsidTr="002774C7">
        <w:trPr>
          <w:cantSplit/>
        </w:trPr>
        <w:tc>
          <w:tcPr>
            <w:tcW w:w="2427" w:type="pct"/>
          </w:tcPr>
          <w:p w:rsidR="00FD20F0" w:rsidRPr="00F056F0" w:rsidRDefault="00FD20F0" w:rsidP="00594C0F">
            <w:pPr>
              <w:jc w:val="both"/>
              <w:rPr>
                <w:rFonts w:eastAsia="Calibri"/>
                <w:sz w:val="20"/>
              </w:rPr>
            </w:pPr>
            <w:r w:rsidRPr="00F056F0">
              <w:rPr>
                <w:rFonts w:eastAsia="Calibri"/>
                <w:sz w:val="20"/>
              </w:rPr>
              <w:t>June 27, 2012</w:t>
            </w:r>
          </w:p>
          <w:p w:rsidR="00FD20F0" w:rsidRPr="00F056F0" w:rsidRDefault="00FD20F0" w:rsidP="00594C0F">
            <w:pPr>
              <w:jc w:val="both"/>
              <w:rPr>
                <w:rFonts w:eastAsia="Calibri"/>
                <w:sz w:val="20"/>
              </w:rPr>
            </w:pPr>
            <w:r w:rsidRPr="00F056F0">
              <w:rPr>
                <w:rFonts w:eastAsia="Calibri"/>
                <w:sz w:val="20"/>
              </w:rPr>
              <w:t>Supreme Court of Canada</w:t>
            </w: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 xml:space="preserve">Various additional motions filed </w:t>
            </w: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50"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sz w:val="20"/>
                <w:lang w:val="fr-CA"/>
              </w:rPr>
              <w:t>Droit procédural — Jugement sommaire — Le jugement sommaire a</w:t>
            </w:r>
            <w:r w:rsidRPr="00F056F0">
              <w:rPr>
                <w:rFonts w:eastAsia="Calibri"/>
                <w:sz w:val="20"/>
                <w:lang w:val="fr-CA"/>
              </w:rPr>
              <w:noBreakHyphen/>
              <w:t>t</w:t>
            </w:r>
            <w:r w:rsidRPr="00F056F0">
              <w:rPr>
                <w:rFonts w:eastAsia="Calibri"/>
                <w:sz w:val="20"/>
                <w:lang w:val="fr-CA"/>
              </w:rPr>
              <w:noBreakHyphen/>
              <w:t>il été rendu à bon droit? — La saisie</w:t>
            </w:r>
            <w:r w:rsidRPr="00F056F0">
              <w:rPr>
                <w:rFonts w:eastAsia="Calibri"/>
                <w:sz w:val="20"/>
                <w:lang w:val="fr-CA"/>
              </w:rPr>
              <w:noBreakHyphen/>
              <w:t>arrêt de dettes « autres que fiscales » à l’extérieur du délai de prescription de six ans et sans procédure judiciaire viole</w:t>
            </w:r>
            <w:r w:rsidRPr="00F056F0">
              <w:rPr>
                <w:rFonts w:eastAsia="Calibri"/>
                <w:sz w:val="20"/>
                <w:lang w:val="fr-CA"/>
              </w:rPr>
              <w:noBreakHyphen/>
              <w:t>t</w:t>
            </w:r>
            <w:r w:rsidRPr="00F056F0">
              <w:rPr>
                <w:rFonts w:eastAsia="Calibri"/>
                <w:sz w:val="20"/>
                <w:lang w:val="fr-CA"/>
              </w:rPr>
              <w:noBreakHyphen/>
              <w:t>elle la législation et la common law en vigueur?</w:t>
            </w:r>
          </w:p>
        </w:tc>
      </w:tr>
      <w:tr w:rsidR="00FD20F0" w:rsidRPr="003935EC" w:rsidTr="00594C0F">
        <w:tc>
          <w:tcPr>
            <w:tcW w:w="5000" w:type="pct"/>
            <w:gridSpan w:val="3"/>
          </w:tcPr>
          <w:p w:rsidR="00FD20F0" w:rsidRPr="00F056F0" w:rsidRDefault="00FD20F0" w:rsidP="00594C0F">
            <w:pPr>
              <w:jc w:val="both"/>
              <w:rPr>
                <w:rFonts w:eastAsia="Calibri"/>
                <w:sz w:val="20"/>
                <w:lang w:val="fr-CA"/>
              </w:rPr>
            </w:pPr>
          </w:p>
        </w:tc>
      </w:tr>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sz w:val="20"/>
                <w:lang w:val="fr-CA"/>
              </w:rPr>
              <w:t>En 1999, M. Simon a conclu une entente de parrainage avec le gouvernement de la Colombie</w:t>
            </w:r>
            <w:r w:rsidRPr="00F056F0">
              <w:rPr>
                <w:rFonts w:eastAsia="Calibri"/>
                <w:sz w:val="20"/>
                <w:lang w:val="fr-CA"/>
              </w:rPr>
              <w:noBreakHyphen/>
              <w:t>Britannique relativement à sa première épouse, une résidente du Honduras.  Elle a immigré au Canada.  Lorsque le couple s’est séparé en 2000, elle a commencé à recevoir des prestations du gouvernement de la Colombie</w:t>
            </w:r>
            <w:r w:rsidRPr="00F056F0">
              <w:rPr>
                <w:rFonts w:eastAsia="Calibri"/>
                <w:sz w:val="20"/>
                <w:lang w:val="fr-CA"/>
              </w:rPr>
              <w:noBreakHyphen/>
              <w:t>Britannique, donnant lieu à une présumée dette de parrainage.  En 2008, la Colombie</w:t>
            </w:r>
            <w:r w:rsidRPr="00F056F0">
              <w:rPr>
                <w:rFonts w:eastAsia="Calibri"/>
                <w:sz w:val="20"/>
                <w:lang w:val="fr-CA"/>
              </w:rPr>
              <w:noBreakHyphen/>
              <w:t>Britannique a demandé et reçu le paiement des remboursements d’impôt fédéral du Canada pour acquitter la dette de parrainage.  Monsieur Simon a déposé une déclaration pour obtenir un jugement déclarant qu’il n’avait aucune dette envers la Colombie</w:t>
            </w:r>
            <w:r w:rsidRPr="00F056F0">
              <w:rPr>
                <w:rFonts w:eastAsia="Calibri"/>
                <w:sz w:val="20"/>
                <w:lang w:val="fr-CA"/>
              </w:rPr>
              <w:noBreakHyphen/>
              <w:t>Britannique aux termes de l’entente de parrainage.  La Cour fédérale a ordonné la radiation de la déclaration sans autorisation de la modifier, mais la Cour d’appel fédérale a accueilli l’appel en partie, accordant à M. Simon l’autorisation de modifier sa déclaration pour donner des détails de sa demande contre le Canada.  Monsieur Simon a signifié et déposé une déclaration modifiée alléguant des faits additionnels et sollicitant des réparations additionnelles.  La Cour fédérale a ordonné la radiation de la déclaration modifiée sans autorisation de la modifier.  La Cour d’appel fédérale a rejeté l’appel de M. Simon.</w:t>
            </w:r>
          </w:p>
          <w:p w:rsidR="00FD20F0" w:rsidRPr="00F056F0" w:rsidRDefault="00FD20F0" w:rsidP="00594C0F">
            <w:pPr>
              <w:jc w:val="both"/>
              <w:rPr>
                <w:rFonts w:eastAsia="Calibri"/>
                <w:sz w:val="20"/>
                <w:lang w:val="fr-CA"/>
              </w:rPr>
            </w:pP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lastRenderedPageBreak/>
              <w:t>8 juin 2010</w:t>
            </w:r>
          </w:p>
          <w:p w:rsidR="00FD20F0" w:rsidRPr="00F056F0" w:rsidRDefault="00FD20F0" w:rsidP="00594C0F">
            <w:pPr>
              <w:jc w:val="both"/>
              <w:rPr>
                <w:rFonts w:eastAsia="Calibri"/>
                <w:sz w:val="20"/>
                <w:lang w:val="fr-CA"/>
              </w:rPr>
            </w:pPr>
            <w:r w:rsidRPr="00F056F0">
              <w:rPr>
                <w:rFonts w:eastAsia="Calibri"/>
                <w:sz w:val="20"/>
                <w:lang w:val="fr-CA"/>
              </w:rPr>
              <w:t>Cour fédérale</w:t>
            </w:r>
          </w:p>
          <w:p w:rsidR="00FD20F0" w:rsidRPr="00F056F0" w:rsidRDefault="00FD20F0" w:rsidP="00594C0F">
            <w:pPr>
              <w:jc w:val="both"/>
              <w:rPr>
                <w:rFonts w:eastAsia="Calibri"/>
                <w:sz w:val="20"/>
                <w:lang w:val="fr-CA"/>
              </w:rPr>
            </w:pPr>
            <w:r w:rsidRPr="00F056F0">
              <w:rPr>
                <w:rFonts w:eastAsia="Calibri"/>
                <w:sz w:val="20"/>
                <w:lang w:val="fr-CA"/>
              </w:rPr>
              <w:t>(Juge Zinn)</w:t>
            </w:r>
          </w:p>
          <w:p w:rsidR="00FD20F0" w:rsidRPr="00F056F0" w:rsidRDefault="00FD20F0" w:rsidP="00594C0F">
            <w:pPr>
              <w:jc w:val="both"/>
              <w:rPr>
                <w:rFonts w:eastAsia="Calibri"/>
                <w:sz w:val="20"/>
                <w:lang w:val="fr-CA"/>
              </w:rPr>
            </w:pPr>
            <w:r w:rsidRPr="00F056F0">
              <w:rPr>
                <w:rFonts w:eastAsia="Calibri"/>
                <w:sz w:val="20"/>
                <w:lang w:val="fr-CA"/>
              </w:rPr>
              <w:t>2010 FC 617</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Déclaration radiée sans autorisation de la modifier</w:t>
            </w: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10 janvier 2011</w:t>
            </w:r>
          </w:p>
          <w:p w:rsidR="00FD20F0" w:rsidRPr="00F056F0" w:rsidRDefault="00FD20F0" w:rsidP="00594C0F">
            <w:pPr>
              <w:jc w:val="both"/>
              <w:rPr>
                <w:rFonts w:eastAsia="Calibri"/>
                <w:sz w:val="20"/>
                <w:lang w:val="fr-CA"/>
              </w:rPr>
            </w:pPr>
            <w:r w:rsidRPr="00F056F0">
              <w:rPr>
                <w:rFonts w:eastAsia="Calibri"/>
                <w:sz w:val="20"/>
                <w:lang w:val="fr-CA"/>
              </w:rPr>
              <w:t>Cour d’appel fédérale</w:t>
            </w:r>
          </w:p>
          <w:p w:rsidR="00FD20F0" w:rsidRPr="00F056F0" w:rsidRDefault="00FD20F0" w:rsidP="00594C0F">
            <w:pPr>
              <w:jc w:val="both"/>
              <w:rPr>
                <w:rFonts w:eastAsia="Calibri"/>
                <w:sz w:val="20"/>
                <w:lang w:val="fr-CA"/>
              </w:rPr>
            </w:pPr>
            <w:r w:rsidRPr="00F056F0">
              <w:rPr>
                <w:rFonts w:eastAsia="Calibri"/>
                <w:sz w:val="20"/>
                <w:lang w:val="fr-CA"/>
              </w:rPr>
              <w:t>(Juges Dawson, Layden</w:t>
            </w:r>
            <w:r w:rsidRPr="00F056F0">
              <w:rPr>
                <w:rFonts w:eastAsia="Calibri"/>
                <w:sz w:val="20"/>
                <w:lang w:val="fr-CA"/>
              </w:rPr>
              <w:noBreakHyphen/>
              <w:t>Stevenson et Mainville)</w:t>
            </w:r>
          </w:p>
          <w:p w:rsidR="00FD20F0" w:rsidRPr="00F056F0" w:rsidRDefault="00FD20F0" w:rsidP="00594C0F">
            <w:pPr>
              <w:jc w:val="both"/>
              <w:rPr>
                <w:rFonts w:eastAsia="Calibri"/>
                <w:sz w:val="20"/>
                <w:lang w:val="fr-CA"/>
              </w:rPr>
            </w:pPr>
            <w:r w:rsidRPr="00F056F0">
              <w:rPr>
                <w:rFonts w:eastAsia="Calibri"/>
                <w:sz w:val="20"/>
                <w:lang w:val="fr-CA"/>
              </w:rPr>
              <w:t>2011 FCA 6</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Appel accueilli en partie; l’ordonnance de la Cour fédérale est modifiée afin d’accorder l’autorisation de produire une déclaration modifiée ou de demander une prorogation de délai pour présenter une demande de contrôle judiciaire</w:t>
            </w:r>
          </w:p>
          <w:p w:rsidR="00FD20F0" w:rsidRPr="00F056F0" w:rsidRDefault="00FD20F0" w:rsidP="00594C0F">
            <w:pPr>
              <w:jc w:val="both"/>
              <w:rPr>
                <w:rFonts w:eastAsia="Calibri"/>
                <w:sz w:val="20"/>
                <w:lang w:val="fr-CA"/>
              </w:rPr>
            </w:pP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19 mai 2011</w:t>
            </w:r>
          </w:p>
          <w:p w:rsidR="00FD20F0" w:rsidRPr="00F056F0" w:rsidRDefault="00FD20F0" w:rsidP="00594C0F">
            <w:pPr>
              <w:jc w:val="both"/>
              <w:rPr>
                <w:rFonts w:eastAsia="Calibri"/>
                <w:sz w:val="20"/>
                <w:lang w:val="fr-CA"/>
              </w:rPr>
            </w:pPr>
            <w:r w:rsidRPr="00F056F0">
              <w:rPr>
                <w:rFonts w:eastAsia="Calibri"/>
                <w:sz w:val="20"/>
                <w:lang w:val="fr-CA"/>
              </w:rPr>
              <w:t>Cour fédérale</w:t>
            </w:r>
          </w:p>
          <w:p w:rsidR="00FD20F0" w:rsidRPr="00F056F0" w:rsidRDefault="00FD20F0" w:rsidP="00594C0F">
            <w:pPr>
              <w:jc w:val="both"/>
              <w:rPr>
                <w:rFonts w:eastAsia="Calibri"/>
                <w:sz w:val="20"/>
                <w:lang w:val="fr-CA"/>
              </w:rPr>
            </w:pPr>
            <w:r w:rsidRPr="00F056F0">
              <w:rPr>
                <w:rFonts w:eastAsia="Calibri"/>
                <w:sz w:val="20"/>
                <w:lang w:val="fr-CA"/>
              </w:rPr>
              <w:t>(Juge Snider)</w:t>
            </w:r>
          </w:p>
          <w:p w:rsidR="00FD20F0" w:rsidRPr="00F056F0" w:rsidRDefault="00FD20F0" w:rsidP="00594C0F">
            <w:pPr>
              <w:jc w:val="both"/>
              <w:rPr>
                <w:rFonts w:eastAsia="Calibri"/>
                <w:sz w:val="20"/>
                <w:lang w:val="fr-CA"/>
              </w:rPr>
            </w:pPr>
            <w:r w:rsidRPr="00F056F0">
              <w:rPr>
                <w:rFonts w:eastAsia="Calibri"/>
                <w:sz w:val="20"/>
                <w:lang w:val="fr-CA"/>
              </w:rPr>
              <w:t>2011 FC 582</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Déclaration modifiée radiée sans autorisation de la modifier</w:t>
            </w:r>
          </w:p>
        </w:tc>
      </w:tr>
      <w:tr w:rsidR="00FD20F0" w:rsidRPr="00F056F0"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13 février 2012</w:t>
            </w:r>
          </w:p>
          <w:p w:rsidR="00FD20F0" w:rsidRPr="00F056F0" w:rsidRDefault="00FD20F0" w:rsidP="00594C0F">
            <w:pPr>
              <w:jc w:val="both"/>
              <w:rPr>
                <w:rFonts w:eastAsia="Calibri"/>
                <w:sz w:val="20"/>
                <w:lang w:val="fr-CA"/>
              </w:rPr>
            </w:pPr>
            <w:r w:rsidRPr="00F056F0">
              <w:rPr>
                <w:rFonts w:eastAsia="Calibri"/>
                <w:sz w:val="20"/>
                <w:lang w:val="fr-CA"/>
              </w:rPr>
              <w:t>Cour d’appel fédérale</w:t>
            </w:r>
          </w:p>
          <w:p w:rsidR="00FD20F0" w:rsidRPr="00F056F0" w:rsidRDefault="00FD20F0" w:rsidP="00594C0F">
            <w:pPr>
              <w:jc w:val="both"/>
              <w:rPr>
                <w:rFonts w:eastAsia="Calibri"/>
                <w:sz w:val="20"/>
                <w:lang w:val="fr-CA"/>
              </w:rPr>
            </w:pPr>
            <w:r w:rsidRPr="00F056F0">
              <w:rPr>
                <w:rFonts w:eastAsia="Calibri"/>
                <w:sz w:val="20"/>
                <w:lang w:val="fr-CA"/>
              </w:rPr>
              <w:t>(Juges Sharlow, Dawson et Trudel)</w:t>
            </w:r>
          </w:p>
          <w:p w:rsidR="00FD20F0" w:rsidRPr="00F056F0" w:rsidRDefault="00FD20F0" w:rsidP="00594C0F">
            <w:pPr>
              <w:jc w:val="both"/>
              <w:rPr>
                <w:rFonts w:eastAsia="Calibri"/>
                <w:sz w:val="20"/>
                <w:lang w:val="fr-CA"/>
              </w:rPr>
            </w:pPr>
            <w:r w:rsidRPr="00F056F0">
              <w:rPr>
                <w:rFonts w:eastAsia="Calibri"/>
                <w:sz w:val="20"/>
                <w:lang w:val="fr-CA"/>
              </w:rPr>
              <w:t>2012 FCA 49</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Appel rejeté</w:t>
            </w: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23 avril 2012</w:t>
            </w:r>
          </w:p>
          <w:p w:rsidR="00FD20F0" w:rsidRPr="00F056F0" w:rsidRDefault="00FD20F0" w:rsidP="00594C0F">
            <w:pPr>
              <w:jc w:val="both"/>
              <w:rPr>
                <w:rFonts w:eastAsia="Calibri"/>
                <w:sz w:val="20"/>
                <w:lang w:val="fr-CA"/>
              </w:rPr>
            </w:pPr>
            <w:r w:rsidRPr="00F056F0">
              <w:rPr>
                <w:rFonts w:eastAsia="Calibri"/>
                <w:sz w:val="20"/>
                <w:lang w:val="fr-CA"/>
              </w:rPr>
              <w:t>Cour suprême du Canada</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Demande d’autorisation d’appel et requête en prorogation de délai, déposées</w:t>
            </w: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25 avril 2012</w:t>
            </w:r>
          </w:p>
          <w:p w:rsidR="00FD20F0" w:rsidRPr="00F056F0" w:rsidRDefault="00FD20F0" w:rsidP="00594C0F">
            <w:pPr>
              <w:jc w:val="both"/>
              <w:rPr>
                <w:rFonts w:eastAsia="Calibri"/>
                <w:sz w:val="20"/>
                <w:lang w:val="fr-CA"/>
              </w:rPr>
            </w:pPr>
            <w:r w:rsidRPr="00F056F0">
              <w:rPr>
                <w:rFonts w:eastAsia="Calibri"/>
                <w:sz w:val="20"/>
                <w:lang w:val="fr-CA"/>
              </w:rPr>
              <w:t>Cour suprême du Canada</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 xml:space="preserve">Requêtes diverses, y compris une requête en prorogation du délai de signification et de dépôt de la demande d’autorisation, déposées </w:t>
            </w:r>
          </w:p>
          <w:p w:rsidR="00FD20F0" w:rsidRPr="00F056F0" w:rsidRDefault="00FD20F0" w:rsidP="00594C0F">
            <w:pPr>
              <w:jc w:val="both"/>
              <w:rPr>
                <w:rFonts w:eastAsia="Calibri"/>
                <w:sz w:val="20"/>
                <w:lang w:val="fr-CA"/>
              </w:rPr>
            </w:pPr>
          </w:p>
        </w:tc>
      </w:tr>
      <w:tr w:rsidR="00FD20F0" w:rsidRPr="00F056F0"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27 juin 2012</w:t>
            </w:r>
          </w:p>
          <w:p w:rsidR="00FD20F0" w:rsidRPr="00F056F0" w:rsidRDefault="00FD20F0" w:rsidP="00594C0F">
            <w:pPr>
              <w:jc w:val="both"/>
              <w:rPr>
                <w:rFonts w:eastAsia="Calibri"/>
                <w:sz w:val="20"/>
                <w:lang w:val="fr-CA"/>
              </w:rPr>
            </w:pPr>
            <w:r w:rsidRPr="00F056F0">
              <w:rPr>
                <w:rFonts w:eastAsia="Calibri"/>
                <w:sz w:val="20"/>
                <w:lang w:val="fr-CA"/>
              </w:rPr>
              <w:t>Cour suprême du Canada</w:t>
            </w: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 xml:space="preserve">Diverses requêtes additionnelles déposées </w:t>
            </w: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51"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774C7" w:rsidRPr="00303448" w:rsidTr="00594C0F">
        <w:trPr>
          <w:cantSplit/>
        </w:trPr>
        <w:tc>
          <w:tcPr>
            <w:tcW w:w="1458" w:type="dxa"/>
          </w:tcPr>
          <w:p w:rsidR="002774C7" w:rsidRPr="00303448" w:rsidRDefault="002774C7" w:rsidP="00594C0F">
            <w:pPr>
              <w:rPr>
                <w:sz w:val="20"/>
                <w:szCs w:val="20"/>
              </w:rPr>
            </w:pPr>
            <w:r w:rsidRPr="00303448">
              <w:rPr>
                <w:rStyle w:val="SCCFileNumberChar"/>
                <w:sz w:val="20"/>
                <w:szCs w:val="20"/>
              </w:rPr>
              <w:t>34832</w:t>
            </w:r>
          </w:p>
          <w:p w:rsidR="002774C7" w:rsidRPr="00303448" w:rsidRDefault="002774C7" w:rsidP="00594C0F">
            <w:pPr>
              <w:rPr>
                <w:b/>
                <w:sz w:val="20"/>
                <w:szCs w:val="20"/>
                <w:lang w:val="fr-CA"/>
              </w:rPr>
            </w:pPr>
          </w:p>
        </w:tc>
        <w:tc>
          <w:tcPr>
            <w:tcW w:w="8118" w:type="dxa"/>
          </w:tcPr>
          <w:p w:rsidR="002774C7" w:rsidRPr="00303448" w:rsidRDefault="002774C7" w:rsidP="002774C7">
            <w:pPr>
              <w:jc w:val="both"/>
              <w:rPr>
                <w:sz w:val="20"/>
                <w:szCs w:val="20"/>
              </w:rPr>
            </w:pPr>
            <w:r w:rsidRPr="00303448">
              <w:rPr>
                <w:rStyle w:val="SCCLsocChar"/>
                <w:sz w:val="20"/>
                <w:szCs w:val="20"/>
                <w:lang w:val="en-CA"/>
              </w:rPr>
              <w:t>Veolia ES Industrial Services Inc. v. John Brulé</w:t>
            </w:r>
            <w:r>
              <w:rPr>
                <w:rStyle w:val="SCCLsocChar"/>
                <w:sz w:val="20"/>
                <w:szCs w:val="20"/>
                <w:lang w:val="en-CA"/>
              </w:rPr>
              <w:t xml:space="preserve"> and</w:t>
            </w:r>
            <w:r w:rsidRPr="00303448">
              <w:rPr>
                <w:rStyle w:val="SCCLsocChar"/>
                <w:sz w:val="20"/>
                <w:szCs w:val="20"/>
                <w:lang w:val="en-CA"/>
              </w:rPr>
              <w:t xml:space="preserve"> Clean Water Works Inc.</w:t>
            </w:r>
            <w:r w:rsidRPr="00303448">
              <w:rPr>
                <w:sz w:val="20"/>
                <w:szCs w:val="20"/>
              </w:rPr>
              <w:t xml:space="preserve"> (Ont.) (Civil) (By Leave)</w:t>
            </w:r>
          </w:p>
          <w:p w:rsidR="002774C7" w:rsidRPr="00303448" w:rsidRDefault="002774C7" w:rsidP="00594C0F">
            <w:pPr>
              <w:rPr>
                <w:sz w:val="20"/>
                <w:szCs w:val="20"/>
              </w:rPr>
            </w:pPr>
          </w:p>
        </w:tc>
      </w:tr>
      <w:tr w:rsidR="002774C7" w:rsidRPr="00303448" w:rsidTr="00594C0F">
        <w:trPr>
          <w:cantSplit/>
        </w:trPr>
        <w:tc>
          <w:tcPr>
            <w:tcW w:w="1458" w:type="dxa"/>
          </w:tcPr>
          <w:p w:rsidR="002774C7" w:rsidRPr="00303448" w:rsidRDefault="002774C7" w:rsidP="00594C0F">
            <w:pPr>
              <w:rPr>
                <w:sz w:val="20"/>
                <w:szCs w:val="20"/>
              </w:rPr>
            </w:pPr>
            <w:r w:rsidRPr="00303448">
              <w:rPr>
                <w:sz w:val="20"/>
                <w:szCs w:val="20"/>
              </w:rPr>
              <w:t>Coram :</w:t>
            </w:r>
          </w:p>
        </w:tc>
        <w:tc>
          <w:tcPr>
            <w:tcW w:w="8118" w:type="dxa"/>
          </w:tcPr>
          <w:p w:rsidR="002774C7" w:rsidRPr="00303448" w:rsidRDefault="002774C7" w:rsidP="00594C0F">
            <w:pPr>
              <w:rPr>
                <w:sz w:val="20"/>
                <w:szCs w:val="20"/>
              </w:rPr>
            </w:pPr>
            <w:r w:rsidRPr="00303448">
              <w:rPr>
                <w:rStyle w:val="SCCCoramChar"/>
                <w:sz w:val="20"/>
                <w:szCs w:val="20"/>
                <w:lang w:val="en-CA"/>
              </w:rPr>
              <w:t>LeBel, Abella and Cromwell JJ.</w:t>
            </w:r>
          </w:p>
          <w:p w:rsidR="002774C7" w:rsidRPr="00303448" w:rsidRDefault="002774C7" w:rsidP="00594C0F">
            <w:pPr>
              <w:rPr>
                <w:sz w:val="20"/>
                <w:szCs w:val="20"/>
                <w:u w:val="single"/>
              </w:rPr>
            </w:pPr>
          </w:p>
        </w:tc>
      </w:tr>
      <w:tr w:rsidR="002774C7" w:rsidRPr="003935EC" w:rsidTr="00594C0F">
        <w:trPr>
          <w:cantSplit/>
        </w:trPr>
        <w:tc>
          <w:tcPr>
            <w:tcW w:w="9576" w:type="dxa"/>
            <w:gridSpan w:val="2"/>
          </w:tcPr>
          <w:p w:rsidR="002774C7" w:rsidRPr="00303448" w:rsidRDefault="002774C7" w:rsidP="00594C0F">
            <w:pPr>
              <w:pStyle w:val="SCCShortJudgment"/>
              <w:rPr>
                <w:szCs w:val="20"/>
              </w:rPr>
            </w:pPr>
            <w:r w:rsidRPr="00303448">
              <w:rPr>
                <w:szCs w:val="20"/>
              </w:rPr>
              <w:t>The application for leave to appeal from the judgment of the Court of Appeal for Ontario, Number C53054, 2012 ONCA 173, dated March 20, 2012, is dismissed with costs.</w:t>
            </w:r>
          </w:p>
          <w:p w:rsidR="002774C7" w:rsidRPr="00303448" w:rsidRDefault="002774C7" w:rsidP="00594C0F">
            <w:pPr>
              <w:pStyle w:val="SCCShortJudgment"/>
              <w:ind w:firstLine="0"/>
              <w:rPr>
                <w:szCs w:val="20"/>
              </w:rPr>
            </w:pPr>
          </w:p>
          <w:p w:rsidR="002774C7" w:rsidRPr="00303448" w:rsidRDefault="002774C7" w:rsidP="002774C7">
            <w:pPr>
              <w:pStyle w:val="SCCShortJudgment"/>
              <w:rPr>
                <w:szCs w:val="20"/>
                <w:lang w:val="fr-CA"/>
              </w:rPr>
            </w:pPr>
            <w:r w:rsidRPr="00303448">
              <w:rPr>
                <w:szCs w:val="20"/>
                <w:lang w:val="fr-CA"/>
              </w:rPr>
              <w:t>La demande d’autorisation d’appel de l’arrêt de la Cour d’appel de l’Ontario, numéro C53054, 2012 ONCA 173, daté du 20 mars 2012, est rejetée avec dépens.</w:t>
            </w:r>
          </w:p>
        </w:tc>
      </w:tr>
    </w:tbl>
    <w:p w:rsidR="005F361C" w:rsidRPr="002774C7"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D20F0" w:rsidRPr="00F056F0" w:rsidTr="00594C0F">
        <w:tc>
          <w:tcPr>
            <w:tcW w:w="5000" w:type="pct"/>
            <w:gridSpan w:val="3"/>
          </w:tcPr>
          <w:p w:rsidR="00FD20F0" w:rsidRPr="00F056F0" w:rsidRDefault="00FD20F0" w:rsidP="00594C0F">
            <w:pPr>
              <w:jc w:val="both"/>
              <w:rPr>
                <w:rFonts w:eastAsia="Calibri"/>
                <w:sz w:val="20"/>
              </w:rPr>
            </w:pPr>
            <w:r w:rsidRPr="00F056F0">
              <w:rPr>
                <w:rFonts w:eastAsia="Calibri"/>
                <w:sz w:val="20"/>
              </w:rPr>
              <w:t>Employment law — Contract — Restrictive covenant — Former employee submitting a bid in competition with former employer — Whether Court of Appeal erred in failing to set out the test for and differentiate between non</w:t>
            </w:r>
            <w:r w:rsidRPr="00F056F0">
              <w:rPr>
                <w:rFonts w:eastAsia="Calibri"/>
                <w:sz w:val="20"/>
              </w:rPr>
              <w:noBreakHyphen/>
              <w:t xml:space="preserve">competition agreements that arise out of a sale of business and those that arise in the pure employment context — </w:t>
            </w:r>
            <w:r w:rsidRPr="00F056F0">
              <w:rPr>
                <w:rFonts w:eastAsia="Calibri"/>
                <w:sz w:val="20"/>
              </w:rPr>
              <w:lastRenderedPageBreak/>
              <w:t>Whether Court of Appeal erred in applying the more restrictive pure employment non</w:t>
            </w:r>
            <w:r w:rsidRPr="00F056F0">
              <w:rPr>
                <w:rFonts w:eastAsia="Calibri"/>
                <w:sz w:val="20"/>
              </w:rPr>
              <w:noBreakHyphen/>
              <w:t>competition agreement enforceability analysis — Whether Court of Appeal erred in failing to apply the case law necessary to interpret commercial sale of business contract — Whether Court of Appeal failed to apply appropriate standard of review for a trial judge’s finding of a fiduciary obligation breach.</w:t>
            </w:r>
          </w:p>
        </w:tc>
      </w:tr>
      <w:tr w:rsidR="00FD20F0" w:rsidRPr="00F056F0" w:rsidTr="00594C0F">
        <w:tc>
          <w:tcPr>
            <w:tcW w:w="5000" w:type="pct"/>
            <w:gridSpan w:val="3"/>
          </w:tcPr>
          <w:p w:rsidR="00FD20F0" w:rsidRPr="00F056F0" w:rsidRDefault="00FD20F0" w:rsidP="00594C0F">
            <w:pPr>
              <w:jc w:val="both"/>
              <w:rPr>
                <w:rFonts w:eastAsia="Calibri"/>
                <w:sz w:val="20"/>
              </w:rPr>
            </w:pPr>
          </w:p>
        </w:tc>
      </w:tr>
      <w:tr w:rsidR="00FD20F0" w:rsidRPr="00F056F0" w:rsidTr="00594C0F">
        <w:tc>
          <w:tcPr>
            <w:tcW w:w="5000" w:type="pct"/>
            <w:gridSpan w:val="3"/>
          </w:tcPr>
          <w:p w:rsidR="00FD20F0" w:rsidRPr="00F056F0" w:rsidRDefault="00FD20F0" w:rsidP="00594C0F">
            <w:pPr>
              <w:jc w:val="both"/>
              <w:rPr>
                <w:rFonts w:eastAsia="Calibri"/>
                <w:color w:val="000000"/>
                <w:sz w:val="20"/>
              </w:rPr>
            </w:pPr>
            <w:r w:rsidRPr="00F056F0">
              <w:rPr>
                <w:rFonts w:eastAsia="Calibri"/>
                <w:color w:val="000000"/>
                <w:sz w:val="20"/>
              </w:rPr>
              <w:t>Mr. Brulé founded Veolia ES Industrial Services Inc. (“Veolia”), a business engaged in inspecting, cleaning and rehabilitating sewers.  In 1999, Mr. Brulé sold Veolia to a group of shareholders and as part of the transaction, he entered into an employment agreement that obliged him to continue on as the company’s president and chief operating officer until December 31, 2004.  The agreement prohibited him from competing with Veolia’s business for five years thereafter.  Because certain irritants had developed in their employment relationship, the parties executed a new agreement on January 1, 2004, whereby Mr. Brulé agreed to remain an employee of Veolia for a three year period, subject to Veolia’s right to terminate him for cause, or without cause upon payment of compensation until the end of his term.  The non</w:t>
            </w:r>
            <w:r w:rsidRPr="00F056F0">
              <w:rPr>
                <w:rFonts w:eastAsia="Calibri"/>
                <w:color w:val="000000"/>
                <w:sz w:val="20"/>
              </w:rPr>
              <w:noBreakHyphen/>
              <w:t>competition clause prohibited Mr. Brulé from competing with Veolia for two years following termination for cause, or for two years commencing January 2007 after termination without cause or if Mr. Brulé left his employment.  In July, 2004, Mr. Brulé gave notice that he was terminating in 180 days.  Prior to his departure, Mr. Brulé took with him a binder containing information about municipal tenders.  He later formed a new company that rehabilitated water mains but later decided to put a bid on a sewer project that had been publically tendered.  In or about October of 2005, both Mr. Brulé and Veolia bid on this project.  Mr. Brulé was the successful bidder.  Veolia sued Mr. Brulé for breaching the non</w:t>
            </w:r>
            <w:r w:rsidRPr="00F056F0">
              <w:rPr>
                <w:rFonts w:eastAsia="Calibri"/>
                <w:color w:val="000000"/>
                <w:sz w:val="20"/>
              </w:rPr>
              <w:noBreakHyphen/>
              <w:t>competition covenant and for breach of his fiduciary duty.  Mr. Brulé counter</w:t>
            </w:r>
            <w:r w:rsidRPr="00F056F0">
              <w:rPr>
                <w:rFonts w:eastAsia="Calibri"/>
                <w:color w:val="000000"/>
                <w:sz w:val="20"/>
              </w:rPr>
              <w:noBreakHyphen/>
              <w:t>claimed for compensation owing to him by Veolia.</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t>October 27, 2010</w:t>
            </w:r>
          </w:p>
          <w:p w:rsidR="00FD20F0" w:rsidRPr="00F056F0" w:rsidRDefault="00FD20F0" w:rsidP="00594C0F">
            <w:pPr>
              <w:jc w:val="both"/>
              <w:rPr>
                <w:rFonts w:eastAsia="Calibri"/>
                <w:sz w:val="20"/>
              </w:rPr>
            </w:pPr>
            <w:r w:rsidRPr="00F056F0">
              <w:rPr>
                <w:rFonts w:eastAsia="Calibri"/>
                <w:sz w:val="20"/>
              </w:rPr>
              <w:t>Ontario Superior Court of Justice</w:t>
            </w:r>
          </w:p>
          <w:p w:rsidR="00FD20F0" w:rsidRPr="00F056F0" w:rsidRDefault="00FD20F0" w:rsidP="00594C0F">
            <w:pPr>
              <w:jc w:val="both"/>
              <w:rPr>
                <w:rFonts w:eastAsia="Calibri"/>
                <w:sz w:val="20"/>
              </w:rPr>
            </w:pPr>
            <w:r w:rsidRPr="00F056F0">
              <w:rPr>
                <w:rFonts w:eastAsia="Calibri"/>
                <w:sz w:val="20"/>
              </w:rPr>
              <w:t>(Roy J.)</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Applicant awarded $465,000 in damages; Respondent’s counter</w:t>
            </w:r>
            <w:r w:rsidRPr="00F056F0">
              <w:rPr>
                <w:rFonts w:eastAsia="Calibri"/>
                <w:sz w:val="20"/>
              </w:rPr>
              <w:noBreakHyphen/>
              <w:t>claim for $90,896.62 granted</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t>March 20, 2012</w:t>
            </w:r>
          </w:p>
          <w:p w:rsidR="00FD20F0" w:rsidRPr="00F056F0" w:rsidRDefault="00FD20F0" w:rsidP="00594C0F">
            <w:pPr>
              <w:jc w:val="both"/>
              <w:rPr>
                <w:rFonts w:eastAsia="Calibri"/>
                <w:sz w:val="20"/>
              </w:rPr>
            </w:pPr>
            <w:r w:rsidRPr="00F056F0">
              <w:rPr>
                <w:rFonts w:eastAsia="Calibri"/>
                <w:sz w:val="20"/>
              </w:rPr>
              <w:t>Court of Appeal for Ontario</w:t>
            </w:r>
          </w:p>
          <w:p w:rsidR="00FD20F0" w:rsidRPr="00F056F0" w:rsidRDefault="00FD20F0" w:rsidP="00594C0F">
            <w:pPr>
              <w:jc w:val="both"/>
              <w:rPr>
                <w:rFonts w:eastAsia="Calibri"/>
                <w:sz w:val="20"/>
              </w:rPr>
            </w:pPr>
            <w:r w:rsidRPr="00F056F0">
              <w:rPr>
                <w:rFonts w:eastAsia="Calibri"/>
                <w:sz w:val="20"/>
              </w:rPr>
              <w:t>(Doherty, Rosenberg and Hoy JJ.A.)</w:t>
            </w:r>
          </w:p>
          <w:p w:rsidR="00FD20F0" w:rsidRPr="00F056F0" w:rsidRDefault="00FD20F0" w:rsidP="00594C0F">
            <w:pPr>
              <w:jc w:val="both"/>
              <w:rPr>
                <w:rFonts w:eastAsia="Calibri"/>
                <w:sz w:val="20"/>
              </w:rPr>
            </w:pPr>
            <w:r w:rsidRPr="00F056F0">
              <w:rPr>
                <w:rFonts w:eastAsia="Calibri"/>
                <w:sz w:val="20"/>
              </w:rPr>
              <w:t>2012 ONCA 173</w:t>
            </w:r>
          </w:p>
          <w:p w:rsidR="00FD20F0" w:rsidRPr="00F056F0" w:rsidRDefault="00FD20F0" w:rsidP="00594C0F">
            <w:pPr>
              <w:jc w:val="both"/>
              <w:rPr>
                <w:rFonts w:eastAsia="Calibri"/>
                <w:sz w:val="20"/>
              </w:rPr>
            </w:pP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Appeal allowed; Applicant’s action dismissed</w:t>
            </w:r>
          </w:p>
          <w:p w:rsidR="00FD20F0" w:rsidRPr="00F056F0" w:rsidRDefault="00FD20F0" w:rsidP="00594C0F">
            <w:pPr>
              <w:jc w:val="both"/>
              <w:rPr>
                <w:rFonts w:eastAsia="Calibri"/>
                <w:sz w:val="20"/>
              </w:rPr>
            </w:pPr>
          </w:p>
        </w:tc>
      </w:tr>
      <w:tr w:rsidR="00FD20F0" w:rsidRPr="00F056F0" w:rsidTr="00594C0F">
        <w:tc>
          <w:tcPr>
            <w:tcW w:w="2427" w:type="pct"/>
          </w:tcPr>
          <w:p w:rsidR="00FD20F0" w:rsidRPr="00F056F0" w:rsidRDefault="00FD20F0" w:rsidP="00594C0F">
            <w:pPr>
              <w:jc w:val="both"/>
              <w:rPr>
                <w:rFonts w:eastAsia="Calibri"/>
                <w:sz w:val="20"/>
              </w:rPr>
            </w:pPr>
            <w:r w:rsidRPr="00F056F0">
              <w:rPr>
                <w:rFonts w:eastAsia="Calibri"/>
                <w:sz w:val="20"/>
              </w:rPr>
              <w:t>May 17, 2012</w:t>
            </w:r>
          </w:p>
          <w:p w:rsidR="00FD20F0" w:rsidRPr="00F056F0" w:rsidRDefault="00FD20F0" w:rsidP="00594C0F">
            <w:pPr>
              <w:jc w:val="both"/>
              <w:rPr>
                <w:rFonts w:eastAsia="Calibri"/>
                <w:sz w:val="20"/>
              </w:rPr>
            </w:pPr>
            <w:r w:rsidRPr="00F056F0">
              <w:rPr>
                <w:rFonts w:eastAsia="Calibri"/>
                <w:sz w:val="20"/>
              </w:rPr>
              <w:t>Supreme Court of Canada</w:t>
            </w:r>
          </w:p>
        </w:tc>
        <w:tc>
          <w:tcPr>
            <w:tcW w:w="243" w:type="pct"/>
          </w:tcPr>
          <w:p w:rsidR="00FD20F0" w:rsidRPr="00F056F0" w:rsidRDefault="00FD20F0" w:rsidP="00594C0F">
            <w:pPr>
              <w:jc w:val="both"/>
              <w:rPr>
                <w:rFonts w:eastAsia="Calibri"/>
                <w:sz w:val="20"/>
              </w:rPr>
            </w:pPr>
          </w:p>
        </w:tc>
        <w:tc>
          <w:tcPr>
            <w:tcW w:w="2330" w:type="pct"/>
          </w:tcPr>
          <w:p w:rsidR="00FD20F0" w:rsidRPr="00F056F0" w:rsidRDefault="00FD20F0" w:rsidP="00594C0F">
            <w:pPr>
              <w:jc w:val="both"/>
              <w:rPr>
                <w:rFonts w:eastAsia="Calibri"/>
                <w:sz w:val="20"/>
              </w:rPr>
            </w:pPr>
            <w:r w:rsidRPr="00F056F0">
              <w:rPr>
                <w:rFonts w:eastAsia="Calibri"/>
                <w:sz w:val="20"/>
              </w:rPr>
              <w:t>Application for leave to appeal filed</w:t>
            </w:r>
          </w:p>
          <w:p w:rsidR="00FD20F0" w:rsidRPr="00F056F0" w:rsidRDefault="00FD20F0"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52"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sz w:val="20"/>
                <w:lang w:val="fr-CA"/>
              </w:rPr>
              <w:t>Droit de l'emploi — Contrat — Clause restrictive — Un ancien employé a présenté une soumission en concurrence avec son ancien employeur — La Cour d'appel a</w:t>
            </w:r>
            <w:r w:rsidRPr="00F056F0">
              <w:rPr>
                <w:rFonts w:eastAsia="Calibri"/>
                <w:sz w:val="20"/>
                <w:lang w:val="fr-CA"/>
              </w:rPr>
              <w:noBreakHyphen/>
              <w:t>t</w:t>
            </w:r>
            <w:r w:rsidRPr="00F056F0">
              <w:rPr>
                <w:rFonts w:eastAsia="Calibri"/>
                <w:sz w:val="20"/>
                <w:lang w:val="fr-CA"/>
              </w:rPr>
              <w:noBreakHyphen/>
              <w:t>elle eu tort de ne pas avoir énoncé le critère relatif aux accords de non</w:t>
            </w:r>
            <w:r w:rsidRPr="00F056F0">
              <w:rPr>
                <w:rFonts w:eastAsia="Calibri"/>
                <w:sz w:val="20"/>
                <w:lang w:val="fr-CA"/>
              </w:rPr>
              <w:noBreakHyphen/>
              <w:t>concurrence conclus dans le contexte de la vente d'une entreprise et à ceux qui sont conclus dans un pur contexte d’emploi et de ne pas avoir fait la distinction entre ces accords? — La Cour d'appel a</w:t>
            </w:r>
            <w:r w:rsidRPr="00F056F0">
              <w:rPr>
                <w:rFonts w:eastAsia="Calibri"/>
                <w:sz w:val="20"/>
                <w:lang w:val="fr-CA"/>
              </w:rPr>
              <w:noBreakHyphen/>
              <w:t>t</w:t>
            </w:r>
            <w:r w:rsidRPr="00F056F0">
              <w:rPr>
                <w:rFonts w:eastAsia="Calibri"/>
                <w:sz w:val="20"/>
                <w:lang w:val="fr-CA"/>
              </w:rPr>
              <w:noBreakHyphen/>
              <w:t>elle eu tort d'appliquer l'analyse plus restrictive de l'exécution d'un accord de non</w:t>
            </w:r>
            <w:r w:rsidRPr="00F056F0">
              <w:rPr>
                <w:rFonts w:eastAsia="Calibri"/>
                <w:sz w:val="20"/>
                <w:lang w:val="fr-CA"/>
              </w:rPr>
              <w:noBreakHyphen/>
              <w:t>concurrence dans le contexte d'une stricte relation d'emploi? — La Cour d'appel a</w:t>
            </w:r>
            <w:r w:rsidRPr="00F056F0">
              <w:rPr>
                <w:rFonts w:eastAsia="Calibri"/>
                <w:sz w:val="20"/>
                <w:lang w:val="fr-CA"/>
              </w:rPr>
              <w:noBreakHyphen/>
              <w:t>t</w:t>
            </w:r>
            <w:r w:rsidRPr="00F056F0">
              <w:rPr>
                <w:rFonts w:eastAsia="Calibri"/>
                <w:sz w:val="20"/>
                <w:lang w:val="fr-CA"/>
              </w:rPr>
              <w:noBreakHyphen/>
              <w:t>elle eu tort de ne pas avoir appliqué la jurisprudence nécessaire pour interpréter un contrat commercial de vente d'entreprise? — La Cour d'appel a</w:t>
            </w:r>
            <w:r w:rsidRPr="00F056F0">
              <w:rPr>
                <w:rFonts w:eastAsia="Calibri"/>
                <w:sz w:val="20"/>
                <w:lang w:val="fr-CA"/>
              </w:rPr>
              <w:noBreakHyphen/>
              <w:t>t</w:t>
            </w:r>
            <w:r w:rsidRPr="00F056F0">
              <w:rPr>
                <w:rFonts w:eastAsia="Calibri"/>
                <w:sz w:val="20"/>
                <w:lang w:val="fr-CA"/>
              </w:rPr>
              <w:noBreakHyphen/>
              <w:t>elle omis d'appliquer la bonne norme de contrôle de la conclusion du juge de première instance comme quoi il y avait eu manquement à l'obligation fiduciaire?</w:t>
            </w:r>
          </w:p>
        </w:tc>
      </w:tr>
      <w:tr w:rsidR="00FD20F0" w:rsidRPr="003935EC" w:rsidTr="00594C0F">
        <w:tc>
          <w:tcPr>
            <w:tcW w:w="5000" w:type="pct"/>
            <w:gridSpan w:val="3"/>
          </w:tcPr>
          <w:p w:rsidR="00FD20F0" w:rsidRPr="00F056F0" w:rsidRDefault="00FD20F0" w:rsidP="00594C0F">
            <w:pPr>
              <w:jc w:val="both"/>
              <w:rPr>
                <w:rFonts w:eastAsia="Calibri"/>
                <w:sz w:val="20"/>
                <w:lang w:val="fr-CA"/>
              </w:rPr>
            </w:pPr>
          </w:p>
        </w:tc>
      </w:tr>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color w:val="000000"/>
                <w:sz w:val="20"/>
                <w:lang w:val="fr-CA"/>
              </w:rPr>
              <w:t xml:space="preserve">Monsieur Brulé a fondé Veolia ES Industrial Services Inc. (« Veolia »), une entreprise d'inspection, de nettoyage et de réhabilitation d’égouts.  En 1999, M. Brulé a vendu Veolia à un groupe d'actionnaires et, dans le cadre de la transaction, il a conclu un contrat de travail qui l'obligeait à continuer à agir comme président et directeur de l'exploitation de la compagnie jusqu'au 31 décembre 2004.  L'accord lui interdisait de faire concurrence avec </w:t>
            </w:r>
            <w:r w:rsidRPr="00F056F0">
              <w:rPr>
                <w:rFonts w:eastAsia="Calibri"/>
                <w:color w:val="000000"/>
                <w:sz w:val="20"/>
                <w:lang w:val="fr-CA"/>
              </w:rPr>
              <w:lastRenderedPageBreak/>
              <w:t>l'entreprise de Veolia pour une période de cinq ans par la suite.  En raison de certains irritants qui s'étaient développés dans leurs relations d'emploi, les parties ont conclu un nouvel accord le 1</w:t>
            </w:r>
            <w:r w:rsidRPr="00F056F0">
              <w:rPr>
                <w:rFonts w:eastAsia="Calibri"/>
                <w:color w:val="000000"/>
                <w:sz w:val="20"/>
                <w:vertAlign w:val="superscript"/>
                <w:lang w:val="fr-CA"/>
              </w:rPr>
              <w:t>er</w:t>
            </w:r>
            <w:r w:rsidRPr="00F056F0">
              <w:rPr>
                <w:rFonts w:eastAsia="Calibri"/>
                <w:color w:val="000000"/>
                <w:sz w:val="20"/>
                <w:lang w:val="fr-CA"/>
              </w:rPr>
              <w:t> janvier 2004, en vertu duquel M. Brulé a accepté de demeurer au service de Veolia comme employé pendant une période de trois ans, sous réserve du droit de Veolia de le congédier avec motif, ou sans motif moyennant le paiement d'une indemnité jusqu'à la fin de son engagement. La clause de non</w:t>
            </w:r>
            <w:r w:rsidRPr="00F056F0">
              <w:rPr>
                <w:rFonts w:eastAsia="Calibri"/>
                <w:color w:val="000000"/>
                <w:sz w:val="20"/>
                <w:lang w:val="fr-CA"/>
              </w:rPr>
              <w:noBreakHyphen/>
              <w:t>concurrence interdisait à M. Brulé de faire concurrence à Veolia pendant une période de deux ans suivant son congédiement motivé, ou pendant une période de deux ans à compter de janvier 2007 après son congédiement non motivé ou si M. Brulé démissionnait.  En juillet 2004, M. Brulé a donné un avis comme quoi il allait démissionner dans 180 jours.  Avant son départ, M. Brulé a apporté avec lui un relieur à feuilles mobiles renfermant des renseignements sur des soumissions municipales.  Il a subséquemment constitué une nouvelle compagnie qui faisait la réhabilitation des aqueducs mais a décidé par la suite de présenter une soumission sur un projet d’égout qui avait fait l'objet d'un appel d'offres public.  Aux environs d'octobre 2005, M. Brulé et Veolia ont soumissionné sur ce projet.  Monsieur Brulé a été le soumissionnaire gagnant. Veolia a poursuivi M. Brulé pour manquement à la clause de non</w:t>
            </w:r>
            <w:r w:rsidRPr="00F056F0">
              <w:rPr>
                <w:rFonts w:eastAsia="Calibri"/>
                <w:color w:val="000000"/>
                <w:sz w:val="20"/>
                <w:lang w:val="fr-CA"/>
              </w:rPr>
              <w:noBreakHyphen/>
              <w:t>concurrence et manquement à son obligation fiduciaire.  Monsieur Brulé a introduit une demande reconventionnelle en revendication de la rémunération que lui devait Veolia.</w:t>
            </w:r>
          </w:p>
          <w:p w:rsidR="00FD20F0" w:rsidRPr="00F056F0" w:rsidRDefault="00FD20F0" w:rsidP="00594C0F">
            <w:pPr>
              <w:jc w:val="both"/>
              <w:rPr>
                <w:rFonts w:eastAsia="Calibri"/>
                <w:sz w:val="20"/>
                <w:lang w:val="fr-CA"/>
              </w:rPr>
            </w:pP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lastRenderedPageBreak/>
              <w:t>27 octobre 2010</w:t>
            </w:r>
          </w:p>
          <w:p w:rsidR="00FD20F0" w:rsidRPr="00F056F0" w:rsidRDefault="00FD20F0" w:rsidP="00594C0F">
            <w:pPr>
              <w:jc w:val="both"/>
              <w:rPr>
                <w:rFonts w:eastAsia="Calibri"/>
                <w:sz w:val="20"/>
                <w:lang w:val="fr-CA"/>
              </w:rPr>
            </w:pPr>
            <w:r w:rsidRPr="00F056F0">
              <w:rPr>
                <w:rFonts w:eastAsia="Calibri"/>
                <w:sz w:val="20"/>
                <w:lang w:val="fr-CA"/>
              </w:rPr>
              <w:t xml:space="preserve">Cour supérieure de justice de l'Ontario </w:t>
            </w:r>
          </w:p>
          <w:p w:rsidR="00FD20F0" w:rsidRPr="00F056F0" w:rsidRDefault="00FD20F0" w:rsidP="00594C0F">
            <w:pPr>
              <w:jc w:val="both"/>
              <w:rPr>
                <w:rFonts w:eastAsia="Calibri"/>
                <w:sz w:val="20"/>
                <w:lang w:val="fr-CA"/>
              </w:rPr>
            </w:pPr>
            <w:r w:rsidRPr="00F056F0">
              <w:rPr>
                <w:rFonts w:eastAsia="Calibri"/>
                <w:sz w:val="20"/>
                <w:lang w:val="fr-CA"/>
              </w:rPr>
              <w:t>(Juge Roy)</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La demanderesse se voit accorder la somme de 465 000 $ en dommages</w:t>
            </w:r>
            <w:r w:rsidRPr="00F056F0">
              <w:rPr>
                <w:rFonts w:eastAsia="Calibri"/>
                <w:sz w:val="20"/>
                <w:lang w:val="fr-CA"/>
              </w:rPr>
              <w:noBreakHyphen/>
              <w:t>intérêts; la demande reconventionnelle de l'intimé pour la somme de 90 896,62 $ est accueillie</w:t>
            </w:r>
          </w:p>
          <w:p w:rsidR="00FD20F0" w:rsidRPr="00F056F0" w:rsidRDefault="00FD20F0" w:rsidP="00594C0F">
            <w:pPr>
              <w:jc w:val="both"/>
              <w:rPr>
                <w:rFonts w:eastAsia="Calibri"/>
                <w:sz w:val="20"/>
                <w:lang w:val="fr-CA"/>
              </w:rPr>
            </w:pPr>
          </w:p>
        </w:tc>
      </w:tr>
      <w:tr w:rsidR="00FD20F0" w:rsidRPr="003935EC"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20 mars 2012</w:t>
            </w:r>
          </w:p>
          <w:p w:rsidR="00FD20F0" w:rsidRPr="00F056F0" w:rsidRDefault="00FD20F0" w:rsidP="00594C0F">
            <w:pPr>
              <w:jc w:val="both"/>
              <w:rPr>
                <w:rFonts w:eastAsia="Calibri"/>
                <w:sz w:val="20"/>
                <w:lang w:val="fr-CA"/>
              </w:rPr>
            </w:pPr>
            <w:r w:rsidRPr="00F056F0">
              <w:rPr>
                <w:rFonts w:eastAsia="Calibri"/>
                <w:sz w:val="20"/>
                <w:lang w:val="fr-CA"/>
              </w:rPr>
              <w:t>Cour d'appel de l'Ontario</w:t>
            </w:r>
          </w:p>
          <w:p w:rsidR="00FD20F0" w:rsidRPr="00F056F0" w:rsidRDefault="00FD20F0" w:rsidP="00594C0F">
            <w:pPr>
              <w:jc w:val="both"/>
              <w:rPr>
                <w:rFonts w:eastAsia="Calibri"/>
                <w:sz w:val="20"/>
                <w:lang w:val="fr-CA"/>
              </w:rPr>
            </w:pPr>
            <w:r w:rsidRPr="00F056F0">
              <w:rPr>
                <w:rFonts w:eastAsia="Calibri"/>
                <w:sz w:val="20"/>
                <w:lang w:val="fr-CA"/>
              </w:rPr>
              <w:t>(Juges Doherty, Rosenberg et Hoy)</w:t>
            </w:r>
          </w:p>
          <w:p w:rsidR="00FD20F0" w:rsidRPr="00F056F0" w:rsidRDefault="00FD20F0" w:rsidP="00594C0F">
            <w:pPr>
              <w:jc w:val="both"/>
              <w:rPr>
                <w:rFonts w:eastAsia="Calibri"/>
                <w:sz w:val="20"/>
                <w:lang w:val="fr-CA"/>
              </w:rPr>
            </w:pPr>
            <w:r w:rsidRPr="00F056F0">
              <w:rPr>
                <w:rFonts w:eastAsia="Calibri"/>
                <w:sz w:val="20"/>
                <w:lang w:val="fr-CA"/>
              </w:rPr>
              <w:t>2012 ONCA 173</w:t>
            </w:r>
          </w:p>
          <w:p w:rsidR="00FD20F0" w:rsidRPr="00F056F0" w:rsidRDefault="00FD20F0" w:rsidP="00594C0F">
            <w:pPr>
              <w:jc w:val="both"/>
              <w:rPr>
                <w:rFonts w:eastAsia="Calibri"/>
                <w:sz w:val="20"/>
                <w:lang w:val="fr-CA"/>
              </w:rPr>
            </w:pP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Appel accueilli; action de la demanderesse, rejetée</w:t>
            </w:r>
          </w:p>
          <w:p w:rsidR="00FD20F0" w:rsidRPr="00F056F0" w:rsidRDefault="00FD20F0" w:rsidP="00594C0F">
            <w:pPr>
              <w:jc w:val="both"/>
              <w:rPr>
                <w:rFonts w:eastAsia="Calibri"/>
                <w:sz w:val="20"/>
                <w:lang w:val="fr-CA"/>
              </w:rPr>
            </w:pPr>
          </w:p>
        </w:tc>
      </w:tr>
      <w:tr w:rsidR="00FD20F0" w:rsidRPr="00F056F0" w:rsidTr="00594C0F">
        <w:tc>
          <w:tcPr>
            <w:tcW w:w="2427" w:type="pct"/>
          </w:tcPr>
          <w:p w:rsidR="00FD20F0" w:rsidRPr="00F056F0" w:rsidRDefault="00FD20F0" w:rsidP="00594C0F">
            <w:pPr>
              <w:jc w:val="both"/>
              <w:rPr>
                <w:rFonts w:eastAsia="Calibri"/>
                <w:sz w:val="20"/>
                <w:lang w:val="fr-CA"/>
              </w:rPr>
            </w:pPr>
            <w:r w:rsidRPr="00F056F0">
              <w:rPr>
                <w:rFonts w:eastAsia="Calibri"/>
                <w:sz w:val="20"/>
                <w:lang w:val="fr-CA"/>
              </w:rPr>
              <w:t>17 mai 2012</w:t>
            </w:r>
          </w:p>
          <w:p w:rsidR="00FD20F0" w:rsidRPr="00F056F0" w:rsidRDefault="00FD20F0" w:rsidP="00594C0F">
            <w:pPr>
              <w:jc w:val="both"/>
              <w:rPr>
                <w:rFonts w:eastAsia="Calibri"/>
                <w:sz w:val="20"/>
                <w:lang w:val="fr-CA"/>
              </w:rPr>
            </w:pPr>
            <w:r w:rsidRPr="00F056F0">
              <w:rPr>
                <w:rFonts w:eastAsia="Calibri"/>
                <w:sz w:val="20"/>
                <w:lang w:val="fr-CA"/>
              </w:rPr>
              <w:t>Cour suprême du Canada</w:t>
            </w:r>
          </w:p>
        </w:tc>
        <w:tc>
          <w:tcPr>
            <w:tcW w:w="243" w:type="pct"/>
          </w:tcPr>
          <w:p w:rsidR="00FD20F0" w:rsidRPr="00F056F0" w:rsidRDefault="00FD20F0" w:rsidP="00594C0F">
            <w:pPr>
              <w:jc w:val="both"/>
              <w:rPr>
                <w:rFonts w:eastAsia="Calibri"/>
                <w:sz w:val="20"/>
                <w:lang w:val="fr-CA"/>
              </w:rPr>
            </w:pPr>
          </w:p>
        </w:tc>
        <w:tc>
          <w:tcPr>
            <w:tcW w:w="2330" w:type="pct"/>
          </w:tcPr>
          <w:p w:rsidR="00FD20F0" w:rsidRPr="00F056F0" w:rsidRDefault="00FD20F0" w:rsidP="00594C0F">
            <w:pPr>
              <w:jc w:val="both"/>
              <w:rPr>
                <w:rFonts w:eastAsia="Calibri"/>
                <w:sz w:val="20"/>
                <w:lang w:val="fr-CA"/>
              </w:rPr>
            </w:pPr>
            <w:r w:rsidRPr="00F056F0">
              <w:rPr>
                <w:rFonts w:eastAsia="Calibri"/>
                <w:sz w:val="20"/>
                <w:lang w:val="fr-CA"/>
              </w:rPr>
              <w:t>Demande d'autorisation d'appel, déposée</w:t>
            </w:r>
          </w:p>
          <w:p w:rsidR="00FD20F0" w:rsidRPr="00F056F0" w:rsidRDefault="00FD20F0"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53"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774C7" w:rsidRPr="00303448" w:rsidTr="00594C0F">
        <w:trPr>
          <w:cantSplit/>
        </w:trPr>
        <w:tc>
          <w:tcPr>
            <w:tcW w:w="1458" w:type="dxa"/>
          </w:tcPr>
          <w:p w:rsidR="002774C7" w:rsidRPr="00303448" w:rsidRDefault="002774C7" w:rsidP="00594C0F">
            <w:pPr>
              <w:rPr>
                <w:sz w:val="20"/>
                <w:szCs w:val="20"/>
              </w:rPr>
            </w:pPr>
            <w:r w:rsidRPr="00303448">
              <w:rPr>
                <w:rStyle w:val="SCCFileNumberChar"/>
                <w:sz w:val="20"/>
                <w:szCs w:val="20"/>
              </w:rPr>
              <w:t>34844</w:t>
            </w:r>
          </w:p>
          <w:p w:rsidR="002774C7" w:rsidRPr="00303448" w:rsidRDefault="002774C7" w:rsidP="00594C0F">
            <w:pPr>
              <w:rPr>
                <w:b/>
                <w:sz w:val="20"/>
                <w:szCs w:val="20"/>
                <w:lang w:val="fr-CA"/>
              </w:rPr>
            </w:pPr>
          </w:p>
        </w:tc>
        <w:tc>
          <w:tcPr>
            <w:tcW w:w="8118" w:type="dxa"/>
          </w:tcPr>
          <w:p w:rsidR="002774C7" w:rsidRPr="00303448" w:rsidRDefault="002774C7" w:rsidP="00594C0F">
            <w:pPr>
              <w:rPr>
                <w:sz w:val="20"/>
                <w:szCs w:val="20"/>
              </w:rPr>
            </w:pPr>
            <w:r w:rsidRPr="00303448">
              <w:rPr>
                <w:rStyle w:val="SCCLsocChar"/>
                <w:sz w:val="20"/>
                <w:szCs w:val="20"/>
                <w:lang w:val="en-CA"/>
              </w:rPr>
              <w:t>Rainbow Concrete Industries Limited v. Ian Anderson</w:t>
            </w:r>
            <w:r w:rsidRPr="00303448">
              <w:rPr>
                <w:sz w:val="20"/>
                <w:szCs w:val="20"/>
              </w:rPr>
              <w:t xml:space="preserve"> (Ont.) (Civil) (By Leave)</w:t>
            </w:r>
          </w:p>
          <w:p w:rsidR="002774C7" w:rsidRPr="00303448" w:rsidRDefault="002774C7" w:rsidP="00594C0F">
            <w:pPr>
              <w:rPr>
                <w:sz w:val="20"/>
                <w:szCs w:val="20"/>
              </w:rPr>
            </w:pPr>
          </w:p>
        </w:tc>
      </w:tr>
      <w:tr w:rsidR="002774C7" w:rsidRPr="00303448" w:rsidTr="00594C0F">
        <w:trPr>
          <w:cantSplit/>
        </w:trPr>
        <w:tc>
          <w:tcPr>
            <w:tcW w:w="1458" w:type="dxa"/>
          </w:tcPr>
          <w:p w:rsidR="002774C7" w:rsidRPr="00303448" w:rsidRDefault="002774C7" w:rsidP="00594C0F">
            <w:pPr>
              <w:rPr>
                <w:sz w:val="20"/>
                <w:szCs w:val="20"/>
              </w:rPr>
            </w:pPr>
            <w:r w:rsidRPr="00303448">
              <w:rPr>
                <w:sz w:val="20"/>
                <w:szCs w:val="20"/>
              </w:rPr>
              <w:t>Coram :</w:t>
            </w:r>
          </w:p>
        </w:tc>
        <w:tc>
          <w:tcPr>
            <w:tcW w:w="8118" w:type="dxa"/>
          </w:tcPr>
          <w:p w:rsidR="002774C7" w:rsidRPr="00303448" w:rsidRDefault="002774C7" w:rsidP="00594C0F">
            <w:pPr>
              <w:rPr>
                <w:sz w:val="20"/>
                <w:szCs w:val="20"/>
              </w:rPr>
            </w:pPr>
            <w:r w:rsidRPr="00303448">
              <w:rPr>
                <w:rStyle w:val="SCCCoramChar"/>
                <w:sz w:val="20"/>
                <w:szCs w:val="20"/>
                <w:lang w:val="en-CA"/>
              </w:rPr>
              <w:t>LeBel, Abella and Cromwell JJ.</w:t>
            </w:r>
          </w:p>
          <w:p w:rsidR="002774C7" w:rsidRPr="00303448" w:rsidRDefault="002774C7" w:rsidP="00594C0F">
            <w:pPr>
              <w:rPr>
                <w:sz w:val="20"/>
                <w:szCs w:val="20"/>
                <w:u w:val="single"/>
              </w:rPr>
            </w:pPr>
          </w:p>
        </w:tc>
      </w:tr>
      <w:tr w:rsidR="002774C7" w:rsidRPr="003935EC" w:rsidTr="00594C0F">
        <w:trPr>
          <w:cantSplit/>
        </w:trPr>
        <w:tc>
          <w:tcPr>
            <w:tcW w:w="9576" w:type="dxa"/>
            <w:gridSpan w:val="2"/>
          </w:tcPr>
          <w:p w:rsidR="002774C7" w:rsidRPr="00303448" w:rsidRDefault="002774C7" w:rsidP="00594C0F">
            <w:pPr>
              <w:pStyle w:val="SCCShortJudgment"/>
              <w:rPr>
                <w:szCs w:val="20"/>
              </w:rPr>
            </w:pPr>
            <w:r w:rsidRPr="00303448">
              <w:rPr>
                <w:szCs w:val="20"/>
              </w:rPr>
              <w:t>The application for leave to appeal from the judgment of the Court of Appeal for Ontario, Number C53682, 2012 ONCA 195, dated March 26, 2012, is dismissed with costs.</w:t>
            </w:r>
          </w:p>
          <w:p w:rsidR="002774C7" w:rsidRPr="00303448" w:rsidRDefault="002774C7" w:rsidP="00594C0F">
            <w:pPr>
              <w:pStyle w:val="SCCShortJudgment"/>
              <w:ind w:firstLine="0"/>
              <w:rPr>
                <w:szCs w:val="20"/>
              </w:rPr>
            </w:pPr>
          </w:p>
          <w:p w:rsidR="002774C7" w:rsidRPr="00303448" w:rsidRDefault="002774C7" w:rsidP="00594C0F">
            <w:pPr>
              <w:pStyle w:val="SCCShortJudgment"/>
              <w:rPr>
                <w:szCs w:val="20"/>
                <w:lang w:val="fr-CA"/>
              </w:rPr>
            </w:pPr>
            <w:r w:rsidRPr="00303448">
              <w:rPr>
                <w:szCs w:val="20"/>
                <w:lang w:val="fr-CA"/>
              </w:rPr>
              <w:t>La demande d’autorisation d’appel de l’arrêt de la Cour d’appel de l’Ontario, numéro C53682, 2012 ONCA 195, daté du 26 mars 2012, est rejetée avec dépens.</w:t>
            </w:r>
          </w:p>
        </w:tc>
      </w:tr>
    </w:tbl>
    <w:p w:rsidR="005F361C" w:rsidRPr="002774C7"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FD20F0" w:rsidRPr="00F056F0" w:rsidTr="00594C0F">
        <w:trPr>
          <w:gridAfter w:val="1"/>
          <w:wAfter w:w="48" w:type="pct"/>
        </w:trPr>
        <w:tc>
          <w:tcPr>
            <w:tcW w:w="4952" w:type="pct"/>
            <w:gridSpan w:val="3"/>
          </w:tcPr>
          <w:p w:rsidR="00FD20F0" w:rsidRPr="00F056F0" w:rsidRDefault="00FD20F0" w:rsidP="00594C0F">
            <w:pPr>
              <w:jc w:val="both"/>
              <w:rPr>
                <w:rFonts w:eastAsia="Calibri"/>
                <w:sz w:val="20"/>
              </w:rPr>
            </w:pPr>
            <w:r w:rsidRPr="00F056F0">
              <w:rPr>
                <w:rFonts w:eastAsia="Calibri"/>
                <w:sz w:val="20"/>
              </w:rPr>
              <w:t>Civil Procedure — Estoppel — Whether doctrine of issue estoppel should apply to prohibit a tort claim for damages against a public official for misfeasance in public office — Substantive differences between judicial review proceedings and tort proceedings — Principles governing access to courts to pursue a tort claim for misfeasance in public office when related judicial review proceedings were dismissed.</w:t>
            </w:r>
          </w:p>
        </w:tc>
      </w:tr>
      <w:tr w:rsidR="00FD20F0" w:rsidRPr="00F056F0" w:rsidTr="00594C0F">
        <w:trPr>
          <w:gridAfter w:val="1"/>
          <w:wAfter w:w="48" w:type="pct"/>
        </w:trPr>
        <w:tc>
          <w:tcPr>
            <w:tcW w:w="4952" w:type="pct"/>
            <w:gridSpan w:val="3"/>
          </w:tcPr>
          <w:p w:rsidR="00FD20F0" w:rsidRPr="00F056F0" w:rsidRDefault="00FD20F0" w:rsidP="00594C0F">
            <w:pPr>
              <w:jc w:val="both"/>
              <w:rPr>
                <w:rFonts w:eastAsia="Calibri"/>
                <w:sz w:val="20"/>
              </w:rPr>
            </w:pPr>
          </w:p>
        </w:tc>
      </w:tr>
      <w:tr w:rsidR="00FD20F0" w:rsidRPr="00F056F0" w:rsidTr="00594C0F">
        <w:trPr>
          <w:gridAfter w:val="1"/>
          <w:wAfter w:w="48" w:type="pct"/>
        </w:trPr>
        <w:tc>
          <w:tcPr>
            <w:tcW w:w="4952" w:type="pct"/>
            <w:gridSpan w:val="3"/>
          </w:tcPr>
          <w:p w:rsidR="00FD20F0" w:rsidRPr="00F056F0" w:rsidRDefault="00FD20F0" w:rsidP="00594C0F">
            <w:pPr>
              <w:jc w:val="both"/>
              <w:rPr>
                <w:rFonts w:eastAsia="Calibri"/>
                <w:sz w:val="20"/>
              </w:rPr>
            </w:pPr>
            <w:r w:rsidRPr="00F056F0">
              <w:rPr>
                <w:rFonts w:eastAsia="Calibri"/>
                <w:sz w:val="20"/>
              </w:rPr>
              <w:t>The applicant filed a Statement of Claim against the respondent Ian Anderson, the Vice</w:t>
            </w:r>
            <w:r w:rsidRPr="00F056F0">
              <w:rPr>
                <w:rFonts w:eastAsia="Calibri"/>
                <w:sz w:val="20"/>
              </w:rPr>
              <w:noBreakHyphen/>
              <w:t xml:space="preserve">Chair of the Ontario Labour Relations Board, seeking $2,500,000 as well as punitive and special damages, for alleged misfeasance in public office.  Mr. Anderson brought a motion to strike the Statement of Claim.  The Statement of Claim alleges that Mr. Anderson </w:t>
            </w:r>
            <w:r w:rsidRPr="00F056F0">
              <w:rPr>
                <w:rFonts w:eastAsia="Calibri"/>
                <w:sz w:val="20"/>
              </w:rPr>
              <w:lastRenderedPageBreak/>
              <w:t xml:space="preserve">acted throughout the course of the applicant’s first collective bargaining with the International Union of Operating Engineers contrary to the </w:t>
            </w:r>
            <w:r w:rsidRPr="00F056F0">
              <w:rPr>
                <w:rFonts w:eastAsia="Calibri"/>
                <w:i/>
                <w:sz w:val="20"/>
              </w:rPr>
              <w:t>Ontario Labour Relations Act</w:t>
            </w:r>
            <w:r w:rsidRPr="00F056F0">
              <w:rPr>
                <w:rFonts w:eastAsia="Calibri"/>
                <w:sz w:val="20"/>
              </w:rPr>
              <w:t>; the Ontario Labour Relation Board’s policies, rules and practices; applicable rules of professional conduct; and his mandates, powers and duties under the Act and at law.  The proceedings before the Ontario Labour Relations Board and decisions rendered by Mr. Anderson and the Board during those proceedings were reviewed by the Ontario Superior Court, Divisional Court in two judicial reviews.</w:t>
            </w:r>
          </w:p>
          <w:p w:rsidR="00FD20F0" w:rsidRPr="00F056F0" w:rsidRDefault="00FD20F0" w:rsidP="00594C0F">
            <w:pPr>
              <w:jc w:val="both"/>
              <w:rPr>
                <w:rFonts w:eastAsia="Calibri"/>
                <w:sz w:val="20"/>
              </w:rPr>
            </w:pPr>
          </w:p>
        </w:tc>
      </w:tr>
      <w:tr w:rsidR="00FD20F0" w:rsidRPr="00F056F0" w:rsidTr="00594C0F">
        <w:tblPrEx>
          <w:tblCellMar>
            <w:bottom w:w="0" w:type="dxa"/>
          </w:tblCellMar>
        </w:tblPrEx>
        <w:tc>
          <w:tcPr>
            <w:tcW w:w="2367" w:type="pct"/>
          </w:tcPr>
          <w:p w:rsidR="00FD20F0" w:rsidRPr="00F056F0" w:rsidRDefault="00FD20F0" w:rsidP="00594C0F">
            <w:pPr>
              <w:jc w:val="both"/>
              <w:rPr>
                <w:rFonts w:eastAsia="Calibri"/>
                <w:sz w:val="20"/>
              </w:rPr>
            </w:pPr>
            <w:r w:rsidRPr="00F056F0">
              <w:rPr>
                <w:rFonts w:eastAsia="Calibri"/>
                <w:sz w:val="20"/>
              </w:rPr>
              <w:lastRenderedPageBreak/>
              <w:t>April 12, 2011</w:t>
            </w:r>
          </w:p>
          <w:p w:rsidR="00FD20F0" w:rsidRPr="00F056F0" w:rsidRDefault="00FD20F0" w:rsidP="00594C0F">
            <w:pPr>
              <w:jc w:val="both"/>
              <w:rPr>
                <w:rFonts w:eastAsia="Calibri"/>
                <w:sz w:val="20"/>
              </w:rPr>
            </w:pPr>
            <w:r w:rsidRPr="00F056F0">
              <w:rPr>
                <w:rFonts w:eastAsia="Calibri"/>
                <w:sz w:val="20"/>
              </w:rPr>
              <w:t>Ontario Superior Court of Justice</w:t>
            </w:r>
          </w:p>
          <w:p w:rsidR="00FD20F0" w:rsidRPr="00F056F0" w:rsidRDefault="00FD20F0" w:rsidP="00594C0F">
            <w:pPr>
              <w:jc w:val="both"/>
              <w:rPr>
                <w:rFonts w:eastAsia="Calibri"/>
                <w:sz w:val="20"/>
              </w:rPr>
            </w:pPr>
            <w:r w:rsidRPr="00F056F0">
              <w:rPr>
                <w:rFonts w:eastAsia="Calibri"/>
                <w:sz w:val="20"/>
              </w:rPr>
              <w:t xml:space="preserve">(Conway J.) </w:t>
            </w:r>
          </w:p>
          <w:p w:rsidR="00FD20F0" w:rsidRPr="00F056F0" w:rsidRDefault="00FD20F0" w:rsidP="00594C0F">
            <w:pPr>
              <w:jc w:val="both"/>
              <w:rPr>
                <w:rFonts w:eastAsia="Calibri"/>
                <w:sz w:val="20"/>
              </w:rPr>
            </w:pPr>
          </w:p>
        </w:tc>
        <w:tc>
          <w:tcPr>
            <w:tcW w:w="267" w:type="pct"/>
          </w:tcPr>
          <w:p w:rsidR="00FD20F0" w:rsidRPr="00F056F0" w:rsidRDefault="00FD20F0" w:rsidP="00594C0F">
            <w:pPr>
              <w:jc w:val="both"/>
              <w:rPr>
                <w:rFonts w:eastAsia="Calibri"/>
                <w:sz w:val="20"/>
              </w:rPr>
            </w:pPr>
          </w:p>
        </w:tc>
        <w:tc>
          <w:tcPr>
            <w:tcW w:w="2366" w:type="pct"/>
            <w:gridSpan w:val="2"/>
          </w:tcPr>
          <w:p w:rsidR="00FD20F0" w:rsidRPr="00F056F0" w:rsidRDefault="00FD20F0" w:rsidP="00594C0F">
            <w:pPr>
              <w:jc w:val="both"/>
              <w:rPr>
                <w:rFonts w:eastAsia="Calibri"/>
                <w:sz w:val="20"/>
              </w:rPr>
            </w:pPr>
            <w:r w:rsidRPr="00F056F0">
              <w:rPr>
                <w:rFonts w:eastAsia="Calibri"/>
                <w:sz w:val="20"/>
              </w:rPr>
              <w:t>Motion to strike Statement of Claim granted</w:t>
            </w:r>
          </w:p>
          <w:p w:rsidR="00FD20F0" w:rsidRPr="00F056F0" w:rsidRDefault="00FD20F0" w:rsidP="00594C0F">
            <w:pPr>
              <w:jc w:val="both"/>
              <w:rPr>
                <w:rFonts w:eastAsia="Calibri"/>
                <w:sz w:val="20"/>
              </w:rPr>
            </w:pPr>
          </w:p>
        </w:tc>
      </w:tr>
      <w:tr w:rsidR="00FD20F0" w:rsidRPr="00F056F0" w:rsidTr="00594C0F">
        <w:tblPrEx>
          <w:tblCellMar>
            <w:bottom w:w="0" w:type="dxa"/>
          </w:tblCellMar>
        </w:tblPrEx>
        <w:tc>
          <w:tcPr>
            <w:tcW w:w="2367" w:type="pct"/>
          </w:tcPr>
          <w:p w:rsidR="00FD20F0" w:rsidRPr="00F056F0" w:rsidRDefault="00FD20F0" w:rsidP="00594C0F">
            <w:pPr>
              <w:jc w:val="both"/>
              <w:rPr>
                <w:rFonts w:eastAsia="Calibri"/>
                <w:sz w:val="20"/>
              </w:rPr>
            </w:pPr>
            <w:r w:rsidRPr="00F056F0">
              <w:rPr>
                <w:rFonts w:eastAsia="Calibri"/>
                <w:sz w:val="20"/>
              </w:rPr>
              <w:t>March 26, 2012</w:t>
            </w:r>
          </w:p>
          <w:p w:rsidR="00FD20F0" w:rsidRPr="00F056F0" w:rsidRDefault="00FD20F0" w:rsidP="00594C0F">
            <w:pPr>
              <w:jc w:val="both"/>
              <w:rPr>
                <w:rFonts w:eastAsia="Calibri"/>
                <w:sz w:val="20"/>
              </w:rPr>
            </w:pPr>
            <w:r w:rsidRPr="00F056F0">
              <w:rPr>
                <w:rFonts w:eastAsia="Calibri"/>
                <w:sz w:val="20"/>
              </w:rPr>
              <w:t>Court of Appeal for Ontario</w:t>
            </w:r>
          </w:p>
          <w:p w:rsidR="00FD20F0" w:rsidRPr="00F056F0" w:rsidRDefault="00FD20F0" w:rsidP="00594C0F">
            <w:pPr>
              <w:jc w:val="both"/>
              <w:rPr>
                <w:rFonts w:eastAsia="Calibri"/>
                <w:sz w:val="20"/>
              </w:rPr>
            </w:pPr>
            <w:r w:rsidRPr="00F056F0">
              <w:rPr>
                <w:rFonts w:eastAsia="Calibri"/>
                <w:sz w:val="20"/>
              </w:rPr>
              <w:t>(Doherty, Weiler, Cronk JJ.A.)</w:t>
            </w:r>
          </w:p>
          <w:p w:rsidR="00FD20F0" w:rsidRPr="00F056F0" w:rsidRDefault="00FD20F0" w:rsidP="00594C0F">
            <w:pPr>
              <w:jc w:val="both"/>
              <w:rPr>
                <w:rFonts w:eastAsia="Calibri"/>
                <w:sz w:val="20"/>
              </w:rPr>
            </w:pPr>
            <w:r w:rsidRPr="00F056F0">
              <w:rPr>
                <w:rFonts w:eastAsia="Calibri"/>
                <w:sz w:val="20"/>
              </w:rPr>
              <w:t>2012 ONCA 195; C53682</w:t>
            </w:r>
          </w:p>
          <w:p w:rsidR="00FD20F0" w:rsidRPr="00F056F0" w:rsidRDefault="00FD20F0" w:rsidP="00594C0F">
            <w:pPr>
              <w:jc w:val="both"/>
              <w:rPr>
                <w:rFonts w:eastAsia="Calibri"/>
                <w:sz w:val="20"/>
              </w:rPr>
            </w:pPr>
          </w:p>
        </w:tc>
        <w:tc>
          <w:tcPr>
            <w:tcW w:w="267" w:type="pct"/>
          </w:tcPr>
          <w:p w:rsidR="00FD20F0" w:rsidRPr="00F056F0" w:rsidRDefault="00FD20F0" w:rsidP="00594C0F">
            <w:pPr>
              <w:jc w:val="both"/>
              <w:rPr>
                <w:rFonts w:eastAsia="Calibri"/>
                <w:sz w:val="20"/>
              </w:rPr>
            </w:pPr>
          </w:p>
        </w:tc>
        <w:tc>
          <w:tcPr>
            <w:tcW w:w="2366" w:type="pct"/>
            <w:gridSpan w:val="2"/>
          </w:tcPr>
          <w:p w:rsidR="00FD20F0" w:rsidRPr="00F056F0" w:rsidRDefault="00FD20F0" w:rsidP="00594C0F">
            <w:pPr>
              <w:jc w:val="both"/>
              <w:rPr>
                <w:rFonts w:eastAsia="Calibri"/>
                <w:sz w:val="20"/>
              </w:rPr>
            </w:pPr>
            <w:r w:rsidRPr="00F056F0">
              <w:rPr>
                <w:rFonts w:eastAsia="Calibri"/>
                <w:sz w:val="20"/>
              </w:rPr>
              <w:t>Appeal dismissed</w:t>
            </w:r>
          </w:p>
          <w:p w:rsidR="00FD20F0" w:rsidRPr="00F056F0" w:rsidRDefault="00FD20F0" w:rsidP="00594C0F">
            <w:pPr>
              <w:jc w:val="both"/>
              <w:rPr>
                <w:rFonts w:eastAsia="Calibri"/>
                <w:sz w:val="20"/>
              </w:rPr>
            </w:pPr>
          </w:p>
        </w:tc>
      </w:tr>
      <w:tr w:rsidR="00FD20F0" w:rsidRPr="00F056F0" w:rsidTr="00594C0F">
        <w:tblPrEx>
          <w:tblCellMar>
            <w:bottom w:w="0" w:type="dxa"/>
          </w:tblCellMar>
        </w:tblPrEx>
        <w:tc>
          <w:tcPr>
            <w:tcW w:w="2367" w:type="pct"/>
          </w:tcPr>
          <w:p w:rsidR="00FD20F0" w:rsidRPr="00F056F0" w:rsidRDefault="00FD20F0" w:rsidP="00594C0F">
            <w:pPr>
              <w:jc w:val="both"/>
              <w:rPr>
                <w:rFonts w:eastAsia="Calibri"/>
                <w:sz w:val="20"/>
              </w:rPr>
            </w:pPr>
            <w:r w:rsidRPr="00F056F0">
              <w:rPr>
                <w:rFonts w:eastAsia="Calibri"/>
                <w:sz w:val="20"/>
              </w:rPr>
              <w:t>May 25, 2012</w:t>
            </w:r>
          </w:p>
          <w:p w:rsidR="00FD20F0" w:rsidRPr="00F056F0" w:rsidRDefault="00FD20F0" w:rsidP="00594C0F">
            <w:pPr>
              <w:jc w:val="both"/>
              <w:rPr>
                <w:rFonts w:eastAsia="Calibri"/>
                <w:sz w:val="20"/>
              </w:rPr>
            </w:pPr>
            <w:r w:rsidRPr="00F056F0">
              <w:rPr>
                <w:rFonts w:eastAsia="Calibri"/>
                <w:sz w:val="20"/>
              </w:rPr>
              <w:t>Supreme Court of Canada</w:t>
            </w:r>
          </w:p>
        </w:tc>
        <w:tc>
          <w:tcPr>
            <w:tcW w:w="267" w:type="pct"/>
          </w:tcPr>
          <w:p w:rsidR="00FD20F0" w:rsidRPr="00F056F0" w:rsidRDefault="00FD20F0" w:rsidP="00594C0F">
            <w:pPr>
              <w:jc w:val="both"/>
              <w:rPr>
                <w:rFonts w:eastAsia="Calibri"/>
                <w:sz w:val="20"/>
              </w:rPr>
            </w:pPr>
          </w:p>
        </w:tc>
        <w:tc>
          <w:tcPr>
            <w:tcW w:w="2366" w:type="pct"/>
            <w:gridSpan w:val="2"/>
          </w:tcPr>
          <w:p w:rsidR="00FD20F0" w:rsidRPr="00F056F0" w:rsidRDefault="00FD20F0" w:rsidP="00594C0F">
            <w:pPr>
              <w:jc w:val="both"/>
              <w:rPr>
                <w:rFonts w:eastAsia="Calibri"/>
                <w:sz w:val="20"/>
              </w:rPr>
            </w:pPr>
            <w:r w:rsidRPr="00F056F0">
              <w:rPr>
                <w:rFonts w:eastAsia="Calibri"/>
                <w:sz w:val="20"/>
              </w:rPr>
              <w:t>Application for leave to appeal filed</w:t>
            </w:r>
          </w:p>
          <w:p w:rsidR="00FD20F0" w:rsidRPr="00F056F0" w:rsidRDefault="00FD20F0"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54"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sz w:val="20"/>
                <w:lang w:val="fr-CA"/>
              </w:rPr>
              <w:t>Procédure civile — Préclusion — La doctrine de préclusion découlant d’une question déjà tranchée devrait</w:t>
            </w:r>
            <w:r w:rsidRPr="00F056F0">
              <w:rPr>
                <w:rFonts w:eastAsia="Calibri"/>
                <w:sz w:val="20"/>
                <w:lang w:val="fr-CA"/>
              </w:rPr>
              <w:noBreakHyphen/>
              <w:t>elle s'appliquer pour rendre irrecevable une demande en dommages</w:t>
            </w:r>
            <w:r w:rsidRPr="00F056F0">
              <w:rPr>
                <w:rFonts w:eastAsia="Calibri"/>
                <w:sz w:val="20"/>
                <w:lang w:val="fr-CA"/>
              </w:rPr>
              <w:noBreakHyphen/>
              <w:t>intérêts fondée sur la responsabilité délictuelle intentée contre un fonctionnaire pour faute dans l’exercice d’une charge publique? — Différences de fond entre une demande de contrôle judiciaire et une poursuite en responsabilité délictuelle — Principes régissant l'accès aux tribunaux afin de continuer une poursuite en responsabilité délictuelle pour faute dans l’exercice d’une charge publique lorsqu’une demande connexe en contrôle judiciaire a été rejetée.</w:t>
            </w:r>
          </w:p>
        </w:tc>
      </w:tr>
      <w:tr w:rsidR="00FD20F0" w:rsidRPr="003935EC" w:rsidTr="00594C0F">
        <w:tc>
          <w:tcPr>
            <w:tcW w:w="5000" w:type="pct"/>
            <w:gridSpan w:val="3"/>
          </w:tcPr>
          <w:p w:rsidR="00FD20F0" w:rsidRPr="00F056F0" w:rsidRDefault="00FD20F0" w:rsidP="00594C0F">
            <w:pPr>
              <w:jc w:val="both"/>
              <w:rPr>
                <w:rFonts w:eastAsia="Calibri"/>
                <w:sz w:val="20"/>
                <w:lang w:val="fr-CA"/>
              </w:rPr>
            </w:pPr>
          </w:p>
        </w:tc>
      </w:tr>
      <w:tr w:rsidR="00FD20F0" w:rsidRPr="003935EC" w:rsidTr="00594C0F">
        <w:tc>
          <w:tcPr>
            <w:tcW w:w="5000" w:type="pct"/>
            <w:gridSpan w:val="3"/>
          </w:tcPr>
          <w:p w:rsidR="00FD20F0" w:rsidRPr="00F056F0" w:rsidRDefault="00FD20F0" w:rsidP="00594C0F">
            <w:pPr>
              <w:jc w:val="both"/>
              <w:rPr>
                <w:rFonts w:eastAsia="Calibri"/>
                <w:sz w:val="20"/>
                <w:lang w:val="fr-CA"/>
              </w:rPr>
            </w:pPr>
            <w:r w:rsidRPr="00F056F0">
              <w:rPr>
                <w:rFonts w:eastAsia="Calibri"/>
                <w:sz w:val="20"/>
                <w:lang w:val="fr-CA"/>
              </w:rPr>
              <w:t>La demanderesse a déposé une déclaration contre l'intimé Ian Anderson, le vice</w:t>
            </w:r>
            <w:r w:rsidRPr="00F056F0">
              <w:rPr>
                <w:rFonts w:eastAsia="Calibri"/>
                <w:sz w:val="20"/>
                <w:lang w:val="fr-CA"/>
              </w:rPr>
              <w:noBreakHyphen/>
              <w:t>président de la Commission des relations de travail de l'Ontario, demandant la somme de 2 500 000 $ ainsi que des dommages</w:t>
            </w:r>
            <w:r w:rsidRPr="00F056F0">
              <w:rPr>
                <w:rFonts w:eastAsia="Calibri"/>
                <w:sz w:val="20"/>
                <w:lang w:val="fr-CA"/>
              </w:rPr>
              <w:noBreakHyphen/>
              <w:t>intérêts punitifs et spéciaux pour faute présumée dans l’exercice d’une charge publique.  Monsieur Anderson a présenté une motion en radiation de la déclaration.  Dans la déclaration, il est allégué que M. Anderson avait agi, tout au long de la première négociation collective de la demanderesse avec l’International Union of Operating Engineers contrairement à la</w:t>
            </w:r>
            <w:r w:rsidRPr="00F056F0">
              <w:rPr>
                <w:rFonts w:eastAsia="Calibri"/>
                <w:i/>
                <w:sz w:val="20"/>
                <w:lang w:val="fr-CA"/>
              </w:rPr>
              <w:t xml:space="preserve"> Loi sur les relations de travail </w:t>
            </w:r>
            <w:r w:rsidRPr="00F056F0">
              <w:rPr>
                <w:rFonts w:eastAsia="Calibri"/>
                <w:sz w:val="20"/>
                <w:lang w:val="fr-CA"/>
              </w:rPr>
              <w:t>de l'Ontario, aux politiques, règles et pratiques de la Commission des relations de travail de l'Ontario, aux règles applicables de déontologie et à ses attributions en vertu de la loi et du droit.  Dans le cadre de deux contrôles judiciaires, la Cour divisionnaire de la Cour supérieure de justice de l'Ontario a révisé les instances instruites par la Commission des relations de travail de l'Ontario et les décisions rendues par M. Anderson et la Commission dans le cadre de ces instances.</w:t>
            </w:r>
          </w:p>
          <w:p w:rsidR="00FD20F0" w:rsidRPr="00F056F0" w:rsidRDefault="00FD20F0" w:rsidP="00594C0F">
            <w:pPr>
              <w:jc w:val="both"/>
              <w:rPr>
                <w:rFonts w:eastAsia="Calibri"/>
                <w:sz w:val="20"/>
                <w:lang w:val="fr-CA"/>
              </w:rPr>
            </w:pPr>
          </w:p>
        </w:tc>
      </w:tr>
      <w:tr w:rsidR="00FD20F0" w:rsidRPr="003935EC" w:rsidTr="00594C0F">
        <w:tblPrEx>
          <w:tblCellMar>
            <w:bottom w:w="0" w:type="dxa"/>
          </w:tblCellMar>
        </w:tblPrEx>
        <w:tc>
          <w:tcPr>
            <w:tcW w:w="2390" w:type="pct"/>
          </w:tcPr>
          <w:p w:rsidR="00FD20F0" w:rsidRPr="00F056F0" w:rsidRDefault="00FD20F0" w:rsidP="00594C0F">
            <w:pPr>
              <w:jc w:val="both"/>
              <w:rPr>
                <w:rFonts w:eastAsia="Calibri"/>
                <w:sz w:val="20"/>
                <w:lang w:val="fr-CA"/>
              </w:rPr>
            </w:pPr>
            <w:r w:rsidRPr="00F056F0">
              <w:rPr>
                <w:rFonts w:eastAsia="Calibri"/>
                <w:sz w:val="20"/>
                <w:lang w:val="fr-CA"/>
              </w:rPr>
              <w:t>12 avril 2011</w:t>
            </w:r>
          </w:p>
          <w:p w:rsidR="00FD20F0" w:rsidRPr="00F056F0" w:rsidRDefault="00FD20F0" w:rsidP="00594C0F">
            <w:pPr>
              <w:jc w:val="both"/>
              <w:rPr>
                <w:rFonts w:eastAsia="Calibri"/>
                <w:sz w:val="20"/>
                <w:lang w:val="fr-CA"/>
              </w:rPr>
            </w:pPr>
            <w:r w:rsidRPr="00F056F0">
              <w:rPr>
                <w:rFonts w:eastAsia="Calibri"/>
                <w:sz w:val="20"/>
                <w:lang w:val="fr-CA"/>
              </w:rPr>
              <w:t xml:space="preserve">Cour supérieure de justice de l'Ontario </w:t>
            </w:r>
          </w:p>
          <w:p w:rsidR="00FD20F0" w:rsidRPr="00F056F0" w:rsidRDefault="00FD20F0" w:rsidP="00594C0F">
            <w:pPr>
              <w:jc w:val="both"/>
              <w:rPr>
                <w:rFonts w:eastAsia="Calibri"/>
                <w:sz w:val="20"/>
                <w:lang w:val="fr-CA"/>
              </w:rPr>
            </w:pPr>
            <w:r w:rsidRPr="00F056F0">
              <w:rPr>
                <w:rFonts w:eastAsia="Calibri"/>
                <w:sz w:val="20"/>
                <w:lang w:val="fr-CA"/>
              </w:rPr>
              <w:t xml:space="preserve">(Juge Conway) </w:t>
            </w:r>
          </w:p>
          <w:p w:rsidR="00FD20F0" w:rsidRPr="00F056F0" w:rsidRDefault="00FD20F0" w:rsidP="00594C0F">
            <w:pPr>
              <w:jc w:val="both"/>
              <w:rPr>
                <w:rFonts w:eastAsia="Calibri"/>
                <w:sz w:val="20"/>
                <w:lang w:val="fr-CA"/>
              </w:rPr>
            </w:pPr>
          </w:p>
        </w:tc>
        <w:tc>
          <w:tcPr>
            <w:tcW w:w="270" w:type="pct"/>
          </w:tcPr>
          <w:p w:rsidR="00FD20F0" w:rsidRPr="00F056F0" w:rsidRDefault="00FD20F0" w:rsidP="00594C0F">
            <w:pPr>
              <w:jc w:val="both"/>
              <w:rPr>
                <w:rFonts w:eastAsia="Calibri"/>
                <w:sz w:val="20"/>
                <w:lang w:val="fr-CA"/>
              </w:rPr>
            </w:pPr>
          </w:p>
        </w:tc>
        <w:tc>
          <w:tcPr>
            <w:tcW w:w="2340" w:type="pct"/>
          </w:tcPr>
          <w:p w:rsidR="00FD20F0" w:rsidRPr="00F056F0" w:rsidRDefault="00FD20F0" w:rsidP="00594C0F">
            <w:pPr>
              <w:jc w:val="both"/>
              <w:rPr>
                <w:rFonts w:eastAsia="Calibri"/>
                <w:sz w:val="20"/>
                <w:lang w:val="fr-CA"/>
              </w:rPr>
            </w:pPr>
            <w:r w:rsidRPr="00F056F0">
              <w:rPr>
                <w:rFonts w:eastAsia="Calibri"/>
                <w:sz w:val="20"/>
                <w:lang w:val="fr-CA"/>
              </w:rPr>
              <w:t>Motion en radiation de la déclaration, accueillie</w:t>
            </w:r>
          </w:p>
          <w:p w:rsidR="00FD20F0" w:rsidRPr="00F056F0" w:rsidRDefault="00FD20F0" w:rsidP="00594C0F">
            <w:pPr>
              <w:jc w:val="both"/>
              <w:rPr>
                <w:rFonts w:eastAsia="Calibri"/>
                <w:sz w:val="20"/>
                <w:lang w:val="fr-CA"/>
              </w:rPr>
            </w:pPr>
          </w:p>
        </w:tc>
      </w:tr>
      <w:tr w:rsidR="00FD20F0" w:rsidRPr="00F056F0" w:rsidTr="00594C0F">
        <w:tblPrEx>
          <w:tblCellMar>
            <w:bottom w:w="0" w:type="dxa"/>
          </w:tblCellMar>
        </w:tblPrEx>
        <w:tc>
          <w:tcPr>
            <w:tcW w:w="2390" w:type="pct"/>
          </w:tcPr>
          <w:p w:rsidR="00FD20F0" w:rsidRPr="00F056F0" w:rsidRDefault="00FD20F0" w:rsidP="00594C0F">
            <w:pPr>
              <w:jc w:val="both"/>
              <w:rPr>
                <w:rFonts w:eastAsia="Calibri"/>
                <w:sz w:val="20"/>
                <w:lang w:val="fr-CA"/>
              </w:rPr>
            </w:pPr>
            <w:r w:rsidRPr="00F056F0">
              <w:rPr>
                <w:rFonts w:eastAsia="Calibri"/>
                <w:sz w:val="20"/>
                <w:lang w:val="fr-CA"/>
              </w:rPr>
              <w:t>26 mars 2012</w:t>
            </w:r>
          </w:p>
          <w:p w:rsidR="00FD20F0" w:rsidRPr="00F056F0" w:rsidRDefault="00FD20F0" w:rsidP="00594C0F">
            <w:pPr>
              <w:jc w:val="both"/>
              <w:rPr>
                <w:rFonts w:eastAsia="Calibri"/>
                <w:sz w:val="20"/>
                <w:lang w:val="fr-CA"/>
              </w:rPr>
            </w:pPr>
            <w:r w:rsidRPr="00F056F0">
              <w:rPr>
                <w:rFonts w:eastAsia="Calibri"/>
                <w:sz w:val="20"/>
                <w:lang w:val="fr-CA"/>
              </w:rPr>
              <w:t>Cour d'appel de l’Ontario</w:t>
            </w:r>
          </w:p>
          <w:p w:rsidR="00FD20F0" w:rsidRPr="00F056F0" w:rsidRDefault="00FD20F0" w:rsidP="00594C0F">
            <w:pPr>
              <w:jc w:val="both"/>
              <w:rPr>
                <w:rFonts w:eastAsia="Calibri"/>
                <w:sz w:val="20"/>
                <w:lang w:val="fr-CA"/>
              </w:rPr>
            </w:pPr>
            <w:r w:rsidRPr="00F056F0">
              <w:rPr>
                <w:rFonts w:eastAsia="Calibri"/>
                <w:sz w:val="20"/>
                <w:lang w:val="fr-CA"/>
              </w:rPr>
              <w:t>(Juges Doherty, Weiler et Cronk)</w:t>
            </w:r>
          </w:p>
          <w:p w:rsidR="00FD20F0" w:rsidRPr="00F056F0" w:rsidRDefault="00FD20F0" w:rsidP="00594C0F">
            <w:pPr>
              <w:jc w:val="both"/>
              <w:rPr>
                <w:rFonts w:eastAsia="Calibri"/>
                <w:sz w:val="20"/>
                <w:lang w:val="fr-CA"/>
              </w:rPr>
            </w:pPr>
            <w:r w:rsidRPr="00F056F0">
              <w:rPr>
                <w:rFonts w:eastAsia="Calibri"/>
                <w:sz w:val="20"/>
                <w:lang w:val="fr-CA"/>
              </w:rPr>
              <w:t>2012 ONCA 195; C53682</w:t>
            </w:r>
          </w:p>
          <w:p w:rsidR="00FD20F0" w:rsidRPr="00F056F0" w:rsidRDefault="00FD20F0" w:rsidP="00594C0F">
            <w:pPr>
              <w:jc w:val="both"/>
              <w:rPr>
                <w:rFonts w:eastAsia="Calibri"/>
                <w:sz w:val="20"/>
                <w:lang w:val="fr-CA"/>
              </w:rPr>
            </w:pPr>
          </w:p>
        </w:tc>
        <w:tc>
          <w:tcPr>
            <w:tcW w:w="270" w:type="pct"/>
          </w:tcPr>
          <w:p w:rsidR="00FD20F0" w:rsidRPr="00F056F0" w:rsidRDefault="00FD20F0" w:rsidP="00594C0F">
            <w:pPr>
              <w:jc w:val="both"/>
              <w:rPr>
                <w:rFonts w:eastAsia="Calibri"/>
                <w:sz w:val="20"/>
                <w:lang w:val="fr-CA"/>
              </w:rPr>
            </w:pPr>
          </w:p>
        </w:tc>
        <w:tc>
          <w:tcPr>
            <w:tcW w:w="2340" w:type="pct"/>
          </w:tcPr>
          <w:p w:rsidR="00FD20F0" w:rsidRPr="00F056F0" w:rsidRDefault="00FD20F0" w:rsidP="00594C0F">
            <w:pPr>
              <w:jc w:val="both"/>
              <w:rPr>
                <w:rFonts w:eastAsia="Calibri"/>
                <w:sz w:val="20"/>
                <w:lang w:val="fr-CA"/>
              </w:rPr>
            </w:pPr>
            <w:r w:rsidRPr="00F056F0">
              <w:rPr>
                <w:rFonts w:eastAsia="Calibri"/>
                <w:sz w:val="20"/>
                <w:lang w:val="fr-CA"/>
              </w:rPr>
              <w:t>Appel rejeté</w:t>
            </w:r>
          </w:p>
          <w:p w:rsidR="00FD20F0" w:rsidRPr="00F056F0" w:rsidRDefault="00FD20F0" w:rsidP="00594C0F">
            <w:pPr>
              <w:jc w:val="both"/>
              <w:rPr>
                <w:rFonts w:eastAsia="Calibri"/>
                <w:sz w:val="20"/>
                <w:lang w:val="fr-CA"/>
              </w:rPr>
            </w:pPr>
          </w:p>
        </w:tc>
      </w:tr>
      <w:tr w:rsidR="00FD20F0" w:rsidRPr="00F056F0" w:rsidTr="00594C0F">
        <w:tblPrEx>
          <w:tblCellMar>
            <w:bottom w:w="0" w:type="dxa"/>
          </w:tblCellMar>
        </w:tblPrEx>
        <w:tc>
          <w:tcPr>
            <w:tcW w:w="2390" w:type="pct"/>
          </w:tcPr>
          <w:p w:rsidR="00FD20F0" w:rsidRPr="00F056F0" w:rsidRDefault="00FD20F0" w:rsidP="00594C0F">
            <w:pPr>
              <w:jc w:val="both"/>
              <w:rPr>
                <w:rFonts w:eastAsia="Calibri"/>
                <w:sz w:val="20"/>
                <w:lang w:val="fr-CA"/>
              </w:rPr>
            </w:pPr>
            <w:r w:rsidRPr="00F056F0">
              <w:rPr>
                <w:rFonts w:eastAsia="Calibri"/>
                <w:sz w:val="20"/>
                <w:lang w:val="fr-CA"/>
              </w:rPr>
              <w:t>25 mai 2012</w:t>
            </w:r>
          </w:p>
          <w:p w:rsidR="00FD20F0" w:rsidRPr="00F056F0" w:rsidRDefault="00FD20F0" w:rsidP="00594C0F">
            <w:pPr>
              <w:jc w:val="both"/>
              <w:rPr>
                <w:rFonts w:eastAsia="Calibri"/>
                <w:sz w:val="20"/>
                <w:lang w:val="fr-CA"/>
              </w:rPr>
            </w:pPr>
            <w:r w:rsidRPr="00F056F0">
              <w:rPr>
                <w:rFonts w:eastAsia="Calibri"/>
                <w:sz w:val="20"/>
                <w:lang w:val="fr-CA"/>
              </w:rPr>
              <w:t>Cour suprême du Canada</w:t>
            </w:r>
          </w:p>
        </w:tc>
        <w:tc>
          <w:tcPr>
            <w:tcW w:w="270" w:type="pct"/>
          </w:tcPr>
          <w:p w:rsidR="00FD20F0" w:rsidRPr="00F056F0" w:rsidRDefault="00FD20F0" w:rsidP="00594C0F">
            <w:pPr>
              <w:jc w:val="both"/>
              <w:rPr>
                <w:rFonts w:eastAsia="Calibri"/>
                <w:sz w:val="20"/>
                <w:lang w:val="fr-CA"/>
              </w:rPr>
            </w:pPr>
          </w:p>
        </w:tc>
        <w:tc>
          <w:tcPr>
            <w:tcW w:w="2340" w:type="pct"/>
          </w:tcPr>
          <w:p w:rsidR="00FD20F0" w:rsidRPr="00F056F0" w:rsidRDefault="00FD20F0" w:rsidP="00594C0F">
            <w:pPr>
              <w:jc w:val="both"/>
              <w:rPr>
                <w:rFonts w:eastAsia="Calibri"/>
                <w:sz w:val="20"/>
                <w:lang w:val="fr-CA"/>
              </w:rPr>
            </w:pPr>
            <w:r w:rsidRPr="00F056F0">
              <w:rPr>
                <w:rFonts w:eastAsia="Calibri"/>
                <w:sz w:val="20"/>
                <w:lang w:val="fr-CA"/>
              </w:rPr>
              <w:t>Demande d'autorisation d'appel, déposée</w:t>
            </w:r>
          </w:p>
          <w:p w:rsidR="00FD20F0" w:rsidRPr="00F056F0" w:rsidRDefault="00FD20F0"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55"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56F1" w:rsidRPr="00F956F1" w:rsidTr="00594C0F">
        <w:trPr>
          <w:cantSplit/>
        </w:trPr>
        <w:tc>
          <w:tcPr>
            <w:tcW w:w="1458" w:type="dxa"/>
          </w:tcPr>
          <w:p w:rsidR="00F956F1" w:rsidRPr="00F956F1" w:rsidRDefault="00F956F1" w:rsidP="00594C0F">
            <w:pPr>
              <w:rPr>
                <w:sz w:val="20"/>
                <w:szCs w:val="20"/>
              </w:rPr>
            </w:pPr>
            <w:r w:rsidRPr="00F956F1">
              <w:rPr>
                <w:rStyle w:val="SCCFileNumberChar"/>
                <w:sz w:val="20"/>
                <w:szCs w:val="20"/>
              </w:rPr>
              <w:t>34853</w:t>
            </w:r>
          </w:p>
          <w:p w:rsidR="00F956F1" w:rsidRPr="00F956F1" w:rsidRDefault="00F956F1" w:rsidP="00594C0F">
            <w:pPr>
              <w:rPr>
                <w:b/>
                <w:sz w:val="20"/>
                <w:szCs w:val="20"/>
                <w:lang w:val="fr-CA"/>
              </w:rPr>
            </w:pPr>
          </w:p>
        </w:tc>
        <w:tc>
          <w:tcPr>
            <w:tcW w:w="8118" w:type="dxa"/>
          </w:tcPr>
          <w:p w:rsidR="00F956F1" w:rsidRPr="00F956F1" w:rsidRDefault="00F956F1" w:rsidP="00594C0F">
            <w:pPr>
              <w:rPr>
                <w:sz w:val="20"/>
                <w:szCs w:val="20"/>
              </w:rPr>
            </w:pPr>
            <w:r w:rsidRPr="00F956F1">
              <w:rPr>
                <w:rStyle w:val="SCCLsocChar"/>
                <w:sz w:val="20"/>
                <w:szCs w:val="20"/>
                <w:lang w:val="en-CA"/>
              </w:rPr>
              <w:t>North Toronto Chinese Alliance Church v. Gartner Lee Limited</w:t>
            </w:r>
            <w:r w:rsidRPr="00F956F1">
              <w:rPr>
                <w:sz w:val="20"/>
                <w:szCs w:val="20"/>
              </w:rPr>
              <w:t xml:space="preserve"> (Ont.) (Civil) (By Leave)</w:t>
            </w:r>
          </w:p>
          <w:p w:rsidR="00F956F1" w:rsidRPr="00F956F1" w:rsidRDefault="00F956F1" w:rsidP="00594C0F">
            <w:pPr>
              <w:rPr>
                <w:sz w:val="20"/>
                <w:szCs w:val="20"/>
              </w:rPr>
            </w:pPr>
          </w:p>
        </w:tc>
      </w:tr>
      <w:tr w:rsidR="00F956F1" w:rsidRPr="00F956F1" w:rsidTr="00594C0F">
        <w:trPr>
          <w:cantSplit/>
        </w:trPr>
        <w:tc>
          <w:tcPr>
            <w:tcW w:w="1458" w:type="dxa"/>
          </w:tcPr>
          <w:p w:rsidR="00F956F1" w:rsidRPr="00F956F1" w:rsidRDefault="00F956F1" w:rsidP="00594C0F">
            <w:pPr>
              <w:rPr>
                <w:sz w:val="20"/>
                <w:szCs w:val="20"/>
              </w:rPr>
            </w:pPr>
            <w:r w:rsidRPr="00F956F1">
              <w:rPr>
                <w:sz w:val="20"/>
                <w:szCs w:val="20"/>
              </w:rPr>
              <w:t>Coram :</w:t>
            </w:r>
          </w:p>
        </w:tc>
        <w:tc>
          <w:tcPr>
            <w:tcW w:w="8118" w:type="dxa"/>
          </w:tcPr>
          <w:p w:rsidR="00F956F1" w:rsidRPr="00F956F1" w:rsidRDefault="00F956F1" w:rsidP="00594C0F">
            <w:pPr>
              <w:rPr>
                <w:sz w:val="20"/>
                <w:szCs w:val="20"/>
              </w:rPr>
            </w:pPr>
            <w:r w:rsidRPr="00F956F1">
              <w:rPr>
                <w:rStyle w:val="SCCCoramChar"/>
                <w:sz w:val="20"/>
                <w:szCs w:val="20"/>
                <w:lang w:val="en-CA"/>
              </w:rPr>
              <w:t>LeBel, Abella and Cromwell JJ.</w:t>
            </w:r>
          </w:p>
          <w:p w:rsidR="00F956F1" w:rsidRPr="00F956F1" w:rsidRDefault="00F956F1" w:rsidP="00594C0F">
            <w:pPr>
              <w:rPr>
                <w:sz w:val="20"/>
                <w:szCs w:val="20"/>
                <w:u w:val="single"/>
              </w:rPr>
            </w:pPr>
          </w:p>
        </w:tc>
      </w:tr>
      <w:tr w:rsidR="00F956F1" w:rsidRPr="003935EC" w:rsidTr="00594C0F">
        <w:trPr>
          <w:cantSplit/>
        </w:trPr>
        <w:tc>
          <w:tcPr>
            <w:tcW w:w="9576" w:type="dxa"/>
            <w:gridSpan w:val="2"/>
          </w:tcPr>
          <w:p w:rsidR="00F956F1" w:rsidRPr="00F956F1" w:rsidRDefault="00F956F1" w:rsidP="00594C0F">
            <w:pPr>
              <w:pStyle w:val="SCCShortJudgment"/>
              <w:rPr>
                <w:szCs w:val="20"/>
              </w:rPr>
            </w:pPr>
            <w:r w:rsidRPr="00F956F1">
              <w:rPr>
                <w:szCs w:val="20"/>
              </w:rPr>
              <w:t>The application for leave to appeal from the judgment of the Court of Appeal for Ontario, Number C54465, 2012 ONCA 251, dated April 2, 2012, is dismissed with costs.</w:t>
            </w:r>
          </w:p>
          <w:p w:rsidR="00F956F1" w:rsidRPr="00F956F1" w:rsidRDefault="00F956F1" w:rsidP="00594C0F">
            <w:pPr>
              <w:pStyle w:val="SCCShortJudgment"/>
              <w:ind w:firstLine="0"/>
              <w:rPr>
                <w:szCs w:val="20"/>
              </w:rPr>
            </w:pPr>
          </w:p>
          <w:p w:rsidR="00F956F1" w:rsidRPr="00F956F1" w:rsidRDefault="00F956F1" w:rsidP="00F956F1">
            <w:pPr>
              <w:pStyle w:val="SCCShortJudgment"/>
              <w:rPr>
                <w:szCs w:val="20"/>
                <w:lang w:val="fr-CA"/>
              </w:rPr>
            </w:pPr>
            <w:r w:rsidRPr="00F956F1">
              <w:rPr>
                <w:szCs w:val="20"/>
                <w:lang w:val="fr-CA"/>
              </w:rPr>
              <w:t>La demande d’autorisation d’appel de l’arrêt de la Cour d’appel de l’Ontario, numéro C54465, 2012 ONCA 251, daté du 2 avril 2012, est rejetée avec dépens.</w:t>
            </w:r>
          </w:p>
        </w:tc>
      </w:tr>
    </w:tbl>
    <w:p w:rsidR="005F361C" w:rsidRPr="00F956F1"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B759F" w:rsidRPr="00F056F0" w:rsidTr="00594C0F">
        <w:tc>
          <w:tcPr>
            <w:tcW w:w="5000" w:type="pct"/>
            <w:gridSpan w:val="3"/>
          </w:tcPr>
          <w:p w:rsidR="00DB759F" w:rsidRPr="00F056F0" w:rsidRDefault="00DB759F" w:rsidP="00594C0F">
            <w:pPr>
              <w:jc w:val="both"/>
              <w:rPr>
                <w:rFonts w:eastAsia="Calibri"/>
                <w:sz w:val="20"/>
              </w:rPr>
            </w:pPr>
            <w:r w:rsidRPr="00F056F0">
              <w:rPr>
                <w:rFonts w:eastAsia="Calibri"/>
                <w:sz w:val="20"/>
              </w:rPr>
              <w:t>Civil procedure — Dismissal for delay — Whether the courts below erred in law in giving insufficient weight to the fact that a fair trial could be had, and to the fact that there was no prejudice to a fair trial as a result of any delay — Whether the courts below made an error of mixed law and fact in finding that the Applicant had demonstrated disdain and disrespect to the court and to the parties; had behaved contemptibly and therefore was contumelious and deliberate in any delay.</w:t>
            </w:r>
          </w:p>
          <w:p w:rsidR="00DB759F" w:rsidRPr="00F056F0" w:rsidRDefault="00DB759F" w:rsidP="00594C0F">
            <w:pPr>
              <w:jc w:val="both"/>
              <w:rPr>
                <w:rFonts w:eastAsia="Calibri"/>
                <w:sz w:val="20"/>
              </w:rPr>
            </w:pPr>
          </w:p>
        </w:tc>
      </w:tr>
      <w:tr w:rsidR="00DB759F" w:rsidRPr="00F056F0" w:rsidTr="00594C0F">
        <w:tc>
          <w:tcPr>
            <w:tcW w:w="5000" w:type="pct"/>
            <w:gridSpan w:val="3"/>
          </w:tcPr>
          <w:p w:rsidR="00DB759F" w:rsidRPr="00F056F0" w:rsidRDefault="00DB759F" w:rsidP="00594C0F">
            <w:pPr>
              <w:jc w:val="both"/>
              <w:rPr>
                <w:rFonts w:eastAsia="Calibri"/>
                <w:sz w:val="20"/>
              </w:rPr>
            </w:pPr>
            <w:r w:rsidRPr="00F056F0">
              <w:rPr>
                <w:rFonts w:eastAsia="Calibri"/>
                <w:sz w:val="20"/>
              </w:rPr>
              <w:t>The Applicant, North Toronto Chinese Alliance Church (“the Church”) conditionally purchased a property in the Town of Richmond Hill on which to build a church.  The Respondent, Gartner Lee Limited (“Gartner Lee”), an engineering firm prepared a Phase 1 hydrological study dated March 17, 1995 for the Applicant.  The Church issued a statement of claim on July 6, 2001 alleging that the Gartner Lee’s report was negligently prepared and caused it to suffer damages by inducing it to complete the purchase.  The action was not set down for trial until April, 2010. Gartner Lee sought summary judgment on the basis that there was no genuine issue requiring a trial.  In the alternative, Gartner Lee sought an order dismissing the action for the Church’s unreasonable and unexplained delay in bringing the case to trial.  The motion was returnable in October, 2010 but was not heard until September, 2011.  The Superior Court of Justice granted the alternative relief and dismissed the action.  The Court of Appeal upheld this decision, dismissing the Church’s appeal.</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t>September 9, 2011</w:t>
            </w:r>
          </w:p>
          <w:p w:rsidR="00DB759F" w:rsidRPr="00F056F0" w:rsidRDefault="00DB759F" w:rsidP="00594C0F">
            <w:pPr>
              <w:jc w:val="both"/>
              <w:rPr>
                <w:rFonts w:eastAsia="Calibri"/>
                <w:sz w:val="20"/>
              </w:rPr>
            </w:pPr>
            <w:r w:rsidRPr="00F056F0">
              <w:rPr>
                <w:rFonts w:eastAsia="Calibri"/>
                <w:sz w:val="20"/>
              </w:rPr>
              <w:t>Ontario Superior Court of Justice</w:t>
            </w:r>
          </w:p>
          <w:p w:rsidR="00DB759F" w:rsidRPr="00F056F0" w:rsidRDefault="00DB759F" w:rsidP="00594C0F">
            <w:pPr>
              <w:jc w:val="both"/>
              <w:rPr>
                <w:rFonts w:eastAsia="Calibri"/>
                <w:sz w:val="20"/>
              </w:rPr>
            </w:pPr>
            <w:r w:rsidRPr="00F056F0">
              <w:rPr>
                <w:rFonts w:eastAsia="Calibri"/>
                <w:sz w:val="20"/>
              </w:rPr>
              <w:t>(Lauwers J.)</w:t>
            </w:r>
          </w:p>
          <w:p w:rsidR="00DB759F" w:rsidRPr="00F056F0" w:rsidRDefault="00DB759F" w:rsidP="00594C0F">
            <w:pPr>
              <w:jc w:val="both"/>
              <w:rPr>
                <w:rFonts w:eastAsia="Calibri"/>
                <w:sz w:val="20"/>
              </w:rPr>
            </w:pPr>
            <w:r w:rsidRPr="00F056F0">
              <w:rPr>
                <w:rFonts w:eastAsia="Calibri"/>
                <w:sz w:val="20"/>
              </w:rPr>
              <w:t>2011 ONSC 4526</w:t>
            </w:r>
          </w:p>
          <w:p w:rsidR="00DB759F" w:rsidRPr="00F056F0" w:rsidRDefault="00DB759F" w:rsidP="00594C0F">
            <w:pPr>
              <w:jc w:val="both"/>
              <w:rPr>
                <w:rFonts w:eastAsia="Calibri"/>
                <w:sz w:val="20"/>
              </w:rPr>
            </w:pP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Action dismissed</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t>April 2, 2012</w:t>
            </w:r>
          </w:p>
          <w:p w:rsidR="00DB759F" w:rsidRPr="00F056F0" w:rsidRDefault="00DB759F" w:rsidP="00594C0F">
            <w:pPr>
              <w:jc w:val="both"/>
              <w:rPr>
                <w:rFonts w:eastAsia="Calibri"/>
                <w:sz w:val="20"/>
              </w:rPr>
            </w:pPr>
            <w:r w:rsidRPr="00F056F0">
              <w:rPr>
                <w:rFonts w:eastAsia="Calibri"/>
                <w:sz w:val="20"/>
              </w:rPr>
              <w:t>Court of Appeal for Ontario</w:t>
            </w:r>
          </w:p>
          <w:p w:rsidR="00DB759F" w:rsidRPr="00F056F0" w:rsidRDefault="00DB759F" w:rsidP="00594C0F">
            <w:pPr>
              <w:jc w:val="both"/>
              <w:rPr>
                <w:rFonts w:eastAsia="Calibri"/>
                <w:sz w:val="20"/>
              </w:rPr>
            </w:pPr>
            <w:r w:rsidRPr="00F056F0">
              <w:rPr>
                <w:rFonts w:eastAsia="Calibri"/>
                <w:sz w:val="20"/>
              </w:rPr>
              <w:t>(MacPherson, Lang and Epstein JJ.A.)</w:t>
            </w:r>
          </w:p>
          <w:p w:rsidR="00DB759F" w:rsidRPr="00F056F0" w:rsidRDefault="00DB759F" w:rsidP="00594C0F">
            <w:pPr>
              <w:jc w:val="both"/>
              <w:rPr>
                <w:rFonts w:eastAsia="Calibri"/>
                <w:sz w:val="20"/>
              </w:rPr>
            </w:pPr>
            <w:r w:rsidRPr="00F056F0">
              <w:rPr>
                <w:rFonts w:eastAsia="Calibri"/>
                <w:sz w:val="20"/>
              </w:rPr>
              <w:t>2012 ONCA 251; C54465</w:t>
            </w:r>
          </w:p>
          <w:p w:rsidR="00DB759F" w:rsidRPr="00F056F0" w:rsidRDefault="00DB759F" w:rsidP="00594C0F">
            <w:pPr>
              <w:jc w:val="both"/>
              <w:rPr>
                <w:rFonts w:eastAsia="Calibri"/>
                <w:sz w:val="20"/>
              </w:rPr>
            </w:pP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Appeal dismissed</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t>May 30, 2012</w:t>
            </w:r>
          </w:p>
          <w:p w:rsidR="00DB759F" w:rsidRPr="00F056F0" w:rsidRDefault="00DB759F" w:rsidP="00594C0F">
            <w:pPr>
              <w:jc w:val="both"/>
              <w:rPr>
                <w:rFonts w:eastAsia="Calibri"/>
                <w:sz w:val="20"/>
              </w:rPr>
            </w:pPr>
            <w:r w:rsidRPr="00F056F0">
              <w:rPr>
                <w:rFonts w:eastAsia="Calibri"/>
                <w:sz w:val="20"/>
              </w:rPr>
              <w:t>Supreme Court of Canada</w:t>
            </w: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Application for leave to appeal filed</w:t>
            </w:r>
          </w:p>
          <w:p w:rsidR="00DB759F" w:rsidRPr="00F056F0" w:rsidRDefault="00DB759F"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56"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B759F" w:rsidRPr="003935EC" w:rsidTr="00594C0F">
        <w:tc>
          <w:tcPr>
            <w:tcW w:w="5000" w:type="pct"/>
            <w:gridSpan w:val="3"/>
          </w:tcPr>
          <w:p w:rsidR="00DB759F" w:rsidRPr="00F056F0" w:rsidRDefault="00DB759F" w:rsidP="00594C0F">
            <w:pPr>
              <w:jc w:val="both"/>
              <w:rPr>
                <w:rFonts w:eastAsia="Calibri"/>
                <w:sz w:val="20"/>
                <w:lang w:val="fr-CA"/>
              </w:rPr>
            </w:pPr>
            <w:r w:rsidRPr="00F056F0">
              <w:rPr>
                <w:rFonts w:eastAsia="Calibri"/>
                <w:sz w:val="20"/>
                <w:lang w:val="fr-CA"/>
              </w:rPr>
              <w:t xml:space="preserve">Procédure civile — Rejet pour cause de retard — Les juridictions inférieures ont-elles commis une erreur de droit en n’accordant pas suffisamment d’importance au fait qu’un procès équitable était possible et qu’un retard, le cas échéant, ne faisait pas obstacle à la tenue d’un procès équitable? — Les juridictions inférieures ont-elles commis une </w:t>
            </w:r>
            <w:r w:rsidRPr="00F056F0">
              <w:rPr>
                <w:rFonts w:eastAsia="Calibri"/>
                <w:sz w:val="20"/>
                <w:lang w:val="fr-CA"/>
              </w:rPr>
              <w:lastRenderedPageBreak/>
              <w:t>erreur mixte de doit et de fait en concluant que la demanderesse avait fait preuve de dédain et d’irrespect envers le tribunal et les parties, qu’elle avait agi de façon méprisante, si bien que le retard avait été délibéré et attribuable à la désobéissance?</w:t>
            </w:r>
          </w:p>
          <w:p w:rsidR="00DB759F" w:rsidRPr="00F056F0" w:rsidRDefault="00DB759F" w:rsidP="00594C0F">
            <w:pPr>
              <w:jc w:val="both"/>
              <w:rPr>
                <w:rFonts w:eastAsia="Calibri"/>
                <w:sz w:val="20"/>
                <w:lang w:val="fr-CA"/>
              </w:rPr>
            </w:pPr>
          </w:p>
        </w:tc>
      </w:tr>
      <w:tr w:rsidR="00DB759F" w:rsidRPr="003935EC" w:rsidTr="00594C0F">
        <w:tc>
          <w:tcPr>
            <w:tcW w:w="5000" w:type="pct"/>
            <w:gridSpan w:val="3"/>
          </w:tcPr>
          <w:p w:rsidR="00DB759F" w:rsidRPr="00F056F0" w:rsidRDefault="00DB759F" w:rsidP="00594C0F">
            <w:pPr>
              <w:jc w:val="both"/>
              <w:rPr>
                <w:rFonts w:eastAsia="Calibri"/>
                <w:sz w:val="20"/>
                <w:lang w:val="fr-CA"/>
              </w:rPr>
            </w:pPr>
            <w:r w:rsidRPr="00F056F0">
              <w:rPr>
                <w:rFonts w:eastAsia="Calibri"/>
                <w:sz w:val="20"/>
                <w:lang w:val="fr-CA"/>
              </w:rPr>
              <w:lastRenderedPageBreak/>
              <w:t>La demanderesse, North Toronto Chinese Alliance Church (l’« Église ») a acheté conditionnellement un terrain dans la municipalité de Richmond Hill pour y construire une église.  L’intimée, Gartner Lee Limited (« Gartner Lee »), une firme d’ingénierie, a réalisé pour la demanderesse une étude hydrologique de Phase 1, datée du 17 mars 1995.  L’Église a produit une déclaration le 6 juillet 2001, alléguant que le rapport de Gartner Lee avait été réalisé de façon négligente et lui avait causé un préjudice en l’incitant à conclure l’achat.  L’action n’a été inscrite au rôle qu’en avril 2010.  Gartner Lee a demandé un jugement sommaire, plaidant qu’il n’y avait aucune véritable question litigieuse.  À titre subsidiaire, Gartner Lee a demandé une ordonnance rejetant l’action en raison du retard déraisonnable et inexpliqué de l’Église à l’avoir inscrite au rôle.  La requête était présentable en octobre 2010, mais elle n’a été entendue qu’en septembre 2011.  La Cour supérieure de justice a accordé la réparation demandée à titre subsidiaire et a rejeté l’action.  La Cour d’appel a confirmé cette décision, rejetant l’appel de l’Église.</w:t>
            </w:r>
          </w:p>
          <w:p w:rsidR="00DB759F" w:rsidRPr="00F056F0" w:rsidRDefault="00DB759F" w:rsidP="00594C0F">
            <w:pPr>
              <w:jc w:val="both"/>
              <w:rPr>
                <w:rFonts w:eastAsia="Calibri"/>
                <w:sz w:val="20"/>
                <w:lang w:val="fr-CA"/>
              </w:rPr>
            </w:pPr>
          </w:p>
        </w:tc>
      </w:tr>
      <w:tr w:rsidR="00DB759F" w:rsidRPr="00F056F0" w:rsidTr="00594C0F">
        <w:tc>
          <w:tcPr>
            <w:tcW w:w="2427" w:type="pct"/>
          </w:tcPr>
          <w:p w:rsidR="00DB759F" w:rsidRPr="00F056F0" w:rsidRDefault="00DB759F" w:rsidP="00594C0F">
            <w:pPr>
              <w:jc w:val="both"/>
              <w:rPr>
                <w:rFonts w:eastAsia="Calibri"/>
                <w:sz w:val="20"/>
                <w:lang w:val="fr-CA"/>
              </w:rPr>
            </w:pPr>
            <w:r w:rsidRPr="00F056F0">
              <w:rPr>
                <w:rFonts w:eastAsia="Calibri"/>
                <w:sz w:val="20"/>
                <w:lang w:val="fr-CA"/>
              </w:rPr>
              <w:t>9 septembre 2011</w:t>
            </w:r>
          </w:p>
          <w:p w:rsidR="00DB759F" w:rsidRPr="00F056F0" w:rsidRDefault="00DB759F" w:rsidP="00594C0F">
            <w:pPr>
              <w:jc w:val="both"/>
              <w:rPr>
                <w:rFonts w:eastAsia="Calibri"/>
                <w:sz w:val="20"/>
                <w:lang w:val="fr-CA"/>
              </w:rPr>
            </w:pPr>
            <w:r w:rsidRPr="00F056F0">
              <w:rPr>
                <w:rFonts w:eastAsia="Calibri"/>
                <w:sz w:val="20"/>
                <w:lang w:val="fr-CA"/>
              </w:rPr>
              <w:t>Cour supérieure de justice de l’Ontario</w:t>
            </w:r>
          </w:p>
          <w:p w:rsidR="00DB759F" w:rsidRPr="00F056F0" w:rsidRDefault="00DB759F" w:rsidP="00594C0F">
            <w:pPr>
              <w:jc w:val="both"/>
              <w:rPr>
                <w:rFonts w:eastAsia="Calibri"/>
                <w:sz w:val="20"/>
                <w:lang w:val="fr-CA"/>
              </w:rPr>
            </w:pPr>
            <w:r w:rsidRPr="00F056F0">
              <w:rPr>
                <w:rFonts w:eastAsia="Calibri"/>
                <w:sz w:val="20"/>
                <w:lang w:val="fr-CA"/>
              </w:rPr>
              <w:t>(Juge Lauwers)</w:t>
            </w:r>
          </w:p>
          <w:p w:rsidR="00DB759F" w:rsidRPr="00F056F0" w:rsidRDefault="00DB759F" w:rsidP="00594C0F">
            <w:pPr>
              <w:jc w:val="both"/>
              <w:rPr>
                <w:rFonts w:eastAsia="Calibri"/>
                <w:sz w:val="20"/>
                <w:lang w:val="fr-CA"/>
              </w:rPr>
            </w:pPr>
            <w:r w:rsidRPr="00F056F0">
              <w:rPr>
                <w:rFonts w:eastAsia="Calibri"/>
                <w:sz w:val="20"/>
                <w:lang w:val="fr-CA"/>
              </w:rPr>
              <w:t>2011 ONSC 4526</w:t>
            </w:r>
          </w:p>
          <w:p w:rsidR="00DB759F" w:rsidRPr="00F056F0" w:rsidRDefault="00DB759F" w:rsidP="00594C0F">
            <w:pPr>
              <w:jc w:val="both"/>
              <w:rPr>
                <w:rFonts w:eastAsia="Calibri"/>
                <w:sz w:val="20"/>
                <w:lang w:val="fr-CA"/>
              </w:rPr>
            </w:pP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Action rejetée</w:t>
            </w:r>
          </w:p>
          <w:p w:rsidR="00DB759F" w:rsidRPr="00F056F0" w:rsidRDefault="00DB759F" w:rsidP="00594C0F">
            <w:pPr>
              <w:jc w:val="both"/>
              <w:rPr>
                <w:rFonts w:eastAsia="Calibri"/>
                <w:sz w:val="20"/>
                <w:lang w:val="fr-CA"/>
              </w:rPr>
            </w:pPr>
          </w:p>
        </w:tc>
      </w:tr>
      <w:tr w:rsidR="00DB759F" w:rsidRPr="00F056F0" w:rsidTr="00594C0F">
        <w:tc>
          <w:tcPr>
            <w:tcW w:w="2427" w:type="pct"/>
          </w:tcPr>
          <w:p w:rsidR="00DB759F" w:rsidRPr="00F056F0" w:rsidRDefault="00DB759F" w:rsidP="00594C0F">
            <w:pPr>
              <w:jc w:val="both"/>
              <w:rPr>
                <w:rFonts w:eastAsia="Calibri"/>
                <w:sz w:val="20"/>
                <w:lang w:val="fr-CA"/>
              </w:rPr>
            </w:pPr>
            <w:r w:rsidRPr="00F056F0">
              <w:rPr>
                <w:rFonts w:eastAsia="Calibri"/>
                <w:sz w:val="20"/>
                <w:lang w:val="fr-CA"/>
              </w:rPr>
              <w:t>2 avril 2012</w:t>
            </w:r>
          </w:p>
          <w:p w:rsidR="00DB759F" w:rsidRPr="00F056F0" w:rsidRDefault="00DB759F" w:rsidP="00594C0F">
            <w:pPr>
              <w:jc w:val="both"/>
              <w:rPr>
                <w:rFonts w:eastAsia="Calibri"/>
                <w:sz w:val="20"/>
                <w:lang w:val="fr-CA"/>
              </w:rPr>
            </w:pPr>
            <w:r w:rsidRPr="00F056F0">
              <w:rPr>
                <w:rFonts w:eastAsia="Calibri"/>
                <w:sz w:val="20"/>
                <w:lang w:val="fr-CA"/>
              </w:rPr>
              <w:t>Cour d’appel de l’Ontario</w:t>
            </w:r>
          </w:p>
          <w:p w:rsidR="00DB759F" w:rsidRPr="00F056F0" w:rsidRDefault="00DB759F" w:rsidP="00594C0F">
            <w:pPr>
              <w:jc w:val="both"/>
              <w:rPr>
                <w:rFonts w:eastAsia="Calibri"/>
                <w:sz w:val="20"/>
                <w:lang w:val="fr-CA"/>
              </w:rPr>
            </w:pPr>
            <w:r w:rsidRPr="00F056F0">
              <w:rPr>
                <w:rFonts w:eastAsia="Calibri"/>
                <w:sz w:val="20"/>
                <w:lang w:val="fr-CA"/>
              </w:rPr>
              <w:t>(Juges MacPherson, Lang et Epstein)</w:t>
            </w:r>
          </w:p>
          <w:p w:rsidR="00DB759F" w:rsidRPr="00F056F0" w:rsidRDefault="00DB759F" w:rsidP="00594C0F">
            <w:pPr>
              <w:jc w:val="both"/>
              <w:rPr>
                <w:rFonts w:eastAsia="Calibri"/>
                <w:sz w:val="20"/>
                <w:lang w:val="fr-CA"/>
              </w:rPr>
            </w:pPr>
            <w:r w:rsidRPr="00F056F0">
              <w:rPr>
                <w:rFonts w:eastAsia="Calibri"/>
                <w:sz w:val="20"/>
                <w:lang w:val="fr-CA"/>
              </w:rPr>
              <w:t>2012 ONCA 251; C54465</w:t>
            </w:r>
          </w:p>
          <w:p w:rsidR="00DB759F" w:rsidRPr="00F056F0" w:rsidRDefault="00DB759F" w:rsidP="00594C0F">
            <w:pPr>
              <w:jc w:val="both"/>
              <w:rPr>
                <w:rFonts w:eastAsia="Calibri"/>
                <w:sz w:val="20"/>
                <w:lang w:val="fr-CA"/>
              </w:rPr>
            </w:pP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Appel rejeté</w:t>
            </w:r>
          </w:p>
          <w:p w:rsidR="00DB759F" w:rsidRPr="00F056F0" w:rsidRDefault="00DB759F" w:rsidP="00594C0F">
            <w:pPr>
              <w:jc w:val="both"/>
              <w:rPr>
                <w:rFonts w:eastAsia="Calibri"/>
                <w:sz w:val="20"/>
                <w:lang w:val="fr-CA"/>
              </w:rPr>
            </w:pPr>
          </w:p>
        </w:tc>
      </w:tr>
      <w:tr w:rsidR="00DB759F" w:rsidRPr="00F056F0" w:rsidTr="00594C0F">
        <w:tc>
          <w:tcPr>
            <w:tcW w:w="2427" w:type="pct"/>
          </w:tcPr>
          <w:p w:rsidR="00DB759F" w:rsidRPr="00F056F0" w:rsidRDefault="00DB759F" w:rsidP="00594C0F">
            <w:pPr>
              <w:jc w:val="both"/>
              <w:rPr>
                <w:rFonts w:eastAsia="Calibri"/>
                <w:sz w:val="20"/>
                <w:lang w:val="fr-CA"/>
              </w:rPr>
            </w:pPr>
            <w:r w:rsidRPr="00F056F0">
              <w:rPr>
                <w:rFonts w:eastAsia="Calibri"/>
                <w:sz w:val="20"/>
                <w:lang w:val="fr-CA"/>
              </w:rPr>
              <w:t>30 mai 2012</w:t>
            </w:r>
          </w:p>
          <w:p w:rsidR="00DB759F" w:rsidRPr="00F056F0" w:rsidRDefault="00DB759F" w:rsidP="00594C0F">
            <w:pPr>
              <w:jc w:val="both"/>
              <w:rPr>
                <w:rFonts w:eastAsia="Calibri"/>
                <w:sz w:val="20"/>
                <w:lang w:val="fr-CA"/>
              </w:rPr>
            </w:pPr>
            <w:r w:rsidRPr="00F056F0">
              <w:rPr>
                <w:rFonts w:eastAsia="Calibri"/>
                <w:sz w:val="20"/>
                <w:lang w:val="fr-CA"/>
              </w:rPr>
              <w:t>Cour suprême du Canada</w:t>
            </w: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Demande d’autorisation d’appel, déposée</w:t>
            </w:r>
          </w:p>
          <w:p w:rsidR="00DB759F" w:rsidRPr="00F056F0" w:rsidRDefault="00DB759F"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57"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1E96" w:rsidRPr="00AF7C00" w:rsidTr="00594C0F">
        <w:trPr>
          <w:cantSplit/>
        </w:trPr>
        <w:tc>
          <w:tcPr>
            <w:tcW w:w="1458" w:type="dxa"/>
          </w:tcPr>
          <w:p w:rsidR="002B1E96" w:rsidRPr="00AF7C00" w:rsidRDefault="002B1E96" w:rsidP="00594C0F">
            <w:pPr>
              <w:rPr>
                <w:sz w:val="20"/>
                <w:szCs w:val="20"/>
              </w:rPr>
            </w:pPr>
            <w:r w:rsidRPr="00AF7C00">
              <w:rPr>
                <w:rStyle w:val="SCCFileNumberChar"/>
                <w:sz w:val="20"/>
                <w:szCs w:val="20"/>
              </w:rPr>
              <w:t>34855</w:t>
            </w:r>
          </w:p>
          <w:p w:rsidR="002B1E96" w:rsidRPr="00AF7C00" w:rsidRDefault="002B1E96" w:rsidP="00594C0F">
            <w:pPr>
              <w:rPr>
                <w:b/>
                <w:sz w:val="20"/>
                <w:szCs w:val="20"/>
                <w:lang w:val="fr-CA"/>
              </w:rPr>
            </w:pPr>
          </w:p>
        </w:tc>
        <w:tc>
          <w:tcPr>
            <w:tcW w:w="8118" w:type="dxa"/>
          </w:tcPr>
          <w:p w:rsidR="002B1E96" w:rsidRPr="00AF7C00" w:rsidRDefault="002B1E96" w:rsidP="00594C0F">
            <w:pPr>
              <w:jc w:val="both"/>
              <w:rPr>
                <w:sz w:val="20"/>
                <w:szCs w:val="20"/>
              </w:rPr>
            </w:pPr>
            <w:r w:rsidRPr="00AF7C00">
              <w:rPr>
                <w:rStyle w:val="SCCLsocChar"/>
                <w:sz w:val="20"/>
                <w:szCs w:val="20"/>
                <w:lang w:val="en-CA"/>
              </w:rPr>
              <w:t>Tri-Link Consultants Inc.</w:t>
            </w:r>
            <w:r>
              <w:rPr>
                <w:rStyle w:val="SCCLsocChar"/>
                <w:sz w:val="20"/>
                <w:szCs w:val="20"/>
                <w:lang w:val="en-CA"/>
              </w:rPr>
              <w:t xml:space="preserve"> and</w:t>
            </w:r>
            <w:r w:rsidRPr="00AF7C00">
              <w:rPr>
                <w:rStyle w:val="SCCLsocChar"/>
                <w:sz w:val="20"/>
                <w:szCs w:val="20"/>
                <w:lang w:val="en-CA"/>
              </w:rPr>
              <w:t xml:space="preserve"> Klaus Link v. Saskatchewan Financial Services Commission</w:t>
            </w:r>
            <w:r w:rsidRPr="00AF7C00">
              <w:rPr>
                <w:sz w:val="20"/>
                <w:szCs w:val="20"/>
              </w:rPr>
              <w:t xml:space="preserve"> (Sask.) (Civil) (By Leave)</w:t>
            </w:r>
          </w:p>
          <w:p w:rsidR="002B1E96" w:rsidRPr="00AF7C00" w:rsidRDefault="002B1E96" w:rsidP="00594C0F">
            <w:pPr>
              <w:rPr>
                <w:sz w:val="20"/>
                <w:szCs w:val="20"/>
              </w:rPr>
            </w:pPr>
          </w:p>
        </w:tc>
      </w:tr>
      <w:tr w:rsidR="002B1E96" w:rsidRPr="00AF7C00" w:rsidTr="00594C0F">
        <w:trPr>
          <w:cantSplit/>
        </w:trPr>
        <w:tc>
          <w:tcPr>
            <w:tcW w:w="1458" w:type="dxa"/>
          </w:tcPr>
          <w:p w:rsidR="002B1E96" w:rsidRPr="00AF7C00" w:rsidRDefault="002B1E96" w:rsidP="00594C0F">
            <w:pPr>
              <w:rPr>
                <w:sz w:val="20"/>
                <w:szCs w:val="20"/>
              </w:rPr>
            </w:pPr>
            <w:r w:rsidRPr="00AF7C00">
              <w:rPr>
                <w:sz w:val="20"/>
                <w:szCs w:val="20"/>
              </w:rPr>
              <w:t>Coram :</w:t>
            </w:r>
          </w:p>
        </w:tc>
        <w:tc>
          <w:tcPr>
            <w:tcW w:w="8118" w:type="dxa"/>
          </w:tcPr>
          <w:p w:rsidR="002B1E96" w:rsidRPr="00AF7C00" w:rsidRDefault="002B1E96" w:rsidP="00594C0F">
            <w:pPr>
              <w:rPr>
                <w:sz w:val="20"/>
                <w:szCs w:val="20"/>
              </w:rPr>
            </w:pPr>
            <w:r w:rsidRPr="00AF7C00">
              <w:rPr>
                <w:rStyle w:val="SCCCoramChar"/>
                <w:sz w:val="20"/>
                <w:szCs w:val="20"/>
                <w:lang w:val="en-CA"/>
              </w:rPr>
              <w:t>McLachlin C.J. and Rothstein and Moldaver JJ.</w:t>
            </w:r>
          </w:p>
          <w:p w:rsidR="002B1E96" w:rsidRPr="00AF7C00" w:rsidRDefault="002B1E96" w:rsidP="00594C0F">
            <w:pPr>
              <w:rPr>
                <w:sz w:val="20"/>
                <w:szCs w:val="20"/>
                <w:u w:val="single"/>
              </w:rPr>
            </w:pPr>
          </w:p>
        </w:tc>
      </w:tr>
      <w:tr w:rsidR="002B1E96" w:rsidRPr="003935EC" w:rsidTr="00594C0F">
        <w:trPr>
          <w:cantSplit/>
        </w:trPr>
        <w:tc>
          <w:tcPr>
            <w:tcW w:w="9576" w:type="dxa"/>
            <w:gridSpan w:val="2"/>
          </w:tcPr>
          <w:p w:rsidR="002B1E96" w:rsidRPr="00AF7C00" w:rsidRDefault="002B1E96" w:rsidP="00594C0F">
            <w:pPr>
              <w:pStyle w:val="SCCShortJudgment"/>
              <w:rPr>
                <w:szCs w:val="20"/>
              </w:rPr>
            </w:pPr>
            <w:r w:rsidRPr="00AF7C00">
              <w:rPr>
                <w:szCs w:val="20"/>
              </w:rPr>
              <w:t>The application for leave to appeal from the judgment of the Court of Appeal for Saskatchewan, Number 1774, 2012 SKCA 41, dated April 4, 2012, is dismissed with costs.</w:t>
            </w:r>
          </w:p>
          <w:p w:rsidR="002B1E96" w:rsidRPr="00AF7C00" w:rsidRDefault="002B1E96" w:rsidP="00594C0F">
            <w:pPr>
              <w:pStyle w:val="SCCShortJudgment"/>
              <w:ind w:firstLine="0"/>
              <w:rPr>
                <w:szCs w:val="20"/>
              </w:rPr>
            </w:pPr>
          </w:p>
          <w:p w:rsidR="002B1E96" w:rsidRPr="00AF7C00" w:rsidRDefault="002B1E96" w:rsidP="00594C0F">
            <w:pPr>
              <w:pStyle w:val="SCCShortJudgment"/>
              <w:rPr>
                <w:szCs w:val="20"/>
                <w:lang w:val="fr-CA"/>
              </w:rPr>
            </w:pPr>
            <w:r w:rsidRPr="00AF7C00">
              <w:rPr>
                <w:szCs w:val="20"/>
                <w:lang w:val="fr-CA"/>
              </w:rPr>
              <w:t>La demande d’autorisation d’appel de l’arrêt de la Cour d’appel de la Saskatchewan, numéro 1774, 2012 SKCA 41, daté du 4 avril 2012, est rejetée avec dépens.</w:t>
            </w:r>
          </w:p>
        </w:tc>
      </w:tr>
    </w:tbl>
    <w:p w:rsidR="005F361C" w:rsidRPr="002B1E96"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B759F" w:rsidRPr="00F056F0" w:rsidTr="00594C0F">
        <w:tc>
          <w:tcPr>
            <w:tcW w:w="5000" w:type="pct"/>
            <w:gridSpan w:val="3"/>
          </w:tcPr>
          <w:p w:rsidR="00DB759F" w:rsidRPr="00F056F0" w:rsidRDefault="00DB759F" w:rsidP="00594C0F">
            <w:pPr>
              <w:jc w:val="both"/>
              <w:rPr>
                <w:rFonts w:eastAsia="Calibri"/>
                <w:sz w:val="20"/>
              </w:rPr>
            </w:pPr>
            <w:r w:rsidRPr="00F056F0">
              <w:rPr>
                <w:rFonts w:eastAsia="Calibri"/>
                <w:sz w:val="20"/>
              </w:rPr>
              <w:t>Administrative law — Boards and tribunals — Natural justice — Counsel for applicants withdrawing from retainer prior to hearing — Whether Commission erred by proceeding with the hearing immediately after counsel withdrew without determining whether counsel should be permitted to withdraw — Whether Commission acted contrary to the rules of natural justice by proceeding when the applicants did not have legal counsel</w:t>
            </w:r>
          </w:p>
        </w:tc>
      </w:tr>
      <w:tr w:rsidR="00DB759F" w:rsidRPr="00F056F0" w:rsidTr="00594C0F">
        <w:tc>
          <w:tcPr>
            <w:tcW w:w="5000" w:type="pct"/>
            <w:gridSpan w:val="3"/>
          </w:tcPr>
          <w:p w:rsidR="00DB759F" w:rsidRPr="00F056F0" w:rsidRDefault="00DB759F" w:rsidP="00594C0F">
            <w:pPr>
              <w:jc w:val="both"/>
              <w:rPr>
                <w:rFonts w:eastAsia="Calibri"/>
                <w:sz w:val="20"/>
              </w:rPr>
            </w:pPr>
          </w:p>
        </w:tc>
      </w:tr>
      <w:tr w:rsidR="00DB759F" w:rsidRPr="00F056F0" w:rsidTr="00594C0F">
        <w:tc>
          <w:tcPr>
            <w:tcW w:w="5000" w:type="pct"/>
            <w:gridSpan w:val="3"/>
          </w:tcPr>
          <w:p w:rsidR="00DB759F" w:rsidRPr="00F056F0" w:rsidRDefault="00DB759F" w:rsidP="00594C0F">
            <w:pPr>
              <w:jc w:val="both"/>
              <w:rPr>
                <w:rFonts w:eastAsia="Calibri"/>
                <w:color w:val="000000"/>
                <w:sz w:val="20"/>
              </w:rPr>
            </w:pPr>
            <w:r w:rsidRPr="00F056F0">
              <w:rPr>
                <w:rFonts w:eastAsia="Calibri"/>
                <w:color w:val="000000"/>
                <w:sz w:val="20"/>
              </w:rPr>
              <w:t>The applicants, Tri</w:t>
            </w:r>
            <w:r w:rsidRPr="00F056F0">
              <w:rPr>
                <w:rFonts w:eastAsia="Calibri"/>
                <w:color w:val="000000"/>
                <w:sz w:val="20"/>
              </w:rPr>
              <w:noBreakHyphen/>
              <w:t xml:space="preserve">Link Consultants Inc. and Klaus Link, were served with a Notice of Hearing pursuant to the </w:t>
            </w:r>
            <w:r w:rsidRPr="00F056F0">
              <w:rPr>
                <w:rFonts w:eastAsia="Calibri"/>
                <w:i/>
                <w:color w:val="000000"/>
                <w:sz w:val="20"/>
              </w:rPr>
              <w:lastRenderedPageBreak/>
              <w:t>Securities Act, 1988</w:t>
            </w:r>
            <w:r w:rsidRPr="00F056F0">
              <w:rPr>
                <w:rFonts w:eastAsia="Calibri"/>
                <w:color w:val="000000"/>
                <w:sz w:val="20"/>
              </w:rPr>
              <w:t>, S.S. 1988</w:t>
            </w:r>
            <w:r w:rsidRPr="00F056F0">
              <w:rPr>
                <w:rFonts w:eastAsia="Calibri"/>
                <w:color w:val="000000"/>
                <w:sz w:val="20"/>
              </w:rPr>
              <w:noBreakHyphen/>
              <w:t>89, c. S</w:t>
            </w:r>
            <w:r w:rsidRPr="00F056F0">
              <w:rPr>
                <w:rFonts w:eastAsia="Calibri"/>
                <w:color w:val="000000"/>
                <w:sz w:val="20"/>
              </w:rPr>
              <w:noBreakHyphen/>
              <w:t>42.2, alleging that they had violated provisions of the Act.  In 2008, prior to the hearing, their counsel endorsed his consent to an agreed statement of facts and allegations filed that acknowledged that the applicants failed to act honestly, fairly and in good faith toward their clients.  A hearing was scheduled concerning compensation for investors who lost money as a result of the applicants' conduct.  Three days prior to the hearing, counsel for the applicants withdrew as counsel of record.  At the hearing, Mr. Link appeared in person, giving evidence on behalf of the applicants and making submissions before the Commission.  The Commission ruled that the applicants had contravened the Act, issued a permanent ban on trading, and ordered payment of compensation for losses suffered by investors of more than $1,200,000, plus administrative penalties and costs.  On appeal, the applicants submitted that the Commission erred in permitting counsel to withdraw without leave, erred in proceeding with the hearing after counsel had withdrawn, and acted contrary to rules of natural justice by proceeding when the applicants did not have legal counsel.</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lastRenderedPageBreak/>
              <w:t>April 21, 2009</w:t>
            </w:r>
          </w:p>
          <w:p w:rsidR="00DB759F" w:rsidRPr="00F056F0" w:rsidRDefault="00DB759F" w:rsidP="00594C0F">
            <w:pPr>
              <w:jc w:val="both"/>
              <w:rPr>
                <w:rFonts w:eastAsia="Calibri"/>
                <w:sz w:val="20"/>
              </w:rPr>
            </w:pPr>
            <w:r w:rsidRPr="00F056F0">
              <w:rPr>
                <w:rFonts w:eastAsia="Calibri"/>
                <w:sz w:val="20"/>
              </w:rPr>
              <w:t>Saskatchewan Financial Services Commission</w:t>
            </w:r>
          </w:p>
          <w:p w:rsidR="00DB759F" w:rsidRPr="00F056F0" w:rsidRDefault="00DB759F" w:rsidP="00594C0F">
            <w:pPr>
              <w:jc w:val="both"/>
              <w:rPr>
                <w:rFonts w:eastAsia="Calibri"/>
                <w:sz w:val="20"/>
              </w:rPr>
            </w:pPr>
            <w:r w:rsidRPr="00F056F0">
              <w:rPr>
                <w:rFonts w:eastAsia="Calibri"/>
                <w:sz w:val="20"/>
              </w:rPr>
              <w:t>(Ready, Hillmer and Reidy, Commissioners)</w:t>
            </w:r>
          </w:p>
          <w:p w:rsidR="00DB759F" w:rsidRPr="00F056F0" w:rsidRDefault="00DB759F" w:rsidP="00594C0F">
            <w:pPr>
              <w:jc w:val="both"/>
              <w:rPr>
                <w:rFonts w:eastAsia="Calibri"/>
                <w:sz w:val="20"/>
              </w:rPr>
            </w:pP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Applicants ordered to cease advising and trading in all securities and exchange contracts and to pay financial compensation to investors</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t>April 4, 2012</w:t>
            </w:r>
          </w:p>
          <w:p w:rsidR="00DB759F" w:rsidRPr="00F056F0" w:rsidRDefault="00DB759F" w:rsidP="00594C0F">
            <w:pPr>
              <w:jc w:val="both"/>
              <w:rPr>
                <w:rFonts w:eastAsia="Calibri"/>
                <w:sz w:val="20"/>
              </w:rPr>
            </w:pPr>
            <w:r w:rsidRPr="00F056F0">
              <w:rPr>
                <w:rFonts w:eastAsia="Calibri"/>
                <w:sz w:val="20"/>
              </w:rPr>
              <w:t>Court of Appeal for Saskatchewan</w:t>
            </w:r>
          </w:p>
          <w:p w:rsidR="00DB759F" w:rsidRPr="00F056F0" w:rsidRDefault="00DB759F" w:rsidP="00594C0F">
            <w:pPr>
              <w:jc w:val="both"/>
              <w:rPr>
                <w:rFonts w:eastAsia="Calibri"/>
                <w:sz w:val="20"/>
              </w:rPr>
            </w:pPr>
            <w:r w:rsidRPr="00F056F0">
              <w:rPr>
                <w:rFonts w:eastAsia="Calibri"/>
                <w:sz w:val="20"/>
              </w:rPr>
              <w:t>(Cameron, Jackson and Herauf JJ.A.)</w:t>
            </w:r>
          </w:p>
          <w:p w:rsidR="00DB759F" w:rsidRPr="00F056F0" w:rsidRDefault="00DB759F" w:rsidP="00594C0F">
            <w:pPr>
              <w:jc w:val="both"/>
              <w:rPr>
                <w:rFonts w:eastAsia="Calibri"/>
                <w:sz w:val="20"/>
              </w:rPr>
            </w:pPr>
            <w:r w:rsidRPr="00F056F0">
              <w:rPr>
                <w:rFonts w:eastAsia="Calibri"/>
                <w:sz w:val="20"/>
              </w:rPr>
              <w:t>2012 SKCA 41</w:t>
            </w:r>
          </w:p>
          <w:p w:rsidR="00DB759F" w:rsidRPr="00F056F0" w:rsidRDefault="00DB759F" w:rsidP="00594C0F">
            <w:pPr>
              <w:jc w:val="both"/>
              <w:rPr>
                <w:rFonts w:eastAsia="Calibri"/>
                <w:sz w:val="20"/>
              </w:rPr>
            </w:pPr>
            <w:r w:rsidRPr="00F056F0">
              <w:rPr>
                <w:rFonts w:eastAsia="Calibri"/>
                <w:sz w:val="20"/>
              </w:rPr>
              <w:t>Docket: 1774</w:t>
            </w:r>
          </w:p>
          <w:p w:rsidR="00DB759F" w:rsidRPr="00F056F0" w:rsidRDefault="00DB759F" w:rsidP="00594C0F">
            <w:pPr>
              <w:jc w:val="both"/>
              <w:rPr>
                <w:rFonts w:eastAsia="Calibri"/>
                <w:sz w:val="20"/>
              </w:rPr>
            </w:pP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Applicants’ appeal dismissed</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t>June 4, 2012</w:t>
            </w:r>
          </w:p>
          <w:p w:rsidR="00DB759F" w:rsidRPr="00F056F0" w:rsidRDefault="00DB759F" w:rsidP="00594C0F">
            <w:pPr>
              <w:jc w:val="both"/>
              <w:rPr>
                <w:rFonts w:eastAsia="Calibri"/>
                <w:sz w:val="20"/>
              </w:rPr>
            </w:pPr>
            <w:r w:rsidRPr="00F056F0">
              <w:rPr>
                <w:rFonts w:eastAsia="Calibri"/>
                <w:sz w:val="20"/>
              </w:rPr>
              <w:t>Supreme Court of Canada</w:t>
            </w: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Application for leave to appeal filed</w:t>
            </w:r>
          </w:p>
          <w:p w:rsidR="00DB759F" w:rsidRPr="00F056F0" w:rsidRDefault="00DB759F"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58"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B759F" w:rsidRPr="003935EC" w:rsidTr="00594C0F">
        <w:tc>
          <w:tcPr>
            <w:tcW w:w="5000" w:type="pct"/>
            <w:gridSpan w:val="3"/>
          </w:tcPr>
          <w:p w:rsidR="00DB759F" w:rsidRPr="00F056F0" w:rsidRDefault="00DB759F" w:rsidP="00594C0F">
            <w:pPr>
              <w:jc w:val="both"/>
              <w:rPr>
                <w:rFonts w:eastAsia="Calibri"/>
                <w:sz w:val="20"/>
                <w:lang w:val="fr-CA"/>
              </w:rPr>
            </w:pPr>
            <w:r w:rsidRPr="00F056F0">
              <w:rPr>
                <w:rFonts w:eastAsia="Calibri"/>
                <w:sz w:val="20"/>
                <w:lang w:val="fr-CA"/>
              </w:rPr>
              <w:t>Droit administratif — Organismes et tribunaux administratifs — Justice naturelle — L’avocat des demandeurs s’est démis de son mandat avant l’audience — La Commission a</w:t>
            </w:r>
            <w:r w:rsidRPr="00F056F0">
              <w:rPr>
                <w:rFonts w:eastAsia="Calibri"/>
                <w:sz w:val="20"/>
                <w:lang w:val="fr-CA"/>
              </w:rPr>
              <w:noBreakHyphen/>
              <w:t>t</w:t>
            </w:r>
            <w:r w:rsidRPr="00F056F0">
              <w:rPr>
                <w:rFonts w:eastAsia="Calibri"/>
                <w:sz w:val="20"/>
                <w:lang w:val="fr-CA"/>
              </w:rPr>
              <w:noBreakHyphen/>
              <w:t>elle eu tort de tenir l’audience immédiatement après la démission de l’avocat sans se demander si l’avocat devait être autorisé à se démettre? — La Commission a</w:t>
            </w:r>
            <w:r w:rsidRPr="00F056F0">
              <w:rPr>
                <w:rFonts w:eastAsia="Calibri"/>
                <w:sz w:val="20"/>
                <w:lang w:val="fr-CA"/>
              </w:rPr>
              <w:noBreakHyphen/>
              <w:t>t</w:t>
            </w:r>
            <w:r w:rsidRPr="00F056F0">
              <w:rPr>
                <w:rFonts w:eastAsia="Calibri"/>
                <w:sz w:val="20"/>
                <w:lang w:val="fr-CA"/>
              </w:rPr>
              <w:noBreakHyphen/>
              <w:t>elle agi contrairement aux règles de justice naturelle en procédant alors que les demandeurs n’avaient pas d’avocat?</w:t>
            </w:r>
          </w:p>
        </w:tc>
      </w:tr>
      <w:tr w:rsidR="00DB759F" w:rsidRPr="003935EC" w:rsidTr="00594C0F">
        <w:tc>
          <w:tcPr>
            <w:tcW w:w="5000" w:type="pct"/>
            <w:gridSpan w:val="3"/>
          </w:tcPr>
          <w:p w:rsidR="00DB759F" w:rsidRPr="00F056F0" w:rsidRDefault="00DB759F" w:rsidP="00594C0F">
            <w:pPr>
              <w:jc w:val="both"/>
              <w:rPr>
                <w:rFonts w:eastAsia="Calibri"/>
                <w:sz w:val="20"/>
                <w:lang w:val="fr-CA"/>
              </w:rPr>
            </w:pPr>
          </w:p>
        </w:tc>
      </w:tr>
      <w:tr w:rsidR="00DB759F" w:rsidRPr="003935EC" w:rsidTr="00594C0F">
        <w:tc>
          <w:tcPr>
            <w:tcW w:w="5000" w:type="pct"/>
            <w:gridSpan w:val="3"/>
          </w:tcPr>
          <w:p w:rsidR="00DB759F" w:rsidRPr="00F056F0" w:rsidRDefault="00DB759F" w:rsidP="00594C0F">
            <w:pPr>
              <w:jc w:val="both"/>
              <w:rPr>
                <w:rFonts w:eastAsia="Calibri"/>
                <w:color w:val="000000"/>
                <w:sz w:val="20"/>
                <w:lang w:val="fr-CA"/>
              </w:rPr>
            </w:pPr>
            <w:r w:rsidRPr="00F056F0">
              <w:rPr>
                <w:rFonts w:eastAsia="Calibri"/>
                <w:color w:val="000000"/>
                <w:sz w:val="20"/>
                <w:lang w:val="fr-CA"/>
              </w:rPr>
              <w:t>Les demandeurs, Tri</w:t>
            </w:r>
            <w:r w:rsidRPr="00F056F0">
              <w:rPr>
                <w:rFonts w:eastAsia="Calibri"/>
                <w:color w:val="000000"/>
                <w:sz w:val="20"/>
                <w:lang w:val="fr-CA"/>
              </w:rPr>
              <w:noBreakHyphen/>
              <w:t xml:space="preserve">Link Consultants Inc. et Klaus Link, se sont vu signifier un avis d’audience en application de la </w:t>
            </w:r>
            <w:r w:rsidRPr="00F056F0">
              <w:rPr>
                <w:rFonts w:eastAsia="Calibri"/>
                <w:i/>
                <w:color w:val="000000"/>
                <w:sz w:val="20"/>
                <w:lang w:val="fr-CA"/>
              </w:rPr>
              <w:t>Securities Act, 1988</w:t>
            </w:r>
            <w:r w:rsidRPr="00F056F0">
              <w:rPr>
                <w:rFonts w:eastAsia="Calibri"/>
                <w:color w:val="000000"/>
                <w:sz w:val="20"/>
                <w:lang w:val="fr-CA"/>
              </w:rPr>
              <w:t>, S.S. 1988</w:t>
            </w:r>
            <w:r w:rsidRPr="00F056F0">
              <w:rPr>
                <w:rFonts w:eastAsia="Calibri"/>
                <w:color w:val="000000"/>
                <w:sz w:val="20"/>
                <w:lang w:val="fr-CA"/>
              </w:rPr>
              <w:noBreakHyphen/>
              <w:t>89, ch. S</w:t>
            </w:r>
            <w:r w:rsidRPr="00F056F0">
              <w:rPr>
                <w:rFonts w:eastAsia="Calibri"/>
                <w:color w:val="000000"/>
                <w:sz w:val="20"/>
                <w:lang w:val="fr-CA"/>
              </w:rPr>
              <w:noBreakHyphen/>
              <w:t>42.2, alléguant qu’ils avaient violé des dispositions de la loi.  En 2008, avant l’audience, leur avocat avait signé son consentement à un exposé conjoint des faits et allégations déposé et qui reconnaissait que les demandeurs avaient omis d’agir honnêtement, équitablement et de bonne foi à l’égard de leurs clients.  Une date d’audience a été fixée relativement au dédommagement des investisseurs qui avaient perdu de l’argent à la suite des agissements des demandeurs.  Trois jours avant l’audience, l’avocat des demandeurs s’est démis comme avocat inscrit au dossier.  À l’audience, M. Link a comparu en personne, témoignant au nom des demandeurs et présentant des observations à la Commission.  La Commission a statué que les demandeurs avaient contrevenu à la loi, elle a prononcé une interdiction permanente de négociation et elle a ordonné le paiement d’un dédommagement au titre des pertes subies par les investisseurs de plus de 1 200 000 $, plus les pénalités administrative et les frais.  En appel, les demandeurs ont plaidé que la Commission avait eu tort de permettre à l’avocat de se démettre sans autorisation, qu’elle avait eu tort de tenir l’audience après la démission de l’avocat et qu’elle avait agi contrairement aux règles de justice naturelle en procédant alors que les demandeurs n’avaient pas d’avocat.</w:t>
            </w:r>
          </w:p>
          <w:p w:rsidR="00DB759F" w:rsidRPr="00F056F0" w:rsidRDefault="00DB759F" w:rsidP="00594C0F">
            <w:pPr>
              <w:jc w:val="both"/>
              <w:rPr>
                <w:rFonts w:eastAsia="Calibri"/>
                <w:sz w:val="20"/>
                <w:lang w:val="fr-CA"/>
              </w:rPr>
            </w:pPr>
          </w:p>
        </w:tc>
      </w:tr>
      <w:tr w:rsidR="00DB759F" w:rsidRPr="003935EC" w:rsidTr="00594C0F">
        <w:trPr>
          <w:cantSplit/>
        </w:trPr>
        <w:tc>
          <w:tcPr>
            <w:tcW w:w="2427" w:type="pct"/>
          </w:tcPr>
          <w:p w:rsidR="00DB759F" w:rsidRPr="00F056F0" w:rsidRDefault="00DB759F" w:rsidP="00594C0F">
            <w:pPr>
              <w:jc w:val="both"/>
              <w:rPr>
                <w:rFonts w:eastAsia="Calibri"/>
                <w:sz w:val="20"/>
                <w:lang w:val="fr-CA"/>
              </w:rPr>
            </w:pPr>
            <w:r w:rsidRPr="00F056F0">
              <w:rPr>
                <w:rFonts w:eastAsia="Calibri"/>
                <w:sz w:val="20"/>
                <w:lang w:val="fr-CA"/>
              </w:rPr>
              <w:lastRenderedPageBreak/>
              <w:t>21 avril 2009</w:t>
            </w:r>
          </w:p>
          <w:p w:rsidR="00DB759F" w:rsidRPr="00F056F0" w:rsidRDefault="00DB759F" w:rsidP="00594C0F">
            <w:pPr>
              <w:jc w:val="both"/>
              <w:rPr>
                <w:rFonts w:eastAsia="Calibri"/>
                <w:sz w:val="20"/>
                <w:lang w:val="fr-CA"/>
              </w:rPr>
            </w:pPr>
            <w:r w:rsidRPr="00F056F0">
              <w:rPr>
                <w:rFonts w:eastAsia="Calibri"/>
                <w:sz w:val="20"/>
                <w:lang w:val="fr-CA"/>
              </w:rPr>
              <w:t>Saskatchewan Financial Services Commission</w:t>
            </w:r>
          </w:p>
          <w:p w:rsidR="00DB759F" w:rsidRPr="00F056F0" w:rsidRDefault="00DB759F" w:rsidP="00594C0F">
            <w:pPr>
              <w:jc w:val="both"/>
              <w:rPr>
                <w:rFonts w:eastAsia="Calibri"/>
                <w:sz w:val="20"/>
                <w:lang w:val="fr-CA"/>
              </w:rPr>
            </w:pPr>
            <w:r w:rsidRPr="00F056F0">
              <w:rPr>
                <w:rFonts w:eastAsia="Calibri"/>
                <w:sz w:val="20"/>
                <w:lang w:val="fr-CA"/>
              </w:rPr>
              <w:t>(Commissaires Ready, Hillmer et Reidy)</w:t>
            </w:r>
          </w:p>
          <w:p w:rsidR="00DB759F" w:rsidRPr="00F056F0" w:rsidRDefault="00DB759F" w:rsidP="00594C0F">
            <w:pPr>
              <w:jc w:val="both"/>
              <w:rPr>
                <w:rFonts w:eastAsia="Calibri"/>
                <w:sz w:val="20"/>
                <w:lang w:val="fr-CA"/>
              </w:rPr>
            </w:pP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Les demandeurs sont sommés de cesser toute activité de conseil et de négociation en matière de valeurs mobilières et de contrats de change et de payer une indemnité financière aux investisseurs</w:t>
            </w:r>
          </w:p>
          <w:p w:rsidR="00DB759F" w:rsidRPr="00F056F0" w:rsidRDefault="00DB759F" w:rsidP="00594C0F">
            <w:pPr>
              <w:jc w:val="both"/>
              <w:rPr>
                <w:rFonts w:eastAsia="Calibri"/>
                <w:sz w:val="20"/>
                <w:lang w:val="fr-CA"/>
              </w:rPr>
            </w:pPr>
          </w:p>
        </w:tc>
      </w:tr>
      <w:tr w:rsidR="00DB759F" w:rsidRPr="00F056F0" w:rsidTr="00594C0F">
        <w:trPr>
          <w:cantSplit/>
        </w:trPr>
        <w:tc>
          <w:tcPr>
            <w:tcW w:w="2427" w:type="pct"/>
          </w:tcPr>
          <w:p w:rsidR="00DB759F" w:rsidRPr="00F056F0" w:rsidRDefault="00DB759F" w:rsidP="00594C0F">
            <w:pPr>
              <w:jc w:val="both"/>
              <w:rPr>
                <w:rFonts w:eastAsia="Calibri"/>
                <w:sz w:val="20"/>
                <w:lang w:val="fr-CA"/>
              </w:rPr>
            </w:pPr>
            <w:r w:rsidRPr="00F056F0">
              <w:rPr>
                <w:rFonts w:eastAsia="Calibri"/>
                <w:sz w:val="20"/>
                <w:lang w:val="fr-CA"/>
              </w:rPr>
              <w:t>4 avril 2012</w:t>
            </w:r>
          </w:p>
          <w:p w:rsidR="00DB759F" w:rsidRPr="00F056F0" w:rsidRDefault="00DB759F" w:rsidP="00594C0F">
            <w:pPr>
              <w:jc w:val="both"/>
              <w:rPr>
                <w:rFonts w:eastAsia="Calibri"/>
                <w:sz w:val="20"/>
                <w:lang w:val="fr-CA"/>
              </w:rPr>
            </w:pPr>
            <w:r w:rsidRPr="00F056F0">
              <w:rPr>
                <w:rFonts w:eastAsia="Calibri"/>
                <w:sz w:val="20"/>
                <w:lang w:val="fr-CA"/>
              </w:rPr>
              <w:t>Cour d’appel de la Saskatchewan</w:t>
            </w:r>
          </w:p>
          <w:p w:rsidR="00DB759F" w:rsidRPr="00F056F0" w:rsidRDefault="00DB759F" w:rsidP="00594C0F">
            <w:pPr>
              <w:jc w:val="both"/>
              <w:rPr>
                <w:rFonts w:eastAsia="Calibri"/>
                <w:sz w:val="20"/>
                <w:lang w:val="fr-CA"/>
              </w:rPr>
            </w:pPr>
            <w:r w:rsidRPr="00F056F0">
              <w:rPr>
                <w:rFonts w:eastAsia="Calibri"/>
                <w:sz w:val="20"/>
                <w:lang w:val="fr-CA"/>
              </w:rPr>
              <w:t>(Juges Cameron, Jackson et Herauf)</w:t>
            </w:r>
          </w:p>
          <w:p w:rsidR="00DB759F" w:rsidRPr="00F056F0" w:rsidRDefault="00DB759F" w:rsidP="00594C0F">
            <w:pPr>
              <w:jc w:val="both"/>
              <w:rPr>
                <w:rFonts w:eastAsia="Calibri"/>
                <w:sz w:val="20"/>
                <w:lang w:val="fr-CA"/>
              </w:rPr>
            </w:pPr>
            <w:r w:rsidRPr="00F056F0">
              <w:rPr>
                <w:rFonts w:eastAsia="Calibri"/>
                <w:sz w:val="20"/>
                <w:lang w:val="fr-CA"/>
              </w:rPr>
              <w:t>2012 SKCA 41</w:t>
            </w:r>
          </w:p>
          <w:p w:rsidR="00DB759F" w:rsidRPr="00F056F0" w:rsidRDefault="00DB759F" w:rsidP="00594C0F">
            <w:pPr>
              <w:jc w:val="both"/>
              <w:rPr>
                <w:rFonts w:eastAsia="Calibri"/>
                <w:sz w:val="20"/>
                <w:lang w:val="fr-CA"/>
              </w:rPr>
            </w:pPr>
            <w:r w:rsidRPr="00F056F0">
              <w:rPr>
                <w:rFonts w:eastAsia="Calibri"/>
                <w:sz w:val="20"/>
                <w:lang w:val="fr-CA"/>
              </w:rPr>
              <w:t>N</w:t>
            </w:r>
            <w:r w:rsidRPr="00F056F0">
              <w:rPr>
                <w:rFonts w:eastAsia="Calibri"/>
                <w:sz w:val="20"/>
                <w:vertAlign w:val="superscript"/>
                <w:lang w:val="fr-CA"/>
              </w:rPr>
              <w:t>o</w:t>
            </w:r>
            <w:r w:rsidRPr="00F056F0">
              <w:rPr>
                <w:rFonts w:eastAsia="Calibri"/>
                <w:sz w:val="20"/>
                <w:lang w:val="fr-CA"/>
              </w:rPr>
              <w:t xml:space="preserve"> de greffe : 1774</w:t>
            </w:r>
          </w:p>
          <w:p w:rsidR="00DB759F" w:rsidRPr="00F056F0" w:rsidRDefault="00DB759F" w:rsidP="00594C0F">
            <w:pPr>
              <w:jc w:val="both"/>
              <w:rPr>
                <w:rFonts w:eastAsia="Calibri"/>
                <w:sz w:val="20"/>
                <w:lang w:val="fr-CA"/>
              </w:rPr>
            </w:pP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Appel des demandeurs, rejeté</w:t>
            </w:r>
          </w:p>
          <w:p w:rsidR="00DB759F" w:rsidRPr="00F056F0" w:rsidRDefault="00DB759F" w:rsidP="00594C0F">
            <w:pPr>
              <w:jc w:val="both"/>
              <w:rPr>
                <w:rFonts w:eastAsia="Calibri"/>
                <w:sz w:val="20"/>
                <w:lang w:val="fr-CA"/>
              </w:rPr>
            </w:pPr>
          </w:p>
        </w:tc>
      </w:tr>
      <w:tr w:rsidR="00DB759F" w:rsidRPr="00F056F0" w:rsidTr="00594C0F">
        <w:trPr>
          <w:cantSplit/>
        </w:trPr>
        <w:tc>
          <w:tcPr>
            <w:tcW w:w="2427" w:type="pct"/>
          </w:tcPr>
          <w:p w:rsidR="00DB759F" w:rsidRPr="00F056F0" w:rsidRDefault="00DB759F" w:rsidP="00594C0F">
            <w:pPr>
              <w:jc w:val="both"/>
              <w:rPr>
                <w:rFonts w:eastAsia="Calibri"/>
                <w:sz w:val="20"/>
                <w:lang w:val="fr-CA"/>
              </w:rPr>
            </w:pPr>
            <w:r w:rsidRPr="00F056F0">
              <w:rPr>
                <w:rFonts w:eastAsia="Calibri"/>
                <w:sz w:val="20"/>
                <w:lang w:val="fr-CA"/>
              </w:rPr>
              <w:t>4 juin 2012</w:t>
            </w:r>
          </w:p>
          <w:p w:rsidR="00DB759F" w:rsidRPr="00F056F0" w:rsidRDefault="00DB759F" w:rsidP="00594C0F">
            <w:pPr>
              <w:jc w:val="both"/>
              <w:rPr>
                <w:rFonts w:eastAsia="Calibri"/>
                <w:sz w:val="20"/>
                <w:lang w:val="fr-CA"/>
              </w:rPr>
            </w:pPr>
            <w:r w:rsidRPr="00F056F0">
              <w:rPr>
                <w:rFonts w:eastAsia="Calibri"/>
                <w:sz w:val="20"/>
                <w:lang w:val="fr-CA"/>
              </w:rPr>
              <w:t>Cour suprême du Canada</w:t>
            </w: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Demande d’autorisation d’appel, déposée</w:t>
            </w:r>
          </w:p>
          <w:p w:rsidR="00DB759F" w:rsidRPr="00F056F0" w:rsidRDefault="00DB759F"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59"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94C0F" w:rsidRPr="00303448" w:rsidTr="00594C0F">
        <w:trPr>
          <w:cantSplit/>
        </w:trPr>
        <w:tc>
          <w:tcPr>
            <w:tcW w:w="1458" w:type="dxa"/>
          </w:tcPr>
          <w:p w:rsidR="00594C0F" w:rsidRPr="00303448" w:rsidRDefault="00594C0F" w:rsidP="00594C0F">
            <w:pPr>
              <w:rPr>
                <w:sz w:val="20"/>
                <w:szCs w:val="20"/>
              </w:rPr>
            </w:pPr>
            <w:r w:rsidRPr="00303448">
              <w:rPr>
                <w:rStyle w:val="SCCFileNumberChar"/>
                <w:sz w:val="20"/>
                <w:szCs w:val="20"/>
              </w:rPr>
              <w:t>34856</w:t>
            </w:r>
          </w:p>
          <w:p w:rsidR="00594C0F" w:rsidRPr="00303448" w:rsidRDefault="00594C0F" w:rsidP="00594C0F">
            <w:pPr>
              <w:rPr>
                <w:b/>
                <w:sz w:val="20"/>
                <w:szCs w:val="20"/>
                <w:lang w:val="fr-CA"/>
              </w:rPr>
            </w:pPr>
          </w:p>
        </w:tc>
        <w:tc>
          <w:tcPr>
            <w:tcW w:w="8118" w:type="dxa"/>
          </w:tcPr>
          <w:p w:rsidR="00594C0F" w:rsidRPr="00303448" w:rsidRDefault="00594C0F" w:rsidP="00594C0F">
            <w:pPr>
              <w:rPr>
                <w:sz w:val="20"/>
                <w:szCs w:val="20"/>
              </w:rPr>
            </w:pPr>
            <w:r w:rsidRPr="00303448">
              <w:rPr>
                <w:rStyle w:val="SCCLsocChar"/>
                <w:sz w:val="20"/>
                <w:szCs w:val="20"/>
                <w:lang w:val="en-CA"/>
              </w:rPr>
              <w:t>Chad Norman Morris v. Saskatchewan Government Insurance</w:t>
            </w:r>
            <w:r w:rsidRPr="00303448">
              <w:rPr>
                <w:sz w:val="20"/>
                <w:szCs w:val="20"/>
              </w:rPr>
              <w:t xml:space="preserve"> (Sask.) (Civil) (By Leave)</w:t>
            </w:r>
          </w:p>
          <w:p w:rsidR="00594C0F" w:rsidRPr="00303448" w:rsidRDefault="00594C0F" w:rsidP="00594C0F">
            <w:pPr>
              <w:rPr>
                <w:sz w:val="20"/>
                <w:szCs w:val="20"/>
              </w:rPr>
            </w:pPr>
          </w:p>
        </w:tc>
      </w:tr>
      <w:tr w:rsidR="00594C0F" w:rsidRPr="00303448" w:rsidTr="00594C0F">
        <w:trPr>
          <w:cantSplit/>
        </w:trPr>
        <w:tc>
          <w:tcPr>
            <w:tcW w:w="1458" w:type="dxa"/>
          </w:tcPr>
          <w:p w:rsidR="00594C0F" w:rsidRPr="00303448" w:rsidRDefault="00594C0F" w:rsidP="00594C0F">
            <w:pPr>
              <w:rPr>
                <w:sz w:val="20"/>
                <w:szCs w:val="20"/>
              </w:rPr>
            </w:pPr>
            <w:r w:rsidRPr="00303448">
              <w:rPr>
                <w:sz w:val="20"/>
                <w:szCs w:val="20"/>
              </w:rPr>
              <w:t>Coram :</w:t>
            </w:r>
          </w:p>
        </w:tc>
        <w:tc>
          <w:tcPr>
            <w:tcW w:w="8118" w:type="dxa"/>
          </w:tcPr>
          <w:p w:rsidR="00594C0F" w:rsidRPr="00303448" w:rsidRDefault="00594C0F" w:rsidP="00594C0F">
            <w:pPr>
              <w:rPr>
                <w:sz w:val="20"/>
                <w:szCs w:val="20"/>
              </w:rPr>
            </w:pPr>
            <w:r w:rsidRPr="00303448">
              <w:rPr>
                <w:rStyle w:val="SCCCoramChar"/>
                <w:sz w:val="20"/>
                <w:szCs w:val="20"/>
                <w:lang w:val="en-CA"/>
              </w:rPr>
              <w:t>LeBel, Abella and Cromwell JJ.</w:t>
            </w:r>
          </w:p>
          <w:p w:rsidR="00594C0F" w:rsidRPr="00303448" w:rsidRDefault="00594C0F" w:rsidP="00594C0F">
            <w:pPr>
              <w:rPr>
                <w:sz w:val="20"/>
                <w:szCs w:val="20"/>
                <w:u w:val="single"/>
              </w:rPr>
            </w:pPr>
          </w:p>
        </w:tc>
      </w:tr>
      <w:tr w:rsidR="00594C0F" w:rsidRPr="003935EC" w:rsidTr="00594C0F">
        <w:trPr>
          <w:cantSplit/>
        </w:trPr>
        <w:tc>
          <w:tcPr>
            <w:tcW w:w="9576" w:type="dxa"/>
            <w:gridSpan w:val="2"/>
          </w:tcPr>
          <w:p w:rsidR="00594C0F" w:rsidRPr="00303448" w:rsidRDefault="00594C0F" w:rsidP="00594C0F">
            <w:pPr>
              <w:pStyle w:val="SCCShortJudgment"/>
              <w:rPr>
                <w:szCs w:val="20"/>
              </w:rPr>
            </w:pPr>
            <w:r w:rsidRPr="00303448">
              <w:rPr>
                <w:szCs w:val="20"/>
              </w:rPr>
              <w:t>The application for leave to appeal from the judgment of the Court of Appeal for Saskatchewan, Number CA 1839, dated April 12, 2012, is dismissed with costs.</w:t>
            </w:r>
          </w:p>
          <w:p w:rsidR="00594C0F" w:rsidRPr="00303448" w:rsidRDefault="00594C0F" w:rsidP="00594C0F">
            <w:pPr>
              <w:pStyle w:val="SCCShortJudgment"/>
              <w:ind w:firstLine="0"/>
              <w:rPr>
                <w:szCs w:val="20"/>
              </w:rPr>
            </w:pPr>
          </w:p>
          <w:p w:rsidR="00594C0F" w:rsidRPr="00303448" w:rsidRDefault="00594C0F" w:rsidP="00594C0F">
            <w:pPr>
              <w:pStyle w:val="SCCShortJudgment"/>
              <w:rPr>
                <w:szCs w:val="20"/>
                <w:lang w:val="fr-CA"/>
              </w:rPr>
            </w:pPr>
            <w:r w:rsidRPr="00303448">
              <w:rPr>
                <w:szCs w:val="20"/>
                <w:lang w:val="fr-CA"/>
              </w:rPr>
              <w:t>La demande d’autorisation d’appel de l’arrêt de la Cour d’appel de la Saskatchewan, numéro CA 1839, daté du 12 avril 2012, est rejetée avec dépens.</w:t>
            </w:r>
          </w:p>
        </w:tc>
      </w:tr>
    </w:tbl>
    <w:p w:rsidR="005F361C" w:rsidRPr="00594C0F"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B759F" w:rsidRPr="00F056F0" w:rsidTr="00594C0F">
        <w:tc>
          <w:tcPr>
            <w:tcW w:w="5000" w:type="pct"/>
            <w:gridSpan w:val="3"/>
          </w:tcPr>
          <w:p w:rsidR="00DB759F" w:rsidRPr="00F056F0" w:rsidRDefault="00DB759F" w:rsidP="00594C0F">
            <w:pPr>
              <w:jc w:val="both"/>
              <w:rPr>
                <w:rFonts w:eastAsia="Calibri"/>
                <w:sz w:val="20"/>
              </w:rPr>
            </w:pPr>
            <w:r w:rsidRPr="00F056F0">
              <w:rPr>
                <w:rFonts w:eastAsia="Calibri"/>
                <w:sz w:val="20"/>
              </w:rPr>
              <w:t xml:space="preserve">Civil procedure — Appeals — Interlocutory and final orders — Government denying applicant automobile insurance benefits — Applicant appealing government decision in form of statement of claim, pursuant to s. 192 of </w:t>
            </w:r>
            <w:r w:rsidRPr="00F056F0">
              <w:rPr>
                <w:rFonts w:eastAsia="Calibri"/>
                <w:i/>
                <w:sz w:val="20"/>
              </w:rPr>
              <w:t>The Automobile Accident Insurance Act</w:t>
            </w:r>
            <w:r w:rsidRPr="00F056F0">
              <w:rPr>
                <w:rFonts w:eastAsia="Calibri"/>
                <w:sz w:val="20"/>
              </w:rPr>
              <w:t>, R.S.S. 1978, c. A</w:t>
            </w:r>
            <w:r w:rsidRPr="00F056F0">
              <w:rPr>
                <w:rFonts w:eastAsia="Calibri"/>
                <w:sz w:val="20"/>
              </w:rPr>
              <w:noBreakHyphen/>
              <w:t xml:space="preserve">35 — Applicant’s request for civil jury denied on basis that appeal not an action for purposes of ss. 18 or 19 of </w:t>
            </w:r>
            <w:r w:rsidRPr="00F056F0">
              <w:rPr>
                <w:rFonts w:eastAsia="Calibri"/>
                <w:i/>
                <w:sz w:val="20"/>
              </w:rPr>
              <w:t>The Jury Act, 1998</w:t>
            </w:r>
            <w:r w:rsidRPr="00F056F0">
              <w:rPr>
                <w:rFonts w:eastAsia="Calibri"/>
                <w:sz w:val="20"/>
              </w:rPr>
              <w:t>, S.S. 1998, c. J</w:t>
            </w:r>
            <w:r w:rsidRPr="00F056F0">
              <w:rPr>
                <w:rFonts w:eastAsia="Calibri"/>
                <w:sz w:val="20"/>
              </w:rPr>
              <w:noBreakHyphen/>
              <w:t>4.2 — Whether order striking the jury notice interlocutory or final in nature for purposes of appeal — Whether applicant’s appeal an action for purposes of requesting civil jury.</w:t>
            </w:r>
          </w:p>
        </w:tc>
      </w:tr>
      <w:tr w:rsidR="00DB759F" w:rsidRPr="00F056F0" w:rsidTr="00594C0F">
        <w:tc>
          <w:tcPr>
            <w:tcW w:w="5000" w:type="pct"/>
            <w:gridSpan w:val="3"/>
          </w:tcPr>
          <w:p w:rsidR="00DB759F" w:rsidRPr="00F056F0" w:rsidRDefault="00DB759F" w:rsidP="00594C0F">
            <w:pPr>
              <w:jc w:val="both"/>
              <w:rPr>
                <w:rFonts w:eastAsia="Calibri"/>
                <w:sz w:val="20"/>
              </w:rPr>
            </w:pPr>
          </w:p>
        </w:tc>
      </w:tr>
      <w:tr w:rsidR="00DB759F" w:rsidRPr="00F056F0" w:rsidTr="00594C0F">
        <w:tc>
          <w:tcPr>
            <w:tcW w:w="5000" w:type="pct"/>
            <w:gridSpan w:val="3"/>
          </w:tcPr>
          <w:p w:rsidR="00DB759F" w:rsidRPr="00F056F0" w:rsidRDefault="00DB759F" w:rsidP="00594C0F">
            <w:pPr>
              <w:jc w:val="both"/>
              <w:rPr>
                <w:rFonts w:eastAsia="Calibri"/>
                <w:sz w:val="20"/>
              </w:rPr>
            </w:pPr>
            <w:r w:rsidRPr="00F056F0">
              <w:rPr>
                <w:rFonts w:eastAsia="Calibri"/>
                <w:sz w:val="20"/>
              </w:rPr>
              <w:t xml:space="preserve">The applicant, Mr. Morris, was injured in an automobile accident in Alberta.  The vehicle was his, and was registered in Saskatchewan.  Mr. Morris made a claim for benefits pursuant to Saskatchewan accident insurance legislation, but his claim was denied.  Among other things, the respondent, Saskatchewan Government Insurance, claimed that his insurance was invalid as a result of alleged misrepresentations concerning his residence and where the vehicle would primarily be used.  Mr. Morris appealed that decision to the Court of Queen’s Bench in the form of a statement of claim, pursuant to s. 192 of </w:t>
            </w:r>
            <w:r w:rsidRPr="00F056F0">
              <w:rPr>
                <w:rFonts w:eastAsia="Calibri"/>
                <w:i/>
                <w:sz w:val="20"/>
              </w:rPr>
              <w:t>The Automobile Accident Insurance Act</w:t>
            </w:r>
            <w:r w:rsidRPr="00F056F0">
              <w:rPr>
                <w:rFonts w:eastAsia="Calibri"/>
                <w:sz w:val="20"/>
              </w:rPr>
              <w:t>, R.S.S. 1978, c. A</w:t>
            </w:r>
            <w:r w:rsidRPr="00F056F0">
              <w:rPr>
                <w:rFonts w:eastAsia="Calibri"/>
                <w:sz w:val="20"/>
              </w:rPr>
              <w:noBreakHyphen/>
              <w:t>35 (“</w:t>
            </w:r>
            <w:r w:rsidRPr="00F056F0">
              <w:rPr>
                <w:rFonts w:eastAsia="Calibri"/>
                <w:i/>
                <w:sz w:val="20"/>
              </w:rPr>
              <w:t>AAIA</w:t>
            </w:r>
            <w:r w:rsidRPr="00F056F0">
              <w:rPr>
                <w:rFonts w:eastAsia="Calibri"/>
                <w:sz w:val="20"/>
              </w:rPr>
              <w:t xml:space="preserve">”).  Mr. Morris also made a request for a jury, but his jury notice was set aside on the basis that his appeal from the respondent’s decision to deny him benefits was not an action for the purposes of ss. 18 or 19 of </w:t>
            </w:r>
            <w:r w:rsidRPr="00F056F0">
              <w:rPr>
                <w:rFonts w:eastAsia="Calibri"/>
                <w:i/>
                <w:sz w:val="20"/>
              </w:rPr>
              <w:t>The Jury Act, 1998</w:t>
            </w:r>
            <w:r w:rsidRPr="00F056F0">
              <w:rPr>
                <w:rFonts w:eastAsia="Calibri"/>
                <w:sz w:val="20"/>
              </w:rPr>
              <w:t>, S.S. 1998, c. J</w:t>
            </w:r>
            <w:r w:rsidRPr="00F056F0">
              <w:rPr>
                <w:rFonts w:eastAsia="Calibri"/>
                <w:sz w:val="20"/>
              </w:rPr>
              <w:noBreakHyphen/>
              <w:t>4.2.  Mr. Morris’ appeal from that decision was struck.</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t>September 29, 2009</w:t>
            </w:r>
          </w:p>
          <w:p w:rsidR="00DB759F" w:rsidRPr="00F056F0" w:rsidRDefault="00DB759F" w:rsidP="00594C0F">
            <w:pPr>
              <w:jc w:val="both"/>
              <w:rPr>
                <w:rFonts w:eastAsia="Calibri"/>
                <w:sz w:val="20"/>
              </w:rPr>
            </w:pPr>
            <w:r w:rsidRPr="00F056F0">
              <w:rPr>
                <w:rFonts w:eastAsia="Calibri"/>
                <w:sz w:val="20"/>
              </w:rPr>
              <w:t>Court of Queen’s Bench of Saskatchewan</w:t>
            </w:r>
          </w:p>
          <w:p w:rsidR="00DB759F" w:rsidRPr="00F056F0" w:rsidRDefault="00DB759F" w:rsidP="00594C0F">
            <w:pPr>
              <w:jc w:val="both"/>
              <w:rPr>
                <w:rFonts w:eastAsia="Calibri"/>
                <w:sz w:val="20"/>
              </w:rPr>
            </w:pPr>
            <w:r w:rsidRPr="00F056F0">
              <w:rPr>
                <w:rFonts w:eastAsia="Calibri"/>
                <w:sz w:val="20"/>
              </w:rPr>
              <w:t>(Gabrielson J.)</w:t>
            </w:r>
          </w:p>
          <w:p w:rsidR="00DB759F" w:rsidRPr="00F056F0" w:rsidRDefault="00DB759F" w:rsidP="00594C0F">
            <w:pPr>
              <w:jc w:val="both"/>
              <w:rPr>
                <w:rFonts w:eastAsia="Calibri"/>
                <w:sz w:val="20"/>
              </w:rPr>
            </w:pPr>
            <w:r w:rsidRPr="00F056F0">
              <w:rPr>
                <w:rFonts w:eastAsia="Calibri"/>
                <w:sz w:val="20"/>
              </w:rPr>
              <w:t xml:space="preserve">2009 SKQB 383 </w:t>
            </w:r>
          </w:p>
          <w:p w:rsidR="00DB759F" w:rsidRPr="00F056F0" w:rsidRDefault="00DB759F" w:rsidP="00594C0F">
            <w:pPr>
              <w:jc w:val="both"/>
              <w:rPr>
                <w:rFonts w:eastAsia="Calibri"/>
                <w:sz w:val="20"/>
              </w:rPr>
            </w:pP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Application to set aside jury notice allowed</w:t>
            </w: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lastRenderedPageBreak/>
              <w:t>April 12, 2012</w:t>
            </w:r>
          </w:p>
          <w:p w:rsidR="00DB759F" w:rsidRPr="00F056F0" w:rsidRDefault="00DB759F" w:rsidP="00594C0F">
            <w:pPr>
              <w:jc w:val="both"/>
              <w:rPr>
                <w:rFonts w:eastAsia="Calibri"/>
                <w:sz w:val="20"/>
              </w:rPr>
            </w:pPr>
            <w:r w:rsidRPr="00F056F0">
              <w:rPr>
                <w:rFonts w:eastAsia="Calibri"/>
                <w:sz w:val="20"/>
              </w:rPr>
              <w:t>Court of Appeal for Saskatchewan</w:t>
            </w:r>
          </w:p>
          <w:p w:rsidR="00DB759F" w:rsidRPr="00F056F0" w:rsidRDefault="00DB759F" w:rsidP="00594C0F">
            <w:pPr>
              <w:jc w:val="both"/>
              <w:rPr>
                <w:rFonts w:eastAsia="Calibri"/>
                <w:sz w:val="20"/>
              </w:rPr>
            </w:pPr>
            <w:r w:rsidRPr="00F056F0">
              <w:rPr>
                <w:rFonts w:eastAsia="Calibri"/>
                <w:sz w:val="20"/>
              </w:rPr>
              <w:t>(Gerwing, Jackson and Caldwell JJ.A.)</w:t>
            </w:r>
          </w:p>
          <w:p w:rsidR="00DB759F" w:rsidRPr="00F056F0" w:rsidRDefault="00DB759F" w:rsidP="00594C0F">
            <w:pPr>
              <w:jc w:val="both"/>
              <w:rPr>
                <w:rFonts w:eastAsia="Calibri"/>
                <w:sz w:val="20"/>
              </w:rPr>
            </w:pP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Appeal struck</w:t>
            </w:r>
          </w:p>
          <w:p w:rsidR="00DB759F" w:rsidRPr="00F056F0" w:rsidRDefault="00DB759F" w:rsidP="00594C0F">
            <w:pPr>
              <w:jc w:val="both"/>
              <w:rPr>
                <w:rFonts w:eastAsia="Calibri"/>
                <w:sz w:val="20"/>
              </w:rPr>
            </w:pPr>
          </w:p>
        </w:tc>
      </w:tr>
      <w:tr w:rsidR="00DB759F" w:rsidRPr="00F056F0" w:rsidTr="00594C0F">
        <w:tc>
          <w:tcPr>
            <w:tcW w:w="2427" w:type="pct"/>
          </w:tcPr>
          <w:p w:rsidR="00DB759F" w:rsidRPr="00F056F0" w:rsidRDefault="00DB759F" w:rsidP="00594C0F">
            <w:pPr>
              <w:jc w:val="both"/>
              <w:rPr>
                <w:rFonts w:eastAsia="Calibri"/>
                <w:sz w:val="20"/>
              </w:rPr>
            </w:pPr>
            <w:r w:rsidRPr="00F056F0">
              <w:rPr>
                <w:rFonts w:eastAsia="Calibri"/>
                <w:sz w:val="20"/>
              </w:rPr>
              <w:t>June 4, 2012</w:t>
            </w:r>
          </w:p>
          <w:p w:rsidR="00DB759F" w:rsidRPr="00F056F0" w:rsidRDefault="00DB759F" w:rsidP="00DB759F">
            <w:pPr>
              <w:jc w:val="both"/>
              <w:rPr>
                <w:rFonts w:eastAsia="Calibri"/>
                <w:sz w:val="20"/>
              </w:rPr>
            </w:pPr>
            <w:r w:rsidRPr="00F056F0">
              <w:rPr>
                <w:rFonts w:eastAsia="Calibri"/>
                <w:sz w:val="20"/>
              </w:rPr>
              <w:t>Supreme Court of Canada</w:t>
            </w: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rPr>
            </w:pPr>
            <w:r w:rsidRPr="00F056F0">
              <w:rPr>
                <w:rFonts w:eastAsia="Calibri"/>
                <w:sz w:val="20"/>
              </w:rPr>
              <w:t>Application for leave to appeal filed</w:t>
            </w:r>
          </w:p>
          <w:p w:rsidR="00DB759F" w:rsidRPr="00F056F0" w:rsidRDefault="00DB759F"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60"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B759F" w:rsidRPr="003935EC" w:rsidTr="00594C0F">
        <w:tc>
          <w:tcPr>
            <w:tcW w:w="5000" w:type="pct"/>
            <w:gridSpan w:val="3"/>
          </w:tcPr>
          <w:p w:rsidR="00DB759F" w:rsidRPr="00F056F0" w:rsidRDefault="00DB759F" w:rsidP="00594C0F">
            <w:pPr>
              <w:jc w:val="both"/>
              <w:rPr>
                <w:rFonts w:eastAsia="Calibri"/>
                <w:sz w:val="20"/>
                <w:lang w:val="fr-CA"/>
              </w:rPr>
            </w:pPr>
            <w:r w:rsidRPr="00F056F0">
              <w:rPr>
                <w:rFonts w:eastAsia="Calibri"/>
                <w:sz w:val="20"/>
                <w:lang w:val="fr-CA"/>
              </w:rPr>
              <w:t xml:space="preserve">Procédure civile — Appels — Ordonnances interlocutoires et définitives — Le gouvernement a refusé au demandeur des prestations d'assurance automobile — Le demandeur a interjeté appel de la décision du gouvernement par voie de déclaration, en vertu de l'art. 192 de </w:t>
            </w:r>
            <w:r w:rsidRPr="00F056F0">
              <w:rPr>
                <w:rFonts w:eastAsia="Calibri"/>
                <w:i/>
                <w:sz w:val="20"/>
                <w:lang w:val="fr-CA"/>
              </w:rPr>
              <w:t>The Automobile Accident Insurance Act</w:t>
            </w:r>
            <w:r w:rsidRPr="00F056F0">
              <w:rPr>
                <w:rFonts w:eastAsia="Calibri"/>
                <w:sz w:val="20"/>
                <w:lang w:val="fr-CA"/>
              </w:rPr>
              <w:t>, R.S.S. 1978, ch. A</w:t>
            </w:r>
            <w:r w:rsidRPr="00F056F0">
              <w:rPr>
                <w:rFonts w:eastAsia="Calibri"/>
                <w:sz w:val="20"/>
                <w:lang w:val="fr-CA"/>
              </w:rPr>
              <w:noBreakHyphen/>
              <w:t xml:space="preserve">35 — La demande de procès civil avec jury présentée par le demandeur a été rejetée au motif que l'appel n'était pas une action aux fins des art. 18 ou 19 de </w:t>
            </w:r>
            <w:r w:rsidRPr="00F056F0">
              <w:rPr>
                <w:rFonts w:eastAsia="Calibri"/>
                <w:i/>
                <w:sz w:val="20"/>
                <w:lang w:val="fr-CA"/>
              </w:rPr>
              <w:t>The Jury Act, 1998</w:t>
            </w:r>
            <w:r w:rsidRPr="00F056F0">
              <w:rPr>
                <w:rFonts w:eastAsia="Calibri"/>
                <w:sz w:val="20"/>
                <w:lang w:val="fr-CA"/>
              </w:rPr>
              <w:t>, S.S. 1998, ch. J</w:t>
            </w:r>
            <w:r w:rsidRPr="00F056F0">
              <w:rPr>
                <w:rFonts w:eastAsia="Calibri"/>
                <w:sz w:val="20"/>
                <w:lang w:val="fr-CA"/>
              </w:rPr>
              <w:noBreakHyphen/>
              <w:t>4.2 — L'ordonnance de radiation de la demande de procès avec jury revêt</w:t>
            </w:r>
            <w:r w:rsidRPr="00F056F0">
              <w:rPr>
                <w:rFonts w:eastAsia="Calibri"/>
                <w:sz w:val="20"/>
                <w:lang w:val="fr-CA"/>
              </w:rPr>
              <w:noBreakHyphen/>
              <w:t>elle un caractère interlocutoire ou définitif aux fins de l'appel? — L'appel du demandeur est</w:t>
            </w:r>
            <w:r w:rsidRPr="00F056F0">
              <w:rPr>
                <w:rFonts w:eastAsia="Calibri"/>
                <w:sz w:val="20"/>
                <w:lang w:val="fr-CA"/>
              </w:rPr>
              <w:noBreakHyphen/>
              <w:t>il une action aux fins de la demande de procès civil avec jury?</w:t>
            </w:r>
          </w:p>
        </w:tc>
      </w:tr>
      <w:tr w:rsidR="00DB759F" w:rsidRPr="003935EC" w:rsidTr="00594C0F">
        <w:tc>
          <w:tcPr>
            <w:tcW w:w="5000" w:type="pct"/>
            <w:gridSpan w:val="3"/>
          </w:tcPr>
          <w:p w:rsidR="00DB759F" w:rsidRPr="00F056F0" w:rsidRDefault="00DB759F" w:rsidP="00594C0F">
            <w:pPr>
              <w:jc w:val="both"/>
              <w:rPr>
                <w:rFonts w:eastAsia="Calibri"/>
                <w:sz w:val="20"/>
                <w:lang w:val="fr-CA"/>
              </w:rPr>
            </w:pPr>
          </w:p>
        </w:tc>
      </w:tr>
      <w:tr w:rsidR="00DB759F" w:rsidRPr="003935EC" w:rsidTr="00594C0F">
        <w:tc>
          <w:tcPr>
            <w:tcW w:w="5000" w:type="pct"/>
            <w:gridSpan w:val="3"/>
          </w:tcPr>
          <w:p w:rsidR="00DB759F" w:rsidRPr="00F056F0" w:rsidRDefault="00DB759F" w:rsidP="00594C0F">
            <w:pPr>
              <w:jc w:val="both"/>
              <w:rPr>
                <w:rFonts w:eastAsia="Calibri"/>
                <w:sz w:val="20"/>
                <w:lang w:val="fr-CA"/>
              </w:rPr>
            </w:pPr>
            <w:r w:rsidRPr="00F056F0">
              <w:rPr>
                <w:rFonts w:eastAsia="Calibri"/>
                <w:sz w:val="20"/>
                <w:lang w:val="fr-CA"/>
              </w:rPr>
              <w:t>Le demandeur, M. Morris, a été blessé dans un accident de la route en Alberta.  Le véhicule lui appartenait et était immatriculé en Saskatchewan.  Monsieur Morris a présenté une demande de prestations sous le régime d'assurance</w:t>
            </w:r>
            <w:r w:rsidRPr="00F056F0">
              <w:rPr>
                <w:rFonts w:eastAsia="Calibri"/>
                <w:sz w:val="20"/>
                <w:lang w:val="fr-CA"/>
              </w:rPr>
              <w:noBreakHyphen/>
              <w:t xml:space="preserve">accident de la Saskatchewan, mais sa demande a été rejetée.  L'intimée, Saskatchewan Government Insurance, a notamment fait valoir que son assurance était invalide en raison de déclarations inexactes qu’il aurait faites relativement à sa résidence et à l'endroit où le véhicule allait être utilisé principalement.  Monsieur Morris a interjeté appel de cette décision à la Cour du Banc de la Reine par voie de déclaration, en vertu de l'art. 192 de </w:t>
            </w:r>
            <w:r w:rsidRPr="00F056F0">
              <w:rPr>
                <w:rFonts w:eastAsia="Calibri"/>
                <w:i/>
                <w:sz w:val="20"/>
                <w:lang w:val="fr-CA"/>
              </w:rPr>
              <w:t>The Automobile Accident Insurance Act</w:t>
            </w:r>
            <w:r w:rsidRPr="00F056F0">
              <w:rPr>
                <w:rFonts w:eastAsia="Calibri"/>
                <w:sz w:val="20"/>
                <w:lang w:val="fr-CA"/>
              </w:rPr>
              <w:t>, R.S.S. 1978, ch. A</w:t>
            </w:r>
            <w:r w:rsidRPr="00F056F0">
              <w:rPr>
                <w:rFonts w:eastAsia="Calibri"/>
                <w:sz w:val="20"/>
                <w:lang w:val="fr-CA"/>
              </w:rPr>
              <w:noBreakHyphen/>
              <w:t>35 (« </w:t>
            </w:r>
            <w:r w:rsidRPr="00F056F0">
              <w:rPr>
                <w:rFonts w:eastAsia="Calibri"/>
                <w:i/>
                <w:sz w:val="20"/>
                <w:lang w:val="fr-CA"/>
              </w:rPr>
              <w:t>AAIA</w:t>
            </w:r>
            <w:r w:rsidRPr="00F056F0">
              <w:rPr>
                <w:rFonts w:eastAsia="Calibri"/>
                <w:sz w:val="20"/>
                <w:lang w:val="fr-CA"/>
              </w:rPr>
              <w:t xml:space="preserve"> »).  Monsieur Morris a également demandé un procès avec jury, mais sa demande a été annulée au motif que son appel de la décision de l’intimée de lui refuser des prestations n’était pas une action aux fins des art. 18 ou 19 de </w:t>
            </w:r>
            <w:r w:rsidRPr="00F056F0">
              <w:rPr>
                <w:rFonts w:eastAsia="Calibri"/>
                <w:i/>
                <w:sz w:val="20"/>
                <w:lang w:val="fr-CA"/>
              </w:rPr>
              <w:t>The Jury Act, 1998</w:t>
            </w:r>
            <w:r w:rsidRPr="00F056F0">
              <w:rPr>
                <w:rFonts w:eastAsia="Calibri"/>
                <w:sz w:val="20"/>
                <w:lang w:val="fr-CA"/>
              </w:rPr>
              <w:t>, S.S. 1998, ch. J</w:t>
            </w:r>
            <w:r w:rsidRPr="00F056F0">
              <w:rPr>
                <w:rFonts w:eastAsia="Calibri"/>
                <w:sz w:val="20"/>
                <w:lang w:val="fr-CA"/>
              </w:rPr>
              <w:noBreakHyphen/>
              <w:t>4.2.  L’appel interjeté par M. Morris de cette décision a été radié.</w:t>
            </w:r>
          </w:p>
          <w:p w:rsidR="00DB759F" w:rsidRPr="00F056F0" w:rsidRDefault="00DB759F" w:rsidP="00594C0F">
            <w:pPr>
              <w:jc w:val="both"/>
              <w:rPr>
                <w:rFonts w:eastAsia="Calibri"/>
                <w:sz w:val="20"/>
                <w:lang w:val="fr-CA"/>
              </w:rPr>
            </w:pPr>
          </w:p>
        </w:tc>
      </w:tr>
      <w:tr w:rsidR="00DB759F" w:rsidRPr="003935EC" w:rsidTr="00594C0F">
        <w:tc>
          <w:tcPr>
            <w:tcW w:w="2427" w:type="pct"/>
          </w:tcPr>
          <w:p w:rsidR="00DB759F" w:rsidRPr="00F056F0" w:rsidRDefault="00DB759F" w:rsidP="00594C0F">
            <w:pPr>
              <w:jc w:val="both"/>
              <w:rPr>
                <w:rFonts w:eastAsia="Calibri"/>
                <w:sz w:val="20"/>
                <w:lang w:val="fr-CA"/>
              </w:rPr>
            </w:pPr>
            <w:r w:rsidRPr="00F056F0">
              <w:rPr>
                <w:rFonts w:eastAsia="Calibri"/>
                <w:sz w:val="20"/>
                <w:lang w:val="fr-CA"/>
              </w:rPr>
              <w:t>29 septembre 2009</w:t>
            </w:r>
          </w:p>
          <w:p w:rsidR="00DB759F" w:rsidRPr="00F056F0" w:rsidRDefault="00DB759F" w:rsidP="00594C0F">
            <w:pPr>
              <w:jc w:val="both"/>
              <w:rPr>
                <w:rFonts w:eastAsia="Calibri"/>
                <w:sz w:val="20"/>
                <w:lang w:val="fr-CA"/>
              </w:rPr>
            </w:pPr>
            <w:r w:rsidRPr="00F056F0">
              <w:rPr>
                <w:rFonts w:eastAsia="Calibri"/>
                <w:sz w:val="20"/>
                <w:lang w:val="fr-CA"/>
              </w:rPr>
              <w:t>Cour du Banc de la Reine de la Saskatchewan</w:t>
            </w:r>
          </w:p>
          <w:p w:rsidR="00DB759F" w:rsidRPr="00F056F0" w:rsidRDefault="00DB759F" w:rsidP="00594C0F">
            <w:pPr>
              <w:jc w:val="both"/>
              <w:rPr>
                <w:rFonts w:eastAsia="Calibri"/>
                <w:sz w:val="20"/>
                <w:lang w:val="fr-CA"/>
              </w:rPr>
            </w:pPr>
            <w:r w:rsidRPr="00F056F0">
              <w:rPr>
                <w:rFonts w:eastAsia="Calibri"/>
                <w:sz w:val="20"/>
                <w:lang w:val="fr-CA"/>
              </w:rPr>
              <w:t>(Juge Gabrielson)</w:t>
            </w:r>
          </w:p>
          <w:p w:rsidR="00DB759F" w:rsidRPr="00F056F0" w:rsidRDefault="00DB759F" w:rsidP="00594C0F">
            <w:pPr>
              <w:jc w:val="both"/>
              <w:rPr>
                <w:rFonts w:eastAsia="Calibri"/>
                <w:sz w:val="20"/>
                <w:lang w:val="fr-CA"/>
              </w:rPr>
            </w:pPr>
            <w:r w:rsidRPr="00F056F0">
              <w:rPr>
                <w:rFonts w:eastAsia="Calibri"/>
                <w:sz w:val="20"/>
                <w:lang w:val="fr-CA"/>
              </w:rPr>
              <w:t xml:space="preserve">2009 SKQB 383 </w:t>
            </w:r>
          </w:p>
          <w:p w:rsidR="00DB759F" w:rsidRPr="00F056F0" w:rsidRDefault="00DB759F" w:rsidP="00594C0F">
            <w:pPr>
              <w:jc w:val="both"/>
              <w:rPr>
                <w:rFonts w:eastAsia="Calibri"/>
                <w:sz w:val="20"/>
                <w:lang w:val="fr-CA"/>
              </w:rPr>
            </w:pP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 xml:space="preserve">Demande en annulation de la demande de procès avec jury, accueillie </w:t>
            </w:r>
          </w:p>
        </w:tc>
      </w:tr>
      <w:tr w:rsidR="00DB759F" w:rsidRPr="00F056F0" w:rsidTr="00594C0F">
        <w:tc>
          <w:tcPr>
            <w:tcW w:w="2427" w:type="pct"/>
          </w:tcPr>
          <w:p w:rsidR="00DB759F" w:rsidRPr="00F056F0" w:rsidRDefault="00DB759F" w:rsidP="00594C0F">
            <w:pPr>
              <w:jc w:val="both"/>
              <w:rPr>
                <w:rFonts w:eastAsia="Calibri"/>
                <w:sz w:val="20"/>
                <w:lang w:val="fr-CA"/>
              </w:rPr>
            </w:pPr>
            <w:r w:rsidRPr="00F056F0">
              <w:rPr>
                <w:rFonts w:eastAsia="Calibri"/>
                <w:sz w:val="20"/>
                <w:lang w:val="fr-CA"/>
              </w:rPr>
              <w:t>12 avril 2012</w:t>
            </w:r>
          </w:p>
          <w:p w:rsidR="00DB759F" w:rsidRPr="00F056F0" w:rsidRDefault="00DB759F" w:rsidP="00594C0F">
            <w:pPr>
              <w:jc w:val="both"/>
              <w:rPr>
                <w:rFonts w:eastAsia="Calibri"/>
                <w:sz w:val="20"/>
                <w:lang w:val="fr-CA"/>
              </w:rPr>
            </w:pPr>
            <w:r w:rsidRPr="00F056F0">
              <w:rPr>
                <w:rFonts w:eastAsia="Calibri"/>
                <w:sz w:val="20"/>
                <w:lang w:val="fr-CA"/>
              </w:rPr>
              <w:t>Cour d’appel de la Saskatchewan</w:t>
            </w:r>
          </w:p>
          <w:p w:rsidR="00DB759F" w:rsidRPr="00F056F0" w:rsidRDefault="00DB759F" w:rsidP="00594C0F">
            <w:pPr>
              <w:jc w:val="both"/>
              <w:rPr>
                <w:rFonts w:eastAsia="Calibri"/>
                <w:sz w:val="20"/>
              </w:rPr>
            </w:pPr>
            <w:r w:rsidRPr="00F056F0">
              <w:rPr>
                <w:rFonts w:eastAsia="Calibri"/>
                <w:sz w:val="20"/>
              </w:rPr>
              <w:t>(Juges Gerwing, Jackson et Caldwell)</w:t>
            </w:r>
          </w:p>
          <w:p w:rsidR="00DB759F" w:rsidRPr="00F056F0" w:rsidRDefault="00DB759F" w:rsidP="00594C0F">
            <w:pPr>
              <w:jc w:val="both"/>
              <w:rPr>
                <w:rFonts w:eastAsia="Calibri"/>
                <w:sz w:val="20"/>
              </w:rPr>
            </w:pPr>
          </w:p>
        </w:tc>
        <w:tc>
          <w:tcPr>
            <w:tcW w:w="243" w:type="pct"/>
          </w:tcPr>
          <w:p w:rsidR="00DB759F" w:rsidRPr="00F056F0" w:rsidRDefault="00DB759F" w:rsidP="00594C0F">
            <w:pPr>
              <w:jc w:val="both"/>
              <w:rPr>
                <w:rFonts w:eastAsia="Calibri"/>
                <w:sz w:val="20"/>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Appel radié</w:t>
            </w:r>
          </w:p>
          <w:p w:rsidR="00DB759F" w:rsidRPr="00F056F0" w:rsidRDefault="00DB759F" w:rsidP="00594C0F">
            <w:pPr>
              <w:jc w:val="both"/>
              <w:rPr>
                <w:rFonts w:eastAsia="Calibri"/>
                <w:sz w:val="20"/>
                <w:lang w:val="fr-CA"/>
              </w:rPr>
            </w:pPr>
          </w:p>
        </w:tc>
      </w:tr>
      <w:tr w:rsidR="00DB759F" w:rsidRPr="00F056F0" w:rsidTr="00594C0F">
        <w:tc>
          <w:tcPr>
            <w:tcW w:w="2427" w:type="pct"/>
          </w:tcPr>
          <w:p w:rsidR="00DB759F" w:rsidRPr="00F056F0" w:rsidRDefault="00DB759F" w:rsidP="00594C0F">
            <w:pPr>
              <w:jc w:val="both"/>
              <w:rPr>
                <w:rFonts w:eastAsia="Calibri"/>
                <w:sz w:val="20"/>
                <w:lang w:val="fr-CA"/>
              </w:rPr>
            </w:pPr>
            <w:r w:rsidRPr="00F056F0">
              <w:rPr>
                <w:rFonts w:eastAsia="Calibri"/>
                <w:sz w:val="20"/>
                <w:lang w:val="fr-CA"/>
              </w:rPr>
              <w:t>4 juin 2012</w:t>
            </w:r>
          </w:p>
          <w:p w:rsidR="00DB759F" w:rsidRPr="00F056F0" w:rsidRDefault="00DB759F" w:rsidP="00594C0F">
            <w:pPr>
              <w:jc w:val="both"/>
              <w:rPr>
                <w:rFonts w:eastAsia="Calibri"/>
                <w:sz w:val="20"/>
                <w:lang w:val="fr-CA"/>
              </w:rPr>
            </w:pPr>
            <w:r w:rsidRPr="00F056F0">
              <w:rPr>
                <w:rFonts w:eastAsia="Calibri"/>
                <w:sz w:val="20"/>
                <w:lang w:val="fr-CA"/>
              </w:rPr>
              <w:t>Cour suprême du Canada</w:t>
            </w:r>
          </w:p>
        </w:tc>
        <w:tc>
          <w:tcPr>
            <w:tcW w:w="243" w:type="pct"/>
          </w:tcPr>
          <w:p w:rsidR="00DB759F" w:rsidRPr="00F056F0" w:rsidRDefault="00DB759F" w:rsidP="00594C0F">
            <w:pPr>
              <w:jc w:val="both"/>
              <w:rPr>
                <w:rFonts w:eastAsia="Calibri"/>
                <w:sz w:val="20"/>
                <w:lang w:val="fr-CA"/>
              </w:rPr>
            </w:pPr>
          </w:p>
        </w:tc>
        <w:tc>
          <w:tcPr>
            <w:tcW w:w="2330" w:type="pct"/>
          </w:tcPr>
          <w:p w:rsidR="00DB759F" w:rsidRPr="00F056F0" w:rsidRDefault="00DB759F" w:rsidP="00594C0F">
            <w:pPr>
              <w:jc w:val="both"/>
              <w:rPr>
                <w:rFonts w:eastAsia="Calibri"/>
                <w:sz w:val="20"/>
                <w:lang w:val="fr-CA"/>
              </w:rPr>
            </w:pPr>
            <w:r w:rsidRPr="00F056F0">
              <w:rPr>
                <w:rFonts w:eastAsia="Calibri"/>
                <w:sz w:val="20"/>
                <w:lang w:val="fr-CA"/>
              </w:rPr>
              <w:t>Demande d’autorisation d’appel, déposée</w:t>
            </w:r>
          </w:p>
          <w:p w:rsidR="00DB759F" w:rsidRPr="00F056F0" w:rsidRDefault="00DB759F"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61" style="width:2in;height:1pt" o:hrpct="0" o:hralign="center" o:hrstd="t" o:hrnoshade="t" o:hr="t" fillcolor="black [3213]" stroked="f"/>
        </w:pict>
      </w:r>
    </w:p>
    <w:p w:rsidR="002E6033" w:rsidRDefault="002E6033">
      <w:pPr>
        <w:rPr>
          <w:sz w:val="20"/>
          <w:szCs w:val="20"/>
        </w:rPr>
      </w:pPr>
    </w:p>
    <w:p w:rsidR="002E6033" w:rsidRDefault="002E6033">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1E96" w:rsidRPr="00AF7C00" w:rsidTr="00594C0F">
        <w:trPr>
          <w:cantSplit/>
        </w:trPr>
        <w:tc>
          <w:tcPr>
            <w:tcW w:w="1458" w:type="dxa"/>
          </w:tcPr>
          <w:p w:rsidR="002B1E96" w:rsidRPr="00AF7C00" w:rsidRDefault="002B1E96" w:rsidP="00594C0F">
            <w:pPr>
              <w:rPr>
                <w:sz w:val="20"/>
                <w:szCs w:val="20"/>
              </w:rPr>
            </w:pPr>
            <w:r w:rsidRPr="00AF7C00">
              <w:rPr>
                <w:rStyle w:val="SCCFileNumberChar"/>
                <w:sz w:val="20"/>
                <w:szCs w:val="20"/>
              </w:rPr>
              <w:lastRenderedPageBreak/>
              <w:t>34867</w:t>
            </w:r>
          </w:p>
          <w:p w:rsidR="002B1E96" w:rsidRPr="00AF7C00" w:rsidRDefault="002B1E96" w:rsidP="00594C0F">
            <w:pPr>
              <w:rPr>
                <w:b/>
                <w:sz w:val="20"/>
                <w:szCs w:val="20"/>
                <w:lang w:val="fr-CA"/>
              </w:rPr>
            </w:pPr>
          </w:p>
        </w:tc>
        <w:tc>
          <w:tcPr>
            <w:tcW w:w="8118" w:type="dxa"/>
          </w:tcPr>
          <w:p w:rsidR="002B1E96" w:rsidRPr="00AF7C00" w:rsidRDefault="002B1E96" w:rsidP="00594C0F">
            <w:pPr>
              <w:rPr>
                <w:sz w:val="20"/>
                <w:szCs w:val="20"/>
              </w:rPr>
            </w:pPr>
            <w:r w:rsidRPr="00AF7C00">
              <w:rPr>
                <w:rStyle w:val="SCCLsocChar"/>
                <w:sz w:val="20"/>
                <w:szCs w:val="20"/>
                <w:lang w:val="en-CA"/>
              </w:rPr>
              <w:t>Alec Wolowidnyk v. Faith Rose Elizabeth Wolowidnyk</w:t>
            </w:r>
            <w:r w:rsidRPr="00AF7C00">
              <w:rPr>
                <w:sz w:val="20"/>
                <w:szCs w:val="20"/>
              </w:rPr>
              <w:t xml:space="preserve"> (B.C.) (Civil) (By Leave)</w:t>
            </w:r>
          </w:p>
          <w:p w:rsidR="002B1E96" w:rsidRPr="00AF7C00" w:rsidRDefault="002B1E96" w:rsidP="00594C0F">
            <w:pPr>
              <w:rPr>
                <w:sz w:val="20"/>
                <w:szCs w:val="20"/>
              </w:rPr>
            </w:pPr>
          </w:p>
        </w:tc>
      </w:tr>
      <w:tr w:rsidR="002B1E96" w:rsidRPr="00AF7C00" w:rsidTr="00594C0F">
        <w:trPr>
          <w:cantSplit/>
        </w:trPr>
        <w:tc>
          <w:tcPr>
            <w:tcW w:w="1458" w:type="dxa"/>
          </w:tcPr>
          <w:p w:rsidR="002B1E96" w:rsidRPr="00AF7C00" w:rsidRDefault="002B1E96" w:rsidP="00594C0F">
            <w:pPr>
              <w:rPr>
                <w:sz w:val="20"/>
                <w:szCs w:val="20"/>
              </w:rPr>
            </w:pPr>
            <w:r w:rsidRPr="00AF7C00">
              <w:rPr>
                <w:sz w:val="20"/>
                <w:szCs w:val="20"/>
              </w:rPr>
              <w:t>Coram :</w:t>
            </w:r>
          </w:p>
        </w:tc>
        <w:tc>
          <w:tcPr>
            <w:tcW w:w="8118" w:type="dxa"/>
          </w:tcPr>
          <w:p w:rsidR="002B1E96" w:rsidRPr="00AF7C00" w:rsidRDefault="002B1E96" w:rsidP="00594C0F">
            <w:pPr>
              <w:rPr>
                <w:sz w:val="20"/>
                <w:szCs w:val="20"/>
              </w:rPr>
            </w:pPr>
            <w:r w:rsidRPr="00AF7C00">
              <w:rPr>
                <w:rStyle w:val="SCCCoramChar"/>
                <w:sz w:val="20"/>
                <w:szCs w:val="20"/>
                <w:lang w:val="en-CA"/>
              </w:rPr>
              <w:t>McLachlin C.J. and Rothstein and Moldaver JJ.</w:t>
            </w:r>
          </w:p>
          <w:p w:rsidR="002B1E96" w:rsidRPr="00AF7C00" w:rsidRDefault="002B1E96" w:rsidP="00594C0F">
            <w:pPr>
              <w:rPr>
                <w:sz w:val="20"/>
                <w:szCs w:val="20"/>
                <w:u w:val="single"/>
              </w:rPr>
            </w:pPr>
          </w:p>
        </w:tc>
      </w:tr>
      <w:tr w:rsidR="002B1E96" w:rsidRPr="003935EC" w:rsidTr="00594C0F">
        <w:trPr>
          <w:cantSplit/>
        </w:trPr>
        <w:tc>
          <w:tcPr>
            <w:tcW w:w="9576" w:type="dxa"/>
            <w:gridSpan w:val="2"/>
          </w:tcPr>
          <w:p w:rsidR="002B1E96" w:rsidRPr="00AF7C00" w:rsidRDefault="002B1E96" w:rsidP="00594C0F">
            <w:pPr>
              <w:pStyle w:val="SCCShortJudgment"/>
              <w:rPr>
                <w:szCs w:val="20"/>
              </w:rPr>
            </w:pPr>
            <w:r w:rsidRPr="00AF7C00">
              <w:rPr>
                <w:szCs w:val="20"/>
              </w:rPr>
              <w:t>The application for leave to appeal from the judgment of the Court of Appeal for British Columbia (Vancouver), Number CA039003, 2012 BCCA 158, dated April 13, 2012, is dismissed with costs.</w:t>
            </w:r>
          </w:p>
          <w:p w:rsidR="002B1E96" w:rsidRPr="00AF7C00" w:rsidRDefault="002B1E96" w:rsidP="00594C0F">
            <w:pPr>
              <w:pStyle w:val="SCCShortJudgment"/>
              <w:ind w:firstLine="0"/>
              <w:rPr>
                <w:szCs w:val="20"/>
              </w:rPr>
            </w:pPr>
          </w:p>
          <w:p w:rsidR="002B1E96" w:rsidRPr="00AF7C00" w:rsidRDefault="002B1E96" w:rsidP="00594C0F">
            <w:pPr>
              <w:pStyle w:val="SCCShortJudgment"/>
              <w:rPr>
                <w:szCs w:val="20"/>
                <w:lang w:val="fr-CA"/>
              </w:rPr>
            </w:pPr>
            <w:r w:rsidRPr="00AF7C00">
              <w:rPr>
                <w:szCs w:val="20"/>
                <w:lang w:val="fr-CA"/>
              </w:rPr>
              <w:t>La demande d’autorisation d’appel de l’arrêt de la Cour d’appel de la Colombie-Britannique (Vancouver), numéro CA039003, 2012 BCCA 158, daté du 13 avril 2012, est rejetée avec dépens.</w:t>
            </w:r>
          </w:p>
        </w:tc>
      </w:tr>
    </w:tbl>
    <w:p w:rsidR="005F361C" w:rsidRPr="002B1E96"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Family law — Family assets — Division — Applicant appealing order dismissing some of his claims related to breakdown of marriage — Whether it is in the national interest for husbands to be treated equally following separation — Whether men ought to receive equal treatment to reside in the family residence post separation</w:t>
            </w:r>
          </w:p>
        </w:tc>
      </w:tr>
      <w:tr w:rsidR="00C965C5" w:rsidRPr="00F056F0" w:rsidTr="00594C0F">
        <w:tc>
          <w:tcPr>
            <w:tcW w:w="5000" w:type="pct"/>
            <w:gridSpan w:val="3"/>
          </w:tcPr>
          <w:p w:rsidR="00C965C5" w:rsidRPr="00F056F0" w:rsidRDefault="00C965C5" w:rsidP="00594C0F">
            <w:pPr>
              <w:jc w:val="both"/>
              <w:rPr>
                <w:rFonts w:eastAsia="Calibri"/>
                <w:sz w:val="20"/>
              </w:rPr>
            </w:pPr>
          </w:p>
        </w:tc>
      </w:tr>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 xml:space="preserve">The parties were married on January 6, 2001, and separated on November 25, 2005, when the husband moved out of the matrimonial home.  He did not move back into the home after obtaining an interim order in January, 2006, that allowed the parties exclusive occupancy of different areas of the home.  The husband maintained that he could not return because he feared for his safety at the hands of the wife’s brother and her two sons by a previous marriage.  One of the sons was convicted of assaulting the husband in 2008.  The husband is 73 years of age and the wife is 63.  At trial in 2007, the trial judge ordered an equal division of family assets including the family residence.  The husband’s appeal was allowed and on his claim for reapportionment, he was awarded a 60 per cent interest in the family residence.  The Court of Appeal ordered that it be sold with reimbursement of mortgage payments made by the husband after trial to be effected prior to the division of proceeds.  The husband purchased the wife’s interest instead and began to occupy the residence again in October, 2009.  The husband commenced a second action against the wife, her sons and her brother in August 2009, claiming, </w:t>
            </w:r>
            <w:r w:rsidRPr="00F056F0">
              <w:rPr>
                <w:rFonts w:eastAsia="Calibri"/>
                <w:i/>
                <w:sz w:val="20"/>
              </w:rPr>
              <w:t>inter alia</w:t>
            </w:r>
            <w:r w:rsidRPr="00F056F0">
              <w:rPr>
                <w:rFonts w:eastAsia="Calibri"/>
                <w:sz w:val="20"/>
              </w:rPr>
              <w:t>, a conspiracy to injure, private nuisance, damage to property, emotional injury, occupation rent, damages for unjust enrichment, compensation for the cost of replacing certain chattels, specific performance of the trial judge’s order regarding bank accounts and family cars and rectification.  He also sought punitive, aggravated and general damages, special costs and interest.</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June 4, 2010</w:t>
            </w:r>
          </w:p>
          <w:p w:rsidR="00C965C5" w:rsidRPr="00F056F0" w:rsidRDefault="00C965C5" w:rsidP="00594C0F">
            <w:pPr>
              <w:jc w:val="both"/>
              <w:rPr>
                <w:rFonts w:eastAsia="Calibri"/>
                <w:sz w:val="20"/>
              </w:rPr>
            </w:pPr>
            <w:r w:rsidRPr="00F056F0">
              <w:rPr>
                <w:rFonts w:eastAsia="Calibri"/>
                <w:sz w:val="20"/>
              </w:rPr>
              <w:t>Supreme Court of British Columbia</w:t>
            </w:r>
          </w:p>
          <w:p w:rsidR="00C965C5" w:rsidRPr="00F056F0" w:rsidRDefault="00C965C5" w:rsidP="00594C0F">
            <w:pPr>
              <w:jc w:val="both"/>
              <w:rPr>
                <w:rFonts w:eastAsia="Calibri"/>
                <w:sz w:val="20"/>
              </w:rPr>
            </w:pPr>
            <w:r w:rsidRPr="00F056F0">
              <w:rPr>
                <w:rFonts w:eastAsia="Calibri"/>
                <w:sz w:val="20"/>
              </w:rPr>
              <w:t>(Bruce J.)</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 xml:space="preserve">Trial judge dismissing certain claims made by the husband  </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April 8, 2011</w:t>
            </w:r>
          </w:p>
          <w:p w:rsidR="00C965C5" w:rsidRPr="00F056F0" w:rsidRDefault="00C965C5" w:rsidP="00594C0F">
            <w:pPr>
              <w:jc w:val="both"/>
              <w:rPr>
                <w:rFonts w:eastAsia="Calibri"/>
                <w:sz w:val="20"/>
              </w:rPr>
            </w:pPr>
            <w:r w:rsidRPr="00F056F0">
              <w:rPr>
                <w:rFonts w:eastAsia="Calibri"/>
                <w:sz w:val="20"/>
              </w:rPr>
              <w:t>Supreme Court of British Columbia</w:t>
            </w:r>
          </w:p>
          <w:p w:rsidR="00C965C5" w:rsidRPr="00F056F0" w:rsidRDefault="00C965C5" w:rsidP="00594C0F">
            <w:pPr>
              <w:jc w:val="both"/>
              <w:rPr>
                <w:rFonts w:eastAsia="Calibri"/>
                <w:sz w:val="20"/>
              </w:rPr>
            </w:pPr>
            <w:r w:rsidRPr="00F056F0">
              <w:rPr>
                <w:rFonts w:eastAsia="Calibri"/>
                <w:sz w:val="20"/>
              </w:rPr>
              <w:t>(Bruce J.)</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Wife ordered to pay husband $567.98 for damage to personal property and $8,676 to equalize chattel division</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April 13, 2012</w:t>
            </w:r>
          </w:p>
          <w:p w:rsidR="00C965C5" w:rsidRPr="00F056F0" w:rsidRDefault="00C965C5" w:rsidP="00594C0F">
            <w:pPr>
              <w:jc w:val="both"/>
              <w:rPr>
                <w:rFonts w:eastAsia="Calibri"/>
                <w:sz w:val="20"/>
              </w:rPr>
            </w:pPr>
            <w:r w:rsidRPr="00F056F0">
              <w:rPr>
                <w:rFonts w:eastAsia="Calibri"/>
                <w:sz w:val="20"/>
              </w:rPr>
              <w:t>Court of Appeal for British Columbia (Vancouver)</w:t>
            </w:r>
          </w:p>
          <w:p w:rsidR="00C965C5" w:rsidRPr="00F056F0" w:rsidRDefault="00C965C5" w:rsidP="00594C0F">
            <w:pPr>
              <w:jc w:val="both"/>
              <w:rPr>
                <w:rFonts w:eastAsia="Calibri"/>
                <w:sz w:val="20"/>
              </w:rPr>
            </w:pPr>
            <w:r w:rsidRPr="00F056F0">
              <w:rPr>
                <w:rFonts w:eastAsia="Calibri"/>
                <w:sz w:val="20"/>
              </w:rPr>
              <w:t>(Lowry, Bennett and Mackenzie JJ.A.)</w:t>
            </w:r>
          </w:p>
          <w:p w:rsidR="00C965C5" w:rsidRPr="00F056F0" w:rsidRDefault="00C965C5" w:rsidP="00594C0F">
            <w:pPr>
              <w:jc w:val="both"/>
              <w:rPr>
                <w:rFonts w:eastAsia="Calibri"/>
                <w:sz w:val="20"/>
              </w:rPr>
            </w:pPr>
            <w:r w:rsidRPr="00F056F0">
              <w:rPr>
                <w:rFonts w:eastAsia="Calibri"/>
                <w:sz w:val="20"/>
              </w:rPr>
              <w:t xml:space="preserve">2012 BCCA 158 </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Husband’s appeal dismissed; Wife’s cross-appeal allowed in part; Amount payable by wife for chattel equalization reduced to $4,631</w:t>
            </w:r>
          </w:p>
          <w:p w:rsidR="00C965C5" w:rsidRPr="00F056F0" w:rsidRDefault="00C965C5" w:rsidP="00594C0F">
            <w:pPr>
              <w:jc w:val="both"/>
              <w:rPr>
                <w:rFonts w:eastAsia="Calibri"/>
                <w:sz w:val="20"/>
              </w:rPr>
            </w:pP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June 12, 2012</w:t>
            </w:r>
          </w:p>
          <w:p w:rsidR="00C965C5" w:rsidRPr="00F056F0" w:rsidRDefault="00C965C5" w:rsidP="00594C0F">
            <w:pPr>
              <w:jc w:val="both"/>
              <w:rPr>
                <w:rFonts w:eastAsia="Calibri"/>
                <w:sz w:val="20"/>
              </w:rPr>
            </w:pPr>
            <w:r w:rsidRPr="00F056F0">
              <w:rPr>
                <w:rFonts w:eastAsia="Calibri"/>
                <w:sz w:val="20"/>
              </w:rPr>
              <w:t>Supreme Court of Canada</w:t>
            </w: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Application for leave to appeal filed</w:t>
            </w:r>
          </w:p>
          <w:p w:rsidR="00C965C5" w:rsidRPr="00F056F0" w:rsidRDefault="00C965C5"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62" style="width:2in;height:1pt" o:hrpct="0" o:hralign="center" o:hrstd="t" o:hrnoshade="t" o:hr="t" fillcolor="black [3213]" stroked="f"/>
        </w:pict>
      </w:r>
    </w:p>
    <w:p w:rsidR="005F361C" w:rsidRDefault="005F361C" w:rsidP="005F361C">
      <w:pPr>
        <w:rPr>
          <w:sz w:val="20"/>
          <w:szCs w:val="20"/>
        </w:rPr>
      </w:pPr>
    </w:p>
    <w:p w:rsidR="002E6033" w:rsidRDefault="002E6033">
      <w:pPr>
        <w:rPr>
          <w:sz w:val="20"/>
          <w:szCs w:val="20"/>
          <w:u w:val="single"/>
          <w:lang w:val="fr-CA"/>
        </w:rPr>
      </w:pPr>
      <w:r>
        <w:rPr>
          <w:sz w:val="20"/>
          <w:szCs w:val="20"/>
          <w:u w:val="single"/>
          <w:lang w:val="fr-CA"/>
        </w:rPr>
        <w:br w:type="page"/>
      </w:r>
    </w:p>
    <w:p w:rsidR="005F361C" w:rsidRPr="001B157C" w:rsidRDefault="005F361C" w:rsidP="005F361C">
      <w:pPr>
        <w:rPr>
          <w:sz w:val="20"/>
          <w:szCs w:val="20"/>
          <w:u w:val="single"/>
          <w:lang w:val="fr-CA"/>
        </w:rPr>
      </w:pPr>
      <w:r w:rsidRPr="001B157C">
        <w:rPr>
          <w:sz w:val="20"/>
          <w:szCs w:val="20"/>
          <w:u w:val="single"/>
          <w:lang w:val="fr-CA"/>
        </w:rPr>
        <w:lastRenderedPageBreak/>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Droit de la famille — Biens familiaux — Partage — Le demandeur interjette appel d'une ordonnance rejetant certaines de ses allégations et demandes liées à l'échec du mariage — Est</w:t>
            </w:r>
            <w:r w:rsidRPr="00F056F0">
              <w:rPr>
                <w:rFonts w:eastAsia="Calibri"/>
                <w:sz w:val="20"/>
                <w:lang w:val="fr-CA"/>
              </w:rPr>
              <w:noBreakHyphen/>
              <w:t>il d'intérêt national de traiter également les époux à la suite d'une séparation? — Les hommes devraient</w:t>
            </w:r>
            <w:r w:rsidRPr="00F056F0">
              <w:rPr>
                <w:rFonts w:eastAsia="Calibri"/>
                <w:sz w:val="20"/>
                <w:lang w:val="fr-CA"/>
              </w:rPr>
              <w:noBreakHyphen/>
              <w:t>ils obtenir un traitement égal afin qu’ils puissent résider dans la résidence familiale après la séparation?</w:t>
            </w:r>
          </w:p>
        </w:tc>
      </w:tr>
      <w:tr w:rsidR="00C965C5" w:rsidRPr="003935EC" w:rsidTr="00594C0F">
        <w:tc>
          <w:tcPr>
            <w:tcW w:w="5000" w:type="pct"/>
            <w:gridSpan w:val="3"/>
          </w:tcPr>
          <w:p w:rsidR="00C965C5" w:rsidRPr="00F056F0" w:rsidRDefault="00C965C5" w:rsidP="00594C0F">
            <w:pPr>
              <w:jc w:val="both"/>
              <w:rPr>
                <w:rFonts w:eastAsia="Calibri"/>
                <w:sz w:val="20"/>
                <w:lang w:val="fr-CA"/>
              </w:rPr>
            </w:pPr>
          </w:p>
        </w:tc>
      </w:tr>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Les parties se sont mariées le 6 janvier 2001 et se sont séparées le 25 novembre 2005, lorsque l'époux a quitté le foyer conjugal.  Il n'est pas revenu vivre au foyer après avoir obtenu une ordonnance provisoire en janvier 2006 qui accordait aux parties l'occupation exclusive de parties différentes de la maison.  L'époux a affirmé qu'il ne pouvait pas rentrer à la maison parce qu'il craignait pour sa sécurité aux mains du frère de son épouse et des deux fils de celle</w:t>
            </w:r>
            <w:r w:rsidRPr="00F056F0">
              <w:rPr>
                <w:rFonts w:eastAsia="Calibri"/>
                <w:sz w:val="20"/>
                <w:lang w:val="fr-CA"/>
              </w:rPr>
              <w:noBreakHyphen/>
              <w:t>ci issus d’un mariage précédent.  L'un des fils a été déclaré coupable de voies de fait contre l'époux en 2008.  L'époux est âgé de 73 ans et l'épouse est âgée de 63 ans.  Au procès tenu en 2007, le juge a ordonné le partage égal des biens familiaux, y compris la résidence familiale.  L'appel de l'époux a été accueilli et, à la suite de sa demande de redistribution, il s'est vu accorder une participation de 60 % dans la résidence familiale.  La Cour d'appel a ordonné la vente de la maison et que le remboursement des paiements hypothécaires faits par l'époux après le procès soit fait avant le partage du produit de la vente.  L'époux a plutôt acheté la part de son épouse et a commencé à occuper la résidence de nouveau en octobre 2009.  L'époux a intenté une deuxième action contre son épouse et contre les fils et le frère de cette dernière en août 2009, alléguant notamment un complot en vue d’infliger des lésions corporelles, une nuisance privée, des dommages matériels et un préjudice émotionnel et demandant une indemnité d'occupation, des dommages</w:t>
            </w:r>
            <w:r w:rsidRPr="00F056F0">
              <w:rPr>
                <w:rFonts w:eastAsia="Calibri"/>
                <w:sz w:val="20"/>
                <w:lang w:val="fr-CA"/>
              </w:rPr>
              <w:noBreakHyphen/>
              <w:t>intérêts pour enrichissement sans cause, une indemnité de remplacement de certains biens meubles, l'exécution en nature de l'ordonnance du juge du procès relativement aux comptes bancaires et aux voitures familiales et la rectification.  Il a également demandé des dommages</w:t>
            </w:r>
            <w:r w:rsidRPr="00F056F0">
              <w:rPr>
                <w:rFonts w:eastAsia="Calibri"/>
                <w:sz w:val="20"/>
                <w:lang w:val="fr-CA"/>
              </w:rPr>
              <w:noBreakHyphen/>
              <w:t>intérêts punitifs, majorés et généraux, ainsi que des dépens spéciaux et des intérêts.</w:t>
            </w:r>
          </w:p>
          <w:p w:rsidR="00C965C5" w:rsidRPr="00F056F0" w:rsidRDefault="00C965C5" w:rsidP="00594C0F">
            <w:pPr>
              <w:jc w:val="both"/>
              <w:rPr>
                <w:rFonts w:eastAsia="Calibri"/>
                <w:sz w:val="20"/>
                <w:lang w:val="fr-CA"/>
              </w:rPr>
            </w:pP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4 juin 2010</w:t>
            </w:r>
          </w:p>
          <w:p w:rsidR="00C965C5" w:rsidRPr="00F056F0" w:rsidRDefault="00C965C5" w:rsidP="00594C0F">
            <w:pPr>
              <w:jc w:val="both"/>
              <w:rPr>
                <w:rFonts w:eastAsia="Calibri"/>
                <w:sz w:val="20"/>
                <w:lang w:val="fr-CA"/>
              </w:rPr>
            </w:pPr>
            <w:r w:rsidRPr="00F056F0">
              <w:rPr>
                <w:rFonts w:eastAsia="Calibri"/>
                <w:sz w:val="20"/>
                <w:lang w:val="fr-CA"/>
              </w:rPr>
              <w:t>Cour suprême de la Colombie</w:t>
            </w:r>
            <w:r w:rsidRPr="00F056F0">
              <w:rPr>
                <w:rFonts w:eastAsia="Calibri"/>
                <w:sz w:val="20"/>
                <w:lang w:val="fr-CA"/>
              </w:rPr>
              <w:noBreakHyphen/>
              <w:t xml:space="preserve">Britannique </w:t>
            </w:r>
          </w:p>
          <w:p w:rsidR="00C965C5" w:rsidRPr="00F056F0" w:rsidRDefault="00C965C5" w:rsidP="00594C0F">
            <w:pPr>
              <w:jc w:val="both"/>
              <w:rPr>
                <w:rFonts w:eastAsia="Calibri"/>
                <w:sz w:val="20"/>
                <w:lang w:val="fr-CA"/>
              </w:rPr>
            </w:pPr>
            <w:r w:rsidRPr="00F056F0">
              <w:rPr>
                <w:rFonts w:eastAsia="Calibri"/>
                <w:sz w:val="20"/>
                <w:lang w:val="fr-CA"/>
              </w:rPr>
              <w:t>(Juge Bruce)</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Le juge du procès rejette certaines allégations et demandes faites par l'époux</w:t>
            </w:r>
          </w:p>
          <w:p w:rsidR="00C965C5" w:rsidRPr="00F056F0" w:rsidRDefault="00C965C5" w:rsidP="00594C0F">
            <w:pPr>
              <w:jc w:val="both"/>
              <w:rPr>
                <w:rFonts w:eastAsia="Calibri"/>
                <w:sz w:val="20"/>
                <w:lang w:val="fr-CA"/>
              </w:rPr>
            </w:pP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8 avril 2011</w:t>
            </w:r>
          </w:p>
          <w:p w:rsidR="00C965C5" w:rsidRPr="00F056F0" w:rsidRDefault="00C965C5" w:rsidP="00594C0F">
            <w:pPr>
              <w:jc w:val="both"/>
              <w:rPr>
                <w:rFonts w:eastAsia="Calibri"/>
                <w:sz w:val="20"/>
                <w:lang w:val="fr-CA"/>
              </w:rPr>
            </w:pPr>
            <w:r w:rsidRPr="00F056F0">
              <w:rPr>
                <w:rFonts w:eastAsia="Calibri"/>
                <w:sz w:val="20"/>
                <w:lang w:val="fr-CA"/>
              </w:rPr>
              <w:t>Cour suprême de la Colombie</w:t>
            </w:r>
            <w:r w:rsidRPr="00F056F0">
              <w:rPr>
                <w:rFonts w:eastAsia="Calibri"/>
                <w:sz w:val="20"/>
                <w:lang w:val="fr-CA"/>
              </w:rPr>
              <w:noBreakHyphen/>
              <w:t xml:space="preserve">Britannique </w:t>
            </w:r>
          </w:p>
          <w:p w:rsidR="00C965C5" w:rsidRPr="00F056F0" w:rsidRDefault="00C965C5" w:rsidP="00594C0F">
            <w:pPr>
              <w:jc w:val="both"/>
              <w:rPr>
                <w:rFonts w:eastAsia="Calibri"/>
                <w:sz w:val="20"/>
                <w:lang w:val="fr-CA"/>
              </w:rPr>
            </w:pPr>
            <w:r w:rsidRPr="00F056F0">
              <w:rPr>
                <w:rFonts w:eastAsia="Calibri"/>
                <w:sz w:val="20"/>
                <w:lang w:val="fr-CA"/>
              </w:rPr>
              <w:t>(Juge Bruce)</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Le tribunal ordonne à l'épouse de payer à l'époux la somme de 567,98 $ au titre de dommages aux biens personnels et la somme de 8 676 $ pour égaliser le partage des biens meubles</w:t>
            </w:r>
          </w:p>
          <w:p w:rsidR="00C965C5" w:rsidRPr="00F056F0" w:rsidRDefault="00C965C5" w:rsidP="00594C0F">
            <w:pPr>
              <w:jc w:val="both"/>
              <w:rPr>
                <w:rFonts w:eastAsia="Calibri"/>
                <w:sz w:val="20"/>
                <w:lang w:val="fr-CA"/>
              </w:rPr>
            </w:pP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13 avril 2012</w:t>
            </w:r>
          </w:p>
          <w:p w:rsidR="00C965C5" w:rsidRPr="00F056F0" w:rsidRDefault="00C965C5" w:rsidP="00594C0F">
            <w:pPr>
              <w:jc w:val="both"/>
              <w:rPr>
                <w:rFonts w:eastAsia="Calibri"/>
                <w:sz w:val="20"/>
                <w:lang w:val="fr-CA"/>
              </w:rPr>
            </w:pPr>
            <w:r w:rsidRPr="00F056F0">
              <w:rPr>
                <w:rFonts w:eastAsia="Calibri"/>
                <w:sz w:val="20"/>
                <w:lang w:val="fr-CA"/>
              </w:rPr>
              <w:t>Cour d'appel de la Colombie</w:t>
            </w:r>
            <w:r w:rsidRPr="00F056F0">
              <w:rPr>
                <w:rFonts w:eastAsia="Calibri"/>
                <w:sz w:val="20"/>
                <w:lang w:val="fr-CA"/>
              </w:rPr>
              <w:noBreakHyphen/>
              <w:t>Britannique (Vancouver)</w:t>
            </w:r>
          </w:p>
          <w:p w:rsidR="00C965C5" w:rsidRPr="00F056F0" w:rsidRDefault="00C965C5" w:rsidP="00594C0F">
            <w:pPr>
              <w:jc w:val="both"/>
              <w:rPr>
                <w:rFonts w:eastAsia="Calibri"/>
                <w:sz w:val="20"/>
                <w:lang w:val="fr-CA"/>
              </w:rPr>
            </w:pPr>
            <w:r w:rsidRPr="00F056F0">
              <w:rPr>
                <w:rFonts w:eastAsia="Calibri"/>
                <w:sz w:val="20"/>
                <w:lang w:val="fr-CA"/>
              </w:rPr>
              <w:t>(Juges Lowry, Bennett et Mackenzie)</w:t>
            </w:r>
          </w:p>
          <w:p w:rsidR="00C965C5" w:rsidRPr="00F056F0" w:rsidRDefault="00C965C5" w:rsidP="00594C0F">
            <w:pPr>
              <w:jc w:val="both"/>
              <w:rPr>
                <w:rFonts w:eastAsia="Calibri"/>
                <w:sz w:val="20"/>
                <w:lang w:val="fr-CA"/>
              </w:rPr>
            </w:pPr>
            <w:r w:rsidRPr="00F056F0">
              <w:rPr>
                <w:rFonts w:eastAsia="Calibri"/>
                <w:sz w:val="20"/>
                <w:lang w:val="fr-CA"/>
              </w:rPr>
              <w:t xml:space="preserve">2012 BCCA 158 </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Appel de l'époux, rejeté; appel incident de l’épouse, accueilli en partie; montant payable par l'épouse au titre de l’égalisation du partage des biens meubles réduit à 4 631 $</w:t>
            </w:r>
          </w:p>
          <w:p w:rsidR="00C965C5" w:rsidRPr="00F056F0" w:rsidRDefault="00C965C5" w:rsidP="00594C0F">
            <w:pPr>
              <w:jc w:val="both"/>
              <w:rPr>
                <w:rFonts w:eastAsia="Calibri"/>
                <w:sz w:val="20"/>
                <w:lang w:val="fr-CA"/>
              </w:rPr>
            </w:pPr>
          </w:p>
        </w:tc>
      </w:tr>
      <w:tr w:rsidR="00C965C5" w:rsidRPr="00F056F0"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12 juin 2012</w:t>
            </w:r>
          </w:p>
          <w:p w:rsidR="00C965C5" w:rsidRPr="00F056F0" w:rsidRDefault="00C965C5" w:rsidP="00594C0F">
            <w:pPr>
              <w:jc w:val="both"/>
              <w:rPr>
                <w:rFonts w:eastAsia="Calibri"/>
                <w:sz w:val="20"/>
                <w:lang w:val="fr-CA"/>
              </w:rPr>
            </w:pPr>
            <w:r w:rsidRPr="00F056F0">
              <w:rPr>
                <w:rFonts w:eastAsia="Calibri"/>
                <w:sz w:val="20"/>
                <w:lang w:val="fr-CA"/>
              </w:rPr>
              <w:t>Cour suprême du Canada</w:t>
            </w: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Demande d'autorisation d'appel, déposée</w:t>
            </w: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63" style="width:2in;height:1pt" o:hrpct="0" o:hralign="center" o:hrstd="t" o:hrnoshade="t" o:hr="t" fillcolor="black [3213]" stroked="f"/>
        </w:pict>
      </w:r>
    </w:p>
    <w:p w:rsidR="005F361C" w:rsidRDefault="005F361C" w:rsidP="005F361C">
      <w:pPr>
        <w:rPr>
          <w:sz w:val="20"/>
          <w:szCs w:val="20"/>
        </w:rPr>
      </w:pPr>
    </w:p>
    <w:p w:rsidR="002E6033" w:rsidRDefault="002E6033">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1E96" w:rsidRPr="00AF7C00" w:rsidTr="00594C0F">
        <w:trPr>
          <w:cantSplit/>
        </w:trPr>
        <w:tc>
          <w:tcPr>
            <w:tcW w:w="1458" w:type="dxa"/>
          </w:tcPr>
          <w:p w:rsidR="002B1E96" w:rsidRPr="00AF7C00" w:rsidRDefault="002B1E96" w:rsidP="00594C0F">
            <w:pPr>
              <w:rPr>
                <w:sz w:val="20"/>
                <w:szCs w:val="20"/>
              </w:rPr>
            </w:pPr>
            <w:r w:rsidRPr="00AF7C00">
              <w:rPr>
                <w:rStyle w:val="SCCFileNumberChar"/>
                <w:sz w:val="20"/>
                <w:szCs w:val="20"/>
              </w:rPr>
              <w:lastRenderedPageBreak/>
              <w:t>34869</w:t>
            </w:r>
          </w:p>
          <w:p w:rsidR="002B1E96" w:rsidRPr="00AF7C00" w:rsidRDefault="002B1E96" w:rsidP="00594C0F">
            <w:pPr>
              <w:rPr>
                <w:b/>
                <w:sz w:val="20"/>
                <w:szCs w:val="20"/>
                <w:lang w:val="fr-CA"/>
              </w:rPr>
            </w:pPr>
          </w:p>
        </w:tc>
        <w:tc>
          <w:tcPr>
            <w:tcW w:w="8118" w:type="dxa"/>
          </w:tcPr>
          <w:p w:rsidR="002B1E96" w:rsidRPr="00AF7C00" w:rsidRDefault="002B1E96" w:rsidP="00594C0F">
            <w:pPr>
              <w:jc w:val="both"/>
              <w:rPr>
                <w:sz w:val="20"/>
                <w:szCs w:val="20"/>
              </w:rPr>
            </w:pPr>
            <w:r w:rsidRPr="00AF7C00">
              <w:rPr>
                <w:rStyle w:val="SCCLsocChar"/>
                <w:sz w:val="20"/>
                <w:szCs w:val="20"/>
                <w:lang w:val="en-CA"/>
              </w:rPr>
              <w:t>John Anthony Franch</w:t>
            </w:r>
            <w:r>
              <w:rPr>
                <w:rStyle w:val="SCCLsocChar"/>
                <w:sz w:val="20"/>
                <w:szCs w:val="20"/>
                <w:lang w:val="en-CA"/>
              </w:rPr>
              <w:t>i v. Attorney General of Canada and</w:t>
            </w:r>
            <w:r w:rsidRPr="00AF7C00">
              <w:rPr>
                <w:rStyle w:val="SCCLsocChar"/>
                <w:sz w:val="20"/>
                <w:szCs w:val="20"/>
                <w:lang w:val="en-CA"/>
              </w:rPr>
              <w:t xml:space="preserve"> National Parole Board</w:t>
            </w:r>
            <w:r w:rsidRPr="00AF7C00">
              <w:rPr>
                <w:sz w:val="20"/>
                <w:szCs w:val="20"/>
              </w:rPr>
              <w:t xml:space="preserve"> (F.C.) (Criminal) (By Leave)</w:t>
            </w:r>
          </w:p>
          <w:p w:rsidR="002B1E96" w:rsidRPr="00AF7C00" w:rsidRDefault="002B1E96" w:rsidP="00594C0F">
            <w:pPr>
              <w:rPr>
                <w:sz w:val="20"/>
                <w:szCs w:val="20"/>
              </w:rPr>
            </w:pPr>
          </w:p>
        </w:tc>
      </w:tr>
      <w:tr w:rsidR="002B1E96" w:rsidRPr="00AF7C00" w:rsidTr="00594C0F">
        <w:trPr>
          <w:cantSplit/>
        </w:trPr>
        <w:tc>
          <w:tcPr>
            <w:tcW w:w="1458" w:type="dxa"/>
          </w:tcPr>
          <w:p w:rsidR="002B1E96" w:rsidRPr="00AF7C00" w:rsidRDefault="002B1E96" w:rsidP="00594C0F">
            <w:pPr>
              <w:rPr>
                <w:sz w:val="20"/>
                <w:szCs w:val="20"/>
              </w:rPr>
            </w:pPr>
            <w:r w:rsidRPr="00AF7C00">
              <w:rPr>
                <w:sz w:val="20"/>
                <w:szCs w:val="20"/>
              </w:rPr>
              <w:t>Coram :</w:t>
            </w:r>
          </w:p>
        </w:tc>
        <w:tc>
          <w:tcPr>
            <w:tcW w:w="8118" w:type="dxa"/>
          </w:tcPr>
          <w:p w:rsidR="002B1E96" w:rsidRPr="00AF7C00" w:rsidRDefault="002B1E96" w:rsidP="00594C0F">
            <w:pPr>
              <w:rPr>
                <w:sz w:val="20"/>
                <w:szCs w:val="20"/>
              </w:rPr>
            </w:pPr>
            <w:r w:rsidRPr="00AF7C00">
              <w:rPr>
                <w:rStyle w:val="SCCCoramChar"/>
                <w:sz w:val="20"/>
                <w:szCs w:val="20"/>
                <w:lang w:val="en-CA"/>
              </w:rPr>
              <w:t>McLachlin C.J. and Rothstein and Moldaver JJ.</w:t>
            </w:r>
          </w:p>
          <w:p w:rsidR="002B1E96" w:rsidRPr="00AF7C00" w:rsidRDefault="002B1E96" w:rsidP="00594C0F">
            <w:pPr>
              <w:rPr>
                <w:sz w:val="20"/>
                <w:szCs w:val="20"/>
                <w:u w:val="single"/>
              </w:rPr>
            </w:pPr>
          </w:p>
        </w:tc>
      </w:tr>
      <w:tr w:rsidR="002B1E96" w:rsidRPr="003935EC" w:rsidTr="00594C0F">
        <w:trPr>
          <w:cantSplit/>
        </w:trPr>
        <w:tc>
          <w:tcPr>
            <w:tcW w:w="9576" w:type="dxa"/>
            <w:gridSpan w:val="2"/>
          </w:tcPr>
          <w:p w:rsidR="002B1E96" w:rsidRPr="00AF7C00" w:rsidRDefault="002B1E96" w:rsidP="00594C0F">
            <w:pPr>
              <w:pStyle w:val="SCCShortJudgment"/>
              <w:rPr>
                <w:szCs w:val="20"/>
              </w:rPr>
            </w:pPr>
            <w:r w:rsidRPr="00AF7C00">
              <w:rPr>
                <w:szCs w:val="20"/>
              </w:rPr>
              <w:t>The motion for an extension of time to serve and file the application for leave to appeal is granted.  The application for leave to appeal from the judgment of the Federal Court of Appeal, Number A-483-10, 2011 FCA 136, dated April 14, 2011, is dismissed with costs.</w:t>
            </w:r>
          </w:p>
          <w:p w:rsidR="002B1E96" w:rsidRPr="00AF7C00" w:rsidRDefault="002B1E96" w:rsidP="00594C0F">
            <w:pPr>
              <w:pStyle w:val="SCCShortJudgment"/>
              <w:ind w:firstLine="0"/>
              <w:rPr>
                <w:szCs w:val="20"/>
              </w:rPr>
            </w:pPr>
          </w:p>
          <w:p w:rsidR="002B1E96" w:rsidRPr="00AF7C00" w:rsidRDefault="002B1E96" w:rsidP="00594C0F">
            <w:pPr>
              <w:pStyle w:val="SCCShortJudgment"/>
              <w:rPr>
                <w:szCs w:val="20"/>
                <w:lang w:val="fr-CA"/>
              </w:rPr>
            </w:pPr>
            <w:r w:rsidRPr="00AF7C00">
              <w:rPr>
                <w:szCs w:val="20"/>
                <w:lang w:val="fr-CA"/>
              </w:rPr>
              <w:t>La requête en prorogation du délai de signification et de dépôt de la demande d’autorisation d’appel est accueillie. La demande d’autorisation d’appel de l’arrêt de la Cour d’appel fédérale, numéro A-483-10, 2011 CAF 136, daté du 14 avril 2011, est rejetée avec dépens.</w:t>
            </w:r>
          </w:p>
        </w:tc>
      </w:tr>
    </w:tbl>
    <w:p w:rsidR="005F361C" w:rsidRPr="002B1E96"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 xml:space="preserve">Criminal law — Parole — Statutory release conditions — Discretionary release conditions — Whether the standard release conditions set out in the </w:t>
            </w:r>
            <w:r w:rsidRPr="00F056F0">
              <w:rPr>
                <w:rFonts w:eastAsia="Calibri"/>
                <w:i/>
                <w:sz w:val="20"/>
              </w:rPr>
              <w:t>Corrections and Conditional Release Regulations</w:t>
            </w:r>
            <w:r w:rsidRPr="00F056F0">
              <w:rPr>
                <w:rFonts w:eastAsia="Calibri"/>
                <w:sz w:val="20"/>
              </w:rPr>
              <w:t>, SOR/92</w:t>
            </w:r>
            <w:r w:rsidRPr="00F056F0">
              <w:rPr>
                <w:rFonts w:eastAsia="Calibri"/>
                <w:sz w:val="20"/>
              </w:rPr>
              <w:noBreakHyphen/>
              <w:t xml:space="preserve">620, enabled by s. 133(2) of the </w:t>
            </w:r>
            <w:r w:rsidRPr="00F056F0">
              <w:rPr>
                <w:rFonts w:eastAsia="Calibri"/>
                <w:i/>
                <w:sz w:val="20"/>
              </w:rPr>
              <w:t>Corrections and Conditional Release</w:t>
            </w:r>
            <w:r w:rsidRPr="00F056F0">
              <w:rPr>
                <w:rFonts w:eastAsia="Calibri"/>
                <w:sz w:val="20"/>
              </w:rPr>
              <w:t xml:space="preserve"> </w:t>
            </w:r>
            <w:r w:rsidRPr="00F056F0">
              <w:rPr>
                <w:rFonts w:eastAsia="Calibri"/>
                <w:i/>
                <w:sz w:val="20"/>
              </w:rPr>
              <w:t>Act</w:t>
            </w:r>
            <w:r w:rsidRPr="00F056F0">
              <w:rPr>
                <w:rFonts w:eastAsia="Calibri"/>
                <w:sz w:val="20"/>
              </w:rPr>
              <w:t>, S.C. 1992, c. 20, are subordinate to the discretionary conditions which may be imposed by the Parole Board of Canada by virtue of s. 133(3) of that same Act.</w:t>
            </w:r>
          </w:p>
        </w:tc>
      </w:tr>
      <w:tr w:rsidR="00C965C5" w:rsidRPr="00F056F0" w:rsidTr="00594C0F">
        <w:tc>
          <w:tcPr>
            <w:tcW w:w="5000" w:type="pct"/>
            <w:gridSpan w:val="3"/>
          </w:tcPr>
          <w:p w:rsidR="00C965C5" w:rsidRPr="00F056F0" w:rsidRDefault="00C965C5" w:rsidP="00594C0F">
            <w:pPr>
              <w:jc w:val="both"/>
              <w:rPr>
                <w:rFonts w:eastAsia="Calibri"/>
                <w:sz w:val="20"/>
              </w:rPr>
            </w:pPr>
          </w:p>
        </w:tc>
      </w:tr>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In 2007, the applicant, Mr. Franchi, was convicted of several fraud</w:t>
            </w:r>
            <w:r w:rsidRPr="00F056F0">
              <w:rPr>
                <w:rFonts w:eastAsia="Calibri"/>
                <w:sz w:val="20"/>
              </w:rPr>
              <w:noBreakHyphen/>
              <w:t xml:space="preserve">related offences.  He was sentenced to six years’ imprisonment.  In 2009, he was released on day parole subject to several statutory conditions, one of which was that he </w:t>
            </w:r>
            <w:r w:rsidRPr="00F056F0">
              <w:rPr>
                <w:rFonts w:eastAsia="Calibri"/>
                <w:i/>
                <w:sz w:val="20"/>
              </w:rPr>
              <w:t>report immediately</w:t>
            </w:r>
            <w:r w:rsidRPr="00F056F0">
              <w:rPr>
                <w:rFonts w:eastAsia="Calibri"/>
                <w:sz w:val="20"/>
              </w:rPr>
              <w:t xml:space="preserve"> any change in his financial situation to his parole officer.  Mr. Franchi’s day parole was also subject to two special conditions imposed by the National Parole Board, one of which was that he had to provide full financial disclosure, including assets, income and expenditure, immediately to his parole supervisor </w:t>
            </w:r>
            <w:r w:rsidRPr="00F056F0">
              <w:rPr>
                <w:rFonts w:eastAsia="Calibri"/>
                <w:i/>
                <w:sz w:val="20"/>
              </w:rPr>
              <w:t>upon request</w:t>
            </w:r>
            <w:r w:rsidRPr="00F056F0">
              <w:rPr>
                <w:rFonts w:eastAsia="Calibri"/>
                <w:sz w:val="20"/>
              </w:rPr>
              <w:t>.  Mr. Franchi’s day parole was later revoked by the Board on the basis that his failure to immediately disclose crucial financial information to his parole officer was evidence of a continuing pattern of deceit and created undue risk for community release.  Mr. Franchi’s request for full parole was also denied.  Mr. Franchi’s appeal of the Board’s decision was dismissed.  However, his application for judicial review to the Federal Court was successful.  Noting the ambiguity of the parole conditions, and finding that the special condition with respect to financial disclosure could not mean less than the standard condition, the Court found that it was unreasonable for the Board to conclude that Mr. Franchi was required to disclose his financial dealings on his own initiative.  The Federal Court of Appeal allowed the appeal and dismissed the application for judicial review.</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November 24, 2010</w:t>
            </w:r>
          </w:p>
          <w:p w:rsidR="00C965C5" w:rsidRPr="00F056F0" w:rsidRDefault="00C965C5" w:rsidP="00594C0F">
            <w:pPr>
              <w:jc w:val="both"/>
              <w:rPr>
                <w:rFonts w:eastAsia="Calibri"/>
                <w:sz w:val="20"/>
              </w:rPr>
            </w:pPr>
            <w:r w:rsidRPr="00F056F0">
              <w:rPr>
                <w:rFonts w:eastAsia="Calibri"/>
                <w:sz w:val="20"/>
              </w:rPr>
              <w:t>Federal Court</w:t>
            </w:r>
          </w:p>
          <w:p w:rsidR="00C965C5" w:rsidRPr="00F056F0" w:rsidRDefault="00C965C5" w:rsidP="00594C0F">
            <w:pPr>
              <w:jc w:val="both"/>
              <w:rPr>
                <w:rFonts w:eastAsia="Calibri"/>
                <w:sz w:val="20"/>
              </w:rPr>
            </w:pPr>
            <w:r w:rsidRPr="00F056F0">
              <w:rPr>
                <w:rFonts w:eastAsia="Calibri"/>
                <w:sz w:val="20"/>
              </w:rPr>
              <w:t>(Harrington J.)</w:t>
            </w:r>
          </w:p>
          <w:p w:rsidR="00C965C5" w:rsidRPr="00F056F0" w:rsidRDefault="00C965C5" w:rsidP="00594C0F">
            <w:pPr>
              <w:jc w:val="both"/>
              <w:rPr>
                <w:rFonts w:eastAsia="Calibri"/>
                <w:sz w:val="20"/>
              </w:rPr>
            </w:pPr>
            <w:r w:rsidRPr="00F056F0">
              <w:rPr>
                <w:rFonts w:eastAsia="Calibri"/>
                <w:sz w:val="20"/>
              </w:rPr>
              <w:t>2010 FC 1179</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Application for judicial review granted</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April 14, 2011</w:t>
            </w:r>
          </w:p>
          <w:p w:rsidR="00C965C5" w:rsidRPr="00F056F0" w:rsidRDefault="00C965C5" w:rsidP="00594C0F">
            <w:pPr>
              <w:jc w:val="both"/>
              <w:rPr>
                <w:rFonts w:eastAsia="Calibri"/>
                <w:sz w:val="20"/>
              </w:rPr>
            </w:pPr>
            <w:r w:rsidRPr="00F056F0">
              <w:rPr>
                <w:rFonts w:eastAsia="Calibri"/>
                <w:sz w:val="20"/>
              </w:rPr>
              <w:t>Federal Court of Appeal</w:t>
            </w:r>
          </w:p>
          <w:p w:rsidR="00C965C5" w:rsidRPr="00F056F0" w:rsidRDefault="00C965C5" w:rsidP="00594C0F">
            <w:pPr>
              <w:jc w:val="both"/>
              <w:rPr>
                <w:rFonts w:eastAsia="Calibri"/>
                <w:sz w:val="20"/>
              </w:rPr>
            </w:pPr>
            <w:r w:rsidRPr="00F056F0">
              <w:rPr>
                <w:rFonts w:eastAsia="Calibri"/>
                <w:sz w:val="20"/>
              </w:rPr>
              <w:t>(Evans, Dawson and Stratas JJ.A.)</w:t>
            </w:r>
          </w:p>
          <w:p w:rsidR="00C965C5" w:rsidRPr="00F056F0" w:rsidRDefault="00C965C5" w:rsidP="00594C0F">
            <w:pPr>
              <w:jc w:val="both"/>
              <w:rPr>
                <w:rFonts w:eastAsia="Calibri"/>
                <w:sz w:val="20"/>
              </w:rPr>
            </w:pPr>
            <w:r w:rsidRPr="00F056F0">
              <w:rPr>
                <w:rFonts w:eastAsia="Calibri"/>
                <w:sz w:val="20"/>
              </w:rPr>
              <w:t>2011 FCA 136</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 xml:space="preserve">Appeal allowed; application for judicial review dismissed </w:t>
            </w: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June 12, 2012</w:t>
            </w:r>
          </w:p>
          <w:p w:rsidR="00C965C5" w:rsidRPr="00F056F0" w:rsidRDefault="00C965C5" w:rsidP="00594C0F">
            <w:pPr>
              <w:jc w:val="both"/>
              <w:rPr>
                <w:rFonts w:eastAsia="Calibri"/>
                <w:sz w:val="20"/>
              </w:rPr>
            </w:pPr>
            <w:r w:rsidRPr="00F056F0">
              <w:rPr>
                <w:rFonts w:eastAsia="Calibri"/>
                <w:sz w:val="20"/>
              </w:rPr>
              <w:t>Supreme Court of Canada</w:t>
            </w: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Motion for extension of time and application for leave to appeal filed</w:t>
            </w: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64" style="width:2in;height:1pt" o:hrpct="0" o:hralign="center" o:hrstd="t" o:hrnoshade="t" o:hr="t" fillcolor="black [3213]" stroked="f"/>
        </w:pict>
      </w:r>
    </w:p>
    <w:p w:rsidR="005F361C" w:rsidRDefault="005F361C" w:rsidP="005F361C">
      <w:pPr>
        <w:rPr>
          <w:sz w:val="20"/>
          <w:szCs w:val="20"/>
        </w:rPr>
      </w:pPr>
    </w:p>
    <w:p w:rsidR="002E6033" w:rsidRDefault="002E6033">
      <w:pPr>
        <w:rPr>
          <w:sz w:val="20"/>
          <w:szCs w:val="20"/>
          <w:u w:val="single"/>
          <w:lang w:val="fr-CA"/>
        </w:rPr>
      </w:pPr>
      <w:r>
        <w:rPr>
          <w:sz w:val="20"/>
          <w:szCs w:val="20"/>
          <w:u w:val="single"/>
          <w:lang w:val="fr-CA"/>
        </w:rPr>
        <w:br w:type="page"/>
      </w:r>
    </w:p>
    <w:p w:rsidR="005F361C" w:rsidRPr="001B157C" w:rsidRDefault="005F361C" w:rsidP="005F361C">
      <w:pPr>
        <w:rPr>
          <w:sz w:val="20"/>
          <w:szCs w:val="20"/>
          <w:u w:val="single"/>
          <w:lang w:val="fr-CA"/>
        </w:rPr>
      </w:pPr>
      <w:r w:rsidRPr="001B157C">
        <w:rPr>
          <w:sz w:val="20"/>
          <w:szCs w:val="20"/>
          <w:u w:val="single"/>
          <w:lang w:val="fr-CA"/>
        </w:rPr>
        <w:lastRenderedPageBreak/>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Droit criminel — Libération conditionnelle — Conditions de libération prévues par la loi — Conditions de libération discrétionnaires — Les conditions habituelles de libération prévue dans le</w:t>
            </w:r>
            <w:r w:rsidRPr="00F056F0">
              <w:rPr>
                <w:rFonts w:eastAsia="Calibri"/>
                <w:i/>
                <w:sz w:val="20"/>
                <w:lang w:val="fr-CA"/>
              </w:rPr>
              <w:t xml:space="preserve"> Règlement sur le système correctionnel et la mise en liberté sous condition</w:t>
            </w:r>
            <w:r w:rsidRPr="00F056F0">
              <w:rPr>
                <w:rFonts w:eastAsia="Calibri"/>
                <w:sz w:val="20"/>
                <w:lang w:val="fr-CA"/>
              </w:rPr>
              <w:t>, DORS/92</w:t>
            </w:r>
            <w:r w:rsidRPr="00F056F0">
              <w:rPr>
                <w:rFonts w:eastAsia="Calibri"/>
                <w:sz w:val="20"/>
                <w:lang w:val="fr-CA"/>
              </w:rPr>
              <w:noBreakHyphen/>
              <w:t>620, pris en application du par. 133(2) de la</w:t>
            </w:r>
            <w:r w:rsidRPr="00F056F0">
              <w:rPr>
                <w:rFonts w:eastAsia="Calibri"/>
                <w:i/>
                <w:sz w:val="20"/>
                <w:lang w:val="fr-CA"/>
              </w:rPr>
              <w:t xml:space="preserve"> Loi sur le système correctionnel et la mise en liberté sous condition</w:t>
            </w:r>
            <w:r w:rsidRPr="00F056F0">
              <w:rPr>
                <w:rFonts w:eastAsia="Calibri"/>
                <w:sz w:val="20"/>
                <w:lang w:val="fr-CA"/>
              </w:rPr>
              <w:t>, L.C. 1992, ch. 20, sont</w:t>
            </w:r>
            <w:r w:rsidRPr="00F056F0">
              <w:rPr>
                <w:rFonts w:eastAsia="Calibri"/>
                <w:sz w:val="20"/>
                <w:lang w:val="fr-CA"/>
              </w:rPr>
              <w:noBreakHyphen/>
              <w:t>elles subordonnées aux conditions discrétionnaires qui peuvent être imposées par la Commission des libérations conditionnelles du Canada en vertu du par. 133(3) de cette même loi?</w:t>
            </w:r>
          </w:p>
          <w:p w:rsidR="00C965C5" w:rsidRPr="00F056F0" w:rsidRDefault="00C965C5" w:rsidP="00594C0F">
            <w:pPr>
              <w:jc w:val="both"/>
              <w:rPr>
                <w:rFonts w:eastAsia="Calibri"/>
                <w:sz w:val="20"/>
                <w:lang w:val="fr-CA"/>
              </w:rPr>
            </w:pPr>
          </w:p>
        </w:tc>
      </w:tr>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En 2007, le demandeur, M. Franchi, a été déclaré coupable de plusieurs infractions de fraude.  Il a été condamné à six ans d'emprisonnement.  En 2009, il a obtenu la semi</w:t>
            </w:r>
            <w:r w:rsidRPr="00F056F0">
              <w:rPr>
                <w:rFonts w:eastAsia="Calibri"/>
                <w:sz w:val="20"/>
                <w:lang w:val="fr-CA"/>
              </w:rPr>
              <w:noBreakHyphen/>
              <w:t>liberté assujettie à plusieurs conditions imposées par la loi, notamment celle</w:t>
            </w:r>
            <w:r w:rsidRPr="00F056F0">
              <w:rPr>
                <w:rFonts w:eastAsia="Calibri"/>
                <w:i/>
                <w:sz w:val="20"/>
                <w:lang w:val="fr-CA"/>
              </w:rPr>
              <w:t xml:space="preserve"> d'informer sans délai </w:t>
            </w:r>
            <w:r w:rsidRPr="00F056F0">
              <w:rPr>
                <w:rFonts w:eastAsia="Calibri"/>
                <w:sz w:val="20"/>
                <w:lang w:val="fr-CA"/>
              </w:rPr>
              <w:t>son agent de libération conditionnelle de tout changement dans sa situation financière.  La semi</w:t>
            </w:r>
            <w:r w:rsidRPr="00F056F0">
              <w:rPr>
                <w:rFonts w:eastAsia="Calibri"/>
                <w:sz w:val="20"/>
                <w:lang w:val="fr-CA"/>
              </w:rPr>
              <w:noBreakHyphen/>
              <w:t>liberté de M. Franchi était également l'objet de deux conditions spéciales imposées par la Commission nationale des libérations conditionnelles, notamment celle de fournir sans délai et </w:t>
            </w:r>
            <w:r w:rsidRPr="00F056F0">
              <w:rPr>
                <w:rFonts w:eastAsia="Calibri"/>
                <w:i/>
                <w:sz w:val="20"/>
                <w:lang w:val="fr-CA"/>
              </w:rPr>
              <w:t>sur demande</w:t>
            </w:r>
            <w:r w:rsidRPr="00F056F0">
              <w:rPr>
                <w:rFonts w:eastAsia="Calibri"/>
                <w:sz w:val="20"/>
                <w:lang w:val="fr-CA"/>
              </w:rPr>
              <w:t> des renseignements financiers complets, y compris ses éléments d’actif, ses revenus et ses dépenses, [à son] surveillant de libération conditionnelle.  La Commission a par la suite révoqué la semi</w:t>
            </w:r>
            <w:r w:rsidRPr="00F056F0">
              <w:rPr>
                <w:rFonts w:eastAsia="Calibri"/>
                <w:sz w:val="20"/>
                <w:lang w:val="fr-CA"/>
              </w:rPr>
              <w:noBreakHyphen/>
              <w:t>liberté de M. Franchi vu que l’omission d’avoir communiqué sans délai des renseignements financiers cruciaux à son agent de libération conditionnelle témoignait de l’existence d’une tendance constante à la supercherie et créait un risque inacceptable lié à sa mise en liberté dans la collectivité.  La demande de libération conditionnelle totale présentée par M. Franchi a également été rejetée.  L'appel interjeté par M. Franchi de la décision de la Commission a été rejeté.  Toutefois, sa demande de contrôle judiciaire à la Cour fédérale a été accueillie.  Notant l'ambiguïté des conditions de la libération conditionnelle et concluant que la condition spéciale concernant la divulgation des renseignements financiers ne pouvait pas vouloir dire moins que les conditions types, la Cour a conclu qu’il était déraisonnable pour la Commission de conclure que M. Franchi était, de sa propre initiative, tenu de divulguer ses opérations financières.  La Cour d'appel fédérale a accueilli l'appel et rejeté la demande de contrôle judiciaire.</w:t>
            </w:r>
          </w:p>
          <w:p w:rsidR="00C965C5" w:rsidRPr="00F056F0" w:rsidRDefault="00C965C5" w:rsidP="00594C0F">
            <w:pPr>
              <w:jc w:val="both"/>
              <w:rPr>
                <w:rFonts w:eastAsia="Calibri"/>
                <w:sz w:val="20"/>
                <w:lang w:val="fr-CA"/>
              </w:rPr>
            </w:pPr>
          </w:p>
        </w:tc>
      </w:tr>
      <w:tr w:rsidR="00C965C5" w:rsidRPr="00F056F0"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24 novembre 2010</w:t>
            </w:r>
          </w:p>
          <w:p w:rsidR="00C965C5" w:rsidRPr="00F056F0" w:rsidRDefault="00C965C5" w:rsidP="00594C0F">
            <w:pPr>
              <w:jc w:val="both"/>
              <w:rPr>
                <w:rFonts w:eastAsia="Calibri"/>
                <w:sz w:val="20"/>
                <w:lang w:val="fr-CA"/>
              </w:rPr>
            </w:pPr>
            <w:r w:rsidRPr="00F056F0">
              <w:rPr>
                <w:rFonts w:eastAsia="Calibri"/>
                <w:sz w:val="20"/>
                <w:lang w:val="fr-CA"/>
              </w:rPr>
              <w:t xml:space="preserve">Cour fédérale </w:t>
            </w:r>
          </w:p>
          <w:p w:rsidR="00C965C5" w:rsidRPr="00F056F0" w:rsidRDefault="00C965C5" w:rsidP="00594C0F">
            <w:pPr>
              <w:jc w:val="both"/>
              <w:rPr>
                <w:rFonts w:eastAsia="Calibri"/>
                <w:sz w:val="20"/>
                <w:lang w:val="fr-CA"/>
              </w:rPr>
            </w:pPr>
            <w:r w:rsidRPr="00F056F0">
              <w:rPr>
                <w:rFonts w:eastAsia="Calibri"/>
                <w:sz w:val="20"/>
                <w:lang w:val="fr-CA"/>
              </w:rPr>
              <w:t>(Juge Harrington)</w:t>
            </w:r>
          </w:p>
          <w:p w:rsidR="00C965C5" w:rsidRPr="00F056F0" w:rsidRDefault="00C965C5" w:rsidP="00594C0F">
            <w:pPr>
              <w:jc w:val="both"/>
              <w:rPr>
                <w:rFonts w:eastAsia="Calibri"/>
                <w:sz w:val="20"/>
                <w:lang w:val="fr-CA"/>
              </w:rPr>
            </w:pPr>
            <w:r w:rsidRPr="00F056F0">
              <w:rPr>
                <w:rFonts w:eastAsia="Calibri"/>
                <w:sz w:val="20"/>
                <w:lang w:val="fr-CA"/>
              </w:rPr>
              <w:t>2010 FC 1179</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Demande de contrôle judiciaire, accueillie</w:t>
            </w:r>
          </w:p>
          <w:p w:rsidR="00C965C5" w:rsidRPr="00F056F0" w:rsidRDefault="00C965C5" w:rsidP="00594C0F">
            <w:pPr>
              <w:jc w:val="both"/>
              <w:rPr>
                <w:rFonts w:eastAsia="Calibri"/>
                <w:sz w:val="20"/>
                <w:lang w:val="fr-CA"/>
              </w:rPr>
            </w:pP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14 avril 2011</w:t>
            </w:r>
          </w:p>
          <w:p w:rsidR="00C965C5" w:rsidRPr="00F056F0" w:rsidRDefault="00C965C5" w:rsidP="00594C0F">
            <w:pPr>
              <w:jc w:val="both"/>
              <w:rPr>
                <w:rFonts w:eastAsia="Calibri"/>
                <w:sz w:val="20"/>
                <w:lang w:val="fr-CA"/>
              </w:rPr>
            </w:pPr>
            <w:r w:rsidRPr="00F056F0">
              <w:rPr>
                <w:rFonts w:eastAsia="Calibri"/>
                <w:sz w:val="20"/>
                <w:lang w:val="fr-CA"/>
              </w:rPr>
              <w:t xml:space="preserve">Cour d'appel fédérale </w:t>
            </w:r>
          </w:p>
          <w:p w:rsidR="00C965C5" w:rsidRPr="00F056F0" w:rsidRDefault="00C965C5" w:rsidP="00594C0F">
            <w:pPr>
              <w:jc w:val="both"/>
              <w:rPr>
                <w:rFonts w:eastAsia="Calibri"/>
                <w:sz w:val="20"/>
                <w:lang w:val="fr-CA"/>
              </w:rPr>
            </w:pPr>
            <w:r w:rsidRPr="00F056F0">
              <w:rPr>
                <w:rFonts w:eastAsia="Calibri"/>
                <w:sz w:val="20"/>
                <w:lang w:val="fr-CA"/>
              </w:rPr>
              <w:t>(Juges Evans, Dawson et Stratas)</w:t>
            </w:r>
          </w:p>
          <w:p w:rsidR="00C965C5" w:rsidRPr="00F056F0" w:rsidRDefault="00C965C5" w:rsidP="00594C0F">
            <w:pPr>
              <w:jc w:val="both"/>
              <w:rPr>
                <w:rFonts w:eastAsia="Calibri"/>
                <w:sz w:val="20"/>
                <w:lang w:val="fr-CA"/>
              </w:rPr>
            </w:pPr>
            <w:r w:rsidRPr="00F056F0">
              <w:rPr>
                <w:rFonts w:eastAsia="Calibri"/>
                <w:sz w:val="20"/>
                <w:lang w:val="fr-CA"/>
              </w:rPr>
              <w:t>2011 FCA 136</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Appel accueilli; demande de contrôle judiciaire, rejetée</w:t>
            </w: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12 juin 2012</w:t>
            </w:r>
          </w:p>
          <w:p w:rsidR="00C965C5" w:rsidRPr="00F056F0" w:rsidRDefault="00C965C5" w:rsidP="00594C0F">
            <w:pPr>
              <w:jc w:val="both"/>
              <w:rPr>
                <w:rFonts w:eastAsia="Calibri"/>
                <w:sz w:val="20"/>
                <w:lang w:val="fr-CA"/>
              </w:rPr>
            </w:pPr>
            <w:r w:rsidRPr="00F056F0">
              <w:rPr>
                <w:rFonts w:eastAsia="Calibri"/>
                <w:sz w:val="20"/>
                <w:lang w:val="fr-CA"/>
              </w:rPr>
              <w:t>Cour suprême du Canada</w:t>
            </w: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Requête en prorogation de délai et demande d'autorisation d'appel, déposées</w:t>
            </w:r>
          </w:p>
        </w:tc>
      </w:tr>
    </w:tbl>
    <w:p w:rsidR="005F361C" w:rsidRPr="00C965C5" w:rsidRDefault="005F361C" w:rsidP="005F361C">
      <w:pPr>
        <w:rPr>
          <w:sz w:val="20"/>
          <w:szCs w:val="20"/>
          <w:lang w:val="fr-CA"/>
        </w:rPr>
      </w:pPr>
    </w:p>
    <w:p w:rsidR="005F361C" w:rsidRDefault="002B77C5" w:rsidP="005F361C">
      <w:pPr>
        <w:rPr>
          <w:sz w:val="20"/>
          <w:szCs w:val="20"/>
        </w:rPr>
      </w:pPr>
      <w:r w:rsidRPr="002B77C5">
        <w:rPr>
          <w:sz w:val="20"/>
          <w:szCs w:val="20"/>
          <w:lang w:val="fr-CA"/>
        </w:rPr>
        <w:pict>
          <v:rect id="_x0000_i1065" style="width:2in;height:1pt" o:hrpct="0" o:hralign="center" o:hrstd="t" o:hrnoshade="t" o:hr="t" fillcolor="black [3213]" stroked="f"/>
        </w:pict>
      </w:r>
    </w:p>
    <w:p w:rsidR="005F361C" w:rsidRDefault="005F361C" w:rsidP="005F36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6033" w:rsidRPr="002E6033" w:rsidTr="009572E2">
        <w:trPr>
          <w:cantSplit/>
        </w:trPr>
        <w:tc>
          <w:tcPr>
            <w:tcW w:w="1458" w:type="dxa"/>
          </w:tcPr>
          <w:p w:rsidR="002E6033" w:rsidRPr="002E6033" w:rsidRDefault="002E6033" w:rsidP="009572E2">
            <w:pPr>
              <w:rPr>
                <w:sz w:val="20"/>
                <w:szCs w:val="20"/>
              </w:rPr>
            </w:pPr>
            <w:r w:rsidRPr="002E6033">
              <w:rPr>
                <w:rStyle w:val="SCCFileNumberChar"/>
                <w:sz w:val="20"/>
                <w:szCs w:val="20"/>
              </w:rPr>
              <w:t>34874</w:t>
            </w:r>
          </w:p>
          <w:p w:rsidR="002E6033" w:rsidRPr="002E6033" w:rsidRDefault="002E6033" w:rsidP="009572E2">
            <w:pPr>
              <w:rPr>
                <w:b/>
                <w:sz w:val="20"/>
                <w:szCs w:val="20"/>
                <w:lang w:val="fr-CA"/>
              </w:rPr>
            </w:pPr>
          </w:p>
        </w:tc>
        <w:tc>
          <w:tcPr>
            <w:tcW w:w="8118" w:type="dxa"/>
          </w:tcPr>
          <w:p w:rsidR="002E6033" w:rsidRPr="002E6033" w:rsidRDefault="002E6033" w:rsidP="009572E2">
            <w:pPr>
              <w:rPr>
                <w:sz w:val="20"/>
                <w:szCs w:val="20"/>
              </w:rPr>
            </w:pPr>
            <w:r w:rsidRPr="002E6033">
              <w:rPr>
                <w:rStyle w:val="SCCLsocChar"/>
                <w:sz w:val="20"/>
                <w:szCs w:val="20"/>
              </w:rPr>
              <w:t>J. Robert Verdun v. Robert M. Astley</w:t>
            </w:r>
            <w:r w:rsidRPr="002E6033">
              <w:rPr>
                <w:sz w:val="20"/>
                <w:szCs w:val="20"/>
                <w:lang w:val="fr-CA"/>
              </w:rPr>
              <w:t xml:space="preserve"> (Ont.) </w:t>
            </w:r>
            <w:r w:rsidRPr="002E6033">
              <w:rPr>
                <w:sz w:val="20"/>
                <w:szCs w:val="20"/>
              </w:rPr>
              <w:t>(Civil) (By Leave)</w:t>
            </w:r>
          </w:p>
          <w:p w:rsidR="002E6033" w:rsidRPr="002E6033" w:rsidRDefault="002E6033" w:rsidP="009572E2">
            <w:pPr>
              <w:rPr>
                <w:sz w:val="20"/>
                <w:szCs w:val="20"/>
              </w:rPr>
            </w:pPr>
          </w:p>
        </w:tc>
      </w:tr>
      <w:tr w:rsidR="002E6033" w:rsidRPr="002E6033" w:rsidTr="009572E2">
        <w:trPr>
          <w:cantSplit/>
        </w:trPr>
        <w:tc>
          <w:tcPr>
            <w:tcW w:w="1458" w:type="dxa"/>
          </w:tcPr>
          <w:p w:rsidR="002E6033" w:rsidRPr="002E6033" w:rsidRDefault="002E6033" w:rsidP="009572E2">
            <w:pPr>
              <w:rPr>
                <w:sz w:val="20"/>
                <w:szCs w:val="20"/>
              </w:rPr>
            </w:pPr>
            <w:r w:rsidRPr="002E6033">
              <w:rPr>
                <w:sz w:val="20"/>
                <w:szCs w:val="20"/>
              </w:rPr>
              <w:t>Coram :</w:t>
            </w:r>
          </w:p>
        </w:tc>
        <w:tc>
          <w:tcPr>
            <w:tcW w:w="8118" w:type="dxa"/>
          </w:tcPr>
          <w:p w:rsidR="002E6033" w:rsidRPr="002E6033" w:rsidRDefault="002E6033" w:rsidP="009572E2">
            <w:pPr>
              <w:rPr>
                <w:sz w:val="20"/>
                <w:szCs w:val="20"/>
              </w:rPr>
            </w:pPr>
            <w:r w:rsidRPr="002E6033">
              <w:rPr>
                <w:rStyle w:val="SCCCoramChar"/>
                <w:sz w:val="20"/>
                <w:szCs w:val="20"/>
                <w:lang w:val="en-CA"/>
              </w:rPr>
              <w:t>LeBel, Abella and Cromwell JJ.</w:t>
            </w:r>
          </w:p>
          <w:p w:rsidR="002E6033" w:rsidRPr="002E6033" w:rsidRDefault="002E6033" w:rsidP="009572E2">
            <w:pPr>
              <w:rPr>
                <w:sz w:val="20"/>
                <w:szCs w:val="20"/>
                <w:u w:val="single"/>
              </w:rPr>
            </w:pPr>
          </w:p>
        </w:tc>
      </w:tr>
      <w:tr w:rsidR="002E6033" w:rsidRPr="003935EC" w:rsidTr="009572E2">
        <w:trPr>
          <w:cantSplit/>
        </w:trPr>
        <w:tc>
          <w:tcPr>
            <w:tcW w:w="9576" w:type="dxa"/>
            <w:gridSpan w:val="2"/>
          </w:tcPr>
          <w:p w:rsidR="002E6033" w:rsidRPr="002E6033" w:rsidRDefault="002E6033" w:rsidP="009572E2">
            <w:pPr>
              <w:pStyle w:val="SCCShortJudgment"/>
              <w:rPr>
                <w:szCs w:val="20"/>
              </w:rPr>
            </w:pPr>
            <w:r w:rsidRPr="002E6033">
              <w:rPr>
                <w:szCs w:val="20"/>
              </w:rPr>
              <w:t>The application for leave to appeal from the judgment of the Court of Appeal for Ontario, Number M40494 (C53813), dated April 17, 2012, is dismissed with costs.</w:t>
            </w:r>
          </w:p>
          <w:p w:rsidR="002E6033" w:rsidRPr="002E6033" w:rsidRDefault="002E6033" w:rsidP="009572E2">
            <w:pPr>
              <w:pStyle w:val="SCCShortJudgment"/>
              <w:ind w:firstLine="0"/>
              <w:rPr>
                <w:szCs w:val="20"/>
              </w:rPr>
            </w:pPr>
          </w:p>
          <w:p w:rsidR="002E6033" w:rsidRPr="002E6033" w:rsidRDefault="002E6033" w:rsidP="009572E2">
            <w:pPr>
              <w:pStyle w:val="SCCShortJudgment"/>
              <w:rPr>
                <w:szCs w:val="20"/>
                <w:lang w:val="fr-CA"/>
              </w:rPr>
            </w:pPr>
            <w:r w:rsidRPr="002E6033">
              <w:rPr>
                <w:szCs w:val="20"/>
                <w:lang w:val="fr-CA"/>
              </w:rPr>
              <w:t>La demande d’autorisation d’appel de l’arrêt de la Cour d’appel de l’Ontario, numéro M40494 (C53813), daté du 17 avril 2012, est rejetée avec dépens.</w:t>
            </w:r>
          </w:p>
        </w:tc>
      </w:tr>
    </w:tbl>
    <w:p w:rsidR="005F361C" w:rsidRPr="002E6033"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lastRenderedPageBreak/>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i/>
                <w:sz w:val="20"/>
              </w:rPr>
              <w:t xml:space="preserve">Charter of Rights </w:t>
            </w:r>
            <w:r w:rsidRPr="00F056F0">
              <w:rPr>
                <w:rFonts w:eastAsia="Calibri"/>
                <w:sz w:val="20"/>
              </w:rPr>
              <w:t>— Freedom of expression — Civil procedure — Appeals — Jury awarding respondent damages for defamation — Applicant filing notice of appeal but failing to file transcripts — Deputy Registrar dismissing appeal.</w:t>
            </w:r>
          </w:p>
        </w:tc>
      </w:tr>
      <w:tr w:rsidR="00C965C5" w:rsidRPr="00F056F0" w:rsidTr="00594C0F">
        <w:tc>
          <w:tcPr>
            <w:tcW w:w="5000" w:type="pct"/>
            <w:gridSpan w:val="3"/>
          </w:tcPr>
          <w:p w:rsidR="00C965C5" w:rsidRPr="00F056F0" w:rsidRDefault="00C965C5" w:rsidP="00594C0F">
            <w:pPr>
              <w:jc w:val="both"/>
              <w:rPr>
                <w:rFonts w:eastAsia="Calibri"/>
                <w:sz w:val="20"/>
              </w:rPr>
            </w:pPr>
          </w:p>
        </w:tc>
      </w:tr>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 xml:space="preserve">After a trial with judge and jury, the jury found that Mr. Verdun had made defamatory comments about Mr. Astley and awarded damages. Mr. Verdun appealed from the jury verdict. </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October 28, 2011</w:t>
            </w:r>
          </w:p>
          <w:p w:rsidR="00C965C5" w:rsidRPr="00F056F0" w:rsidRDefault="00C965C5" w:rsidP="00594C0F">
            <w:pPr>
              <w:jc w:val="both"/>
              <w:rPr>
                <w:rFonts w:eastAsia="Calibri"/>
                <w:sz w:val="20"/>
              </w:rPr>
            </w:pPr>
            <w:r w:rsidRPr="00F056F0">
              <w:rPr>
                <w:rFonts w:eastAsia="Calibri"/>
                <w:sz w:val="20"/>
              </w:rPr>
              <w:t>Court of Appeal for Ontario</w:t>
            </w:r>
          </w:p>
          <w:p w:rsidR="00C965C5" w:rsidRPr="00F056F0" w:rsidRDefault="00C965C5" w:rsidP="00594C0F">
            <w:pPr>
              <w:jc w:val="both"/>
              <w:rPr>
                <w:rFonts w:eastAsia="Calibri"/>
                <w:sz w:val="20"/>
              </w:rPr>
            </w:pPr>
            <w:r w:rsidRPr="00F056F0">
              <w:rPr>
                <w:rFonts w:eastAsia="Calibri"/>
                <w:sz w:val="20"/>
              </w:rPr>
              <w:t>(Deputy Registrar)</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Applicant’s appeal dismissed for delay</w:t>
            </w: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April 17, 2012</w:t>
            </w:r>
          </w:p>
          <w:p w:rsidR="00C965C5" w:rsidRPr="00F056F0" w:rsidRDefault="00C965C5" w:rsidP="00594C0F">
            <w:pPr>
              <w:jc w:val="both"/>
              <w:rPr>
                <w:rFonts w:eastAsia="Calibri"/>
                <w:sz w:val="20"/>
              </w:rPr>
            </w:pPr>
            <w:r w:rsidRPr="00F056F0">
              <w:rPr>
                <w:rFonts w:eastAsia="Calibri"/>
                <w:sz w:val="20"/>
              </w:rPr>
              <w:t>Court of Appeal for Ontario</w:t>
            </w:r>
          </w:p>
          <w:p w:rsidR="00C965C5" w:rsidRPr="00F056F0" w:rsidRDefault="00C965C5" w:rsidP="00594C0F">
            <w:pPr>
              <w:jc w:val="both"/>
              <w:rPr>
                <w:rFonts w:eastAsia="Calibri"/>
                <w:sz w:val="20"/>
              </w:rPr>
            </w:pPr>
            <w:r w:rsidRPr="00F056F0">
              <w:rPr>
                <w:rFonts w:eastAsia="Calibri"/>
                <w:sz w:val="20"/>
              </w:rPr>
              <w:t>(Doherty, LaForme and Epstein JJ.A.)</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Applicant’s motion to have appeal reinstated dismissed; Applicant’s appeal dismissed</w:t>
            </w:r>
          </w:p>
          <w:p w:rsidR="00C965C5" w:rsidRPr="00F056F0" w:rsidRDefault="00C965C5" w:rsidP="00594C0F">
            <w:pPr>
              <w:jc w:val="both"/>
              <w:rPr>
                <w:rFonts w:eastAsia="Calibri"/>
                <w:sz w:val="20"/>
              </w:rPr>
            </w:pP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June 14, 2012</w:t>
            </w:r>
          </w:p>
          <w:p w:rsidR="00C965C5" w:rsidRPr="00F056F0" w:rsidRDefault="00C965C5" w:rsidP="00594C0F">
            <w:pPr>
              <w:jc w:val="both"/>
              <w:rPr>
                <w:rFonts w:eastAsia="Calibri"/>
                <w:sz w:val="20"/>
              </w:rPr>
            </w:pPr>
            <w:r w:rsidRPr="00F056F0">
              <w:rPr>
                <w:rFonts w:eastAsia="Calibri"/>
                <w:sz w:val="20"/>
              </w:rPr>
              <w:t>Supreme Court of Canada</w:t>
            </w: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Application for leave to appeal filed</w:t>
            </w:r>
          </w:p>
          <w:p w:rsidR="00C965C5" w:rsidRPr="00F056F0" w:rsidRDefault="00C965C5"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66"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i/>
                <w:sz w:val="20"/>
                <w:lang w:val="fr-CA"/>
              </w:rPr>
              <w:t xml:space="preserve">Charte des droits </w:t>
            </w:r>
            <w:r w:rsidRPr="00F056F0">
              <w:rPr>
                <w:rFonts w:eastAsia="Calibri"/>
                <w:sz w:val="20"/>
                <w:lang w:val="fr-CA"/>
              </w:rPr>
              <w:t>— Liberté d'expression — Procédure civile — Appels — Le jury a accordé à l'intimé des dommages</w:t>
            </w:r>
            <w:r w:rsidRPr="00F056F0">
              <w:rPr>
                <w:rFonts w:eastAsia="Calibri"/>
                <w:sz w:val="20"/>
                <w:lang w:val="fr-CA"/>
              </w:rPr>
              <w:noBreakHyphen/>
              <w:t>intérêts pour diffamation — Le demandeur a déposé un avis d'appel mais n'a pas déposé de transcription — Le greffier adjoint a rejeté l'appel.</w:t>
            </w:r>
          </w:p>
        </w:tc>
      </w:tr>
      <w:tr w:rsidR="00C965C5" w:rsidRPr="003935EC" w:rsidTr="00594C0F">
        <w:tc>
          <w:tcPr>
            <w:tcW w:w="5000" w:type="pct"/>
            <w:gridSpan w:val="3"/>
          </w:tcPr>
          <w:p w:rsidR="00C965C5" w:rsidRPr="00F056F0" w:rsidRDefault="00C965C5" w:rsidP="00594C0F">
            <w:pPr>
              <w:jc w:val="both"/>
              <w:rPr>
                <w:rFonts w:eastAsia="Calibri"/>
                <w:sz w:val="20"/>
                <w:lang w:val="fr-CA"/>
              </w:rPr>
            </w:pPr>
          </w:p>
        </w:tc>
      </w:tr>
      <w:tr w:rsidR="00C965C5" w:rsidRPr="00F056F0"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Au terme d'un procès devant un juge et un jury, le jury a conclu que M. Verdun avait tenu des propos diffamatoires au sujet de M. Astley et a accordé des dommages</w:t>
            </w:r>
            <w:r w:rsidRPr="00F056F0">
              <w:rPr>
                <w:rFonts w:eastAsia="Calibri"/>
                <w:sz w:val="20"/>
                <w:lang w:val="fr-CA"/>
              </w:rPr>
              <w:noBreakHyphen/>
              <w:t xml:space="preserve">intérêts.  Monsieur Verdun a interjeté appel du verdict du jury. </w:t>
            </w:r>
          </w:p>
          <w:p w:rsidR="00C965C5" w:rsidRPr="00F056F0" w:rsidRDefault="00C965C5" w:rsidP="00594C0F">
            <w:pPr>
              <w:jc w:val="both"/>
              <w:rPr>
                <w:rFonts w:eastAsia="Calibri"/>
                <w:sz w:val="20"/>
                <w:lang w:val="fr-CA"/>
              </w:rPr>
            </w:pP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28 octobre 2011</w:t>
            </w:r>
          </w:p>
          <w:p w:rsidR="00C965C5" w:rsidRPr="00F056F0" w:rsidRDefault="00C965C5" w:rsidP="00594C0F">
            <w:pPr>
              <w:jc w:val="both"/>
              <w:rPr>
                <w:rFonts w:eastAsia="Calibri"/>
                <w:sz w:val="20"/>
                <w:lang w:val="fr-CA"/>
              </w:rPr>
            </w:pPr>
            <w:r w:rsidRPr="00F056F0">
              <w:rPr>
                <w:rFonts w:eastAsia="Calibri"/>
                <w:sz w:val="20"/>
                <w:lang w:val="fr-CA"/>
              </w:rPr>
              <w:t xml:space="preserve">Cour d'appel de l'Ontario </w:t>
            </w:r>
          </w:p>
          <w:p w:rsidR="00C965C5" w:rsidRPr="00F056F0" w:rsidRDefault="00C965C5" w:rsidP="00594C0F">
            <w:pPr>
              <w:jc w:val="both"/>
              <w:rPr>
                <w:rFonts w:eastAsia="Calibri"/>
                <w:sz w:val="20"/>
                <w:lang w:val="fr-CA"/>
              </w:rPr>
            </w:pPr>
            <w:r w:rsidRPr="00F056F0">
              <w:rPr>
                <w:rFonts w:eastAsia="Calibri"/>
                <w:sz w:val="20"/>
                <w:lang w:val="fr-CA"/>
              </w:rPr>
              <w:t>(Greffier adjoint)</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Appel du demandeur rejeté pour cause de retard</w:t>
            </w: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17 avril 2012</w:t>
            </w:r>
          </w:p>
          <w:p w:rsidR="00C965C5" w:rsidRPr="00F056F0" w:rsidRDefault="00C965C5" w:rsidP="00594C0F">
            <w:pPr>
              <w:jc w:val="both"/>
              <w:rPr>
                <w:rFonts w:eastAsia="Calibri"/>
                <w:sz w:val="20"/>
                <w:lang w:val="fr-CA"/>
              </w:rPr>
            </w:pPr>
            <w:r w:rsidRPr="00F056F0">
              <w:rPr>
                <w:rFonts w:eastAsia="Calibri"/>
                <w:sz w:val="20"/>
                <w:lang w:val="fr-CA"/>
              </w:rPr>
              <w:t>Cour d'appel de l'Ontario</w:t>
            </w:r>
          </w:p>
          <w:p w:rsidR="00C965C5" w:rsidRPr="00F056F0" w:rsidRDefault="00C965C5" w:rsidP="00594C0F">
            <w:pPr>
              <w:jc w:val="both"/>
              <w:rPr>
                <w:rFonts w:eastAsia="Calibri"/>
                <w:sz w:val="20"/>
                <w:lang w:val="fr-CA"/>
              </w:rPr>
            </w:pPr>
            <w:r w:rsidRPr="00F056F0">
              <w:rPr>
                <w:rFonts w:eastAsia="Calibri"/>
                <w:sz w:val="20"/>
                <w:lang w:val="fr-CA"/>
              </w:rPr>
              <w:t>(Juges Doherty, LaForme et Epstein)</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Motion du demandeur en réinscription de l'appel, rejetée; appel du demandeur, rejeté</w:t>
            </w:r>
          </w:p>
          <w:p w:rsidR="00C965C5" w:rsidRPr="00F056F0" w:rsidRDefault="00C965C5" w:rsidP="00594C0F">
            <w:pPr>
              <w:jc w:val="both"/>
              <w:rPr>
                <w:rFonts w:eastAsia="Calibri"/>
                <w:sz w:val="20"/>
                <w:lang w:val="fr-CA"/>
              </w:rPr>
            </w:pPr>
          </w:p>
          <w:p w:rsidR="00C965C5" w:rsidRPr="00F056F0" w:rsidRDefault="00C965C5" w:rsidP="00594C0F">
            <w:pPr>
              <w:jc w:val="both"/>
              <w:rPr>
                <w:rFonts w:eastAsia="Calibri"/>
                <w:sz w:val="20"/>
                <w:lang w:val="fr-CA"/>
              </w:rPr>
            </w:pPr>
          </w:p>
        </w:tc>
      </w:tr>
      <w:tr w:rsidR="00C965C5" w:rsidRPr="00F056F0"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14 juin 2012</w:t>
            </w:r>
          </w:p>
          <w:p w:rsidR="00C965C5" w:rsidRPr="00F056F0" w:rsidRDefault="00C965C5" w:rsidP="00594C0F">
            <w:pPr>
              <w:jc w:val="both"/>
              <w:rPr>
                <w:rFonts w:eastAsia="Calibri"/>
                <w:sz w:val="20"/>
                <w:lang w:val="fr-CA"/>
              </w:rPr>
            </w:pPr>
            <w:r w:rsidRPr="00F056F0">
              <w:rPr>
                <w:rFonts w:eastAsia="Calibri"/>
                <w:sz w:val="20"/>
                <w:lang w:val="fr-CA"/>
              </w:rPr>
              <w:t>Cour suprême du Canada</w:t>
            </w: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Demande d'autorisation d'appel, déposée</w:t>
            </w:r>
          </w:p>
          <w:p w:rsidR="00C965C5" w:rsidRPr="00F056F0" w:rsidRDefault="00C965C5"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67" style="width:2in;height:1pt" o:hrpct="0" o:hralign="center" o:hrstd="t" o:hrnoshade="t" o:hr="t" fillcolor="black [3213]" stroked="f"/>
        </w:pict>
      </w:r>
    </w:p>
    <w:p w:rsidR="005F361C" w:rsidRDefault="005F361C" w:rsidP="005F361C">
      <w:pPr>
        <w:rPr>
          <w:sz w:val="20"/>
          <w:szCs w:val="20"/>
        </w:rPr>
      </w:pPr>
    </w:p>
    <w:p w:rsidR="009572E2" w:rsidRDefault="009572E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6033" w:rsidRPr="002E6033" w:rsidTr="009572E2">
        <w:trPr>
          <w:cantSplit/>
        </w:trPr>
        <w:tc>
          <w:tcPr>
            <w:tcW w:w="1458" w:type="dxa"/>
          </w:tcPr>
          <w:p w:rsidR="002E6033" w:rsidRPr="002E6033" w:rsidRDefault="002E6033" w:rsidP="009572E2">
            <w:pPr>
              <w:rPr>
                <w:sz w:val="20"/>
                <w:szCs w:val="20"/>
              </w:rPr>
            </w:pPr>
            <w:r w:rsidRPr="002E6033">
              <w:rPr>
                <w:rStyle w:val="SCCFileNumberChar"/>
                <w:sz w:val="20"/>
                <w:szCs w:val="20"/>
              </w:rPr>
              <w:lastRenderedPageBreak/>
              <w:t>34875</w:t>
            </w:r>
          </w:p>
          <w:p w:rsidR="002E6033" w:rsidRPr="002E6033" w:rsidRDefault="002E6033" w:rsidP="009572E2">
            <w:pPr>
              <w:rPr>
                <w:b/>
                <w:sz w:val="20"/>
                <w:szCs w:val="20"/>
                <w:lang w:val="fr-CA"/>
              </w:rPr>
            </w:pPr>
          </w:p>
        </w:tc>
        <w:tc>
          <w:tcPr>
            <w:tcW w:w="8118" w:type="dxa"/>
          </w:tcPr>
          <w:p w:rsidR="002E6033" w:rsidRPr="002E6033" w:rsidRDefault="002E6033" w:rsidP="009572E2">
            <w:pPr>
              <w:rPr>
                <w:sz w:val="20"/>
                <w:szCs w:val="20"/>
              </w:rPr>
            </w:pPr>
            <w:r w:rsidRPr="002E6033">
              <w:rPr>
                <w:rStyle w:val="SCCLsocChar"/>
                <w:sz w:val="20"/>
                <w:szCs w:val="20"/>
                <w:lang w:val="en-CA"/>
              </w:rPr>
              <w:t>H.H. Davis &amp; Associés Inc. c. Placements Ballylickey Inc. / Ballylickey Investments Inc.</w:t>
            </w:r>
            <w:r w:rsidRPr="002E6033">
              <w:rPr>
                <w:sz w:val="20"/>
                <w:szCs w:val="20"/>
              </w:rPr>
              <w:t xml:space="preserve"> (Qc) (Civile) (Autorisation)</w:t>
            </w:r>
          </w:p>
          <w:p w:rsidR="002E6033" w:rsidRPr="002E6033" w:rsidRDefault="002E6033" w:rsidP="009572E2">
            <w:pPr>
              <w:rPr>
                <w:sz w:val="20"/>
                <w:szCs w:val="20"/>
              </w:rPr>
            </w:pPr>
          </w:p>
        </w:tc>
      </w:tr>
      <w:tr w:rsidR="002E6033" w:rsidRPr="003935EC" w:rsidTr="009572E2">
        <w:trPr>
          <w:cantSplit/>
        </w:trPr>
        <w:tc>
          <w:tcPr>
            <w:tcW w:w="1458" w:type="dxa"/>
          </w:tcPr>
          <w:p w:rsidR="002E6033" w:rsidRPr="002E6033" w:rsidRDefault="002E6033" w:rsidP="009572E2">
            <w:pPr>
              <w:rPr>
                <w:sz w:val="20"/>
                <w:szCs w:val="20"/>
              </w:rPr>
            </w:pPr>
            <w:r w:rsidRPr="002E6033">
              <w:rPr>
                <w:sz w:val="20"/>
                <w:szCs w:val="20"/>
              </w:rPr>
              <w:t>Coram :</w:t>
            </w:r>
          </w:p>
        </w:tc>
        <w:tc>
          <w:tcPr>
            <w:tcW w:w="8118" w:type="dxa"/>
          </w:tcPr>
          <w:p w:rsidR="002E6033" w:rsidRPr="002E6033" w:rsidRDefault="002E6033" w:rsidP="009572E2">
            <w:pPr>
              <w:rPr>
                <w:sz w:val="20"/>
                <w:szCs w:val="20"/>
                <w:lang w:val="fr-CA"/>
              </w:rPr>
            </w:pPr>
            <w:r w:rsidRPr="002E6033">
              <w:rPr>
                <w:rStyle w:val="SCCCoramChar"/>
                <w:sz w:val="20"/>
                <w:szCs w:val="20"/>
              </w:rPr>
              <w:t>Les juges LeBel, Abella et Cromwell</w:t>
            </w:r>
          </w:p>
          <w:p w:rsidR="002E6033" w:rsidRPr="002E6033" w:rsidRDefault="002E6033" w:rsidP="009572E2">
            <w:pPr>
              <w:rPr>
                <w:sz w:val="20"/>
                <w:szCs w:val="20"/>
                <w:u w:val="single"/>
                <w:lang w:val="fr-CA"/>
              </w:rPr>
            </w:pPr>
          </w:p>
        </w:tc>
      </w:tr>
      <w:tr w:rsidR="002E6033" w:rsidRPr="002E6033" w:rsidTr="009572E2">
        <w:trPr>
          <w:cantSplit/>
        </w:trPr>
        <w:tc>
          <w:tcPr>
            <w:tcW w:w="9576" w:type="dxa"/>
            <w:gridSpan w:val="2"/>
          </w:tcPr>
          <w:p w:rsidR="002E6033" w:rsidRPr="002E6033" w:rsidRDefault="002E6033" w:rsidP="009572E2">
            <w:pPr>
              <w:pStyle w:val="SCCShortJudgment"/>
              <w:rPr>
                <w:szCs w:val="20"/>
                <w:lang w:val="fr-CA"/>
              </w:rPr>
            </w:pPr>
            <w:r w:rsidRPr="002E6033">
              <w:rPr>
                <w:szCs w:val="20"/>
                <w:lang w:val="fr-CA"/>
              </w:rPr>
              <w:t>La demande d’autorisation d’appel de l’arrêt de la Cour d’appel du Québec (Montréal), numéro 500-09-020777-108, 2012 QCCA 702, daté du 17 avril 2012, est rejetée avec dépens.</w:t>
            </w:r>
          </w:p>
          <w:p w:rsidR="002E6033" w:rsidRPr="002E6033" w:rsidRDefault="002E6033" w:rsidP="009572E2">
            <w:pPr>
              <w:pStyle w:val="SCCShortJudgment"/>
              <w:ind w:firstLine="0"/>
              <w:rPr>
                <w:szCs w:val="20"/>
                <w:lang w:val="fr-CA"/>
              </w:rPr>
            </w:pPr>
          </w:p>
          <w:p w:rsidR="002E6033" w:rsidRPr="002E6033" w:rsidRDefault="002E6033" w:rsidP="009572E2">
            <w:pPr>
              <w:pStyle w:val="SCCShortJudgment"/>
              <w:rPr>
                <w:szCs w:val="20"/>
              </w:rPr>
            </w:pPr>
            <w:r w:rsidRPr="002E6033">
              <w:rPr>
                <w:szCs w:val="20"/>
              </w:rPr>
              <w:t>The application for leave to appeal from the judgment of the Court of Appeal of Quebec (Montréal), Number 500-09-020777-108, 2012 QCCA 702, dated April 17, 2012, is dismissed with costs.</w:t>
            </w:r>
          </w:p>
        </w:tc>
      </w:tr>
    </w:tbl>
    <w:p w:rsidR="005F361C" w:rsidRDefault="005F361C" w:rsidP="005F361C">
      <w:pPr>
        <w:rPr>
          <w:sz w:val="20"/>
          <w:szCs w:val="20"/>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 xml:space="preserve">Bankruptcy and insolvency — Priorities — </w:t>
            </w:r>
            <w:r w:rsidRPr="00F056F0">
              <w:rPr>
                <w:rFonts w:eastAsia="Calibri"/>
                <w:i/>
                <w:sz w:val="20"/>
              </w:rPr>
              <w:t>Bankruptcy and Insolvency Act</w:t>
            </w:r>
            <w:r w:rsidRPr="00F056F0">
              <w:rPr>
                <w:rFonts w:eastAsia="Calibri"/>
                <w:sz w:val="20"/>
              </w:rPr>
              <w:t>,</w:t>
            </w:r>
            <w:r w:rsidRPr="00F056F0">
              <w:rPr>
                <w:rFonts w:eastAsia="Calibri"/>
                <w:i/>
                <w:sz w:val="20"/>
              </w:rPr>
              <w:t xml:space="preserve"> </w:t>
            </w:r>
            <w:r w:rsidRPr="00F056F0">
              <w:rPr>
                <w:rFonts w:eastAsia="Calibri"/>
                <w:sz w:val="20"/>
              </w:rPr>
              <w:t>R.S.C. 1985, c. B</w:t>
            </w:r>
            <w:r w:rsidRPr="00F056F0">
              <w:rPr>
                <w:rFonts w:eastAsia="Calibri"/>
                <w:sz w:val="20"/>
              </w:rPr>
              <w:noBreakHyphen/>
              <w:t xml:space="preserve">3, s. 139 — Amounts injected or advanced by an investor and/or a shareholder in a company subsequently becoming bankrupt — Applicable criteria for determining whether these amounts should be characterized as “capital” or “loans” — Weight to be given to each of these criteria in determining whether, under the </w:t>
            </w:r>
            <w:r w:rsidRPr="00F056F0">
              <w:rPr>
                <w:rFonts w:eastAsia="Calibri"/>
                <w:i/>
                <w:sz w:val="20"/>
              </w:rPr>
              <w:t>Bankruptcy and Insolvency Act</w:t>
            </w:r>
            <w:r w:rsidRPr="00F056F0">
              <w:rPr>
                <w:rFonts w:eastAsia="Calibri"/>
                <w:sz w:val="20"/>
              </w:rPr>
              <w:t xml:space="preserve">, the claim of an investor and/or a shareholder should be postponed in favour of other creditors of a bankrupt debtor — Whether Canadian accountants’ practice of characterizing, </w:t>
            </w:r>
            <w:r w:rsidRPr="00F056F0">
              <w:rPr>
                <w:rFonts w:eastAsia="Calibri"/>
                <w:i/>
                <w:sz w:val="20"/>
              </w:rPr>
              <w:t>a posteriori</w:t>
            </w:r>
            <w:r w:rsidRPr="00F056F0">
              <w:rPr>
                <w:rFonts w:eastAsia="Calibri"/>
                <w:sz w:val="20"/>
              </w:rPr>
              <w:t>, a company shareholder’s injections as [</w:t>
            </w:r>
            <w:r w:rsidRPr="00F056F0">
              <w:rPr>
                <w:rFonts w:eastAsia="Calibri"/>
                <w:smallCaps/>
                <w:sz w:val="20"/>
              </w:rPr>
              <w:t>translation</w:t>
            </w:r>
            <w:r w:rsidRPr="00F056F0">
              <w:rPr>
                <w:rFonts w:eastAsia="Calibri"/>
                <w:sz w:val="20"/>
              </w:rPr>
              <w:t>] “indefinite</w:t>
            </w:r>
            <w:r w:rsidRPr="00F056F0">
              <w:rPr>
                <w:rFonts w:eastAsia="Calibri"/>
                <w:sz w:val="20"/>
              </w:rPr>
              <w:noBreakHyphen/>
              <w:t>term, interest</w:t>
            </w:r>
            <w:r w:rsidRPr="00F056F0">
              <w:rPr>
                <w:rFonts w:eastAsia="Calibri"/>
                <w:sz w:val="20"/>
              </w:rPr>
              <w:noBreakHyphen/>
              <w:t>free loans” in year</w:t>
            </w:r>
            <w:r w:rsidRPr="00F056F0">
              <w:rPr>
                <w:rFonts w:eastAsia="Calibri"/>
                <w:sz w:val="20"/>
              </w:rPr>
              <w:noBreakHyphen/>
              <w:t>end financial statements, without any accompanying supporting evidence or documents, is valid and legitimate.</w:t>
            </w:r>
          </w:p>
          <w:p w:rsidR="00C965C5" w:rsidRPr="00F056F0" w:rsidRDefault="00C965C5" w:rsidP="00594C0F">
            <w:pPr>
              <w:jc w:val="both"/>
              <w:rPr>
                <w:rFonts w:eastAsia="Calibri"/>
                <w:sz w:val="20"/>
              </w:rPr>
            </w:pPr>
          </w:p>
        </w:tc>
      </w:tr>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In 2004, the respondent corporation, Placements Ballylickey Inc., was incorporated to acquire the shares of Installations Doorcorp Inc. (“Doorcorp”), a corporation that subsequently became bankrupt.  On several occasions before Doorcorp’s bankruptcy, the respondent transferred sums of money to Doorcorp.  No contracts were signed regarding these transfers, but the payments were recorded in a file documenting the respondent’s loans to Doorcorp, and Doorcorp’s financial statements represent these advances as loans “with affiliated companies that are controlled and operated by the same shareholder and are non</w:t>
            </w:r>
            <w:r w:rsidRPr="00F056F0">
              <w:rPr>
                <w:rFonts w:eastAsia="Calibri"/>
                <w:sz w:val="20"/>
              </w:rPr>
              <w:noBreakHyphen/>
              <w:t>interest bearing with no specific terms of repayment”.</w:t>
            </w:r>
          </w:p>
          <w:p w:rsidR="00C965C5" w:rsidRPr="00F056F0" w:rsidRDefault="00C965C5" w:rsidP="00594C0F">
            <w:pPr>
              <w:jc w:val="both"/>
              <w:rPr>
                <w:rFonts w:eastAsia="Calibri"/>
                <w:sz w:val="20"/>
              </w:rPr>
            </w:pPr>
          </w:p>
          <w:p w:rsidR="00C965C5" w:rsidRPr="00F056F0" w:rsidRDefault="00C965C5" w:rsidP="00594C0F">
            <w:pPr>
              <w:jc w:val="both"/>
              <w:rPr>
                <w:rFonts w:eastAsia="Calibri"/>
                <w:sz w:val="20"/>
              </w:rPr>
            </w:pPr>
            <w:r w:rsidRPr="00F056F0">
              <w:rPr>
                <w:rFonts w:eastAsia="Calibri"/>
                <w:sz w:val="20"/>
              </w:rPr>
              <w:t xml:space="preserve">On August 15, 2008, Doorcorp declared bankruptcy.  A few months later, the trustee responsible for the bankruptcy at that time rejected the respondent’s claim on the basis that all of the amounts that it had paid to Doorcorp were a capital advance and not a claim with fixed, predetermined terms of repayment.  The trustee concluded that, under section 139 of the </w:t>
            </w:r>
            <w:r w:rsidRPr="00F056F0">
              <w:rPr>
                <w:rFonts w:eastAsia="Calibri"/>
                <w:i/>
                <w:sz w:val="20"/>
              </w:rPr>
              <w:t>Bankruptcy and Insolvency Act</w:t>
            </w:r>
            <w:r w:rsidRPr="00F056F0">
              <w:rPr>
                <w:rFonts w:eastAsia="Calibri"/>
                <w:sz w:val="20"/>
              </w:rPr>
              <w:t xml:space="preserve">, the respondent is not entitled to recover anything until the claims of all other creditors of Doorcorp have been satisfied.  This conclusion was confirmed in part by the Superior Court, whereas the Court of Appeal declared that section 139 of the </w:t>
            </w:r>
            <w:r w:rsidRPr="00F056F0">
              <w:rPr>
                <w:rFonts w:eastAsia="Calibri"/>
                <w:i/>
                <w:sz w:val="20"/>
              </w:rPr>
              <w:t xml:space="preserve">Bankruptcy and Insolvency Act </w:t>
            </w:r>
            <w:r w:rsidRPr="00F056F0">
              <w:rPr>
                <w:rFonts w:eastAsia="Calibri"/>
                <w:sz w:val="20"/>
              </w:rPr>
              <w:t xml:space="preserve"> does not apply to the claim at issue.</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June 28, 2010</w:t>
            </w:r>
          </w:p>
          <w:p w:rsidR="00C965C5" w:rsidRPr="00F056F0" w:rsidRDefault="00C965C5" w:rsidP="00594C0F">
            <w:pPr>
              <w:jc w:val="both"/>
              <w:rPr>
                <w:rFonts w:eastAsia="Calibri"/>
                <w:sz w:val="20"/>
              </w:rPr>
            </w:pPr>
            <w:r w:rsidRPr="00F056F0">
              <w:rPr>
                <w:rFonts w:eastAsia="Calibri"/>
                <w:sz w:val="20"/>
              </w:rPr>
              <w:t>Quebec Superior Court</w:t>
            </w:r>
          </w:p>
          <w:p w:rsidR="00C965C5" w:rsidRPr="00F056F0" w:rsidRDefault="00C965C5" w:rsidP="00594C0F">
            <w:pPr>
              <w:jc w:val="both"/>
              <w:rPr>
                <w:rFonts w:eastAsia="Calibri"/>
                <w:sz w:val="20"/>
              </w:rPr>
            </w:pPr>
            <w:r w:rsidRPr="00F056F0">
              <w:rPr>
                <w:rFonts w:eastAsia="Calibri"/>
                <w:sz w:val="20"/>
              </w:rPr>
              <w:t>(Journet J.)</w:t>
            </w:r>
          </w:p>
          <w:p w:rsidR="00C965C5" w:rsidRPr="00F056F0" w:rsidRDefault="00C965C5" w:rsidP="00594C0F">
            <w:pPr>
              <w:jc w:val="both"/>
              <w:rPr>
                <w:rFonts w:eastAsia="Calibri"/>
                <w:sz w:val="20"/>
              </w:rPr>
            </w:pPr>
            <w:r w:rsidRPr="00F056F0">
              <w:rPr>
                <w:rFonts w:eastAsia="Calibri"/>
                <w:sz w:val="20"/>
              </w:rPr>
              <w:t>2010 QCCS 3618</w:t>
            </w:r>
          </w:p>
          <w:p w:rsidR="00C965C5" w:rsidRPr="00F056F0" w:rsidRDefault="00C965C5" w:rsidP="00594C0F">
            <w:pPr>
              <w:jc w:val="both"/>
              <w:rPr>
                <w:rFonts w:eastAsia="Calibri"/>
                <w:sz w:val="20"/>
              </w:rPr>
            </w:pPr>
            <w:r w:rsidRPr="00F056F0">
              <w:rPr>
                <w:rFonts w:eastAsia="Calibri"/>
                <w:sz w:val="20"/>
              </w:rPr>
              <w:t>No. 500</w:t>
            </w:r>
            <w:r w:rsidRPr="00F056F0">
              <w:rPr>
                <w:rFonts w:eastAsia="Calibri"/>
                <w:sz w:val="20"/>
              </w:rPr>
              <w:noBreakHyphen/>
              <w:t>11</w:t>
            </w:r>
            <w:r w:rsidRPr="00F056F0">
              <w:rPr>
                <w:rFonts w:eastAsia="Calibri"/>
                <w:sz w:val="20"/>
              </w:rPr>
              <w:noBreakHyphen/>
              <w:t>031965</w:t>
            </w:r>
            <w:r w:rsidRPr="00F056F0">
              <w:rPr>
                <w:rFonts w:eastAsia="Calibri"/>
                <w:sz w:val="20"/>
              </w:rPr>
              <w:noBreakHyphen/>
              <w:t>078</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 xml:space="preserve">Appeal from rejection of proof of claim allowed in part; notice of rejection of respondent’s evidence quashed; respondent declared ordinary creditor for an amount of $740,406.39, this claim being postponed in accordance with section 139 of </w:t>
            </w:r>
            <w:r w:rsidRPr="00F056F0">
              <w:rPr>
                <w:rFonts w:eastAsia="Calibri"/>
                <w:i/>
                <w:sz w:val="20"/>
              </w:rPr>
              <w:t>Bankruptcy and Insolvency Act</w:t>
            </w:r>
            <w:r w:rsidRPr="00F056F0">
              <w:rPr>
                <w:rFonts w:eastAsia="Calibri"/>
                <w:sz w:val="20"/>
              </w:rPr>
              <w:t>.</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April 17, 2012</w:t>
            </w:r>
          </w:p>
          <w:p w:rsidR="00C965C5" w:rsidRPr="00F056F0" w:rsidRDefault="00C965C5" w:rsidP="00594C0F">
            <w:pPr>
              <w:jc w:val="both"/>
              <w:rPr>
                <w:rFonts w:eastAsia="Calibri"/>
                <w:sz w:val="20"/>
              </w:rPr>
            </w:pPr>
            <w:r w:rsidRPr="00F056F0">
              <w:rPr>
                <w:rFonts w:eastAsia="Calibri"/>
                <w:sz w:val="20"/>
              </w:rPr>
              <w:t>Quebec Court of Appeal (Montréal)</w:t>
            </w:r>
          </w:p>
          <w:p w:rsidR="00C965C5" w:rsidRPr="00F056F0" w:rsidRDefault="00C965C5" w:rsidP="00594C0F">
            <w:pPr>
              <w:jc w:val="both"/>
              <w:rPr>
                <w:rFonts w:eastAsia="Calibri"/>
                <w:sz w:val="20"/>
              </w:rPr>
            </w:pPr>
            <w:r w:rsidRPr="00F056F0">
              <w:rPr>
                <w:rFonts w:eastAsia="Calibri"/>
                <w:sz w:val="20"/>
              </w:rPr>
              <w:t>(Beauregard, Bich and Bouchard JJ.A.)</w:t>
            </w:r>
          </w:p>
          <w:p w:rsidR="00C965C5" w:rsidRPr="00F056F0" w:rsidRDefault="00C965C5" w:rsidP="00594C0F">
            <w:pPr>
              <w:jc w:val="both"/>
              <w:rPr>
                <w:rFonts w:eastAsia="Calibri"/>
                <w:sz w:val="20"/>
              </w:rPr>
            </w:pPr>
            <w:r w:rsidRPr="00F056F0">
              <w:rPr>
                <w:rFonts w:eastAsia="Calibri"/>
                <w:sz w:val="20"/>
              </w:rPr>
              <w:t>2012 QCCA 702</w:t>
            </w:r>
          </w:p>
          <w:p w:rsidR="00C965C5" w:rsidRPr="00F056F0" w:rsidRDefault="00C965C5" w:rsidP="009572E2">
            <w:pPr>
              <w:jc w:val="both"/>
              <w:rPr>
                <w:rFonts w:eastAsia="Calibri"/>
                <w:sz w:val="20"/>
              </w:rPr>
            </w:pPr>
            <w:r w:rsidRPr="00F056F0">
              <w:rPr>
                <w:rFonts w:eastAsia="Calibri"/>
                <w:sz w:val="20"/>
              </w:rPr>
              <w:t>No. </w:t>
            </w:r>
            <w:bookmarkStart w:id="1" w:name="NoDossier"/>
            <w:r w:rsidRPr="00F056F0">
              <w:rPr>
                <w:rFonts w:eastAsia="Calibri"/>
                <w:sz w:val="20"/>
              </w:rPr>
              <w:t>500</w:t>
            </w:r>
            <w:r w:rsidRPr="00F056F0">
              <w:rPr>
                <w:rFonts w:eastAsia="Calibri"/>
                <w:sz w:val="20"/>
              </w:rPr>
              <w:noBreakHyphen/>
              <w:t>09</w:t>
            </w:r>
            <w:r w:rsidRPr="00F056F0">
              <w:rPr>
                <w:rFonts w:eastAsia="Calibri"/>
                <w:sz w:val="20"/>
              </w:rPr>
              <w:noBreakHyphen/>
              <w:t>020777</w:t>
            </w:r>
            <w:r w:rsidRPr="00F056F0">
              <w:rPr>
                <w:rFonts w:eastAsia="Calibri"/>
                <w:sz w:val="20"/>
              </w:rPr>
              <w:noBreakHyphen/>
              <w:t>108</w:t>
            </w:r>
            <w:bookmarkEnd w:id="1"/>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 xml:space="preserve">Appeal allowed in part, with claim of $740,406.39 being declared not subject to section 139 of </w:t>
            </w:r>
            <w:r w:rsidRPr="00F056F0">
              <w:rPr>
                <w:rFonts w:eastAsia="Calibri"/>
                <w:i/>
                <w:sz w:val="20"/>
              </w:rPr>
              <w:t>Bankruptcy and Insolvency Act</w:t>
            </w:r>
            <w:r w:rsidRPr="00F056F0">
              <w:rPr>
                <w:rFonts w:eastAsia="Calibri"/>
                <w:sz w:val="20"/>
              </w:rPr>
              <w:t>; trial judgment otherwise affirmed.</w:t>
            </w:r>
          </w:p>
        </w:tc>
      </w:tr>
    </w:tbl>
    <w:p w:rsidR="009572E2" w:rsidRDefault="009572E2"/>
    <w:p w:rsidR="009572E2" w:rsidRDefault="009572E2">
      <w:r>
        <w:br w:type="page"/>
      </w:r>
    </w:p>
    <w:tbl>
      <w:tblPr>
        <w:tblW w:w="4952" w:type="pct"/>
        <w:tblLayout w:type="fixed"/>
        <w:tblCellMar>
          <w:left w:w="0" w:type="dxa"/>
          <w:bottom w:w="99" w:type="dxa"/>
          <w:right w:w="0" w:type="dxa"/>
        </w:tblCellMar>
        <w:tblLook w:val="00A0"/>
      </w:tblPr>
      <w:tblGrid>
        <w:gridCol w:w="4624"/>
        <w:gridCol w:w="463"/>
        <w:gridCol w:w="4440"/>
      </w:tblGrid>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lastRenderedPageBreak/>
              <w:t>June 15, 2012</w:t>
            </w:r>
          </w:p>
          <w:p w:rsidR="00C965C5" w:rsidRPr="00F056F0" w:rsidRDefault="00C965C5" w:rsidP="00594C0F">
            <w:pPr>
              <w:jc w:val="both"/>
              <w:rPr>
                <w:rFonts w:eastAsia="Calibri"/>
                <w:sz w:val="20"/>
              </w:rPr>
            </w:pPr>
            <w:r w:rsidRPr="00F056F0">
              <w:rPr>
                <w:rFonts w:eastAsia="Calibri"/>
                <w:sz w:val="20"/>
              </w:rPr>
              <w:t>Supreme Court of Canada</w:t>
            </w: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Application for leave to appeal filed.</w:t>
            </w: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68"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 xml:space="preserve">Faillite et insolvabilité — Ordre de priorité — Article 139 de la </w:t>
            </w:r>
            <w:r w:rsidRPr="00F056F0">
              <w:rPr>
                <w:rFonts w:eastAsia="Calibri"/>
                <w:i/>
                <w:sz w:val="20"/>
                <w:lang w:val="fr-CA"/>
              </w:rPr>
              <w:t>Loi sur la faillite et l’insolvabilité</w:t>
            </w:r>
            <w:r w:rsidRPr="00F056F0">
              <w:rPr>
                <w:rFonts w:eastAsia="Calibri"/>
                <w:sz w:val="20"/>
                <w:lang w:val="fr-CA"/>
              </w:rPr>
              <w:t>, L.R.C. 1985, ch. B</w:t>
            </w:r>
            <w:r w:rsidRPr="00F056F0">
              <w:rPr>
                <w:rFonts w:eastAsia="Calibri"/>
                <w:sz w:val="20"/>
                <w:lang w:val="fr-CA"/>
              </w:rPr>
              <w:noBreakHyphen/>
              <w:t>3 — Sommes injectées ou avancées par un investisseur et/ou actionnaire dans une compagnie faisant par la suite faillite — Quels sont les critères applicables afin de déterminer si ces sommes doivent être qualifiées de « capital » ou de « prêt »? — Quel poids faut</w:t>
            </w:r>
            <w:r w:rsidRPr="00F056F0">
              <w:rPr>
                <w:rFonts w:eastAsia="Calibri"/>
                <w:sz w:val="20"/>
                <w:lang w:val="fr-CA"/>
              </w:rPr>
              <w:noBreakHyphen/>
              <w:t xml:space="preserve">il accorder à ces divers critères afin de déterminer si un investisseur et/ou actionnaire doit voir sa créance différée par rapport aux autres créanciers d’une débitrice faillie en vertu de la </w:t>
            </w:r>
            <w:r w:rsidRPr="00F056F0">
              <w:rPr>
                <w:rFonts w:eastAsia="Calibri"/>
                <w:i/>
                <w:sz w:val="20"/>
                <w:lang w:val="fr-CA"/>
              </w:rPr>
              <w:t>Loi sur la faillite et l’insolvabilité</w:t>
            </w:r>
            <w:r w:rsidRPr="00F056F0">
              <w:rPr>
                <w:rFonts w:eastAsia="Calibri"/>
                <w:sz w:val="20"/>
                <w:lang w:val="fr-CA"/>
              </w:rPr>
              <w:t xml:space="preserve">? — La pratique de comptables canadiens de qualifier dans les états financiers, </w:t>
            </w:r>
            <w:r w:rsidRPr="00F056F0">
              <w:rPr>
                <w:rFonts w:eastAsia="Calibri"/>
                <w:i/>
                <w:sz w:val="20"/>
                <w:lang w:val="fr-CA"/>
              </w:rPr>
              <w:t>a posteriori</w:t>
            </w:r>
            <w:r w:rsidRPr="00F056F0">
              <w:rPr>
                <w:rFonts w:eastAsia="Calibri"/>
                <w:sz w:val="20"/>
                <w:lang w:val="fr-CA"/>
              </w:rPr>
              <w:t>, lors de leur travail de fin d’année financière, de « prêt sans terme ni intérêt » des injections faites par un actionnaire d’une compagnie, sans preuve ou document justificatif concomitant, est</w:t>
            </w:r>
            <w:r w:rsidRPr="00F056F0">
              <w:rPr>
                <w:rFonts w:eastAsia="Calibri"/>
                <w:sz w:val="20"/>
                <w:lang w:val="fr-CA"/>
              </w:rPr>
              <w:noBreakHyphen/>
              <w:t>elle valide et légitime?</w:t>
            </w:r>
          </w:p>
          <w:p w:rsidR="00C965C5" w:rsidRPr="00F056F0" w:rsidRDefault="00C965C5" w:rsidP="00594C0F">
            <w:pPr>
              <w:jc w:val="both"/>
              <w:rPr>
                <w:rFonts w:eastAsia="Calibri"/>
                <w:sz w:val="20"/>
                <w:lang w:val="fr-CA"/>
              </w:rPr>
            </w:pPr>
          </w:p>
        </w:tc>
      </w:tr>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En 2004, la société intimée, Placements Ballylickey Inc., est incorporée afin d’acquérir les actions de la société Installations Doorcorp Inc. (« Doorcorp »), devenue depuis faillie.  À plusieurs occasions précédant la faillite de Doorcorp, l’intimée transfère à cette dernière des sommes d’argent.  Aucun contrat relativement n’est signé à cet égard, mais les versements sont répertoriés dans un fichier où sont consignés les prêts de l’intimée à Doorcorp et les états financiers de cette dernière représentent ces avances comme étant des prêts « with affiliated companies that are controlled and operated by the same shareholder and are non</w:t>
            </w:r>
            <w:r w:rsidRPr="00F056F0">
              <w:rPr>
                <w:rFonts w:eastAsia="Calibri"/>
                <w:sz w:val="20"/>
                <w:lang w:val="fr-CA"/>
              </w:rPr>
              <w:noBreakHyphen/>
              <w:t>interest bearing with no specific terms of repayment ».</w:t>
            </w:r>
          </w:p>
          <w:p w:rsidR="00C965C5" w:rsidRPr="00F056F0" w:rsidRDefault="00C965C5" w:rsidP="00594C0F">
            <w:pPr>
              <w:jc w:val="both"/>
              <w:rPr>
                <w:rFonts w:eastAsia="Calibri"/>
                <w:sz w:val="20"/>
                <w:lang w:val="fr-CA"/>
              </w:rPr>
            </w:pPr>
          </w:p>
          <w:p w:rsidR="00C965C5" w:rsidRPr="00F056F0" w:rsidRDefault="00C965C5" w:rsidP="00594C0F">
            <w:pPr>
              <w:jc w:val="both"/>
              <w:rPr>
                <w:rFonts w:eastAsia="Calibri"/>
                <w:sz w:val="20"/>
                <w:lang w:val="fr-CA"/>
              </w:rPr>
            </w:pPr>
            <w:r w:rsidRPr="00F056F0">
              <w:rPr>
                <w:rFonts w:eastAsia="Calibri"/>
                <w:sz w:val="20"/>
                <w:lang w:val="fr-CA"/>
              </w:rPr>
              <w:t xml:space="preserve">Le 15 août 2008, Doorcorp est déclarée en faillite.  Quelques mois plus tard, la réclamation de l’intimée est rejetée par le syndic alors chargé de la faillite au motif que toutes les sommes qu’elle a versées à Doorcorp représentent une avance en capital et non une créance remboursable selon des modalités fixes et prédéterminée.  Le syndic en arrive à la conclusion qu’en vertu de l’article 139 de la </w:t>
            </w:r>
            <w:r w:rsidRPr="00F056F0">
              <w:rPr>
                <w:rFonts w:eastAsia="Calibri"/>
                <w:i/>
                <w:sz w:val="20"/>
                <w:lang w:val="fr-CA"/>
              </w:rPr>
              <w:t xml:space="preserve">Loi sur la faillite et </w:t>
            </w:r>
            <w:r w:rsidRPr="00F056F0">
              <w:rPr>
                <w:rFonts w:eastAsia="Calibri"/>
                <w:sz w:val="20"/>
                <w:lang w:val="fr-CA"/>
              </w:rPr>
              <w:t xml:space="preserve">l’insolvabilité, l’intimée n’a droit à aucun recouvrement jusqu’à ce que les réclamations de tous les autres créanciers de Doorcorp aient été acquittées.  Cette conclusion est en partie confirmée par la Cour supérieure, alors que la Cour d’appel déclare que la créance en cause n’est pas visée par l’article 139 de la </w:t>
            </w:r>
            <w:r w:rsidRPr="00F056F0">
              <w:rPr>
                <w:rFonts w:eastAsia="Calibri"/>
                <w:i/>
                <w:sz w:val="20"/>
                <w:lang w:val="fr-CA"/>
              </w:rPr>
              <w:t>Loi sur la faillite et l’insolvabilité</w:t>
            </w:r>
            <w:r w:rsidRPr="00F056F0">
              <w:rPr>
                <w:rFonts w:eastAsia="Calibri"/>
                <w:sz w:val="20"/>
                <w:lang w:val="fr-CA"/>
              </w:rPr>
              <w:t>.</w:t>
            </w:r>
          </w:p>
          <w:p w:rsidR="00C965C5" w:rsidRPr="00F056F0" w:rsidRDefault="00C965C5" w:rsidP="00594C0F">
            <w:pPr>
              <w:jc w:val="both"/>
              <w:rPr>
                <w:rFonts w:eastAsia="Calibri"/>
                <w:sz w:val="20"/>
                <w:lang w:val="fr-CA"/>
              </w:rPr>
            </w:pP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Le 28 juin 2010</w:t>
            </w:r>
          </w:p>
          <w:p w:rsidR="00C965C5" w:rsidRPr="00F056F0" w:rsidRDefault="00C965C5" w:rsidP="00594C0F">
            <w:pPr>
              <w:jc w:val="both"/>
              <w:rPr>
                <w:rFonts w:eastAsia="Calibri"/>
                <w:sz w:val="20"/>
                <w:lang w:val="fr-CA"/>
              </w:rPr>
            </w:pPr>
            <w:r w:rsidRPr="00F056F0">
              <w:rPr>
                <w:rFonts w:eastAsia="Calibri"/>
                <w:sz w:val="20"/>
                <w:lang w:val="fr-CA"/>
              </w:rPr>
              <w:t>Cour supérieure du Québec</w:t>
            </w:r>
          </w:p>
          <w:p w:rsidR="00C965C5" w:rsidRPr="00F056F0" w:rsidRDefault="00C965C5" w:rsidP="00594C0F">
            <w:pPr>
              <w:jc w:val="both"/>
              <w:rPr>
                <w:rFonts w:eastAsia="Calibri"/>
                <w:sz w:val="20"/>
                <w:lang w:val="fr-CA"/>
              </w:rPr>
            </w:pPr>
            <w:r w:rsidRPr="00F056F0">
              <w:rPr>
                <w:rFonts w:eastAsia="Calibri"/>
                <w:sz w:val="20"/>
                <w:lang w:val="fr-CA"/>
              </w:rPr>
              <w:t>(Le juge Journet)</w:t>
            </w:r>
          </w:p>
          <w:p w:rsidR="00C965C5" w:rsidRPr="00F056F0" w:rsidRDefault="00C965C5" w:rsidP="00594C0F">
            <w:pPr>
              <w:jc w:val="both"/>
              <w:rPr>
                <w:rFonts w:eastAsia="Calibri"/>
                <w:sz w:val="20"/>
                <w:lang w:val="fr-CA"/>
              </w:rPr>
            </w:pPr>
            <w:r w:rsidRPr="00F056F0">
              <w:rPr>
                <w:rFonts w:eastAsia="Calibri"/>
                <w:sz w:val="20"/>
                <w:lang w:val="fr-CA"/>
              </w:rPr>
              <w:t>Référence neutre : 2010 QCCS 3618</w:t>
            </w:r>
          </w:p>
          <w:p w:rsidR="00C965C5" w:rsidRPr="00F056F0" w:rsidRDefault="00C965C5" w:rsidP="00594C0F">
            <w:pPr>
              <w:jc w:val="both"/>
              <w:rPr>
                <w:rFonts w:eastAsia="Calibri"/>
                <w:sz w:val="20"/>
                <w:lang w:val="fr-CA"/>
              </w:rPr>
            </w:pPr>
            <w:r w:rsidRPr="00F056F0">
              <w:rPr>
                <w:rFonts w:eastAsia="Calibri"/>
                <w:sz w:val="20"/>
                <w:lang w:val="fr-CA"/>
              </w:rPr>
              <w:t>No. 500</w:t>
            </w:r>
            <w:r w:rsidRPr="00F056F0">
              <w:rPr>
                <w:rFonts w:eastAsia="Calibri"/>
                <w:sz w:val="20"/>
                <w:lang w:val="fr-CA"/>
              </w:rPr>
              <w:noBreakHyphen/>
              <w:t>11</w:t>
            </w:r>
            <w:r w:rsidRPr="00F056F0">
              <w:rPr>
                <w:rFonts w:eastAsia="Calibri"/>
                <w:sz w:val="20"/>
                <w:lang w:val="fr-CA"/>
              </w:rPr>
              <w:noBreakHyphen/>
              <w:t>031965</w:t>
            </w:r>
            <w:r w:rsidRPr="00F056F0">
              <w:rPr>
                <w:rFonts w:eastAsia="Calibri"/>
                <w:sz w:val="20"/>
                <w:lang w:val="fr-CA"/>
              </w:rPr>
              <w:noBreakHyphen/>
              <w:t>078</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 xml:space="preserve">Appel du rejet d’une preuve de réclamation accueilli en partie; avis de rejet de la preuve de l’intimée annulé; l’intimée déclarée créancière ordinaire pour un montant de 740,406.39 $, cette créance devant être référée suivant l’article 139 de la </w:t>
            </w:r>
            <w:r w:rsidRPr="00F056F0">
              <w:rPr>
                <w:rFonts w:eastAsia="Calibri"/>
                <w:i/>
                <w:sz w:val="20"/>
                <w:lang w:val="fr-CA"/>
              </w:rPr>
              <w:t>Loi sur la faillite et l’insolvabilité</w:t>
            </w:r>
            <w:r w:rsidRPr="00F056F0">
              <w:rPr>
                <w:rFonts w:eastAsia="Calibri"/>
                <w:sz w:val="20"/>
                <w:lang w:val="fr-CA"/>
              </w:rPr>
              <w:t>.</w:t>
            </w:r>
          </w:p>
          <w:p w:rsidR="00C965C5" w:rsidRPr="00F056F0" w:rsidRDefault="00C965C5" w:rsidP="00594C0F">
            <w:pPr>
              <w:jc w:val="both"/>
              <w:rPr>
                <w:rFonts w:eastAsia="Calibri"/>
                <w:sz w:val="20"/>
                <w:lang w:val="fr-CA"/>
              </w:rPr>
            </w:pPr>
          </w:p>
        </w:tc>
      </w:tr>
      <w:tr w:rsidR="00C965C5" w:rsidRPr="003935EC"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Le 17 avril 2012</w:t>
            </w:r>
          </w:p>
          <w:p w:rsidR="00C965C5" w:rsidRPr="00F056F0" w:rsidRDefault="00C965C5" w:rsidP="00594C0F">
            <w:pPr>
              <w:jc w:val="both"/>
              <w:rPr>
                <w:rFonts w:eastAsia="Calibri"/>
                <w:sz w:val="20"/>
                <w:lang w:val="fr-CA"/>
              </w:rPr>
            </w:pPr>
            <w:r w:rsidRPr="00F056F0">
              <w:rPr>
                <w:rFonts w:eastAsia="Calibri"/>
                <w:sz w:val="20"/>
                <w:lang w:val="fr-CA"/>
              </w:rPr>
              <w:t>Cour d’appel du Québec (Montréal)</w:t>
            </w:r>
          </w:p>
          <w:p w:rsidR="00C965C5" w:rsidRPr="00F056F0" w:rsidRDefault="00C965C5" w:rsidP="00594C0F">
            <w:pPr>
              <w:jc w:val="both"/>
              <w:rPr>
                <w:rFonts w:eastAsia="Calibri"/>
                <w:sz w:val="20"/>
                <w:lang w:val="fr-CA"/>
              </w:rPr>
            </w:pPr>
            <w:r w:rsidRPr="00F056F0">
              <w:rPr>
                <w:rFonts w:eastAsia="Calibri"/>
                <w:sz w:val="20"/>
                <w:lang w:val="fr-CA"/>
              </w:rPr>
              <w:t>(Les juges Beauregard, Bich et Bouchard)</w:t>
            </w:r>
          </w:p>
          <w:p w:rsidR="00C965C5" w:rsidRPr="00F056F0" w:rsidRDefault="00C965C5" w:rsidP="00594C0F">
            <w:pPr>
              <w:jc w:val="both"/>
              <w:rPr>
                <w:rFonts w:eastAsia="Calibri"/>
                <w:sz w:val="20"/>
                <w:lang w:val="fr-CA"/>
              </w:rPr>
            </w:pPr>
            <w:r w:rsidRPr="00F056F0">
              <w:rPr>
                <w:rFonts w:eastAsia="Calibri"/>
                <w:sz w:val="20"/>
                <w:lang w:val="fr-CA"/>
              </w:rPr>
              <w:t>Référence neutre : 2012 QCCA 702</w:t>
            </w:r>
          </w:p>
          <w:p w:rsidR="00C965C5" w:rsidRDefault="00C965C5" w:rsidP="00594C0F">
            <w:pPr>
              <w:jc w:val="both"/>
              <w:rPr>
                <w:rFonts w:eastAsia="Calibri"/>
                <w:sz w:val="20"/>
                <w:lang w:val="fr-CA"/>
              </w:rPr>
            </w:pPr>
            <w:r w:rsidRPr="00F056F0">
              <w:rPr>
                <w:rFonts w:eastAsia="Calibri"/>
                <w:sz w:val="20"/>
                <w:lang w:val="fr-CA"/>
              </w:rPr>
              <w:t>No. 500</w:t>
            </w:r>
            <w:r w:rsidRPr="00F056F0">
              <w:rPr>
                <w:rFonts w:eastAsia="Calibri"/>
                <w:sz w:val="20"/>
                <w:lang w:val="fr-CA"/>
              </w:rPr>
              <w:noBreakHyphen/>
              <w:t>09</w:t>
            </w:r>
            <w:r w:rsidRPr="00F056F0">
              <w:rPr>
                <w:rFonts w:eastAsia="Calibri"/>
                <w:sz w:val="20"/>
                <w:lang w:val="fr-CA"/>
              </w:rPr>
              <w:noBreakHyphen/>
              <w:t>020777</w:t>
            </w:r>
            <w:r w:rsidRPr="00F056F0">
              <w:rPr>
                <w:rFonts w:eastAsia="Calibri"/>
                <w:sz w:val="20"/>
                <w:lang w:val="fr-CA"/>
              </w:rPr>
              <w:noBreakHyphen/>
              <w:t>108</w:t>
            </w:r>
          </w:p>
          <w:p w:rsidR="00C44279" w:rsidRPr="00F056F0" w:rsidRDefault="00C44279"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 xml:space="preserve">Appel accueilli en partie, la créance de 740,406.39 $ étant déclarée comme créance qui n’est pas visée par l’article 139 de la </w:t>
            </w:r>
            <w:r w:rsidRPr="00F056F0">
              <w:rPr>
                <w:rFonts w:eastAsia="Calibri"/>
                <w:i/>
                <w:sz w:val="20"/>
                <w:lang w:val="fr-CA"/>
              </w:rPr>
              <w:t>Loi sur la faillite et l’insolvabilité</w:t>
            </w:r>
            <w:r w:rsidRPr="00F056F0">
              <w:rPr>
                <w:rFonts w:eastAsia="Calibri"/>
                <w:sz w:val="20"/>
                <w:lang w:val="fr-CA"/>
              </w:rPr>
              <w:t>; jugement de première instance confirmé quant au reste.</w:t>
            </w:r>
          </w:p>
          <w:p w:rsidR="00C965C5" w:rsidRPr="00F056F0" w:rsidRDefault="00C965C5" w:rsidP="00594C0F">
            <w:pPr>
              <w:jc w:val="both"/>
              <w:rPr>
                <w:rFonts w:eastAsia="Calibri"/>
                <w:sz w:val="20"/>
                <w:lang w:val="fr-CA"/>
              </w:rPr>
            </w:pPr>
          </w:p>
        </w:tc>
      </w:tr>
      <w:tr w:rsidR="00C965C5" w:rsidRPr="00F056F0" w:rsidTr="00594C0F">
        <w:tc>
          <w:tcPr>
            <w:tcW w:w="2427" w:type="pct"/>
          </w:tcPr>
          <w:p w:rsidR="00C965C5" w:rsidRPr="00F056F0" w:rsidRDefault="00C965C5" w:rsidP="00594C0F">
            <w:pPr>
              <w:jc w:val="both"/>
              <w:rPr>
                <w:rFonts w:eastAsia="Calibri"/>
                <w:sz w:val="20"/>
                <w:lang w:val="fr-CA"/>
              </w:rPr>
            </w:pPr>
            <w:r w:rsidRPr="00F056F0">
              <w:rPr>
                <w:rFonts w:eastAsia="Calibri"/>
                <w:sz w:val="20"/>
                <w:lang w:val="fr-CA"/>
              </w:rPr>
              <w:t>Le 15 juin 2012</w:t>
            </w:r>
          </w:p>
          <w:p w:rsidR="00C965C5" w:rsidRPr="00F056F0" w:rsidRDefault="00C965C5" w:rsidP="00594C0F">
            <w:pPr>
              <w:jc w:val="both"/>
              <w:rPr>
                <w:rFonts w:eastAsia="Calibri"/>
                <w:sz w:val="20"/>
                <w:lang w:val="fr-CA"/>
              </w:rPr>
            </w:pPr>
            <w:r w:rsidRPr="00F056F0">
              <w:rPr>
                <w:rFonts w:eastAsia="Calibri"/>
                <w:sz w:val="20"/>
                <w:lang w:val="fr-CA"/>
              </w:rPr>
              <w:t>Cour suprême du Canada</w:t>
            </w: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Demande d'autorisation d'appel déposée.</w:t>
            </w: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69" style="width:2in;height:1pt" o:hrpct="0" o:hralign="center" o:hrstd="t" o:hrnoshade="t" o:hr="t" fillcolor="black [3213]" stroked="f"/>
        </w:pict>
      </w:r>
    </w:p>
    <w:p w:rsidR="009572E2" w:rsidRDefault="009572E2">
      <w:pPr>
        <w:rPr>
          <w:sz w:val="20"/>
          <w:szCs w:val="20"/>
        </w:rPr>
      </w:pPr>
    </w:p>
    <w:p w:rsidR="009572E2" w:rsidRDefault="009572E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1E96" w:rsidRPr="00AF7C00" w:rsidTr="00594C0F">
        <w:trPr>
          <w:cantSplit/>
        </w:trPr>
        <w:tc>
          <w:tcPr>
            <w:tcW w:w="1458" w:type="dxa"/>
          </w:tcPr>
          <w:p w:rsidR="002B1E96" w:rsidRPr="00AF7C00" w:rsidRDefault="002B1E96" w:rsidP="00594C0F">
            <w:pPr>
              <w:rPr>
                <w:sz w:val="20"/>
                <w:szCs w:val="20"/>
              </w:rPr>
            </w:pPr>
            <w:r w:rsidRPr="00AF7C00">
              <w:rPr>
                <w:rStyle w:val="SCCFileNumberChar"/>
                <w:sz w:val="20"/>
                <w:szCs w:val="20"/>
              </w:rPr>
              <w:lastRenderedPageBreak/>
              <w:t>34882</w:t>
            </w:r>
          </w:p>
          <w:p w:rsidR="002B1E96" w:rsidRPr="00AF7C00" w:rsidRDefault="002B1E96" w:rsidP="00594C0F">
            <w:pPr>
              <w:rPr>
                <w:b/>
                <w:sz w:val="20"/>
                <w:szCs w:val="20"/>
                <w:lang w:val="fr-CA"/>
              </w:rPr>
            </w:pPr>
          </w:p>
        </w:tc>
        <w:tc>
          <w:tcPr>
            <w:tcW w:w="8118" w:type="dxa"/>
          </w:tcPr>
          <w:p w:rsidR="002B1E96" w:rsidRPr="00AF7C00" w:rsidRDefault="002B1E96" w:rsidP="00594C0F">
            <w:pPr>
              <w:rPr>
                <w:sz w:val="20"/>
                <w:szCs w:val="20"/>
              </w:rPr>
            </w:pPr>
            <w:r w:rsidRPr="00AF7C00">
              <w:rPr>
                <w:rStyle w:val="SCCLsocChar"/>
                <w:sz w:val="20"/>
                <w:szCs w:val="20"/>
                <w:lang w:val="en-CA"/>
              </w:rPr>
              <w:t>Real Estate Council of Alberta v. Minister of National Revenue</w:t>
            </w:r>
            <w:r w:rsidRPr="00AF7C00">
              <w:rPr>
                <w:sz w:val="20"/>
                <w:szCs w:val="20"/>
              </w:rPr>
              <w:t xml:space="preserve"> (F.C.) (Civil) (By Leave)</w:t>
            </w:r>
          </w:p>
          <w:p w:rsidR="002B1E96" w:rsidRPr="00AF7C00" w:rsidRDefault="002B1E96" w:rsidP="00594C0F">
            <w:pPr>
              <w:rPr>
                <w:sz w:val="20"/>
                <w:szCs w:val="20"/>
              </w:rPr>
            </w:pPr>
          </w:p>
        </w:tc>
      </w:tr>
      <w:tr w:rsidR="002B1E96" w:rsidRPr="00AF7C00" w:rsidTr="00594C0F">
        <w:trPr>
          <w:cantSplit/>
        </w:trPr>
        <w:tc>
          <w:tcPr>
            <w:tcW w:w="1458" w:type="dxa"/>
          </w:tcPr>
          <w:p w:rsidR="002B1E96" w:rsidRPr="00AF7C00" w:rsidRDefault="002B1E96" w:rsidP="00594C0F">
            <w:pPr>
              <w:rPr>
                <w:sz w:val="20"/>
                <w:szCs w:val="20"/>
              </w:rPr>
            </w:pPr>
            <w:r w:rsidRPr="00AF7C00">
              <w:rPr>
                <w:sz w:val="20"/>
                <w:szCs w:val="20"/>
              </w:rPr>
              <w:t>Coram :</w:t>
            </w:r>
          </w:p>
        </w:tc>
        <w:tc>
          <w:tcPr>
            <w:tcW w:w="8118" w:type="dxa"/>
          </w:tcPr>
          <w:p w:rsidR="002B1E96" w:rsidRPr="00AF7C00" w:rsidRDefault="002B1E96" w:rsidP="00594C0F">
            <w:pPr>
              <w:rPr>
                <w:sz w:val="20"/>
                <w:szCs w:val="20"/>
              </w:rPr>
            </w:pPr>
            <w:r w:rsidRPr="00AF7C00">
              <w:rPr>
                <w:rStyle w:val="SCCCoramChar"/>
                <w:sz w:val="20"/>
                <w:szCs w:val="20"/>
                <w:lang w:val="en-CA"/>
              </w:rPr>
              <w:t>McLachlin C.J. and Rothstein and Moldaver JJ.</w:t>
            </w:r>
          </w:p>
          <w:p w:rsidR="002B1E96" w:rsidRPr="00AF7C00" w:rsidRDefault="002B1E96" w:rsidP="00594C0F">
            <w:pPr>
              <w:rPr>
                <w:sz w:val="20"/>
                <w:szCs w:val="20"/>
                <w:u w:val="single"/>
              </w:rPr>
            </w:pPr>
          </w:p>
        </w:tc>
      </w:tr>
      <w:tr w:rsidR="002B1E96" w:rsidRPr="003935EC" w:rsidTr="00594C0F">
        <w:trPr>
          <w:cantSplit/>
        </w:trPr>
        <w:tc>
          <w:tcPr>
            <w:tcW w:w="9576" w:type="dxa"/>
            <w:gridSpan w:val="2"/>
          </w:tcPr>
          <w:p w:rsidR="002B1E96" w:rsidRPr="00AF7C00" w:rsidRDefault="002B1E96" w:rsidP="00594C0F">
            <w:pPr>
              <w:pStyle w:val="SCCShortJudgment"/>
              <w:rPr>
                <w:szCs w:val="20"/>
              </w:rPr>
            </w:pPr>
            <w:r w:rsidRPr="00AF7C00">
              <w:rPr>
                <w:szCs w:val="20"/>
              </w:rPr>
              <w:t>The application for leave to appeal from the judgment of the Federal Court of Appeal, Number A-56-11, 2012 FCA 121, dated April 19, 2012, is dismissed with costs.</w:t>
            </w:r>
          </w:p>
          <w:p w:rsidR="002B1E96" w:rsidRPr="00AF7C00" w:rsidRDefault="002B1E96" w:rsidP="00594C0F">
            <w:pPr>
              <w:pStyle w:val="SCCShortJudgment"/>
              <w:ind w:firstLine="0"/>
              <w:rPr>
                <w:szCs w:val="20"/>
              </w:rPr>
            </w:pPr>
          </w:p>
          <w:p w:rsidR="002B1E96" w:rsidRPr="00AF7C00" w:rsidRDefault="002B1E96" w:rsidP="00594C0F">
            <w:pPr>
              <w:pStyle w:val="SCCShortJudgment"/>
              <w:rPr>
                <w:szCs w:val="20"/>
                <w:lang w:val="fr-CA"/>
              </w:rPr>
            </w:pPr>
            <w:r w:rsidRPr="00AF7C00">
              <w:rPr>
                <w:szCs w:val="20"/>
                <w:lang w:val="fr-CA"/>
              </w:rPr>
              <w:t>La demande d’autorisation d’appel de l’arrêt de la Cour d’appel fédérale, numéro A-56-11, 2012 CAF 121, daté du 19 avril 2012, est rejetée avec dépens.</w:t>
            </w:r>
          </w:p>
        </w:tc>
      </w:tr>
    </w:tbl>
    <w:p w:rsidR="005F361C" w:rsidRPr="002B1E96" w:rsidRDefault="005F361C" w:rsidP="005F361C">
      <w:pPr>
        <w:rPr>
          <w:sz w:val="20"/>
          <w:szCs w:val="20"/>
          <w:lang w:val="fr-CA"/>
        </w:rPr>
      </w:pPr>
    </w:p>
    <w:p w:rsidR="005F361C" w:rsidRPr="001B157C" w:rsidRDefault="005F361C" w:rsidP="005F361C">
      <w:pPr>
        <w:rPr>
          <w:sz w:val="20"/>
          <w:szCs w:val="20"/>
          <w:u w:val="single"/>
        </w:rPr>
      </w:pPr>
      <w:r w:rsidRPr="001B157C">
        <w:rPr>
          <w:sz w:val="20"/>
          <w:szCs w:val="20"/>
          <w:u w:val="single"/>
        </w:rPr>
        <w:t>CASE SUMMARY</w:t>
      </w:r>
    </w:p>
    <w:p w:rsidR="005F361C" w:rsidRDefault="005F361C" w:rsidP="005F361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 xml:space="preserve">Pensions — Canada Pension Plan — Statutory interpretation — In circumstances where the ordinary meaning of the words in a statute are consistent with their context and in harmony with the scheme of the statute, what is the proper application of the principles of statutory interpretation — Where there is no evidence of Parliament’s intention beyond the ordinary meaning of the words of statutory provisions, whether the provisions should be interpreted as the sole expression of Parliament’s intention — </w:t>
            </w:r>
            <w:r w:rsidRPr="00F056F0">
              <w:rPr>
                <w:rFonts w:eastAsia="Calibri"/>
                <w:i/>
                <w:sz w:val="20"/>
              </w:rPr>
              <w:t>Canada Pension Plan</w:t>
            </w:r>
            <w:r w:rsidRPr="00F056F0">
              <w:rPr>
                <w:rFonts w:eastAsia="Calibri"/>
                <w:sz w:val="20"/>
              </w:rPr>
              <w:t>, R.S.C. 1985, c. C</w:t>
            </w:r>
            <w:r w:rsidRPr="00F056F0">
              <w:rPr>
                <w:rFonts w:eastAsia="Calibri"/>
                <w:sz w:val="20"/>
              </w:rPr>
              <w:noBreakHyphen/>
              <w:t>8, s. 2(1).</w:t>
            </w:r>
          </w:p>
        </w:tc>
      </w:tr>
      <w:tr w:rsidR="00C965C5" w:rsidRPr="00F056F0" w:rsidTr="00594C0F">
        <w:tc>
          <w:tcPr>
            <w:tcW w:w="5000" w:type="pct"/>
            <w:gridSpan w:val="3"/>
          </w:tcPr>
          <w:p w:rsidR="00C965C5" w:rsidRPr="00F056F0" w:rsidRDefault="00C965C5" w:rsidP="00594C0F">
            <w:pPr>
              <w:jc w:val="both"/>
              <w:rPr>
                <w:rFonts w:eastAsia="Calibri"/>
                <w:sz w:val="20"/>
              </w:rPr>
            </w:pPr>
          </w:p>
        </w:tc>
      </w:tr>
      <w:tr w:rsidR="00C965C5" w:rsidRPr="00F056F0" w:rsidTr="00594C0F">
        <w:tc>
          <w:tcPr>
            <w:tcW w:w="5000" w:type="pct"/>
            <w:gridSpan w:val="3"/>
          </w:tcPr>
          <w:p w:rsidR="00C965C5" w:rsidRPr="00F056F0" w:rsidRDefault="00C965C5" w:rsidP="00594C0F">
            <w:pPr>
              <w:jc w:val="both"/>
              <w:rPr>
                <w:rFonts w:eastAsia="Calibri"/>
                <w:sz w:val="20"/>
              </w:rPr>
            </w:pPr>
            <w:r w:rsidRPr="00F056F0">
              <w:rPr>
                <w:rFonts w:eastAsia="Calibri"/>
                <w:sz w:val="20"/>
              </w:rPr>
              <w:t>The Real Estate Council of Alberta (“RECA”) is a non</w:t>
            </w:r>
            <w:r w:rsidRPr="00F056F0">
              <w:rPr>
                <w:rFonts w:eastAsia="Calibri"/>
                <w:sz w:val="20"/>
              </w:rPr>
              <w:noBreakHyphen/>
              <w:t>profit corporation with a mandate to regulate certain sectors of the real estate industry.  RECA is composed of appointed members who attend meetings and serve on committees if selected by the Chair.  Members may also sit on a hearing panel, attend seminars, conferences, various events or take training.  Members receive payments for their participation according to a schedule of rates established from time to time by the Council.  No payment is made to any member if that person did not attend a meeting, hearing or other sanctioned event, regardless of the reason.  The extent of participation in qualifying activities and payment totals vary widely.</w:t>
            </w:r>
          </w:p>
          <w:p w:rsidR="00C965C5" w:rsidRPr="00F056F0" w:rsidRDefault="00C965C5" w:rsidP="00594C0F">
            <w:pPr>
              <w:jc w:val="both"/>
              <w:rPr>
                <w:rFonts w:eastAsia="Calibri"/>
                <w:sz w:val="20"/>
              </w:rPr>
            </w:pPr>
          </w:p>
          <w:p w:rsidR="00C965C5" w:rsidRPr="00F056F0" w:rsidRDefault="00C965C5" w:rsidP="00594C0F">
            <w:pPr>
              <w:jc w:val="both"/>
              <w:rPr>
                <w:rFonts w:eastAsia="Calibri"/>
                <w:sz w:val="20"/>
              </w:rPr>
            </w:pPr>
            <w:r w:rsidRPr="00F056F0">
              <w:rPr>
                <w:rFonts w:eastAsia="Calibri"/>
                <w:sz w:val="20"/>
              </w:rPr>
              <w:t xml:space="preserve">RECA appealed the assessment of its </w:t>
            </w:r>
            <w:r w:rsidRPr="00F056F0">
              <w:rPr>
                <w:rFonts w:eastAsia="Calibri"/>
                <w:i/>
                <w:sz w:val="20"/>
              </w:rPr>
              <w:t>Canada Pension Plan</w:t>
            </w:r>
            <w:r w:rsidRPr="00F056F0">
              <w:rPr>
                <w:rFonts w:eastAsia="Calibri"/>
                <w:sz w:val="20"/>
              </w:rPr>
              <w:t xml:space="preserve"> contributions in respect of Council member, Beverly Andre</w:t>
            </w:r>
            <w:r w:rsidRPr="00F056F0">
              <w:rPr>
                <w:rFonts w:eastAsia="Calibri"/>
                <w:sz w:val="20"/>
              </w:rPr>
              <w:noBreakHyphen/>
              <w:t>Kopp for the 2004, 2005 and 2006 taxation years.  Ms. Andre</w:t>
            </w:r>
            <w:r w:rsidRPr="00F056F0">
              <w:rPr>
                <w:rFonts w:eastAsia="Calibri"/>
                <w:sz w:val="20"/>
              </w:rPr>
              <w:noBreakHyphen/>
              <w:t xml:space="preserve">Kopp did receive payments for the years in question.  On appeal, the issue was whether a Council member satisfied the definition of “office” and “officer” in section 2 of the </w:t>
            </w:r>
            <w:r w:rsidRPr="00F056F0">
              <w:rPr>
                <w:rFonts w:eastAsia="Calibri"/>
                <w:i/>
                <w:sz w:val="20"/>
              </w:rPr>
              <w:t>Canada Pension Plan</w:t>
            </w:r>
            <w:r w:rsidRPr="00F056F0">
              <w:rPr>
                <w:rFonts w:eastAsia="Calibri"/>
                <w:sz w:val="20"/>
              </w:rPr>
              <w:t xml:space="preserve"> and whether the Minister of National Revenue (“the Minister”) was therefore correct in issuing the assessments in respect of Ms. Andre</w:t>
            </w:r>
            <w:r w:rsidRPr="00F056F0">
              <w:rPr>
                <w:rFonts w:eastAsia="Calibri"/>
                <w:sz w:val="20"/>
              </w:rPr>
              <w:noBreakHyphen/>
              <w:t>Kopp because she was engaged under a tenure of office for the relevant time period.</w:t>
            </w:r>
          </w:p>
          <w:p w:rsidR="00C965C5" w:rsidRPr="00F056F0" w:rsidRDefault="00C965C5" w:rsidP="00594C0F">
            <w:pPr>
              <w:jc w:val="both"/>
              <w:rPr>
                <w:rFonts w:eastAsia="Calibri"/>
                <w:sz w:val="20"/>
              </w:rPr>
            </w:pPr>
          </w:p>
          <w:p w:rsidR="00C965C5" w:rsidRPr="00F056F0" w:rsidRDefault="00C965C5" w:rsidP="00594C0F">
            <w:pPr>
              <w:shd w:val="clear" w:color="auto" w:fill="FFFFFF"/>
              <w:contextualSpacing/>
              <w:jc w:val="both"/>
              <w:outlineLvl w:val="1"/>
              <w:rPr>
                <w:bCs/>
                <w:kern w:val="36"/>
                <w:sz w:val="20"/>
              </w:rPr>
            </w:pPr>
            <w:r w:rsidRPr="00F056F0">
              <w:rPr>
                <w:bCs/>
                <w:kern w:val="36"/>
                <w:sz w:val="20"/>
              </w:rPr>
              <w:t xml:space="preserve">Section 2 of the </w:t>
            </w:r>
            <w:r w:rsidRPr="00F056F0">
              <w:rPr>
                <w:bCs/>
                <w:i/>
                <w:kern w:val="36"/>
                <w:sz w:val="20"/>
              </w:rPr>
              <w:t>Canada Pension Plan</w:t>
            </w:r>
            <w:r w:rsidRPr="00F056F0">
              <w:rPr>
                <w:bCs/>
                <w:kern w:val="36"/>
                <w:sz w:val="20"/>
              </w:rPr>
              <w:t>, R.S.C., 1985, c. C</w:t>
            </w:r>
            <w:r w:rsidRPr="00F056F0">
              <w:rPr>
                <w:bCs/>
                <w:kern w:val="36"/>
                <w:sz w:val="20"/>
              </w:rPr>
              <w:noBreakHyphen/>
              <w:t>8 defines “office” as follows:</w:t>
            </w:r>
          </w:p>
          <w:p w:rsidR="00C965C5" w:rsidRPr="00F056F0" w:rsidRDefault="00C965C5" w:rsidP="00594C0F">
            <w:pPr>
              <w:shd w:val="clear" w:color="auto" w:fill="FFFFFF"/>
              <w:spacing w:before="120" w:after="100" w:afterAutospacing="1"/>
              <w:ind w:left="360"/>
              <w:jc w:val="both"/>
              <w:rPr>
                <w:sz w:val="20"/>
              </w:rPr>
            </w:pPr>
            <w:r w:rsidRPr="00F056F0">
              <w:rPr>
                <w:sz w:val="20"/>
              </w:rPr>
              <w:t>“office” means the position of an individual entitling him to a fixed or ascertainable stipend or remuneration and includes a judicial office, the office of a minister of the Crown, the office of a lieutenant governor, the office of a member of the Senate or House of Commons, a member of a legislative assembly or a member of a legislative or executive council and any other office the incumbent of which is elected by popular vote or is elected or appointed in a representative capacity, and also includes the position of a corporation director, and “officer” means a person holding such an office;</w:t>
            </w:r>
          </w:p>
          <w:p w:rsidR="00C965C5" w:rsidRPr="00F056F0" w:rsidRDefault="00C965C5" w:rsidP="00594C0F">
            <w:pPr>
              <w:jc w:val="both"/>
              <w:rPr>
                <w:rFonts w:eastAsia="Calibri"/>
                <w:sz w:val="20"/>
              </w:rPr>
            </w:pPr>
            <w:r w:rsidRPr="00F056F0">
              <w:rPr>
                <w:rFonts w:eastAsia="Calibri"/>
                <w:sz w:val="20"/>
              </w:rPr>
              <w:t>The appeal was allowed and the assessments issued by the Minister were vacated as the Tax Court held that the Council members were not engaged under a tenure of office with RECA.  The Federal Court of Appeal however allowed the appeal, set aside the judgment of the Tax Court and restored the Minister’s assessments for the 2004, 2005 and 2006 taxation years.</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January 5, 2011</w:t>
            </w:r>
          </w:p>
          <w:p w:rsidR="00C965C5" w:rsidRPr="00F056F0" w:rsidRDefault="00C965C5" w:rsidP="00594C0F">
            <w:pPr>
              <w:jc w:val="both"/>
              <w:rPr>
                <w:rFonts w:eastAsia="Calibri"/>
                <w:sz w:val="20"/>
              </w:rPr>
            </w:pPr>
            <w:r w:rsidRPr="00F056F0">
              <w:rPr>
                <w:rFonts w:eastAsia="Calibri"/>
                <w:sz w:val="20"/>
              </w:rPr>
              <w:t>Tax Court of Canada</w:t>
            </w:r>
          </w:p>
          <w:p w:rsidR="00C965C5" w:rsidRPr="00F056F0" w:rsidRDefault="00C965C5" w:rsidP="00594C0F">
            <w:pPr>
              <w:jc w:val="both"/>
              <w:rPr>
                <w:rFonts w:eastAsia="Calibri"/>
                <w:sz w:val="20"/>
              </w:rPr>
            </w:pPr>
            <w:r w:rsidRPr="00F056F0">
              <w:rPr>
                <w:rFonts w:eastAsia="Calibri"/>
                <w:sz w:val="20"/>
              </w:rPr>
              <w:t>(Rowe J.)</w:t>
            </w:r>
          </w:p>
          <w:p w:rsidR="00C965C5" w:rsidRPr="00F056F0" w:rsidRDefault="00C965C5" w:rsidP="00594C0F">
            <w:pPr>
              <w:jc w:val="both"/>
              <w:rPr>
                <w:rFonts w:eastAsia="Calibri"/>
                <w:sz w:val="20"/>
              </w:rPr>
            </w:pPr>
            <w:r w:rsidRPr="00F056F0">
              <w:rPr>
                <w:rFonts w:eastAsia="Calibri"/>
                <w:sz w:val="20"/>
              </w:rPr>
              <w:t xml:space="preserve">2010 TCC 5 </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Appeal allowed; Minister’s assessment for 2004, 2005 and 2006 taxation years vacated</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lastRenderedPageBreak/>
              <w:t>April 19, 2012</w:t>
            </w:r>
          </w:p>
          <w:p w:rsidR="00C965C5" w:rsidRPr="00F056F0" w:rsidRDefault="00C965C5" w:rsidP="00594C0F">
            <w:pPr>
              <w:jc w:val="both"/>
              <w:rPr>
                <w:rFonts w:eastAsia="Calibri"/>
                <w:sz w:val="20"/>
              </w:rPr>
            </w:pPr>
            <w:r w:rsidRPr="00F056F0">
              <w:rPr>
                <w:rFonts w:eastAsia="Calibri"/>
                <w:sz w:val="20"/>
              </w:rPr>
              <w:t>Federal Court of Appeal</w:t>
            </w:r>
          </w:p>
          <w:p w:rsidR="00C965C5" w:rsidRPr="00F056F0" w:rsidRDefault="00C965C5" w:rsidP="00594C0F">
            <w:pPr>
              <w:jc w:val="both"/>
              <w:rPr>
                <w:rFonts w:eastAsia="Calibri"/>
                <w:sz w:val="20"/>
              </w:rPr>
            </w:pPr>
            <w:r w:rsidRPr="00F056F0">
              <w:rPr>
                <w:rFonts w:eastAsia="Calibri"/>
                <w:sz w:val="20"/>
              </w:rPr>
              <w:t>(Pelletier, Gauthier and Stratas JJ.A.)</w:t>
            </w:r>
          </w:p>
          <w:p w:rsidR="00C965C5" w:rsidRPr="00F056F0" w:rsidRDefault="00C965C5" w:rsidP="00594C0F">
            <w:pPr>
              <w:jc w:val="both"/>
              <w:rPr>
                <w:rFonts w:eastAsia="Calibri"/>
                <w:sz w:val="20"/>
              </w:rPr>
            </w:pPr>
            <w:r w:rsidRPr="00F056F0">
              <w:rPr>
                <w:rFonts w:eastAsia="Calibri"/>
                <w:sz w:val="20"/>
              </w:rPr>
              <w:t>2012 FCA 121; A</w:t>
            </w:r>
            <w:r w:rsidRPr="00F056F0">
              <w:rPr>
                <w:rFonts w:eastAsia="Calibri"/>
                <w:sz w:val="20"/>
              </w:rPr>
              <w:noBreakHyphen/>
              <w:t>56</w:t>
            </w:r>
            <w:r w:rsidRPr="00F056F0">
              <w:rPr>
                <w:rFonts w:eastAsia="Calibri"/>
                <w:sz w:val="20"/>
              </w:rPr>
              <w:noBreakHyphen/>
              <w:t>11</w:t>
            </w:r>
          </w:p>
          <w:p w:rsidR="00C965C5" w:rsidRPr="00F056F0" w:rsidRDefault="00C965C5" w:rsidP="00594C0F">
            <w:pPr>
              <w:jc w:val="both"/>
              <w:rPr>
                <w:rFonts w:eastAsia="Calibri"/>
                <w:sz w:val="20"/>
              </w:rPr>
            </w:pP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Appeal allowed; Judgment of the Tax Court  set aside and Minister’s assessment for  2004, 2005 and 2006 taxation years restored</w:t>
            </w:r>
          </w:p>
          <w:p w:rsidR="00C965C5" w:rsidRPr="00F056F0" w:rsidRDefault="00C965C5" w:rsidP="00594C0F">
            <w:pPr>
              <w:jc w:val="both"/>
              <w:rPr>
                <w:rFonts w:eastAsia="Calibri"/>
                <w:sz w:val="20"/>
              </w:rPr>
            </w:pPr>
          </w:p>
        </w:tc>
      </w:tr>
      <w:tr w:rsidR="00C965C5" w:rsidRPr="00F056F0" w:rsidTr="00594C0F">
        <w:tc>
          <w:tcPr>
            <w:tcW w:w="2427" w:type="pct"/>
          </w:tcPr>
          <w:p w:rsidR="00C965C5" w:rsidRPr="00F056F0" w:rsidRDefault="00C965C5" w:rsidP="00594C0F">
            <w:pPr>
              <w:jc w:val="both"/>
              <w:rPr>
                <w:rFonts w:eastAsia="Calibri"/>
                <w:sz w:val="20"/>
              </w:rPr>
            </w:pPr>
            <w:r w:rsidRPr="00F056F0">
              <w:rPr>
                <w:rFonts w:eastAsia="Calibri"/>
                <w:sz w:val="20"/>
              </w:rPr>
              <w:t>June 18, 2012</w:t>
            </w:r>
          </w:p>
          <w:p w:rsidR="00C965C5" w:rsidRPr="00F056F0" w:rsidRDefault="00C965C5" w:rsidP="00594C0F">
            <w:pPr>
              <w:jc w:val="both"/>
              <w:rPr>
                <w:rFonts w:eastAsia="Calibri"/>
                <w:sz w:val="20"/>
              </w:rPr>
            </w:pPr>
            <w:r w:rsidRPr="00F056F0">
              <w:rPr>
                <w:rFonts w:eastAsia="Calibri"/>
                <w:sz w:val="20"/>
              </w:rPr>
              <w:t>Supreme Court of Canada</w:t>
            </w:r>
          </w:p>
        </w:tc>
        <w:tc>
          <w:tcPr>
            <w:tcW w:w="243" w:type="pct"/>
          </w:tcPr>
          <w:p w:rsidR="00C965C5" w:rsidRPr="00F056F0" w:rsidRDefault="00C965C5" w:rsidP="00594C0F">
            <w:pPr>
              <w:jc w:val="both"/>
              <w:rPr>
                <w:rFonts w:eastAsia="Calibri"/>
                <w:sz w:val="20"/>
              </w:rPr>
            </w:pPr>
          </w:p>
        </w:tc>
        <w:tc>
          <w:tcPr>
            <w:tcW w:w="2330" w:type="pct"/>
          </w:tcPr>
          <w:p w:rsidR="00C965C5" w:rsidRPr="00F056F0" w:rsidRDefault="00C965C5" w:rsidP="00594C0F">
            <w:pPr>
              <w:jc w:val="both"/>
              <w:rPr>
                <w:rFonts w:eastAsia="Calibri"/>
                <w:sz w:val="20"/>
              </w:rPr>
            </w:pPr>
            <w:r w:rsidRPr="00F056F0">
              <w:rPr>
                <w:rFonts w:eastAsia="Calibri"/>
                <w:sz w:val="20"/>
              </w:rPr>
              <w:t>Application for leave to appeal filed</w:t>
            </w:r>
          </w:p>
          <w:p w:rsidR="00C965C5" w:rsidRPr="00F056F0" w:rsidRDefault="00C965C5" w:rsidP="00594C0F">
            <w:pPr>
              <w:jc w:val="both"/>
              <w:rPr>
                <w:rFonts w:eastAsia="Calibri"/>
                <w:sz w:val="20"/>
              </w:rPr>
            </w:pPr>
          </w:p>
        </w:tc>
      </w:tr>
    </w:tbl>
    <w:p w:rsidR="005F361C" w:rsidRPr="00C50A5C" w:rsidRDefault="005F361C" w:rsidP="005F361C">
      <w:pPr>
        <w:rPr>
          <w:sz w:val="20"/>
          <w:szCs w:val="20"/>
        </w:rPr>
      </w:pPr>
    </w:p>
    <w:p w:rsidR="005F361C" w:rsidRPr="00C50A5C" w:rsidRDefault="002B77C5" w:rsidP="005F361C">
      <w:pPr>
        <w:rPr>
          <w:sz w:val="20"/>
          <w:szCs w:val="20"/>
        </w:rPr>
      </w:pPr>
      <w:r w:rsidRPr="002B77C5">
        <w:rPr>
          <w:sz w:val="20"/>
          <w:szCs w:val="20"/>
          <w:lang w:val="fr-CA"/>
        </w:rPr>
        <w:pict>
          <v:rect id="_x0000_i1070" style="width:2in;height:1pt" o:hrpct="0" o:hralign="center" o:hrstd="t" o:hrnoshade="t" o:hr="t" fillcolor="black [3213]" stroked="f"/>
        </w:pict>
      </w:r>
    </w:p>
    <w:p w:rsidR="005F361C" w:rsidRDefault="005F361C" w:rsidP="005F361C">
      <w:pPr>
        <w:rPr>
          <w:sz w:val="20"/>
          <w:szCs w:val="20"/>
        </w:rPr>
      </w:pPr>
    </w:p>
    <w:p w:rsidR="005F361C" w:rsidRPr="001B157C" w:rsidRDefault="005F361C" w:rsidP="005F361C">
      <w:pPr>
        <w:rPr>
          <w:sz w:val="20"/>
          <w:szCs w:val="20"/>
          <w:u w:val="single"/>
          <w:lang w:val="fr-CA"/>
        </w:rPr>
      </w:pPr>
      <w:r w:rsidRPr="001B157C">
        <w:rPr>
          <w:sz w:val="20"/>
          <w:szCs w:val="20"/>
          <w:u w:val="single"/>
          <w:lang w:val="fr-CA"/>
        </w:rPr>
        <w:t>RÉSUMÉ DE L’AFFAIRE</w:t>
      </w:r>
    </w:p>
    <w:p w:rsidR="005F361C" w:rsidRDefault="005F361C" w:rsidP="005F361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965C5" w:rsidRPr="008A79F9"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Pensions — Régime de pensions du Canada — Interprétation législative — Dans les situations où le sens courant des mots d’une loi est compatible avec leur contexte et en harmonie avec l’économie de la loi, comment convient</w:t>
            </w:r>
            <w:r w:rsidRPr="00F056F0">
              <w:rPr>
                <w:rFonts w:eastAsia="Calibri"/>
                <w:sz w:val="20"/>
                <w:lang w:val="fr-CA"/>
              </w:rPr>
              <w:noBreakHyphen/>
              <w:t>t</w:t>
            </w:r>
            <w:r w:rsidRPr="00F056F0">
              <w:rPr>
                <w:rFonts w:eastAsia="Calibri"/>
                <w:sz w:val="20"/>
                <w:lang w:val="fr-CA"/>
              </w:rPr>
              <w:noBreakHyphen/>
              <w:t>il d’appliquer les principes d’interprétation législative? — En l’absence de preuve comme quoi l’intention du législateur s’éloigne du sens courant des mots des dispositions de la loi, les dispositions doivent</w:t>
            </w:r>
            <w:r w:rsidRPr="00F056F0">
              <w:rPr>
                <w:rFonts w:eastAsia="Calibri"/>
                <w:sz w:val="20"/>
                <w:lang w:val="fr-CA"/>
              </w:rPr>
              <w:noBreakHyphen/>
              <w:t xml:space="preserve">elles être interprétées comme la seule expression de l’intention du législateur? — </w:t>
            </w:r>
            <w:r w:rsidRPr="00F056F0">
              <w:rPr>
                <w:rFonts w:eastAsia="Calibri"/>
                <w:i/>
                <w:sz w:val="20"/>
                <w:lang w:val="fr-CA"/>
              </w:rPr>
              <w:t>Régime de pensions du Canada</w:t>
            </w:r>
            <w:r w:rsidRPr="00F056F0">
              <w:rPr>
                <w:rFonts w:eastAsia="Calibri"/>
                <w:sz w:val="20"/>
                <w:lang w:val="fr-CA"/>
              </w:rPr>
              <w:t>, L.R.C. 1985, ch. C</w:t>
            </w:r>
            <w:r w:rsidRPr="00F056F0">
              <w:rPr>
                <w:rFonts w:eastAsia="Calibri"/>
                <w:sz w:val="20"/>
                <w:lang w:val="fr-CA"/>
              </w:rPr>
              <w:noBreakHyphen/>
              <w:t>8, par. 2(1).</w:t>
            </w:r>
          </w:p>
        </w:tc>
      </w:tr>
      <w:tr w:rsidR="00C965C5" w:rsidRPr="008A79F9" w:rsidTr="00594C0F">
        <w:tc>
          <w:tcPr>
            <w:tcW w:w="5000" w:type="pct"/>
            <w:gridSpan w:val="3"/>
          </w:tcPr>
          <w:p w:rsidR="00C965C5" w:rsidRPr="00F056F0" w:rsidRDefault="00C965C5" w:rsidP="00594C0F">
            <w:pPr>
              <w:jc w:val="both"/>
              <w:rPr>
                <w:rFonts w:eastAsia="Calibri"/>
                <w:sz w:val="20"/>
                <w:lang w:val="fr-CA"/>
              </w:rPr>
            </w:pPr>
          </w:p>
        </w:tc>
      </w:tr>
      <w:tr w:rsidR="00C965C5" w:rsidRPr="003935EC" w:rsidTr="00594C0F">
        <w:tc>
          <w:tcPr>
            <w:tcW w:w="5000" w:type="pct"/>
            <w:gridSpan w:val="3"/>
          </w:tcPr>
          <w:p w:rsidR="00C965C5" w:rsidRPr="00F056F0" w:rsidRDefault="00C965C5" w:rsidP="00594C0F">
            <w:pPr>
              <w:jc w:val="both"/>
              <w:rPr>
                <w:rFonts w:eastAsia="Calibri"/>
                <w:sz w:val="20"/>
                <w:lang w:val="fr-CA"/>
              </w:rPr>
            </w:pPr>
            <w:r w:rsidRPr="00F056F0">
              <w:rPr>
                <w:rFonts w:eastAsia="Calibri"/>
                <w:sz w:val="20"/>
                <w:lang w:val="fr-CA"/>
              </w:rPr>
              <w:t>Le Real Estate Council of Alberta (« RECA ») est une personne morale sans but lucratif ayant le mandat de réglementer certains domaines du secteur de l’immobilier.  RECA se compose de membres nommés qui assistent à des réunions et qui siègent sur des comités lorsqu’ils sont choisis à cet effet par le président.  Les membres peuvent également faire partie d’un organisme d’enquête, assister à des colloques, à des congrès et à divers événements ou suivre des cours.  Les membres reçoivent pour leur participation des sommes prévues dans un barème de taux établi par le conseil.  Aucun paiement n’est versé à un membre, quel qu’il soit, s’il n’a pas assisté à une réunion, à une audience ou à une autre activité reconnue, peu importe la raison. L’étendue de la participation à des activités admissibles et le montant total des paiements varient énormément.</w:t>
            </w:r>
          </w:p>
          <w:p w:rsidR="00C965C5" w:rsidRPr="00F056F0" w:rsidRDefault="00C965C5" w:rsidP="00594C0F">
            <w:pPr>
              <w:jc w:val="both"/>
              <w:rPr>
                <w:rFonts w:eastAsia="Calibri"/>
                <w:sz w:val="20"/>
                <w:lang w:val="fr-CA"/>
              </w:rPr>
            </w:pPr>
          </w:p>
          <w:p w:rsidR="00C965C5" w:rsidRPr="00F056F0" w:rsidRDefault="00C965C5" w:rsidP="00594C0F">
            <w:pPr>
              <w:jc w:val="both"/>
              <w:rPr>
                <w:rFonts w:eastAsia="Calibri"/>
                <w:sz w:val="20"/>
                <w:lang w:val="fr-CA"/>
              </w:rPr>
            </w:pPr>
            <w:r w:rsidRPr="00F056F0">
              <w:rPr>
                <w:rFonts w:eastAsia="Calibri"/>
                <w:sz w:val="20"/>
                <w:lang w:val="fr-CA"/>
              </w:rPr>
              <w:t xml:space="preserve">RECA a interjeté appel de l’évaluation fixée relativement à ses cotisations sous le régime du </w:t>
            </w:r>
            <w:r w:rsidRPr="00F056F0">
              <w:rPr>
                <w:rFonts w:eastAsia="Calibri"/>
                <w:i/>
                <w:sz w:val="20"/>
                <w:lang w:val="fr-CA"/>
              </w:rPr>
              <w:t>Régime de pensions du Canada</w:t>
            </w:r>
            <w:r w:rsidRPr="00F056F0">
              <w:rPr>
                <w:rFonts w:eastAsia="Calibri"/>
                <w:sz w:val="20"/>
                <w:lang w:val="fr-CA"/>
              </w:rPr>
              <w:t xml:space="preserve"> à l’égard de Beverly Andre</w:t>
            </w:r>
            <w:r w:rsidRPr="00F056F0">
              <w:rPr>
                <w:rFonts w:eastAsia="Calibri"/>
                <w:sz w:val="20"/>
                <w:lang w:val="fr-CA"/>
              </w:rPr>
              <w:noBreakHyphen/>
              <w:t>Kopp, une membre du conseil, pour les années d’imposition2004, 2005 et 2006. Madame Andre</w:t>
            </w:r>
            <w:r w:rsidRPr="00F056F0">
              <w:rPr>
                <w:rFonts w:eastAsia="Calibri"/>
                <w:sz w:val="20"/>
                <w:lang w:val="fr-CA"/>
              </w:rPr>
              <w:noBreakHyphen/>
              <w:t xml:space="preserve">Kopp a effectivement reçu des paiements pour les années en cause. En appel, la question en litige était de savoir si un membre du conseil répondait à la définition des termes « fonction » ou « charge » donnée à l’article 2 du </w:t>
            </w:r>
            <w:r w:rsidRPr="00F056F0">
              <w:rPr>
                <w:rFonts w:eastAsia="Calibri"/>
                <w:i/>
                <w:sz w:val="20"/>
                <w:lang w:val="fr-CA"/>
              </w:rPr>
              <w:t>Régime de pensions du Canada</w:t>
            </w:r>
            <w:r w:rsidRPr="00F056F0">
              <w:rPr>
                <w:rFonts w:eastAsia="Calibri"/>
                <w:sz w:val="20"/>
                <w:lang w:val="fr-CA"/>
              </w:rPr>
              <w:t xml:space="preserve"> et si le ministre du Revenu national (le « ministre ») était ainsi justifié à fixer les évaluations relatives à M</w:t>
            </w:r>
            <w:r w:rsidRPr="00F056F0">
              <w:rPr>
                <w:rFonts w:eastAsia="Calibri"/>
                <w:sz w:val="20"/>
                <w:vertAlign w:val="superscript"/>
                <w:lang w:val="fr-CA"/>
              </w:rPr>
              <w:t>me</w:t>
            </w:r>
            <w:r w:rsidRPr="00F056F0">
              <w:rPr>
                <w:rFonts w:eastAsia="Calibri"/>
                <w:sz w:val="20"/>
                <w:lang w:val="fr-CA"/>
              </w:rPr>
              <w:t> Andre</w:t>
            </w:r>
            <w:r w:rsidRPr="00F056F0">
              <w:rPr>
                <w:rFonts w:eastAsia="Calibri"/>
                <w:sz w:val="20"/>
                <w:lang w:val="fr-CA"/>
              </w:rPr>
              <w:noBreakHyphen/>
              <w:t>Kopp, puisqu’elle occupait une charge pendant la période en cause.</w:t>
            </w:r>
          </w:p>
          <w:p w:rsidR="00C965C5" w:rsidRPr="00F056F0" w:rsidRDefault="00C965C5" w:rsidP="00594C0F">
            <w:pPr>
              <w:jc w:val="both"/>
              <w:rPr>
                <w:rFonts w:eastAsia="Calibri"/>
                <w:sz w:val="20"/>
                <w:lang w:val="fr-CA"/>
              </w:rPr>
            </w:pPr>
          </w:p>
          <w:p w:rsidR="00C965C5" w:rsidRPr="00F056F0" w:rsidRDefault="00C965C5" w:rsidP="00594C0F">
            <w:pPr>
              <w:shd w:val="clear" w:color="auto" w:fill="FFFFFF"/>
              <w:contextualSpacing/>
              <w:jc w:val="both"/>
              <w:outlineLvl w:val="1"/>
              <w:rPr>
                <w:bCs/>
                <w:kern w:val="36"/>
                <w:sz w:val="20"/>
                <w:lang w:val="fr-CA"/>
              </w:rPr>
            </w:pPr>
            <w:r w:rsidRPr="00F056F0">
              <w:rPr>
                <w:bCs/>
                <w:kern w:val="36"/>
                <w:sz w:val="20"/>
                <w:lang w:val="fr-CA"/>
              </w:rPr>
              <w:t xml:space="preserve">L’article 2 du </w:t>
            </w:r>
            <w:r w:rsidRPr="00F056F0">
              <w:rPr>
                <w:bCs/>
                <w:i/>
                <w:kern w:val="36"/>
                <w:sz w:val="20"/>
                <w:lang w:val="fr-CA"/>
              </w:rPr>
              <w:t>Régime de pensions du Canada</w:t>
            </w:r>
            <w:r w:rsidRPr="00F056F0">
              <w:rPr>
                <w:bCs/>
                <w:kern w:val="36"/>
                <w:sz w:val="20"/>
                <w:lang w:val="fr-CA"/>
              </w:rPr>
              <w:t>, L.R.C., 1985, ch. C</w:t>
            </w:r>
            <w:r w:rsidRPr="00F056F0">
              <w:rPr>
                <w:bCs/>
                <w:kern w:val="36"/>
                <w:sz w:val="20"/>
                <w:lang w:val="fr-CA"/>
              </w:rPr>
              <w:noBreakHyphen/>
              <w:t>8 définit ainsi les mots « fonction » ou « charge » :</w:t>
            </w:r>
          </w:p>
          <w:p w:rsidR="00C965C5" w:rsidRPr="00F056F0" w:rsidRDefault="00C965C5" w:rsidP="00594C0F">
            <w:pPr>
              <w:shd w:val="clear" w:color="auto" w:fill="FFFFFF"/>
              <w:spacing w:before="120" w:after="100" w:afterAutospacing="1"/>
              <w:ind w:left="360"/>
              <w:jc w:val="both"/>
              <w:rPr>
                <w:sz w:val="20"/>
                <w:lang w:val="fr-CA"/>
              </w:rPr>
            </w:pPr>
            <w:r w:rsidRPr="00F056F0">
              <w:rPr>
                <w:sz w:val="20"/>
                <w:lang w:val="fr-CA"/>
              </w:rPr>
              <w:t>« fonction » ou « charge » Le poste qu’occupe un particulier, lui donnant droit à un traitement ou à une rémunération déterminée ou constatable. Sont visés par la présente définition une charge judiciaire, la charge de ministre, de lieutenant</w:t>
            </w:r>
            <w:r w:rsidRPr="00F056F0">
              <w:rPr>
                <w:sz w:val="20"/>
                <w:lang w:val="fr-CA"/>
              </w:rPr>
              <w:noBreakHyphen/>
              <w:t>gouverneur, de membre du Sénat ou de la Chambre des communes, de membre d’une assemblée législative ou d’un conseil législatif ou exécutif et toute autre charge dont le titulaire est élu par vote populaire ou est élu ou nommé à titre de représentant, y compris le poste d’administrateur de personne morale; « fonctionnaire » s’entend d’une personne détenant une telle fonction ou charge;</w:t>
            </w:r>
          </w:p>
          <w:p w:rsidR="00C965C5" w:rsidRPr="00F056F0" w:rsidRDefault="00C965C5" w:rsidP="00594C0F">
            <w:pPr>
              <w:jc w:val="both"/>
              <w:rPr>
                <w:rFonts w:eastAsia="Calibri"/>
                <w:sz w:val="20"/>
                <w:lang w:val="fr-CA"/>
              </w:rPr>
            </w:pPr>
            <w:r w:rsidRPr="00F056F0">
              <w:rPr>
                <w:rFonts w:eastAsia="Calibri"/>
                <w:sz w:val="20"/>
                <w:lang w:val="fr-CA"/>
              </w:rPr>
              <w:t>L’appel a été accueilli et les évaluations fixées par le ministre ont été annulées, puisque la Cour de l’impôt a statué que les membres du conseil n’occupaient pas une charge auprès du RECA. Toutefois, la Cour d’appel fédérale a accueilli l’appel, annulé le jugement de la Cour de l'impôt et rétabli les évaluations du ministre pour les années d'imposition 2004, 2005 et 2006.</w:t>
            </w:r>
          </w:p>
          <w:p w:rsidR="00C965C5" w:rsidRPr="00F056F0" w:rsidRDefault="00C965C5" w:rsidP="00594C0F">
            <w:pPr>
              <w:jc w:val="both"/>
              <w:rPr>
                <w:rFonts w:eastAsia="Calibri"/>
                <w:sz w:val="20"/>
                <w:lang w:val="fr-CA"/>
              </w:rPr>
            </w:pPr>
          </w:p>
        </w:tc>
      </w:tr>
      <w:tr w:rsidR="00C965C5" w:rsidRPr="003935EC" w:rsidTr="009572E2">
        <w:trPr>
          <w:cantSplit/>
        </w:trPr>
        <w:tc>
          <w:tcPr>
            <w:tcW w:w="2427" w:type="pct"/>
          </w:tcPr>
          <w:p w:rsidR="00C965C5" w:rsidRPr="00F056F0" w:rsidRDefault="00C965C5" w:rsidP="00594C0F">
            <w:pPr>
              <w:jc w:val="both"/>
              <w:rPr>
                <w:rFonts w:eastAsia="Calibri"/>
                <w:sz w:val="20"/>
                <w:lang w:val="fr-CA"/>
              </w:rPr>
            </w:pPr>
            <w:r w:rsidRPr="00F056F0">
              <w:rPr>
                <w:rFonts w:eastAsia="Calibri"/>
                <w:sz w:val="20"/>
                <w:lang w:val="fr-CA"/>
              </w:rPr>
              <w:lastRenderedPageBreak/>
              <w:t>5 janvier 2011</w:t>
            </w:r>
          </w:p>
          <w:p w:rsidR="00C965C5" w:rsidRPr="00F056F0" w:rsidRDefault="00C965C5" w:rsidP="00594C0F">
            <w:pPr>
              <w:jc w:val="both"/>
              <w:rPr>
                <w:rFonts w:eastAsia="Calibri"/>
                <w:sz w:val="20"/>
                <w:lang w:val="fr-CA"/>
              </w:rPr>
            </w:pPr>
            <w:r w:rsidRPr="00F056F0">
              <w:rPr>
                <w:rFonts w:eastAsia="Calibri"/>
                <w:sz w:val="20"/>
                <w:lang w:val="fr-CA"/>
              </w:rPr>
              <w:t>Cour canadienne de l’impôt</w:t>
            </w:r>
          </w:p>
          <w:p w:rsidR="00C965C5" w:rsidRPr="00F056F0" w:rsidRDefault="00C965C5" w:rsidP="00594C0F">
            <w:pPr>
              <w:jc w:val="both"/>
              <w:rPr>
                <w:rFonts w:eastAsia="Calibri"/>
                <w:sz w:val="20"/>
                <w:lang w:val="fr-CA"/>
              </w:rPr>
            </w:pPr>
            <w:r w:rsidRPr="00F056F0">
              <w:rPr>
                <w:rFonts w:eastAsia="Calibri"/>
                <w:sz w:val="20"/>
                <w:lang w:val="fr-CA"/>
              </w:rPr>
              <w:t>(Juge Rowe)</w:t>
            </w:r>
          </w:p>
          <w:p w:rsidR="00C965C5" w:rsidRPr="00F056F0" w:rsidRDefault="00C965C5" w:rsidP="00594C0F">
            <w:pPr>
              <w:jc w:val="both"/>
              <w:rPr>
                <w:rFonts w:eastAsia="Calibri"/>
                <w:sz w:val="20"/>
                <w:lang w:val="fr-CA"/>
              </w:rPr>
            </w:pPr>
            <w:r w:rsidRPr="00F056F0">
              <w:rPr>
                <w:rFonts w:eastAsia="Calibri"/>
                <w:sz w:val="20"/>
                <w:lang w:val="fr-CA"/>
              </w:rPr>
              <w:t xml:space="preserve">2010 TCC 5 </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Appel accueilli; évaluation du ministre pour les années d’imposition 2004, 2005 et 2006 annulée</w:t>
            </w:r>
          </w:p>
          <w:p w:rsidR="00C965C5" w:rsidRPr="00F056F0" w:rsidRDefault="00C965C5" w:rsidP="00594C0F">
            <w:pPr>
              <w:jc w:val="both"/>
              <w:rPr>
                <w:rFonts w:eastAsia="Calibri"/>
                <w:sz w:val="20"/>
                <w:lang w:val="fr-CA"/>
              </w:rPr>
            </w:pPr>
          </w:p>
        </w:tc>
      </w:tr>
      <w:tr w:rsidR="00C965C5" w:rsidRPr="003935EC" w:rsidTr="009572E2">
        <w:trPr>
          <w:cantSplit/>
        </w:trPr>
        <w:tc>
          <w:tcPr>
            <w:tcW w:w="2427" w:type="pct"/>
          </w:tcPr>
          <w:p w:rsidR="00C965C5" w:rsidRPr="00F056F0" w:rsidRDefault="00C965C5" w:rsidP="00594C0F">
            <w:pPr>
              <w:jc w:val="both"/>
              <w:rPr>
                <w:rFonts w:eastAsia="Calibri"/>
                <w:sz w:val="20"/>
                <w:lang w:val="fr-CA"/>
              </w:rPr>
            </w:pPr>
            <w:r w:rsidRPr="00F056F0">
              <w:rPr>
                <w:rFonts w:eastAsia="Calibri"/>
                <w:sz w:val="20"/>
                <w:lang w:val="fr-CA"/>
              </w:rPr>
              <w:t>19 avril 2012</w:t>
            </w:r>
          </w:p>
          <w:p w:rsidR="00C965C5" w:rsidRPr="00F056F0" w:rsidRDefault="00C965C5" w:rsidP="00594C0F">
            <w:pPr>
              <w:jc w:val="both"/>
              <w:rPr>
                <w:rFonts w:eastAsia="Calibri"/>
                <w:sz w:val="20"/>
                <w:lang w:val="fr-CA"/>
              </w:rPr>
            </w:pPr>
            <w:r w:rsidRPr="00F056F0">
              <w:rPr>
                <w:rFonts w:eastAsia="Calibri"/>
                <w:sz w:val="20"/>
                <w:lang w:val="fr-CA"/>
              </w:rPr>
              <w:t>Cour d’appel fédérale</w:t>
            </w:r>
          </w:p>
          <w:p w:rsidR="00C965C5" w:rsidRPr="00F056F0" w:rsidRDefault="00C965C5" w:rsidP="00594C0F">
            <w:pPr>
              <w:jc w:val="both"/>
              <w:rPr>
                <w:rFonts w:eastAsia="Calibri"/>
                <w:sz w:val="20"/>
                <w:lang w:val="fr-CA"/>
              </w:rPr>
            </w:pPr>
            <w:r w:rsidRPr="00F056F0">
              <w:rPr>
                <w:rFonts w:eastAsia="Calibri"/>
                <w:sz w:val="20"/>
                <w:lang w:val="fr-CA"/>
              </w:rPr>
              <w:t>(Juges Pelletier, Gauthier et Stratas)</w:t>
            </w:r>
          </w:p>
          <w:p w:rsidR="00C965C5" w:rsidRPr="00F056F0" w:rsidRDefault="00C965C5" w:rsidP="00594C0F">
            <w:pPr>
              <w:jc w:val="both"/>
              <w:rPr>
                <w:rFonts w:eastAsia="Calibri"/>
                <w:sz w:val="20"/>
                <w:lang w:val="fr-CA"/>
              </w:rPr>
            </w:pPr>
            <w:r w:rsidRPr="00F056F0">
              <w:rPr>
                <w:rFonts w:eastAsia="Calibri"/>
                <w:sz w:val="20"/>
                <w:lang w:val="fr-CA"/>
              </w:rPr>
              <w:t>2012 FCA 121; A</w:t>
            </w:r>
            <w:r w:rsidRPr="00F056F0">
              <w:rPr>
                <w:rFonts w:eastAsia="Calibri"/>
                <w:sz w:val="20"/>
                <w:lang w:val="fr-CA"/>
              </w:rPr>
              <w:noBreakHyphen/>
              <w:t>56</w:t>
            </w:r>
            <w:r w:rsidRPr="00F056F0">
              <w:rPr>
                <w:rFonts w:eastAsia="Calibri"/>
                <w:sz w:val="20"/>
                <w:lang w:val="fr-CA"/>
              </w:rPr>
              <w:noBreakHyphen/>
              <w:t>11</w:t>
            </w:r>
          </w:p>
          <w:p w:rsidR="00C965C5" w:rsidRPr="00F056F0" w:rsidRDefault="00C965C5" w:rsidP="00594C0F">
            <w:pPr>
              <w:jc w:val="both"/>
              <w:rPr>
                <w:rFonts w:eastAsia="Calibri"/>
                <w:sz w:val="20"/>
                <w:lang w:val="fr-CA"/>
              </w:rPr>
            </w:pP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Appel accueilli; jugement de la Cour de l’impôt annulé et évaluation du ministre pour les années d’imposition 2004, 2005 et 2006 rétablie</w:t>
            </w:r>
          </w:p>
          <w:p w:rsidR="00C965C5" w:rsidRPr="00F056F0" w:rsidRDefault="00C965C5" w:rsidP="00594C0F">
            <w:pPr>
              <w:jc w:val="both"/>
              <w:rPr>
                <w:rFonts w:eastAsia="Calibri"/>
                <w:sz w:val="20"/>
                <w:lang w:val="fr-CA"/>
              </w:rPr>
            </w:pPr>
          </w:p>
        </w:tc>
      </w:tr>
      <w:tr w:rsidR="00C965C5" w:rsidRPr="00F056F0" w:rsidTr="009572E2">
        <w:trPr>
          <w:cantSplit/>
        </w:trPr>
        <w:tc>
          <w:tcPr>
            <w:tcW w:w="2427" w:type="pct"/>
          </w:tcPr>
          <w:p w:rsidR="00C965C5" w:rsidRPr="00F056F0" w:rsidRDefault="00C965C5" w:rsidP="00594C0F">
            <w:pPr>
              <w:jc w:val="both"/>
              <w:rPr>
                <w:rFonts w:eastAsia="Calibri"/>
                <w:sz w:val="20"/>
                <w:lang w:val="fr-CA"/>
              </w:rPr>
            </w:pPr>
            <w:r w:rsidRPr="00F056F0">
              <w:rPr>
                <w:rFonts w:eastAsia="Calibri"/>
                <w:sz w:val="20"/>
                <w:lang w:val="fr-CA"/>
              </w:rPr>
              <w:t>18 juin 2012</w:t>
            </w:r>
          </w:p>
          <w:p w:rsidR="00C965C5" w:rsidRPr="00F056F0" w:rsidRDefault="00C965C5" w:rsidP="00594C0F">
            <w:pPr>
              <w:jc w:val="both"/>
              <w:rPr>
                <w:rFonts w:eastAsia="Calibri"/>
                <w:sz w:val="20"/>
                <w:lang w:val="fr-CA"/>
              </w:rPr>
            </w:pPr>
            <w:r w:rsidRPr="00F056F0">
              <w:rPr>
                <w:rFonts w:eastAsia="Calibri"/>
                <w:sz w:val="20"/>
                <w:lang w:val="fr-CA"/>
              </w:rPr>
              <w:t>Cour suprême du Canada</w:t>
            </w:r>
          </w:p>
        </w:tc>
        <w:tc>
          <w:tcPr>
            <w:tcW w:w="243" w:type="pct"/>
          </w:tcPr>
          <w:p w:rsidR="00C965C5" w:rsidRPr="00F056F0" w:rsidRDefault="00C965C5" w:rsidP="00594C0F">
            <w:pPr>
              <w:jc w:val="both"/>
              <w:rPr>
                <w:rFonts w:eastAsia="Calibri"/>
                <w:sz w:val="20"/>
                <w:lang w:val="fr-CA"/>
              </w:rPr>
            </w:pPr>
          </w:p>
        </w:tc>
        <w:tc>
          <w:tcPr>
            <w:tcW w:w="2330" w:type="pct"/>
          </w:tcPr>
          <w:p w:rsidR="00C965C5" w:rsidRPr="00F056F0" w:rsidRDefault="00C965C5" w:rsidP="00594C0F">
            <w:pPr>
              <w:jc w:val="both"/>
              <w:rPr>
                <w:rFonts w:eastAsia="Calibri"/>
                <w:sz w:val="20"/>
                <w:lang w:val="fr-CA"/>
              </w:rPr>
            </w:pPr>
            <w:r w:rsidRPr="00F056F0">
              <w:rPr>
                <w:rFonts w:eastAsia="Calibri"/>
                <w:sz w:val="20"/>
                <w:lang w:val="fr-CA"/>
              </w:rPr>
              <w:t>Demande d’autorisation d’appel, déposée</w:t>
            </w:r>
          </w:p>
          <w:p w:rsidR="00C965C5" w:rsidRPr="00F056F0" w:rsidRDefault="00C965C5" w:rsidP="00594C0F">
            <w:pPr>
              <w:jc w:val="both"/>
              <w:rPr>
                <w:rFonts w:eastAsia="Calibri"/>
                <w:sz w:val="20"/>
                <w:lang w:val="fr-CA"/>
              </w:rPr>
            </w:pPr>
          </w:p>
        </w:tc>
      </w:tr>
    </w:tbl>
    <w:p w:rsidR="005F361C" w:rsidRDefault="005F361C" w:rsidP="005F361C">
      <w:pPr>
        <w:rPr>
          <w:sz w:val="20"/>
          <w:szCs w:val="20"/>
        </w:rPr>
      </w:pPr>
    </w:p>
    <w:p w:rsidR="005F361C" w:rsidRDefault="002B77C5" w:rsidP="005F361C">
      <w:pPr>
        <w:rPr>
          <w:sz w:val="20"/>
          <w:szCs w:val="20"/>
        </w:rPr>
      </w:pPr>
      <w:r w:rsidRPr="002B77C5">
        <w:rPr>
          <w:sz w:val="20"/>
          <w:szCs w:val="20"/>
          <w:lang w:val="fr-CA"/>
        </w:rPr>
        <w:pict>
          <v:rect id="_x0000_i1071" style="width:2in;height:1pt" o:hrpct="0" o:hralign="center" o:hrstd="t" o:hrnoshade="t" o:hr="t" fillcolor="black [3213]" stroked="f"/>
        </w:pict>
      </w:r>
    </w:p>
    <w:p w:rsidR="005F361C" w:rsidRDefault="005F361C" w:rsidP="005F361C">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0520C" w:rsidRPr="002168D1" w:rsidRDefault="0010520C" w:rsidP="0010520C">
      <w:pPr>
        <w:tabs>
          <w:tab w:val="left" w:pos="-1440"/>
          <w:tab w:val="left" w:pos="-720"/>
        </w:tabs>
        <w:jc w:val="both"/>
        <w:rPr>
          <w:sz w:val="20"/>
          <w:szCs w:val="20"/>
          <w:lang w:val="fr-CA"/>
        </w:rPr>
      </w:pPr>
      <w:r w:rsidRPr="002168D1">
        <w:rPr>
          <w:sz w:val="20"/>
          <w:szCs w:val="20"/>
          <w:lang w:val="fr-CA"/>
        </w:rPr>
        <w:t>26.09.2012</w:t>
      </w:r>
    </w:p>
    <w:p w:rsidR="0010520C" w:rsidRPr="002168D1" w:rsidRDefault="0010520C" w:rsidP="0010520C">
      <w:pPr>
        <w:tabs>
          <w:tab w:val="left" w:pos="-1440"/>
          <w:tab w:val="left" w:pos="-720"/>
        </w:tabs>
        <w:jc w:val="both"/>
        <w:rPr>
          <w:sz w:val="20"/>
          <w:szCs w:val="20"/>
          <w:lang w:val="fr-CA"/>
        </w:rPr>
      </w:pPr>
    </w:p>
    <w:p w:rsidR="0010520C" w:rsidRPr="002168D1" w:rsidRDefault="0010520C" w:rsidP="0010520C">
      <w:pPr>
        <w:tabs>
          <w:tab w:val="left" w:pos="-1440"/>
          <w:tab w:val="left" w:pos="-720"/>
        </w:tabs>
        <w:jc w:val="both"/>
        <w:rPr>
          <w:sz w:val="20"/>
          <w:szCs w:val="20"/>
          <w:lang w:val="fr-CA"/>
        </w:rPr>
      </w:pPr>
      <w:r w:rsidRPr="002168D1">
        <w:rPr>
          <w:sz w:val="20"/>
          <w:szCs w:val="20"/>
          <w:lang w:val="fr-CA"/>
        </w:rPr>
        <w:t>Before / Devant :   CROMWELL J. / LE JUGE CROMWELL</w:t>
      </w:r>
    </w:p>
    <w:p w:rsidR="0010520C" w:rsidRPr="002168D1" w:rsidRDefault="0010520C" w:rsidP="001052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0520C" w:rsidRPr="003935EC" w:rsidTr="0010520C">
        <w:tc>
          <w:tcPr>
            <w:tcW w:w="4338" w:type="dxa"/>
            <w:gridSpan w:val="2"/>
          </w:tcPr>
          <w:p w:rsidR="0010520C" w:rsidRPr="002168D1" w:rsidRDefault="0010520C" w:rsidP="0010520C">
            <w:pPr>
              <w:rPr>
                <w:b/>
                <w:sz w:val="20"/>
                <w:szCs w:val="20"/>
              </w:rPr>
            </w:pPr>
            <w:r w:rsidRPr="002168D1">
              <w:rPr>
                <w:b/>
                <w:bCs/>
                <w:sz w:val="20"/>
                <w:szCs w:val="20"/>
              </w:rPr>
              <w:t>Motion for an extension of time and motions for leave to intervene</w:t>
            </w:r>
            <w:r w:rsidRPr="002168D1">
              <w:rPr>
                <w:sz w:val="20"/>
                <w:szCs w:val="20"/>
              </w:rPr>
              <w:t xml:space="preserve"> </w:t>
            </w:r>
            <w:r w:rsidR="002B77C5" w:rsidRPr="002168D1">
              <w:rPr>
                <w:sz w:val="20"/>
                <w:szCs w:val="20"/>
              </w:rPr>
              <w:fldChar w:fldCharType="begin"/>
            </w:r>
            <w:r w:rsidRPr="002168D1">
              <w:rPr>
                <w:sz w:val="20"/>
                <w:szCs w:val="20"/>
              </w:rPr>
              <w:instrText xml:space="preserve"> SEQ CHAPTER \h \r 1</w:instrText>
            </w:r>
            <w:r w:rsidR="002B77C5" w:rsidRPr="002168D1">
              <w:rPr>
                <w:sz w:val="20"/>
                <w:szCs w:val="20"/>
              </w:rPr>
              <w:fldChar w:fldCharType="end"/>
            </w:r>
          </w:p>
        </w:tc>
        <w:tc>
          <w:tcPr>
            <w:tcW w:w="1170" w:type="dxa"/>
          </w:tcPr>
          <w:p w:rsidR="0010520C" w:rsidRPr="002168D1" w:rsidRDefault="0010520C" w:rsidP="0010520C">
            <w:pPr>
              <w:rPr>
                <w:sz w:val="20"/>
                <w:szCs w:val="20"/>
              </w:rPr>
            </w:pPr>
          </w:p>
          <w:p w:rsidR="0010520C" w:rsidRPr="002168D1" w:rsidRDefault="0010520C" w:rsidP="0010520C">
            <w:pPr>
              <w:rPr>
                <w:sz w:val="20"/>
                <w:szCs w:val="20"/>
              </w:rPr>
            </w:pPr>
          </w:p>
          <w:p w:rsidR="0010520C" w:rsidRPr="002168D1" w:rsidRDefault="0010520C" w:rsidP="0010520C">
            <w:pPr>
              <w:rPr>
                <w:sz w:val="20"/>
                <w:szCs w:val="20"/>
              </w:rPr>
            </w:pPr>
          </w:p>
        </w:tc>
        <w:tc>
          <w:tcPr>
            <w:tcW w:w="4327" w:type="dxa"/>
          </w:tcPr>
          <w:p w:rsidR="0010520C" w:rsidRPr="002168D1" w:rsidRDefault="0010520C" w:rsidP="0010520C">
            <w:pPr>
              <w:rPr>
                <w:b/>
                <w:sz w:val="20"/>
                <w:szCs w:val="20"/>
                <w:lang w:val="fr-CA"/>
              </w:rPr>
            </w:pPr>
            <w:r w:rsidRPr="002168D1">
              <w:rPr>
                <w:b/>
                <w:bCs/>
                <w:sz w:val="20"/>
                <w:szCs w:val="20"/>
                <w:lang w:val="fr-CA"/>
              </w:rPr>
              <w:t>Requête en prorogation de délai et requêtes en autorisation d'intervenir</w:t>
            </w:r>
            <w:r w:rsidRPr="002168D1">
              <w:rPr>
                <w:sz w:val="20"/>
                <w:szCs w:val="20"/>
                <w:lang w:val="fr-CA"/>
              </w:rPr>
              <w:t xml:space="preserve"> </w:t>
            </w:r>
            <w:r w:rsidR="002B77C5" w:rsidRPr="002168D1">
              <w:rPr>
                <w:sz w:val="20"/>
                <w:szCs w:val="20"/>
              </w:rPr>
              <w:fldChar w:fldCharType="begin"/>
            </w:r>
            <w:r w:rsidRPr="002168D1">
              <w:rPr>
                <w:sz w:val="20"/>
                <w:szCs w:val="20"/>
                <w:lang w:val="fr-CA"/>
              </w:rPr>
              <w:instrText xml:space="preserve"> SEQ CHAPTER \h \r 1</w:instrText>
            </w:r>
            <w:r w:rsidR="002B77C5" w:rsidRPr="002168D1">
              <w:rPr>
                <w:sz w:val="20"/>
                <w:szCs w:val="20"/>
              </w:rPr>
              <w:fldChar w:fldCharType="end"/>
            </w:r>
          </w:p>
        </w:tc>
      </w:tr>
      <w:tr w:rsidR="0010520C" w:rsidRPr="002168D1" w:rsidTr="0010520C">
        <w:tc>
          <w:tcPr>
            <w:tcW w:w="1368" w:type="dxa"/>
          </w:tcPr>
          <w:p w:rsidR="0010520C" w:rsidRPr="002168D1" w:rsidRDefault="0010520C" w:rsidP="0010520C">
            <w:pPr>
              <w:rPr>
                <w:sz w:val="20"/>
                <w:szCs w:val="20"/>
              </w:rPr>
            </w:pPr>
            <w:r w:rsidRPr="002168D1">
              <w:rPr>
                <w:sz w:val="20"/>
                <w:szCs w:val="20"/>
              </w:rPr>
              <w:t>BY / PAR</w:t>
            </w:r>
          </w:p>
        </w:tc>
        <w:tc>
          <w:tcPr>
            <w:tcW w:w="2970" w:type="dxa"/>
          </w:tcPr>
          <w:p w:rsidR="0010520C" w:rsidRPr="002168D1" w:rsidRDefault="0010520C" w:rsidP="0010520C">
            <w:pPr>
              <w:rPr>
                <w:sz w:val="20"/>
                <w:szCs w:val="20"/>
              </w:rPr>
            </w:pPr>
            <w:r w:rsidRPr="002168D1">
              <w:rPr>
                <w:sz w:val="20"/>
                <w:szCs w:val="20"/>
              </w:rPr>
              <w:t>Director of Public Prosecutions of Canada;</w:t>
            </w: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r w:rsidR="0010520C" w:rsidRPr="002168D1" w:rsidTr="0010520C">
        <w:tc>
          <w:tcPr>
            <w:tcW w:w="1368" w:type="dxa"/>
          </w:tcPr>
          <w:p w:rsidR="0010520C" w:rsidRPr="002168D1" w:rsidRDefault="0010520C" w:rsidP="0010520C">
            <w:pPr>
              <w:rPr>
                <w:sz w:val="20"/>
                <w:szCs w:val="20"/>
              </w:rPr>
            </w:pPr>
          </w:p>
        </w:tc>
        <w:tc>
          <w:tcPr>
            <w:tcW w:w="2970" w:type="dxa"/>
          </w:tcPr>
          <w:p w:rsidR="0010520C" w:rsidRPr="002168D1" w:rsidRDefault="0010520C" w:rsidP="0010520C">
            <w:pPr>
              <w:rPr>
                <w:sz w:val="20"/>
                <w:szCs w:val="20"/>
              </w:rPr>
            </w:pPr>
            <w:r w:rsidRPr="002168D1">
              <w:rPr>
                <w:sz w:val="20"/>
                <w:szCs w:val="20"/>
              </w:rPr>
              <w:t>Attorney General of Ontario;</w:t>
            </w: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r w:rsidR="0010520C" w:rsidRPr="002168D1" w:rsidTr="0010520C">
        <w:tc>
          <w:tcPr>
            <w:tcW w:w="1368" w:type="dxa"/>
          </w:tcPr>
          <w:p w:rsidR="0010520C" w:rsidRPr="002168D1" w:rsidRDefault="0010520C" w:rsidP="0010520C">
            <w:pPr>
              <w:rPr>
                <w:sz w:val="20"/>
                <w:szCs w:val="20"/>
              </w:rPr>
            </w:pPr>
          </w:p>
        </w:tc>
        <w:tc>
          <w:tcPr>
            <w:tcW w:w="2970" w:type="dxa"/>
          </w:tcPr>
          <w:p w:rsidR="0010520C" w:rsidRPr="002168D1" w:rsidRDefault="0010520C" w:rsidP="0010520C">
            <w:pPr>
              <w:rPr>
                <w:sz w:val="20"/>
                <w:szCs w:val="20"/>
              </w:rPr>
            </w:pPr>
            <w:r w:rsidRPr="002168D1">
              <w:rPr>
                <w:sz w:val="20"/>
                <w:szCs w:val="20"/>
              </w:rPr>
              <w:t>Canadian Civil Liberties Association;</w:t>
            </w: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r w:rsidR="0010520C" w:rsidRPr="002168D1" w:rsidTr="0010520C">
        <w:tc>
          <w:tcPr>
            <w:tcW w:w="1368" w:type="dxa"/>
          </w:tcPr>
          <w:p w:rsidR="0010520C" w:rsidRPr="002168D1" w:rsidRDefault="0010520C" w:rsidP="0010520C">
            <w:pPr>
              <w:rPr>
                <w:sz w:val="20"/>
                <w:szCs w:val="20"/>
              </w:rPr>
            </w:pPr>
          </w:p>
        </w:tc>
        <w:tc>
          <w:tcPr>
            <w:tcW w:w="2970" w:type="dxa"/>
          </w:tcPr>
          <w:p w:rsidR="0010520C" w:rsidRPr="002168D1" w:rsidRDefault="0010520C" w:rsidP="0010520C">
            <w:pPr>
              <w:rPr>
                <w:sz w:val="20"/>
                <w:szCs w:val="20"/>
              </w:rPr>
            </w:pPr>
            <w:r w:rsidRPr="002168D1">
              <w:rPr>
                <w:sz w:val="20"/>
                <w:szCs w:val="20"/>
              </w:rPr>
              <w:t>British Columbia Civil Liberties Association</w:t>
            </w: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r w:rsidR="0010520C" w:rsidRPr="002168D1" w:rsidTr="0010520C">
        <w:tc>
          <w:tcPr>
            <w:tcW w:w="1368" w:type="dxa"/>
          </w:tcPr>
          <w:p w:rsidR="0010520C" w:rsidRPr="002168D1" w:rsidRDefault="0010520C" w:rsidP="0010520C">
            <w:pPr>
              <w:rPr>
                <w:sz w:val="20"/>
                <w:szCs w:val="20"/>
              </w:rPr>
            </w:pPr>
          </w:p>
        </w:tc>
        <w:tc>
          <w:tcPr>
            <w:tcW w:w="2970" w:type="dxa"/>
          </w:tcPr>
          <w:p w:rsidR="0010520C" w:rsidRPr="002168D1" w:rsidRDefault="0010520C" w:rsidP="0010520C">
            <w:pPr>
              <w:rPr>
                <w:sz w:val="20"/>
                <w:szCs w:val="20"/>
              </w:rPr>
            </w:pP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r w:rsidR="0010520C" w:rsidRPr="002168D1" w:rsidTr="0010520C">
        <w:tc>
          <w:tcPr>
            <w:tcW w:w="1368" w:type="dxa"/>
          </w:tcPr>
          <w:p w:rsidR="0010520C" w:rsidRPr="002168D1" w:rsidRDefault="0010520C" w:rsidP="0010520C">
            <w:pPr>
              <w:rPr>
                <w:sz w:val="20"/>
                <w:szCs w:val="20"/>
              </w:rPr>
            </w:pPr>
            <w:r w:rsidRPr="002168D1">
              <w:rPr>
                <w:sz w:val="20"/>
                <w:szCs w:val="20"/>
              </w:rPr>
              <w:t>IN / DANS :</w:t>
            </w:r>
          </w:p>
        </w:tc>
        <w:tc>
          <w:tcPr>
            <w:tcW w:w="2970" w:type="dxa"/>
          </w:tcPr>
          <w:p w:rsidR="0010520C" w:rsidRPr="002168D1" w:rsidRDefault="0010520C" w:rsidP="0010520C">
            <w:pPr>
              <w:rPr>
                <w:sz w:val="20"/>
                <w:szCs w:val="20"/>
              </w:rPr>
            </w:pPr>
            <w:r w:rsidRPr="002168D1">
              <w:rPr>
                <w:sz w:val="20"/>
                <w:szCs w:val="20"/>
              </w:rPr>
              <w:t>Sa Majesté la Reine</w:t>
            </w:r>
          </w:p>
          <w:p w:rsidR="0010520C" w:rsidRPr="002168D1" w:rsidRDefault="0010520C" w:rsidP="0010520C">
            <w:pPr>
              <w:rPr>
                <w:sz w:val="20"/>
                <w:szCs w:val="20"/>
              </w:rPr>
            </w:pP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r w:rsidR="0010520C" w:rsidRPr="002168D1" w:rsidTr="0010520C">
        <w:tc>
          <w:tcPr>
            <w:tcW w:w="1368" w:type="dxa"/>
          </w:tcPr>
          <w:p w:rsidR="0010520C" w:rsidRPr="002168D1" w:rsidRDefault="0010520C" w:rsidP="0010520C">
            <w:pPr>
              <w:rPr>
                <w:sz w:val="20"/>
                <w:szCs w:val="20"/>
              </w:rPr>
            </w:pPr>
          </w:p>
        </w:tc>
        <w:tc>
          <w:tcPr>
            <w:tcW w:w="2970" w:type="dxa"/>
          </w:tcPr>
          <w:p w:rsidR="0010520C" w:rsidRPr="002168D1" w:rsidRDefault="0010520C" w:rsidP="0010520C">
            <w:pPr>
              <w:rPr>
                <w:sz w:val="20"/>
                <w:szCs w:val="20"/>
              </w:rPr>
            </w:pPr>
            <w:r w:rsidRPr="002168D1">
              <w:rPr>
                <w:sz w:val="20"/>
                <w:szCs w:val="20"/>
              </w:rPr>
              <w:tab/>
              <w:t>c. (34358)</w:t>
            </w:r>
          </w:p>
          <w:p w:rsidR="0010520C" w:rsidRPr="002168D1" w:rsidRDefault="0010520C" w:rsidP="0010520C">
            <w:pPr>
              <w:rPr>
                <w:sz w:val="20"/>
                <w:szCs w:val="20"/>
              </w:rPr>
            </w:pP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r w:rsidR="0010520C" w:rsidRPr="002168D1" w:rsidTr="0010520C">
        <w:tc>
          <w:tcPr>
            <w:tcW w:w="1368" w:type="dxa"/>
          </w:tcPr>
          <w:p w:rsidR="0010520C" w:rsidRPr="002168D1" w:rsidRDefault="0010520C" w:rsidP="0010520C">
            <w:pPr>
              <w:rPr>
                <w:sz w:val="20"/>
                <w:szCs w:val="20"/>
              </w:rPr>
            </w:pPr>
          </w:p>
        </w:tc>
        <w:tc>
          <w:tcPr>
            <w:tcW w:w="2970" w:type="dxa"/>
          </w:tcPr>
          <w:p w:rsidR="0010520C" w:rsidRPr="002168D1" w:rsidRDefault="0010520C" w:rsidP="0010520C">
            <w:pPr>
              <w:jc w:val="both"/>
              <w:rPr>
                <w:sz w:val="20"/>
                <w:szCs w:val="20"/>
              </w:rPr>
            </w:pPr>
            <w:r w:rsidRPr="002168D1">
              <w:rPr>
                <w:sz w:val="20"/>
                <w:szCs w:val="20"/>
              </w:rPr>
              <w:t>Alphide Manning (Crim.) (Qc)</w:t>
            </w:r>
          </w:p>
        </w:tc>
        <w:tc>
          <w:tcPr>
            <w:tcW w:w="1170" w:type="dxa"/>
          </w:tcPr>
          <w:p w:rsidR="0010520C" w:rsidRPr="002168D1" w:rsidRDefault="0010520C" w:rsidP="0010520C">
            <w:pPr>
              <w:rPr>
                <w:sz w:val="20"/>
                <w:szCs w:val="20"/>
              </w:rPr>
            </w:pPr>
          </w:p>
        </w:tc>
        <w:tc>
          <w:tcPr>
            <w:tcW w:w="4327" w:type="dxa"/>
          </w:tcPr>
          <w:p w:rsidR="0010520C" w:rsidRPr="002168D1" w:rsidRDefault="0010520C" w:rsidP="0010520C">
            <w:pPr>
              <w:rPr>
                <w:sz w:val="20"/>
                <w:szCs w:val="20"/>
              </w:rPr>
            </w:pPr>
          </w:p>
        </w:tc>
      </w:tr>
    </w:tbl>
    <w:p w:rsidR="0010520C" w:rsidRPr="002168D1" w:rsidRDefault="0010520C" w:rsidP="0010520C">
      <w:pPr>
        <w:tabs>
          <w:tab w:val="left" w:pos="-1440"/>
          <w:tab w:val="left" w:pos="-720"/>
        </w:tabs>
        <w:jc w:val="both"/>
        <w:rPr>
          <w:sz w:val="20"/>
          <w:szCs w:val="20"/>
        </w:rPr>
      </w:pPr>
    </w:p>
    <w:p w:rsidR="0010520C" w:rsidRPr="002168D1" w:rsidRDefault="0010520C" w:rsidP="0010520C">
      <w:pPr>
        <w:tabs>
          <w:tab w:val="left" w:pos="-1440"/>
          <w:tab w:val="left" w:pos="-720"/>
        </w:tabs>
        <w:jc w:val="both"/>
        <w:rPr>
          <w:sz w:val="20"/>
          <w:szCs w:val="20"/>
        </w:rPr>
      </w:pPr>
      <w:r w:rsidRPr="002168D1">
        <w:rPr>
          <w:b/>
          <w:sz w:val="20"/>
          <w:szCs w:val="20"/>
        </w:rPr>
        <w:t>GRANTED / ACCORDÉES</w:t>
      </w:r>
    </w:p>
    <w:p w:rsidR="0010520C" w:rsidRPr="002168D1" w:rsidRDefault="0010520C" w:rsidP="0010520C">
      <w:pPr>
        <w:tabs>
          <w:tab w:val="left" w:pos="-1440"/>
          <w:tab w:val="left" w:pos="-720"/>
        </w:tabs>
        <w:jc w:val="both"/>
        <w:rPr>
          <w:sz w:val="20"/>
          <w:szCs w:val="20"/>
        </w:rPr>
      </w:pPr>
    </w:p>
    <w:p w:rsidR="0010520C" w:rsidRPr="002168D1" w:rsidRDefault="0010520C" w:rsidP="0010520C">
      <w:pPr>
        <w:spacing w:line="233" w:lineRule="auto"/>
        <w:jc w:val="both"/>
        <w:rPr>
          <w:sz w:val="20"/>
          <w:szCs w:val="20"/>
        </w:rPr>
      </w:pPr>
      <w:r w:rsidRPr="002168D1">
        <w:rPr>
          <w:b/>
          <w:bCs/>
          <w:sz w:val="20"/>
          <w:szCs w:val="20"/>
        </w:rPr>
        <w:t xml:space="preserve">UPON APPLICATION </w:t>
      </w:r>
      <w:r w:rsidRPr="002168D1">
        <w:rPr>
          <w:sz w:val="20"/>
          <w:szCs w:val="20"/>
        </w:rPr>
        <w:t>by the Director of Public Prosecutions of Canada for an extension of time to apply for leave to intervene and for leave to intervene in the above appeal;</w:t>
      </w:r>
    </w:p>
    <w:p w:rsidR="0010520C" w:rsidRPr="002168D1" w:rsidRDefault="0010520C" w:rsidP="0010520C">
      <w:pPr>
        <w:spacing w:line="233" w:lineRule="auto"/>
        <w:jc w:val="both"/>
        <w:rPr>
          <w:b/>
          <w:bCs/>
          <w:sz w:val="20"/>
          <w:szCs w:val="20"/>
        </w:rPr>
      </w:pPr>
    </w:p>
    <w:p w:rsidR="0010520C" w:rsidRPr="002168D1" w:rsidRDefault="0010520C" w:rsidP="0010520C">
      <w:pPr>
        <w:spacing w:line="233" w:lineRule="auto"/>
        <w:jc w:val="both"/>
        <w:rPr>
          <w:sz w:val="20"/>
          <w:szCs w:val="20"/>
        </w:rPr>
      </w:pPr>
      <w:r w:rsidRPr="002168D1">
        <w:rPr>
          <w:b/>
          <w:bCs/>
          <w:sz w:val="20"/>
          <w:szCs w:val="20"/>
        </w:rPr>
        <w:t xml:space="preserve">AND UPON APPLICATIONS </w:t>
      </w:r>
      <w:r w:rsidRPr="002168D1">
        <w:rPr>
          <w:sz w:val="20"/>
          <w:szCs w:val="20"/>
        </w:rPr>
        <w:t>by the Attorney General of Ontario, the Canadian Civil Liberties Association and the British Columbia Civil Liberties Association for leave to intervene in the above appeal;</w:t>
      </w: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r w:rsidRPr="002168D1">
        <w:rPr>
          <w:b/>
          <w:bCs/>
          <w:sz w:val="20"/>
          <w:szCs w:val="20"/>
        </w:rPr>
        <w:t>AND THE MATERIAL FILED</w:t>
      </w:r>
      <w:r w:rsidRPr="002168D1">
        <w:rPr>
          <w:sz w:val="20"/>
          <w:szCs w:val="20"/>
        </w:rPr>
        <w:t xml:space="preserve"> having been read;</w:t>
      </w: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r w:rsidRPr="002168D1">
        <w:rPr>
          <w:b/>
          <w:bCs/>
          <w:sz w:val="20"/>
          <w:szCs w:val="20"/>
        </w:rPr>
        <w:t>IT IS HEREBY ORDERED THAT:</w:t>
      </w: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r w:rsidRPr="002168D1">
        <w:rPr>
          <w:sz w:val="20"/>
          <w:szCs w:val="20"/>
        </w:rPr>
        <w:t>The motion for an extension of time to apply for leave to intervene and for leave to intervene of the Director of Public Prosecutions of Canada is granted and the said intervener shall be entitled to serve and file a factum not to exceed 10 pages in length on or before November 21, 2012.</w:t>
      </w: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r w:rsidRPr="002168D1">
        <w:rPr>
          <w:sz w:val="20"/>
          <w:szCs w:val="20"/>
        </w:rPr>
        <w:t>The motions for leave to intervene by the Attorney General of Ontario, the Canadian Civil Liberties Association and the British Columbia Civil Liberties Association are granted and the said interveners shall be entitled to serve and file a factum not to exceed 10 pages in length on or before November 21, 2012.</w:t>
      </w: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r w:rsidRPr="002168D1">
        <w:rPr>
          <w:sz w:val="20"/>
          <w:szCs w:val="20"/>
        </w:rPr>
        <w:t>The request to present oral argument is deferred to a date following receipt and consideration of the written arguments of the parties and the interveners.</w:t>
      </w:r>
    </w:p>
    <w:p w:rsidR="0010520C" w:rsidRPr="002168D1" w:rsidRDefault="0010520C" w:rsidP="0010520C">
      <w:pPr>
        <w:spacing w:line="233" w:lineRule="auto"/>
        <w:jc w:val="both"/>
        <w:rPr>
          <w:sz w:val="20"/>
          <w:szCs w:val="20"/>
        </w:rPr>
      </w:pPr>
    </w:p>
    <w:p w:rsidR="0010520C" w:rsidRPr="002168D1" w:rsidRDefault="002B77C5" w:rsidP="0010520C">
      <w:pPr>
        <w:jc w:val="both"/>
        <w:rPr>
          <w:bCs/>
          <w:sz w:val="20"/>
          <w:szCs w:val="20"/>
        </w:rPr>
      </w:pPr>
      <w:r w:rsidRPr="002168D1">
        <w:rPr>
          <w:sz w:val="20"/>
          <w:szCs w:val="20"/>
        </w:rPr>
        <w:fldChar w:fldCharType="begin"/>
      </w:r>
      <w:r w:rsidR="0010520C" w:rsidRPr="002168D1">
        <w:rPr>
          <w:sz w:val="20"/>
          <w:szCs w:val="20"/>
        </w:rPr>
        <w:instrText xml:space="preserve"> SEQ CHAPTER \h \r 1</w:instrText>
      </w:r>
      <w:r w:rsidRPr="002168D1">
        <w:rPr>
          <w:sz w:val="20"/>
          <w:szCs w:val="20"/>
        </w:rPr>
        <w:fldChar w:fldCharType="end"/>
      </w:r>
      <w:r w:rsidR="0010520C" w:rsidRPr="002168D1">
        <w:rPr>
          <w:bCs/>
          <w:sz w:val="20"/>
          <w:szCs w:val="20"/>
        </w:rPr>
        <w:t>The interveners are not entitled to raise new issues or to adduce further evidence or otherwise to supplement the record of the parties.</w:t>
      </w: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r w:rsidRPr="002168D1">
        <w:rPr>
          <w:sz w:val="20"/>
          <w:szCs w:val="20"/>
        </w:rPr>
        <w:t>Pursuant to Rule 59(1)(</w:t>
      </w:r>
      <w:r w:rsidRPr="002168D1">
        <w:rPr>
          <w:i/>
          <w:iCs/>
          <w:sz w:val="20"/>
          <w:szCs w:val="20"/>
        </w:rPr>
        <w:t>a</w:t>
      </w:r>
      <w:r w:rsidRPr="002168D1">
        <w:rPr>
          <w:sz w:val="20"/>
          <w:szCs w:val="20"/>
        </w:rPr>
        <w:t xml:space="preserve">) of the </w:t>
      </w:r>
      <w:r w:rsidRPr="002168D1">
        <w:rPr>
          <w:i/>
          <w:iCs/>
          <w:sz w:val="20"/>
          <w:szCs w:val="20"/>
        </w:rPr>
        <w:t>Rules of the Supreme Court of Canada</w:t>
      </w:r>
      <w:r w:rsidRPr="002168D1">
        <w:rPr>
          <w:sz w:val="20"/>
          <w:szCs w:val="20"/>
        </w:rPr>
        <w:t>, the interveners shall pay to the appellant and respondent any additional disbursements occasioned to the appellant and respondent by their interventions.</w:t>
      </w: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sz w:val="20"/>
          <w:szCs w:val="20"/>
        </w:rPr>
      </w:pPr>
    </w:p>
    <w:p w:rsidR="0010520C" w:rsidRPr="002168D1" w:rsidRDefault="0010520C" w:rsidP="0010520C">
      <w:pPr>
        <w:spacing w:line="233" w:lineRule="auto"/>
        <w:jc w:val="both"/>
        <w:rPr>
          <w:bCs/>
          <w:sz w:val="20"/>
          <w:szCs w:val="20"/>
          <w:lang w:val="fr-CA"/>
        </w:rPr>
      </w:pPr>
      <w:r w:rsidRPr="002168D1">
        <w:rPr>
          <w:b/>
          <w:bCs/>
          <w:sz w:val="20"/>
          <w:szCs w:val="20"/>
          <w:lang w:val="fr-CA"/>
        </w:rPr>
        <w:t xml:space="preserve">À LA SUITE DE LA DEMANDE </w:t>
      </w:r>
      <w:r w:rsidRPr="002168D1">
        <w:rPr>
          <w:bCs/>
          <w:sz w:val="20"/>
          <w:szCs w:val="20"/>
          <w:lang w:val="fr-CA"/>
        </w:rPr>
        <w:t>présentée par le Directeur des poursuites pénales du Canada en prorogation du délai applicable à une demande d'autorisation d'intervenir et en autorisation d'intervenir dans l'appel;</w:t>
      </w:r>
    </w:p>
    <w:p w:rsidR="0010520C" w:rsidRPr="002168D1" w:rsidRDefault="0010520C" w:rsidP="0010520C">
      <w:pPr>
        <w:spacing w:line="233" w:lineRule="auto"/>
        <w:jc w:val="both"/>
        <w:rPr>
          <w:b/>
          <w:bCs/>
          <w:sz w:val="20"/>
          <w:szCs w:val="20"/>
          <w:lang w:val="fr-CA"/>
        </w:rPr>
      </w:pPr>
    </w:p>
    <w:p w:rsidR="0010520C" w:rsidRPr="002168D1" w:rsidRDefault="0010520C" w:rsidP="0010520C">
      <w:pPr>
        <w:spacing w:line="233" w:lineRule="auto"/>
        <w:jc w:val="both"/>
        <w:rPr>
          <w:sz w:val="20"/>
          <w:szCs w:val="20"/>
          <w:lang w:val="fr-CA"/>
        </w:rPr>
      </w:pPr>
      <w:r w:rsidRPr="002168D1">
        <w:rPr>
          <w:b/>
          <w:bCs/>
          <w:sz w:val="20"/>
          <w:szCs w:val="20"/>
          <w:lang w:val="fr-CA"/>
        </w:rPr>
        <w:lastRenderedPageBreak/>
        <w:t xml:space="preserve">ET À LA SUITE DES DEMANDES </w:t>
      </w:r>
      <w:r w:rsidRPr="002168D1">
        <w:rPr>
          <w:sz w:val="20"/>
          <w:szCs w:val="20"/>
          <w:lang w:val="fr-CA"/>
        </w:rPr>
        <w:t>présentées par le Procureur général de l’Ontario, l’Association canadienne des libertés civiles et l’Association des libertés civiles de la Colombie-Britannique en vue d’intervenir dans l’appel;</w:t>
      </w:r>
    </w:p>
    <w:p w:rsidR="0010520C" w:rsidRPr="002168D1" w:rsidRDefault="0010520C" w:rsidP="0010520C">
      <w:pPr>
        <w:spacing w:line="233" w:lineRule="auto"/>
        <w:jc w:val="both"/>
        <w:rPr>
          <w:sz w:val="20"/>
          <w:szCs w:val="20"/>
          <w:lang w:val="fr-CA"/>
        </w:rPr>
      </w:pPr>
    </w:p>
    <w:p w:rsidR="0010520C" w:rsidRPr="002168D1" w:rsidRDefault="0010520C" w:rsidP="0010520C">
      <w:pPr>
        <w:spacing w:line="233" w:lineRule="auto"/>
        <w:jc w:val="both"/>
        <w:rPr>
          <w:sz w:val="20"/>
          <w:szCs w:val="20"/>
          <w:lang w:val="fr-CA"/>
        </w:rPr>
      </w:pPr>
      <w:r w:rsidRPr="002168D1">
        <w:rPr>
          <w:b/>
          <w:bCs/>
          <w:sz w:val="20"/>
          <w:szCs w:val="20"/>
          <w:lang w:val="fr-CA"/>
        </w:rPr>
        <w:t xml:space="preserve">ET APRÈS EXAMEN </w:t>
      </w:r>
      <w:r w:rsidRPr="002168D1">
        <w:rPr>
          <w:sz w:val="20"/>
          <w:szCs w:val="20"/>
          <w:lang w:val="fr-CA"/>
        </w:rPr>
        <w:t xml:space="preserve">des documents déposés; </w:t>
      </w:r>
    </w:p>
    <w:p w:rsidR="0010520C" w:rsidRPr="002168D1" w:rsidRDefault="0010520C" w:rsidP="0010520C">
      <w:pPr>
        <w:spacing w:line="233" w:lineRule="auto"/>
        <w:jc w:val="both"/>
        <w:rPr>
          <w:sz w:val="20"/>
          <w:szCs w:val="20"/>
          <w:lang w:val="fr-CA"/>
        </w:rPr>
      </w:pPr>
    </w:p>
    <w:p w:rsidR="0010520C" w:rsidRPr="002168D1" w:rsidRDefault="0010520C" w:rsidP="0010520C">
      <w:pPr>
        <w:spacing w:line="233" w:lineRule="auto"/>
        <w:jc w:val="both"/>
        <w:rPr>
          <w:sz w:val="20"/>
          <w:szCs w:val="20"/>
          <w:lang w:val="fr-CA"/>
        </w:rPr>
      </w:pPr>
      <w:r w:rsidRPr="002168D1">
        <w:rPr>
          <w:b/>
          <w:bCs/>
          <w:sz w:val="20"/>
          <w:szCs w:val="20"/>
          <w:lang w:val="fr-CA"/>
        </w:rPr>
        <w:t xml:space="preserve">IL EST ORDONNÉ CE QUI SUIT : </w:t>
      </w:r>
    </w:p>
    <w:p w:rsidR="0010520C" w:rsidRPr="002168D1" w:rsidRDefault="0010520C" w:rsidP="0010520C">
      <w:pPr>
        <w:spacing w:line="233" w:lineRule="auto"/>
        <w:jc w:val="both"/>
        <w:rPr>
          <w:sz w:val="20"/>
          <w:szCs w:val="20"/>
          <w:lang w:val="fr-CA"/>
        </w:rPr>
      </w:pPr>
    </w:p>
    <w:p w:rsidR="0010520C" w:rsidRPr="002168D1" w:rsidRDefault="0010520C" w:rsidP="0010520C">
      <w:pPr>
        <w:spacing w:line="233" w:lineRule="auto"/>
        <w:jc w:val="both"/>
        <w:rPr>
          <w:sz w:val="20"/>
          <w:szCs w:val="20"/>
          <w:lang w:val="fr-CA"/>
        </w:rPr>
      </w:pPr>
      <w:r w:rsidRPr="002168D1">
        <w:rPr>
          <w:sz w:val="20"/>
          <w:szCs w:val="20"/>
          <w:lang w:val="fr-CA"/>
        </w:rPr>
        <w:t xml:space="preserve">La requête en prorogation du délai applicable à une demande d'autorisation d'intervenir et en autorisation d'intervenir présentée par le </w:t>
      </w:r>
      <w:r w:rsidRPr="002168D1">
        <w:rPr>
          <w:bCs/>
          <w:sz w:val="20"/>
          <w:szCs w:val="20"/>
          <w:lang w:val="fr-CA"/>
        </w:rPr>
        <w:t xml:space="preserve">Directeur des poursuites pénales du Canada </w:t>
      </w:r>
      <w:r w:rsidRPr="002168D1">
        <w:rPr>
          <w:sz w:val="20"/>
          <w:szCs w:val="20"/>
          <w:lang w:val="fr-CA"/>
        </w:rPr>
        <w:t>est accueillie et l’intervenante pourra signifier et déposer un mémoire d'au plus dix (10) pages au plus tard le 21 novembre 2012.</w:t>
      </w:r>
    </w:p>
    <w:p w:rsidR="0010520C" w:rsidRPr="002168D1" w:rsidRDefault="0010520C" w:rsidP="0010520C">
      <w:pPr>
        <w:spacing w:line="233" w:lineRule="auto"/>
        <w:jc w:val="both"/>
        <w:rPr>
          <w:sz w:val="20"/>
          <w:szCs w:val="20"/>
          <w:lang w:val="fr-CA"/>
        </w:rPr>
      </w:pPr>
    </w:p>
    <w:p w:rsidR="0010520C" w:rsidRPr="002168D1" w:rsidRDefault="0010520C" w:rsidP="0010520C">
      <w:pPr>
        <w:spacing w:line="233" w:lineRule="auto"/>
        <w:jc w:val="both"/>
        <w:rPr>
          <w:sz w:val="20"/>
          <w:szCs w:val="20"/>
          <w:lang w:val="fr-CA"/>
        </w:rPr>
      </w:pPr>
      <w:r w:rsidRPr="002168D1">
        <w:rPr>
          <w:sz w:val="20"/>
          <w:szCs w:val="20"/>
          <w:lang w:val="fr-CA"/>
        </w:rPr>
        <w:t xml:space="preserve">Les requêtes </w:t>
      </w:r>
      <w:r w:rsidR="002B77C5" w:rsidRPr="002168D1">
        <w:rPr>
          <w:sz w:val="20"/>
          <w:szCs w:val="20"/>
        </w:rPr>
        <w:fldChar w:fldCharType="begin"/>
      </w:r>
      <w:r w:rsidRPr="002168D1">
        <w:rPr>
          <w:sz w:val="20"/>
          <w:szCs w:val="20"/>
          <w:lang w:val="fr-FR"/>
        </w:rPr>
        <w:instrText xml:space="preserve"> SEQ CHAPTER \h \r 1</w:instrText>
      </w:r>
      <w:r w:rsidR="002B77C5" w:rsidRPr="002168D1">
        <w:rPr>
          <w:sz w:val="20"/>
          <w:szCs w:val="20"/>
        </w:rPr>
        <w:fldChar w:fldCharType="end"/>
      </w:r>
      <w:r w:rsidRPr="002168D1">
        <w:rPr>
          <w:sz w:val="20"/>
          <w:szCs w:val="20"/>
          <w:lang w:val="fr-CA"/>
        </w:rPr>
        <w:t>en autorisation d’intervenir du Procureur général de l’Ontario, de l’Association canadienne des libertés civiles et de l’Association des libertés civiles de la Colombie-Britannique sont accueillies et ces intervenants pourront signifier et déposer un mémoire d’au plus 10 pages au plus tard le 21 novembre 2012.</w:t>
      </w:r>
    </w:p>
    <w:p w:rsidR="0010520C" w:rsidRPr="002168D1" w:rsidRDefault="0010520C" w:rsidP="0010520C">
      <w:pPr>
        <w:spacing w:line="233" w:lineRule="auto"/>
        <w:jc w:val="both"/>
        <w:rPr>
          <w:sz w:val="20"/>
          <w:szCs w:val="20"/>
          <w:lang w:val="fr-CA"/>
        </w:rPr>
      </w:pPr>
    </w:p>
    <w:p w:rsidR="0010520C" w:rsidRPr="002168D1" w:rsidRDefault="0010520C" w:rsidP="0010520C">
      <w:pPr>
        <w:spacing w:line="225" w:lineRule="auto"/>
        <w:jc w:val="both"/>
        <w:rPr>
          <w:sz w:val="20"/>
          <w:szCs w:val="20"/>
          <w:lang w:val="fr-CA"/>
        </w:rPr>
      </w:pPr>
      <w:r w:rsidRPr="002168D1">
        <w:rPr>
          <w:sz w:val="20"/>
          <w:szCs w:val="20"/>
          <w:lang w:val="fr-CA"/>
        </w:rPr>
        <w:t xml:space="preserve">La décision sur la demande en vue de présenter une plaidoirie orale sera rendue après réception et examen des arguments écrits des parties et des intervenants. </w:t>
      </w:r>
    </w:p>
    <w:p w:rsidR="0010520C" w:rsidRPr="002168D1" w:rsidRDefault="0010520C" w:rsidP="0010520C">
      <w:pPr>
        <w:spacing w:line="233" w:lineRule="auto"/>
        <w:jc w:val="both"/>
        <w:rPr>
          <w:color w:val="000000" w:themeColor="text1"/>
          <w:sz w:val="20"/>
          <w:szCs w:val="20"/>
          <w:lang w:val="fr-CA" w:eastAsia="fr-FR"/>
        </w:rPr>
      </w:pPr>
    </w:p>
    <w:p w:rsidR="0010520C" w:rsidRPr="002168D1" w:rsidRDefault="002B77C5" w:rsidP="0010520C">
      <w:pPr>
        <w:jc w:val="both"/>
        <w:rPr>
          <w:sz w:val="20"/>
          <w:szCs w:val="20"/>
          <w:lang w:val="fr-FR"/>
        </w:rPr>
      </w:pPr>
      <w:r w:rsidRPr="002168D1">
        <w:rPr>
          <w:sz w:val="20"/>
          <w:szCs w:val="20"/>
        </w:rPr>
        <w:fldChar w:fldCharType="begin"/>
      </w:r>
      <w:r w:rsidR="0010520C" w:rsidRPr="002168D1">
        <w:rPr>
          <w:sz w:val="20"/>
          <w:szCs w:val="20"/>
          <w:lang w:val="fr-FR"/>
        </w:rPr>
        <w:instrText xml:space="preserve"> SEQ CHAPTER \h \r 1</w:instrText>
      </w:r>
      <w:r w:rsidRPr="002168D1">
        <w:rPr>
          <w:sz w:val="20"/>
          <w:szCs w:val="20"/>
        </w:rPr>
        <w:fldChar w:fldCharType="end"/>
      </w:r>
      <w:r w:rsidR="0010520C" w:rsidRPr="002168D1">
        <w:rPr>
          <w:sz w:val="20"/>
          <w:szCs w:val="20"/>
          <w:lang w:val="fr-CA"/>
        </w:rPr>
        <w:t xml:space="preserve">Les intervenants </w:t>
      </w:r>
      <w:r w:rsidRPr="002168D1">
        <w:rPr>
          <w:sz w:val="20"/>
          <w:szCs w:val="20"/>
        </w:rPr>
        <w:fldChar w:fldCharType="begin"/>
      </w:r>
      <w:r w:rsidR="0010520C" w:rsidRPr="002168D1">
        <w:rPr>
          <w:sz w:val="20"/>
          <w:szCs w:val="20"/>
          <w:lang w:val="fr-FR"/>
        </w:rPr>
        <w:instrText xml:space="preserve"> SEQ CHAPTER \h \r 1</w:instrText>
      </w:r>
      <w:r w:rsidRPr="002168D1">
        <w:rPr>
          <w:sz w:val="20"/>
          <w:szCs w:val="20"/>
        </w:rPr>
        <w:fldChar w:fldCharType="end"/>
      </w:r>
      <w:r w:rsidR="0010520C" w:rsidRPr="002168D1">
        <w:rPr>
          <w:bCs/>
          <w:sz w:val="20"/>
          <w:szCs w:val="20"/>
          <w:lang w:val="fr-FR"/>
        </w:rPr>
        <w:t>n'ont pas le droit de soulever de nouvelles questions, de produire d'autres éléments de preuve ni de compléter de quelque autre façon le dossier des parties.</w:t>
      </w:r>
    </w:p>
    <w:p w:rsidR="0010520C" w:rsidRPr="002168D1" w:rsidRDefault="0010520C" w:rsidP="0010520C">
      <w:pPr>
        <w:spacing w:line="233" w:lineRule="auto"/>
        <w:jc w:val="both"/>
        <w:rPr>
          <w:sz w:val="20"/>
          <w:szCs w:val="20"/>
          <w:lang w:val="fr-FR"/>
        </w:rPr>
      </w:pPr>
    </w:p>
    <w:p w:rsidR="0010520C" w:rsidRPr="002168D1" w:rsidRDefault="002B77C5" w:rsidP="0010520C">
      <w:pPr>
        <w:spacing w:line="233" w:lineRule="auto"/>
        <w:jc w:val="both"/>
        <w:rPr>
          <w:sz w:val="20"/>
          <w:szCs w:val="20"/>
          <w:lang w:val="fr-CA"/>
        </w:rPr>
      </w:pPr>
      <w:r w:rsidRPr="002168D1">
        <w:rPr>
          <w:sz w:val="20"/>
          <w:szCs w:val="20"/>
        </w:rPr>
        <w:fldChar w:fldCharType="begin"/>
      </w:r>
      <w:r w:rsidR="0010520C" w:rsidRPr="002168D1">
        <w:rPr>
          <w:sz w:val="20"/>
          <w:szCs w:val="20"/>
          <w:lang w:val="fr-FR"/>
        </w:rPr>
        <w:instrText xml:space="preserve"> SEQ CHAPTER \h \r 1</w:instrText>
      </w:r>
      <w:r w:rsidRPr="002168D1">
        <w:rPr>
          <w:sz w:val="20"/>
          <w:szCs w:val="20"/>
        </w:rPr>
        <w:fldChar w:fldCharType="end"/>
      </w:r>
      <w:r w:rsidR="0010520C" w:rsidRPr="002168D1">
        <w:rPr>
          <w:sz w:val="20"/>
          <w:szCs w:val="20"/>
          <w:lang w:val="fr-CA"/>
        </w:rPr>
        <w:t>Conformément à l'alinéa 59(1)(</w:t>
      </w:r>
      <w:r w:rsidR="0010520C" w:rsidRPr="002168D1">
        <w:rPr>
          <w:i/>
          <w:iCs/>
          <w:sz w:val="20"/>
          <w:szCs w:val="20"/>
          <w:lang w:val="fr-CA"/>
        </w:rPr>
        <w:t>a</w:t>
      </w:r>
      <w:r w:rsidR="0010520C" w:rsidRPr="002168D1">
        <w:rPr>
          <w:sz w:val="20"/>
          <w:szCs w:val="20"/>
          <w:lang w:val="fr-CA"/>
        </w:rPr>
        <w:t xml:space="preserve">) des </w:t>
      </w:r>
      <w:r w:rsidR="0010520C" w:rsidRPr="002168D1">
        <w:rPr>
          <w:i/>
          <w:iCs/>
          <w:sz w:val="20"/>
          <w:szCs w:val="20"/>
          <w:lang w:val="fr-CA"/>
        </w:rPr>
        <w:t>Règles de la Cour suprême du Canada</w:t>
      </w:r>
      <w:r w:rsidR="0010520C" w:rsidRPr="002168D1">
        <w:rPr>
          <w:sz w:val="20"/>
          <w:szCs w:val="20"/>
          <w:lang w:val="fr-CA"/>
        </w:rPr>
        <w:t>, les intervenants paieront à l’appelante et à l’intimé tous débours supplémentaires résultant de leur intervention.</w:t>
      </w:r>
    </w:p>
    <w:p w:rsidR="0010520C" w:rsidRPr="002168D1" w:rsidRDefault="0010520C" w:rsidP="0010520C">
      <w:pPr>
        <w:tabs>
          <w:tab w:val="left" w:pos="-1440"/>
          <w:tab w:val="left" w:pos="-720"/>
        </w:tabs>
        <w:jc w:val="both"/>
        <w:rPr>
          <w:sz w:val="20"/>
          <w:szCs w:val="20"/>
          <w:lang w:val="fr-CA"/>
        </w:rPr>
      </w:pPr>
    </w:p>
    <w:p w:rsidR="0010520C" w:rsidRPr="002168D1" w:rsidRDefault="002B77C5" w:rsidP="0010520C">
      <w:pPr>
        <w:tabs>
          <w:tab w:val="left" w:pos="-1440"/>
          <w:tab w:val="left" w:pos="-720"/>
        </w:tabs>
        <w:jc w:val="both"/>
        <w:rPr>
          <w:sz w:val="20"/>
          <w:szCs w:val="20"/>
          <w:lang w:val="fr-CA"/>
        </w:rPr>
      </w:pPr>
      <w:r w:rsidRPr="002B77C5">
        <w:rPr>
          <w:sz w:val="20"/>
          <w:szCs w:val="20"/>
          <w:lang w:val="fr-CA"/>
        </w:rPr>
        <w:pict>
          <v:rect id="_x0000_i1074" style="width:2in;height:1pt" o:hrpct="0" o:hralign="center" o:hrstd="t" o:hrnoshade="t" o:hr="t" fillcolor="black [3213]" stroked="f"/>
        </w:pict>
      </w:r>
    </w:p>
    <w:p w:rsidR="0010520C" w:rsidRPr="002168D1" w:rsidRDefault="0010520C" w:rsidP="0010520C">
      <w:pPr>
        <w:tabs>
          <w:tab w:val="left" w:pos="-1440"/>
          <w:tab w:val="left" w:pos="-720"/>
        </w:tabs>
        <w:jc w:val="both"/>
        <w:rPr>
          <w:sz w:val="20"/>
          <w:szCs w:val="20"/>
          <w:lang w:val="fr-CA"/>
        </w:rPr>
      </w:pPr>
    </w:p>
    <w:p w:rsidR="0010520C" w:rsidRPr="002168D1" w:rsidRDefault="0010520C" w:rsidP="0010520C">
      <w:pPr>
        <w:tabs>
          <w:tab w:val="left" w:pos="-1440"/>
          <w:tab w:val="left" w:pos="-720"/>
        </w:tabs>
        <w:jc w:val="both"/>
        <w:rPr>
          <w:sz w:val="20"/>
          <w:szCs w:val="20"/>
          <w:lang w:val="fr-CA"/>
        </w:rPr>
      </w:pPr>
      <w:r w:rsidRPr="002168D1">
        <w:rPr>
          <w:sz w:val="20"/>
          <w:szCs w:val="20"/>
          <w:lang w:val="fr-CA"/>
        </w:rPr>
        <w:t>26.09.2012</w:t>
      </w:r>
    </w:p>
    <w:p w:rsidR="0010520C" w:rsidRPr="002168D1" w:rsidRDefault="0010520C" w:rsidP="0010520C">
      <w:pPr>
        <w:tabs>
          <w:tab w:val="left" w:pos="-1440"/>
          <w:tab w:val="left" w:pos="-720"/>
        </w:tabs>
        <w:jc w:val="both"/>
        <w:rPr>
          <w:sz w:val="20"/>
          <w:szCs w:val="20"/>
          <w:lang w:val="fr-CA"/>
        </w:rPr>
      </w:pPr>
    </w:p>
    <w:p w:rsidR="0010520C" w:rsidRPr="002168D1" w:rsidRDefault="0010520C" w:rsidP="0010520C">
      <w:pPr>
        <w:tabs>
          <w:tab w:val="left" w:pos="-1440"/>
          <w:tab w:val="left" w:pos="-720"/>
        </w:tabs>
        <w:jc w:val="both"/>
        <w:rPr>
          <w:sz w:val="20"/>
          <w:szCs w:val="20"/>
          <w:lang w:val="fr-CA"/>
        </w:rPr>
      </w:pPr>
      <w:r w:rsidRPr="002168D1">
        <w:rPr>
          <w:sz w:val="20"/>
          <w:szCs w:val="20"/>
          <w:lang w:val="fr-CA"/>
        </w:rPr>
        <w:t>Before / Devant :   THE CHIEF JUSTICE / LA JUGE EN CHEF</w:t>
      </w:r>
    </w:p>
    <w:p w:rsidR="0010520C" w:rsidRPr="002168D1" w:rsidRDefault="0010520C" w:rsidP="001052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0520C" w:rsidRPr="003935EC" w:rsidTr="0010520C">
        <w:tc>
          <w:tcPr>
            <w:tcW w:w="4338" w:type="dxa"/>
          </w:tcPr>
          <w:p w:rsidR="0010520C" w:rsidRPr="002168D1" w:rsidRDefault="002B77C5" w:rsidP="0010520C">
            <w:pPr>
              <w:tabs>
                <w:tab w:val="left" w:pos="-1440"/>
                <w:tab w:val="left" w:pos="-720"/>
              </w:tabs>
              <w:jc w:val="both"/>
              <w:rPr>
                <w:b/>
                <w:sz w:val="20"/>
                <w:szCs w:val="20"/>
              </w:rPr>
            </w:pPr>
            <w:r w:rsidRPr="002168D1">
              <w:rPr>
                <w:sz w:val="20"/>
                <w:szCs w:val="20"/>
              </w:rPr>
              <w:fldChar w:fldCharType="begin"/>
            </w:r>
            <w:r w:rsidR="0010520C" w:rsidRPr="002168D1">
              <w:rPr>
                <w:sz w:val="20"/>
                <w:szCs w:val="20"/>
              </w:rPr>
              <w:instrText xml:space="preserve"> SEQ CHAPTER \h \r 1</w:instrText>
            </w:r>
            <w:r w:rsidRPr="002168D1">
              <w:rPr>
                <w:sz w:val="20"/>
                <w:szCs w:val="20"/>
              </w:rPr>
              <w:fldChar w:fldCharType="end"/>
            </w:r>
            <w:r w:rsidR="0010520C" w:rsidRPr="002168D1">
              <w:rPr>
                <w:b/>
                <w:bCs/>
                <w:sz w:val="20"/>
                <w:szCs w:val="20"/>
              </w:rPr>
              <w:t>Motion to adjourn the hearing of the appeal</w:t>
            </w:r>
          </w:p>
        </w:tc>
        <w:tc>
          <w:tcPr>
            <w:tcW w:w="1170" w:type="dxa"/>
          </w:tcPr>
          <w:p w:rsidR="0010520C" w:rsidRPr="002168D1" w:rsidRDefault="0010520C" w:rsidP="0010520C">
            <w:pPr>
              <w:tabs>
                <w:tab w:val="left" w:pos="-1440"/>
                <w:tab w:val="left" w:pos="-720"/>
              </w:tabs>
              <w:jc w:val="both"/>
              <w:rPr>
                <w:sz w:val="20"/>
                <w:szCs w:val="20"/>
              </w:rPr>
            </w:pPr>
          </w:p>
          <w:p w:rsidR="0010520C" w:rsidRPr="002168D1" w:rsidRDefault="0010520C" w:rsidP="0010520C">
            <w:pPr>
              <w:tabs>
                <w:tab w:val="left" w:pos="-1440"/>
                <w:tab w:val="left" w:pos="-720"/>
              </w:tabs>
              <w:jc w:val="both"/>
              <w:rPr>
                <w:sz w:val="20"/>
                <w:szCs w:val="20"/>
              </w:rPr>
            </w:pPr>
          </w:p>
          <w:p w:rsidR="0010520C" w:rsidRPr="002168D1" w:rsidRDefault="0010520C" w:rsidP="0010520C">
            <w:pPr>
              <w:tabs>
                <w:tab w:val="left" w:pos="-1440"/>
                <w:tab w:val="left" w:pos="-720"/>
              </w:tabs>
              <w:jc w:val="both"/>
              <w:rPr>
                <w:sz w:val="20"/>
                <w:szCs w:val="20"/>
              </w:rPr>
            </w:pPr>
          </w:p>
        </w:tc>
        <w:tc>
          <w:tcPr>
            <w:tcW w:w="4327" w:type="dxa"/>
          </w:tcPr>
          <w:p w:rsidR="0010520C" w:rsidRPr="002168D1" w:rsidRDefault="002B77C5" w:rsidP="0010520C">
            <w:pPr>
              <w:tabs>
                <w:tab w:val="left" w:pos="-1440"/>
                <w:tab w:val="left" w:pos="-720"/>
              </w:tabs>
              <w:jc w:val="both"/>
              <w:rPr>
                <w:sz w:val="20"/>
                <w:szCs w:val="20"/>
                <w:lang w:val="fr-CA"/>
              </w:rPr>
            </w:pPr>
            <w:r w:rsidRPr="002168D1">
              <w:rPr>
                <w:sz w:val="20"/>
                <w:szCs w:val="20"/>
              </w:rPr>
              <w:fldChar w:fldCharType="begin"/>
            </w:r>
            <w:r w:rsidR="0010520C" w:rsidRPr="002168D1">
              <w:rPr>
                <w:sz w:val="20"/>
                <w:szCs w:val="20"/>
                <w:lang w:val="fr-CA"/>
              </w:rPr>
              <w:instrText xml:space="preserve"> SEQ CHAPTER \h \r 1</w:instrText>
            </w:r>
            <w:r w:rsidRPr="002168D1">
              <w:rPr>
                <w:sz w:val="20"/>
                <w:szCs w:val="20"/>
              </w:rPr>
              <w:fldChar w:fldCharType="end"/>
            </w:r>
            <w:r w:rsidR="0010520C" w:rsidRPr="002168D1">
              <w:rPr>
                <w:b/>
                <w:bCs/>
                <w:sz w:val="20"/>
                <w:szCs w:val="20"/>
                <w:lang w:val="fr-CA"/>
              </w:rPr>
              <w:t xml:space="preserve">Requête en ajournement de l’audition de l’appel </w:t>
            </w:r>
            <w:r w:rsidRPr="002168D1">
              <w:rPr>
                <w:sz w:val="20"/>
                <w:szCs w:val="20"/>
              </w:rPr>
              <w:fldChar w:fldCharType="begin"/>
            </w:r>
            <w:r w:rsidR="0010520C" w:rsidRPr="002168D1">
              <w:rPr>
                <w:sz w:val="20"/>
                <w:szCs w:val="20"/>
                <w:lang w:val="fr-CA"/>
              </w:rPr>
              <w:instrText xml:space="preserve"> SEQ CHAPTER \h \r 1</w:instrText>
            </w:r>
            <w:r w:rsidRPr="002168D1">
              <w:rPr>
                <w:sz w:val="20"/>
                <w:szCs w:val="20"/>
              </w:rPr>
              <w:fldChar w:fldCharType="end"/>
            </w:r>
            <w:r w:rsidRPr="002168D1">
              <w:rPr>
                <w:sz w:val="20"/>
                <w:szCs w:val="20"/>
              </w:rPr>
              <w:fldChar w:fldCharType="begin"/>
            </w:r>
            <w:r w:rsidR="0010520C" w:rsidRPr="002168D1">
              <w:rPr>
                <w:sz w:val="20"/>
                <w:szCs w:val="20"/>
                <w:lang w:val="fr-CA"/>
              </w:rPr>
              <w:instrText xml:space="preserve"> SEQ CHAPTER \h \r 1</w:instrText>
            </w:r>
            <w:r w:rsidRPr="002168D1">
              <w:rPr>
                <w:sz w:val="20"/>
                <w:szCs w:val="20"/>
              </w:rPr>
              <w:fldChar w:fldCharType="end"/>
            </w:r>
            <w:r w:rsidRPr="002168D1">
              <w:rPr>
                <w:sz w:val="20"/>
                <w:szCs w:val="20"/>
              </w:rPr>
              <w:fldChar w:fldCharType="begin"/>
            </w:r>
            <w:r w:rsidR="0010520C" w:rsidRPr="002168D1">
              <w:rPr>
                <w:sz w:val="20"/>
                <w:szCs w:val="20"/>
                <w:lang w:val="fr-CA"/>
              </w:rPr>
              <w:instrText xml:space="preserve"> SEQ CHAPTER \h \r 1</w:instrText>
            </w:r>
            <w:r w:rsidRPr="002168D1">
              <w:rPr>
                <w:sz w:val="20"/>
                <w:szCs w:val="20"/>
              </w:rPr>
              <w:fldChar w:fldCharType="end"/>
            </w:r>
          </w:p>
        </w:tc>
      </w:tr>
      <w:tr w:rsidR="0010520C" w:rsidRPr="002168D1" w:rsidTr="0010520C">
        <w:tc>
          <w:tcPr>
            <w:tcW w:w="4338" w:type="dxa"/>
          </w:tcPr>
          <w:p w:rsidR="0010520C" w:rsidRPr="002168D1" w:rsidRDefault="0010520C" w:rsidP="0010520C">
            <w:pPr>
              <w:tabs>
                <w:tab w:val="left" w:pos="-1440"/>
                <w:tab w:val="left" w:pos="-720"/>
              </w:tabs>
              <w:jc w:val="both"/>
              <w:rPr>
                <w:sz w:val="20"/>
                <w:szCs w:val="20"/>
                <w:lang w:val="fr-CA"/>
              </w:rPr>
            </w:pPr>
            <w:r w:rsidRPr="002168D1">
              <w:rPr>
                <w:sz w:val="20"/>
                <w:szCs w:val="20"/>
                <w:lang w:val="fr-CA"/>
              </w:rPr>
              <w:t>Charles Picot</w:t>
            </w:r>
          </w:p>
          <w:p w:rsidR="0010520C" w:rsidRPr="002168D1" w:rsidRDefault="0010520C" w:rsidP="0010520C">
            <w:pPr>
              <w:tabs>
                <w:tab w:val="left" w:pos="-1440"/>
                <w:tab w:val="left" w:pos="-720"/>
              </w:tabs>
              <w:jc w:val="both"/>
              <w:rPr>
                <w:sz w:val="20"/>
                <w:szCs w:val="20"/>
                <w:lang w:val="fr-CA"/>
              </w:rPr>
            </w:pPr>
          </w:p>
          <w:p w:rsidR="0010520C" w:rsidRPr="002168D1" w:rsidRDefault="0010520C" w:rsidP="0010520C">
            <w:pPr>
              <w:tabs>
                <w:tab w:val="left" w:pos="-1440"/>
                <w:tab w:val="left" w:pos="-720"/>
              </w:tabs>
              <w:jc w:val="both"/>
              <w:rPr>
                <w:sz w:val="20"/>
                <w:szCs w:val="20"/>
                <w:lang w:val="fr-CA"/>
              </w:rPr>
            </w:pPr>
            <w:r w:rsidRPr="002168D1">
              <w:rPr>
                <w:sz w:val="20"/>
                <w:szCs w:val="20"/>
                <w:lang w:val="fr-CA"/>
              </w:rPr>
              <w:tab/>
              <w:t>c. (34499)</w:t>
            </w:r>
          </w:p>
          <w:p w:rsidR="0010520C" w:rsidRPr="002168D1" w:rsidRDefault="0010520C" w:rsidP="0010520C">
            <w:pPr>
              <w:tabs>
                <w:tab w:val="left" w:pos="-1440"/>
                <w:tab w:val="left" w:pos="-720"/>
              </w:tabs>
              <w:jc w:val="both"/>
              <w:rPr>
                <w:sz w:val="20"/>
                <w:szCs w:val="20"/>
                <w:lang w:val="fr-CA"/>
              </w:rPr>
            </w:pPr>
          </w:p>
          <w:p w:rsidR="0010520C" w:rsidRPr="002168D1" w:rsidRDefault="0010520C" w:rsidP="0010520C">
            <w:pPr>
              <w:tabs>
                <w:tab w:val="left" w:pos="-1440"/>
                <w:tab w:val="left" w:pos="-720"/>
              </w:tabs>
              <w:jc w:val="both"/>
              <w:rPr>
                <w:sz w:val="20"/>
                <w:szCs w:val="20"/>
                <w:lang w:val="fr-CA"/>
              </w:rPr>
            </w:pPr>
            <w:r w:rsidRPr="002168D1">
              <w:rPr>
                <w:sz w:val="20"/>
                <w:szCs w:val="20"/>
                <w:lang w:val="fr-CA"/>
              </w:rPr>
              <w:t>Sa Majesté la Reine (Crim.) (Qc)</w:t>
            </w:r>
          </w:p>
        </w:tc>
        <w:tc>
          <w:tcPr>
            <w:tcW w:w="1170" w:type="dxa"/>
          </w:tcPr>
          <w:p w:rsidR="0010520C" w:rsidRPr="002168D1" w:rsidRDefault="0010520C" w:rsidP="0010520C">
            <w:pPr>
              <w:tabs>
                <w:tab w:val="left" w:pos="-1440"/>
                <w:tab w:val="left" w:pos="-720"/>
              </w:tabs>
              <w:jc w:val="both"/>
              <w:rPr>
                <w:sz w:val="20"/>
                <w:szCs w:val="20"/>
                <w:lang w:val="fr-CA"/>
              </w:rPr>
            </w:pPr>
          </w:p>
        </w:tc>
        <w:tc>
          <w:tcPr>
            <w:tcW w:w="4327" w:type="dxa"/>
          </w:tcPr>
          <w:p w:rsidR="0010520C" w:rsidRPr="002168D1" w:rsidRDefault="0010520C" w:rsidP="0010520C">
            <w:pPr>
              <w:tabs>
                <w:tab w:val="left" w:pos="-1440"/>
                <w:tab w:val="left" w:pos="-720"/>
              </w:tabs>
              <w:jc w:val="both"/>
              <w:rPr>
                <w:sz w:val="20"/>
                <w:szCs w:val="20"/>
                <w:lang w:val="fr-CA"/>
              </w:rPr>
            </w:pPr>
          </w:p>
        </w:tc>
      </w:tr>
    </w:tbl>
    <w:p w:rsidR="0010520C" w:rsidRPr="002168D1" w:rsidRDefault="0010520C" w:rsidP="0010520C">
      <w:pPr>
        <w:tabs>
          <w:tab w:val="left" w:pos="-1440"/>
          <w:tab w:val="left" w:pos="-720"/>
        </w:tabs>
        <w:jc w:val="both"/>
        <w:rPr>
          <w:sz w:val="20"/>
          <w:szCs w:val="20"/>
          <w:lang w:val="fr-CA"/>
        </w:rPr>
      </w:pPr>
    </w:p>
    <w:p w:rsidR="0010520C" w:rsidRPr="002168D1" w:rsidRDefault="0010520C" w:rsidP="0010520C">
      <w:pPr>
        <w:tabs>
          <w:tab w:val="left" w:pos="-1440"/>
          <w:tab w:val="left" w:pos="-720"/>
        </w:tabs>
        <w:jc w:val="both"/>
        <w:rPr>
          <w:b/>
          <w:sz w:val="20"/>
          <w:szCs w:val="20"/>
          <w:lang w:val="fr-CA"/>
        </w:rPr>
      </w:pPr>
      <w:r w:rsidRPr="002168D1">
        <w:rPr>
          <w:b/>
          <w:sz w:val="20"/>
          <w:szCs w:val="20"/>
          <w:lang w:val="fr-CA"/>
        </w:rPr>
        <w:t>DISMISSED / REJETÉE</w:t>
      </w:r>
    </w:p>
    <w:p w:rsidR="0010520C" w:rsidRPr="002168D1" w:rsidRDefault="0010520C" w:rsidP="0010520C">
      <w:pPr>
        <w:tabs>
          <w:tab w:val="left" w:pos="-1440"/>
          <w:tab w:val="left" w:pos="-720"/>
        </w:tabs>
        <w:jc w:val="both"/>
        <w:rPr>
          <w:sz w:val="20"/>
          <w:szCs w:val="20"/>
          <w:lang w:val="fr-CA"/>
        </w:rPr>
      </w:pPr>
    </w:p>
    <w:p w:rsidR="0010520C" w:rsidRPr="002168D1" w:rsidRDefault="0010520C" w:rsidP="0010520C">
      <w:pPr>
        <w:spacing w:line="215" w:lineRule="auto"/>
        <w:jc w:val="both"/>
        <w:rPr>
          <w:sz w:val="20"/>
          <w:szCs w:val="20"/>
          <w:lang w:val="en-GB"/>
        </w:rPr>
      </w:pPr>
      <w:r w:rsidRPr="002168D1">
        <w:rPr>
          <w:b/>
          <w:bCs/>
          <w:sz w:val="20"/>
          <w:szCs w:val="20"/>
        </w:rPr>
        <w:t xml:space="preserve">UPON APPLICATION </w:t>
      </w:r>
      <w:r w:rsidRPr="002168D1">
        <w:rPr>
          <w:bCs/>
          <w:sz w:val="20"/>
          <w:szCs w:val="20"/>
        </w:rPr>
        <w:t>by</w:t>
      </w:r>
      <w:r w:rsidRPr="002168D1">
        <w:rPr>
          <w:sz w:val="20"/>
          <w:szCs w:val="20"/>
        </w:rPr>
        <w:t xml:space="preserve"> </w:t>
      </w:r>
      <w:r w:rsidRPr="002168D1">
        <w:rPr>
          <w:sz w:val="20"/>
          <w:szCs w:val="20"/>
          <w:lang w:val="en-GB"/>
        </w:rPr>
        <w:t>the Appellant, for an order that the hearing of this matter scheduled for Friday October 19, 2012, be adjourned to a later date;</w:t>
      </w:r>
    </w:p>
    <w:p w:rsidR="0010520C" w:rsidRPr="002168D1" w:rsidRDefault="0010520C" w:rsidP="0010520C">
      <w:pPr>
        <w:spacing w:line="215" w:lineRule="auto"/>
        <w:jc w:val="both"/>
        <w:rPr>
          <w:sz w:val="20"/>
          <w:szCs w:val="20"/>
          <w:lang w:val="en-GB"/>
        </w:rPr>
      </w:pPr>
    </w:p>
    <w:p w:rsidR="0010520C" w:rsidRPr="002168D1" w:rsidRDefault="0010520C" w:rsidP="0010520C">
      <w:pPr>
        <w:spacing w:line="215" w:lineRule="auto"/>
        <w:jc w:val="both"/>
        <w:rPr>
          <w:sz w:val="20"/>
          <w:szCs w:val="20"/>
        </w:rPr>
      </w:pPr>
      <w:r w:rsidRPr="002168D1">
        <w:rPr>
          <w:b/>
          <w:bCs/>
          <w:sz w:val="20"/>
          <w:szCs w:val="20"/>
        </w:rPr>
        <w:t>AND THE MATERIAL FILED</w:t>
      </w:r>
      <w:r w:rsidRPr="002168D1">
        <w:rPr>
          <w:sz w:val="20"/>
          <w:szCs w:val="20"/>
        </w:rPr>
        <w:t xml:space="preserve"> having been read;</w:t>
      </w:r>
    </w:p>
    <w:p w:rsidR="0010520C" w:rsidRPr="002168D1" w:rsidRDefault="0010520C" w:rsidP="0010520C">
      <w:pPr>
        <w:spacing w:line="215" w:lineRule="auto"/>
        <w:jc w:val="both"/>
        <w:rPr>
          <w:sz w:val="20"/>
          <w:szCs w:val="20"/>
        </w:rPr>
      </w:pPr>
    </w:p>
    <w:p w:rsidR="0010520C" w:rsidRPr="002168D1" w:rsidRDefault="0010520C" w:rsidP="0010520C">
      <w:pPr>
        <w:spacing w:line="215" w:lineRule="auto"/>
        <w:jc w:val="both"/>
        <w:rPr>
          <w:sz w:val="20"/>
          <w:szCs w:val="20"/>
        </w:rPr>
      </w:pPr>
      <w:r w:rsidRPr="002168D1">
        <w:rPr>
          <w:b/>
          <w:bCs/>
          <w:sz w:val="20"/>
          <w:szCs w:val="20"/>
        </w:rPr>
        <w:t>IT IS HEREBY ORDERED THAT:</w:t>
      </w:r>
    </w:p>
    <w:p w:rsidR="0010520C" w:rsidRPr="002168D1" w:rsidRDefault="0010520C" w:rsidP="0010520C">
      <w:pPr>
        <w:spacing w:line="215" w:lineRule="auto"/>
        <w:jc w:val="both"/>
        <w:rPr>
          <w:sz w:val="20"/>
          <w:szCs w:val="20"/>
        </w:rPr>
      </w:pPr>
    </w:p>
    <w:p w:rsidR="0010520C" w:rsidRPr="002168D1" w:rsidRDefault="0010520C" w:rsidP="0010520C">
      <w:pPr>
        <w:spacing w:line="215" w:lineRule="auto"/>
        <w:ind w:firstLine="720"/>
        <w:jc w:val="both"/>
        <w:rPr>
          <w:sz w:val="20"/>
          <w:szCs w:val="20"/>
        </w:rPr>
      </w:pPr>
      <w:r w:rsidRPr="002168D1">
        <w:rPr>
          <w:sz w:val="20"/>
          <w:szCs w:val="20"/>
        </w:rPr>
        <w:t>The motion is dismissed without costs.</w:t>
      </w:r>
    </w:p>
    <w:p w:rsidR="0010520C" w:rsidRPr="002168D1" w:rsidRDefault="0010520C" w:rsidP="0010520C">
      <w:pPr>
        <w:spacing w:line="215" w:lineRule="auto"/>
        <w:jc w:val="both"/>
        <w:rPr>
          <w:sz w:val="20"/>
          <w:szCs w:val="20"/>
        </w:rPr>
      </w:pPr>
    </w:p>
    <w:p w:rsidR="0010520C" w:rsidRPr="002168D1" w:rsidRDefault="0010520C" w:rsidP="0010520C">
      <w:pPr>
        <w:jc w:val="both"/>
        <w:rPr>
          <w:sz w:val="20"/>
          <w:szCs w:val="20"/>
        </w:rPr>
      </w:pPr>
    </w:p>
    <w:p w:rsidR="0010520C" w:rsidRPr="002168D1" w:rsidRDefault="0010520C" w:rsidP="0010520C">
      <w:pPr>
        <w:jc w:val="both"/>
        <w:rPr>
          <w:sz w:val="20"/>
          <w:szCs w:val="20"/>
        </w:rPr>
      </w:pPr>
    </w:p>
    <w:p w:rsidR="0010520C" w:rsidRPr="002168D1" w:rsidRDefault="0010520C" w:rsidP="0010520C">
      <w:pPr>
        <w:jc w:val="both"/>
        <w:rPr>
          <w:sz w:val="20"/>
          <w:szCs w:val="20"/>
          <w:lang w:val="fr-CA"/>
        </w:rPr>
      </w:pPr>
      <w:r w:rsidRPr="002168D1">
        <w:rPr>
          <w:b/>
          <w:sz w:val="20"/>
          <w:szCs w:val="20"/>
          <w:lang w:val="fr-CA"/>
        </w:rPr>
        <w:t xml:space="preserve">À LA SUITE DE LA REQUÊTE </w:t>
      </w:r>
      <w:r w:rsidRPr="002168D1">
        <w:rPr>
          <w:sz w:val="20"/>
          <w:szCs w:val="20"/>
          <w:lang w:val="fr-CA"/>
        </w:rPr>
        <w:t>de l’appelant visant l’ajournement de l’audition prévue pour le vendredi 19 octobre 2012;</w:t>
      </w:r>
    </w:p>
    <w:p w:rsidR="0010520C" w:rsidRPr="002168D1" w:rsidRDefault="0010520C" w:rsidP="0010520C">
      <w:pPr>
        <w:jc w:val="both"/>
        <w:rPr>
          <w:sz w:val="20"/>
          <w:szCs w:val="20"/>
          <w:lang w:val="fr-CA"/>
        </w:rPr>
      </w:pPr>
    </w:p>
    <w:p w:rsidR="0010520C" w:rsidRPr="002168D1" w:rsidRDefault="0010520C" w:rsidP="0010520C">
      <w:pPr>
        <w:jc w:val="both"/>
        <w:rPr>
          <w:bCs/>
          <w:sz w:val="20"/>
          <w:szCs w:val="20"/>
          <w:lang w:val="fr-CA"/>
        </w:rPr>
      </w:pPr>
      <w:r w:rsidRPr="002168D1">
        <w:rPr>
          <w:b/>
          <w:bCs/>
          <w:sz w:val="20"/>
          <w:szCs w:val="20"/>
          <w:lang w:val="fr-CA"/>
        </w:rPr>
        <w:t xml:space="preserve">ET APRÈS EXAMEN </w:t>
      </w:r>
      <w:r w:rsidRPr="002168D1">
        <w:rPr>
          <w:bCs/>
          <w:sz w:val="20"/>
          <w:szCs w:val="20"/>
          <w:lang w:val="fr-CA"/>
        </w:rPr>
        <w:t>des documents déposés;</w:t>
      </w:r>
    </w:p>
    <w:p w:rsidR="0010520C" w:rsidRPr="002168D1" w:rsidRDefault="0010520C" w:rsidP="0010520C">
      <w:pPr>
        <w:jc w:val="both"/>
        <w:rPr>
          <w:bCs/>
          <w:sz w:val="20"/>
          <w:szCs w:val="20"/>
          <w:lang w:val="fr-CA"/>
        </w:rPr>
      </w:pPr>
    </w:p>
    <w:p w:rsidR="0010520C" w:rsidRPr="002168D1" w:rsidRDefault="0010520C" w:rsidP="0010520C">
      <w:pPr>
        <w:jc w:val="both"/>
        <w:rPr>
          <w:b/>
          <w:bCs/>
          <w:sz w:val="20"/>
          <w:szCs w:val="20"/>
          <w:lang w:val="fr-CA"/>
        </w:rPr>
      </w:pPr>
      <w:r w:rsidRPr="002168D1">
        <w:rPr>
          <w:b/>
          <w:bCs/>
          <w:sz w:val="20"/>
          <w:szCs w:val="20"/>
          <w:lang w:val="fr-CA"/>
        </w:rPr>
        <w:lastRenderedPageBreak/>
        <w:t xml:space="preserve">IL EST ORDONNÉ CE QUI SUIT : </w:t>
      </w:r>
    </w:p>
    <w:p w:rsidR="0010520C" w:rsidRPr="002168D1" w:rsidRDefault="0010520C" w:rsidP="0010520C">
      <w:pPr>
        <w:jc w:val="both"/>
        <w:rPr>
          <w:b/>
          <w:bCs/>
          <w:sz w:val="20"/>
          <w:szCs w:val="20"/>
          <w:lang w:val="fr-CA"/>
        </w:rPr>
      </w:pPr>
    </w:p>
    <w:p w:rsidR="0010520C" w:rsidRPr="002168D1" w:rsidRDefault="0010520C" w:rsidP="0010520C">
      <w:pPr>
        <w:ind w:firstLine="720"/>
        <w:jc w:val="both"/>
        <w:rPr>
          <w:bCs/>
          <w:sz w:val="20"/>
          <w:szCs w:val="20"/>
          <w:lang w:val="fr-CA"/>
        </w:rPr>
      </w:pPr>
      <w:r w:rsidRPr="002168D1">
        <w:rPr>
          <w:bCs/>
          <w:sz w:val="20"/>
          <w:szCs w:val="20"/>
          <w:lang w:val="fr-CA"/>
        </w:rPr>
        <w:t>La requête est rejetée sans dépens.</w:t>
      </w:r>
    </w:p>
    <w:p w:rsidR="0010520C" w:rsidRPr="002168D1" w:rsidRDefault="0010520C" w:rsidP="0010520C">
      <w:pPr>
        <w:tabs>
          <w:tab w:val="left" w:pos="-1440"/>
          <w:tab w:val="left" w:pos="-720"/>
        </w:tabs>
        <w:jc w:val="both"/>
        <w:rPr>
          <w:sz w:val="20"/>
          <w:szCs w:val="20"/>
          <w:lang w:val="fr-CA"/>
        </w:rPr>
      </w:pPr>
    </w:p>
    <w:p w:rsidR="0010520C" w:rsidRPr="002168D1" w:rsidRDefault="002B77C5" w:rsidP="0010520C">
      <w:pPr>
        <w:tabs>
          <w:tab w:val="left" w:pos="-1440"/>
          <w:tab w:val="left" w:pos="-720"/>
        </w:tabs>
        <w:jc w:val="both"/>
        <w:rPr>
          <w:sz w:val="20"/>
          <w:szCs w:val="20"/>
          <w:lang w:val="fr-CA"/>
        </w:rPr>
      </w:pPr>
      <w:r w:rsidRPr="002B77C5">
        <w:rPr>
          <w:sz w:val="20"/>
          <w:szCs w:val="20"/>
          <w:lang w:val="fr-CA"/>
        </w:rPr>
        <w:pict>
          <v:rect id="_x0000_i1075" style="width:2in;height:1pt" o:hrpct="0" o:hralign="center" o:hrstd="t" o:hrnoshade="t" o:hr="t" fillcolor="black [3213]" stroked="f"/>
        </w:pict>
      </w:r>
    </w:p>
    <w:p w:rsidR="0010520C" w:rsidRPr="002168D1" w:rsidRDefault="0010520C" w:rsidP="0010520C">
      <w:pPr>
        <w:tabs>
          <w:tab w:val="left" w:pos="-1440"/>
          <w:tab w:val="left" w:pos="-720"/>
        </w:tabs>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935E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054E79">
              <w:rPr>
                <w:sz w:val="20"/>
                <w:szCs w:val="20"/>
              </w:rPr>
              <w:t>1</w:t>
            </w:r>
            <w:r w:rsidRPr="003B3977">
              <w:rPr>
                <w:sz w:val="20"/>
                <w:szCs w:val="20"/>
              </w:rPr>
              <w:t>.10.201</w:t>
            </w:r>
            <w:r w:rsidR="00054E79">
              <w:rPr>
                <w:sz w:val="20"/>
                <w:szCs w:val="20"/>
              </w:rPr>
              <w:t>2</w:t>
            </w:r>
          </w:p>
          <w:p w:rsidR="0010587F" w:rsidRPr="003B3977" w:rsidRDefault="0010587F" w:rsidP="003B3977">
            <w:pPr>
              <w:rPr>
                <w:sz w:val="20"/>
                <w:szCs w:val="20"/>
              </w:rPr>
            </w:pPr>
          </w:p>
          <w:p w:rsidR="0010587F" w:rsidRPr="003B3977" w:rsidRDefault="00054E79" w:rsidP="003B3977">
            <w:pPr>
              <w:rPr>
                <w:b/>
                <w:sz w:val="20"/>
                <w:szCs w:val="20"/>
              </w:rPr>
            </w:pPr>
            <w:r>
              <w:rPr>
                <w:b/>
                <w:sz w:val="20"/>
                <w:szCs w:val="20"/>
              </w:rPr>
              <w:t>Katz Group Canada Inc.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054E79">
              <w:rPr>
                <w:b/>
                <w:sz w:val="20"/>
                <w:szCs w:val="20"/>
              </w:rPr>
              <w:t>647</w:t>
            </w:r>
            <w:r w:rsidRPr="003B3977">
              <w:rPr>
                <w:b/>
                <w:sz w:val="20"/>
                <w:szCs w:val="20"/>
              </w:rPr>
              <w:t>)</w:t>
            </w:r>
          </w:p>
          <w:p w:rsidR="0010587F" w:rsidRPr="003B3977" w:rsidRDefault="0010587F" w:rsidP="003B3977">
            <w:pPr>
              <w:rPr>
                <w:b/>
                <w:sz w:val="20"/>
                <w:szCs w:val="20"/>
              </w:rPr>
            </w:pPr>
          </w:p>
          <w:p w:rsidR="0010587F" w:rsidRPr="003B3977" w:rsidRDefault="00054E79" w:rsidP="003B3977">
            <w:pPr>
              <w:rPr>
                <w:b/>
                <w:sz w:val="20"/>
                <w:szCs w:val="20"/>
              </w:rPr>
            </w:pPr>
            <w:r>
              <w:rPr>
                <w:b/>
                <w:sz w:val="20"/>
                <w:szCs w:val="20"/>
              </w:rPr>
              <w:t>Minister of Health and Long-Term Care et al.</w:t>
            </w:r>
            <w:r w:rsidR="0010587F" w:rsidRPr="003B3977">
              <w:rPr>
                <w:b/>
                <w:sz w:val="20"/>
                <w:szCs w:val="20"/>
              </w:rPr>
              <w:t xml:space="preserve"> (</w:t>
            </w:r>
            <w:r>
              <w:rPr>
                <w:b/>
                <w:sz w:val="20"/>
                <w:szCs w:val="20"/>
              </w:rPr>
              <w:t>On</w:t>
            </w:r>
            <w:r w:rsidR="0010587F"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54E79">
              <w:rPr>
                <w:sz w:val="20"/>
                <w:szCs w:val="20"/>
              </w:rPr>
              <w:t>By Leave</w:t>
            </w:r>
            <w:r w:rsidRPr="003B3977">
              <w:rPr>
                <w:sz w:val="20"/>
                <w:szCs w:val="20"/>
              </w:rPr>
              <w:t>)</w:t>
            </w:r>
          </w:p>
          <w:p w:rsidR="0010587F" w:rsidRPr="003B3977" w:rsidRDefault="0010587F" w:rsidP="003B3977">
            <w:pPr>
              <w:rPr>
                <w:sz w:val="20"/>
                <w:szCs w:val="20"/>
              </w:rPr>
            </w:pPr>
          </w:p>
          <w:p w:rsidR="0010587F" w:rsidRPr="00054E79" w:rsidRDefault="002B77C5" w:rsidP="003B3977">
            <w:pPr>
              <w:rPr>
                <w:sz w:val="20"/>
                <w:szCs w:val="20"/>
              </w:rPr>
            </w:pPr>
            <w:r w:rsidRPr="002B77C5">
              <w:rPr>
                <w:sz w:val="20"/>
                <w:szCs w:val="20"/>
                <w:lang w:val="fr-CA"/>
              </w:rPr>
              <w:pict>
                <v:rect id="_x0000_i107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0</w:t>
            </w:r>
            <w:r w:rsidR="00054E79">
              <w:rPr>
                <w:sz w:val="20"/>
                <w:szCs w:val="20"/>
              </w:rPr>
              <w:t>1</w:t>
            </w:r>
            <w:r w:rsidRPr="003B3977">
              <w:rPr>
                <w:sz w:val="20"/>
                <w:szCs w:val="20"/>
              </w:rPr>
              <w:t>.10.201</w:t>
            </w:r>
            <w:r w:rsidR="00054E79">
              <w:rPr>
                <w:sz w:val="20"/>
                <w:szCs w:val="20"/>
              </w:rPr>
              <w:t>2</w:t>
            </w:r>
          </w:p>
          <w:p w:rsidR="0010587F" w:rsidRPr="003B3977" w:rsidRDefault="0010587F" w:rsidP="003B3977">
            <w:pPr>
              <w:rPr>
                <w:sz w:val="20"/>
                <w:szCs w:val="20"/>
              </w:rPr>
            </w:pPr>
          </w:p>
          <w:p w:rsidR="0010587F" w:rsidRPr="003B3977" w:rsidRDefault="00054E79" w:rsidP="003B3977">
            <w:pPr>
              <w:rPr>
                <w:b/>
                <w:sz w:val="20"/>
                <w:szCs w:val="20"/>
              </w:rPr>
            </w:pPr>
            <w:r>
              <w:rPr>
                <w:b/>
                <w:sz w:val="20"/>
                <w:szCs w:val="20"/>
              </w:rPr>
              <w:t>Shoppers Drug Mart Inc.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54E79">
              <w:rPr>
                <w:b/>
                <w:sz w:val="20"/>
                <w:szCs w:val="20"/>
              </w:rPr>
              <w:t>464</w:t>
            </w:r>
            <w:r w:rsidRPr="003B3977">
              <w:rPr>
                <w:b/>
                <w:sz w:val="20"/>
                <w:szCs w:val="20"/>
              </w:rPr>
              <w:t>9)</w:t>
            </w:r>
          </w:p>
          <w:p w:rsidR="0010587F" w:rsidRPr="003B3977" w:rsidRDefault="0010587F" w:rsidP="003B3977">
            <w:pPr>
              <w:rPr>
                <w:b/>
                <w:sz w:val="20"/>
                <w:szCs w:val="20"/>
              </w:rPr>
            </w:pPr>
          </w:p>
          <w:p w:rsidR="0010587F" w:rsidRDefault="00054E79" w:rsidP="003B3977">
            <w:pPr>
              <w:rPr>
                <w:b/>
                <w:sz w:val="20"/>
                <w:szCs w:val="20"/>
              </w:rPr>
            </w:pPr>
            <w:r>
              <w:rPr>
                <w:b/>
                <w:sz w:val="20"/>
                <w:szCs w:val="20"/>
              </w:rPr>
              <w:t>Minister of Health and Long-Term Care et al.</w:t>
            </w:r>
            <w:r w:rsidRPr="003B3977">
              <w:rPr>
                <w:b/>
                <w:sz w:val="20"/>
                <w:szCs w:val="20"/>
              </w:rPr>
              <w:t xml:space="preserve"> (</w:t>
            </w:r>
            <w:r>
              <w:rPr>
                <w:b/>
                <w:sz w:val="20"/>
                <w:szCs w:val="20"/>
              </w:rPr>
              <w:t>On</w:t>
            </w:r>
            <w:r w:rsidRPr="003B3977">
              <w:rPr>
                <w:b/>
                <w:sz w:val="20"/>
                <w:szCs w:val="20"/>
              </w:rPr>
              <w:t>t.)</w:t>
            </w:r>
          </w:p>
          <w:p w:rsidR="00054E79" w:rsidRPr="00054E79" w:rsidRDefault="00054E79" w:rsidP="003B3977">
            <w:pPr>
              <w:rPr>
                <w:sz w:val="20"/>
                <w:szCs w:val="20"/>
              </w:rPr>
            </w:pPr>
          </w:p>
          <w:p w:rsidR="0010587F" w:rsidRPr="003B3977" w:rsidRDefault="00054E79" w:rsidP="003B3977">
            <w:pPr>
              <w:rPr>
                <w:sz w:val="20"/>
                <w:szCs w:val="20"/>
              </w:rPr>
            </w:pPr>
            <w:r>
              <w:rPr>
                <w:sz w:val="20"/>
                <w:szCs w:val="20"/>
              </w:rPr>
              <w:t>(By Leave</w:t>
            </w:r>
            <w:r w:rsidR="0010587F" w:rsidRPr="003B3977">
              <w:rPr>
                <w:sz w:val="20"/>
                <w:szCs w:val="20"/>
              </w:rPr>
              <w:t>)</w:t>
            </w:r>
          </w:p>
          <w:p w:rsidR="0010587F" w:rsidRPr="003B3977" w:rsidRDefault="0010587F" w:rsidP="003B3977">
            <w:pPr>
              <w:rPr>
                <w:sz w:val="20"/>
                <w:szCs w:val="20"/>
              </w:rPr>
            </w:pPr>
          </w:p>
          <w:p w:rsidR="0010587F" w:rsidRPr="003B3977" w:rsidRDefault="002B77C5" w:rsidP="003B3977">
            <w:pPr>
              <w:rPr>
                <w:sz w:val="20"/>
                <w:szCs w:val="20"/>
              </w:rPr>
            </w:pPr>
            <w:r w:rsidRPr="002B77C5">
              <w:rPr>
                <w:sz w:val="20"/>
                <w:szCs w:val="20"/>
                <w:lang w:val="fr-CA"/>
              </w:rPr>
              <w:pict>
                <v:rect id="_x0000_i107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3935E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935EC" w:rsidRDefault="00AF1715" w:rsidP="00AF1715">
      <w:pPr>
        <w:rPr>
          <w:b/>
          <w:sz w:val="20"/>
          <w:szCs w:val="20"/>
          <w:lang w:val="fr-CA"/>
        </w:rPr>
      </w:pPr>
      <w:r w:rsidRPr="003935EC">
        <w:rPr>
          <w:b/>
          <w:sz w:val="20"/>
          <w:szCs w:val="20"/>
          <w:lang w:val="fr-CA"/>
        </w:rPr>
        <w:t>O</w:t>
      </w:r>
      <w:r w:rsidR="0010520C" w:rsidRPr="003935EC">
        <w:rPr>
          <w:b/>
          <w:sz w:val="20"/>
          <w:szCs w:val="20"/>
          <w:lang w:val="fr-CA"/>
        </w:rPr>
        <w:t>CTO</w:t>
      </w:r>
      <w:r w:rsidRPr="003935EC">
        <w:rPr>
          <w:b/>
          <w:sz w:val="20"/>
          <w:szCs w:val="20"/>
          <w:lang w:val="fr-CA"/>
        </w:rPr>
        <w:t xml:space="preserve">BER </w:t>
      </w:r>
      <w:r w:rsidR="0010520C" w:rsidRPr="003935EC">
        <w:rPr>
          <w:b/>
          <w:sz w:val="20"/>
          <w:szCs w:val="20"/>
          <w:lang w:val="fr-CA"/>
        </w:rPr>
        <w:t>5</w:t>
      </w:r>
      <w:r w:rsidRPr="003935EC">
        <w:rPr>
          <w:b/>
          <w:sz w:val="20"/>
          <w:szCs w:val="20"/>
          <w:lang w:val="fr-CA"/>
        </w:rPr>
        <w:t>, 201</w:t>
      </w:r>
      <w:r w:rsidR="0010520C" w:rsidRPr="003935EC">
        <w:rPr>
          <w:b/>
          <w:sz w:val="20"/>
          <w:szCs w:val="20"/>
          <w:lang w:val="fr-CA"/>
        </w:rPr>
        <w:t>2</w:t>
      </w:r>
      <w:r w:rsidRPr="003935EC">
        <w:rPr>
          <w:b/>
          <w:sz w:val="20"/>
          <w:szCs w:val="20"/>
          <w:lang w:val="fr-CA"/>
        </w:rPr>
        <w:t xml:space="preserve"> / LE </w:t>
      </w:r>
      <w:r w:rsidR="0010520C" w:rsidRPr="003935EC">
        <w:rPr>
          <w:b/>
          <w:sz w:val="20"/>
          <w:szCs w:val="20"/>
          <w:lang w:val="fr-CA"/>
        </w:rPr>
        <w:t>5</w:t>
      </w:r>
      <w:r w:rsidRPr="003935EC">
        <w:rPr>
          <w:b/>
          <w:sz w:val="20"/>
          <w:szCs w:val="20"/>
          <w:lang w:val="fr-CA"/>
        </w:rPr>
        <w:t xml:space="preserve"> O</w:t>
      </w:r>
      <w:r w:rsidR="0010520C" w:rsidRPr="003935EC">
        <w:rPr>
          <w:b/>
          <w:sz w:val="20"/>
          <w:szCs w:val="20"/>
          <w:lang w:val="fr-CA"/>
        </w:rPr>
        <w:t>CTOB</w:t>
      </w:r>
      <w:r w:rsidRPr="003935EC">
        <w:rPr>
          <w:b/>
          <w:sz w:val="20"/>
          <w:szCs w:val="20"/>
          <w:lang w:val="fr-CA"/>
        </w:rPr>
        <w:t>RE 201</w:t>
      </w:r>
      <w:r w:rsidR="0010520C" w:rsidRPr="003935EC">
        <w:rPr>
          <w:b/>
          <w:sz w:val="20"/>
          <w:szCs w:val="20"/>
          <w:lang w:val="fr-CA"/>
        </w:rPr>
        <w:t>2</w:t>
      </w:r>
    </w:p>
    <w:p w:rsidR="00AF1715" w:rsidRPr="003935EC" w:rsidRDefault="00AF1715" w:rsidP="00AF1715">
      <w:pPr>
        <w:rPr>
          <w:sz w:val="20"/>
          <w:szCs w:val="20"/>
          <w:lang w:val="fr-CA"/>
        </w:rPr>
      </w:pPr>
    </w:p>
    <w:p w:rsidR="003935EC" w:rsidRPr="003935EC" w:rsidRDefault="003935EC" w:rsidP="003935EC">
      <w:pPr>
        <w:ind w:left="1440" w:hanging="1440"/>
        <w:jc w:val="both"/>
        <w:rPr>
          <w:sz w:val="20"/>
          <w:szCs w:val="20"/>
          <w:lang w:val="fr-CA"/>
        </w:rPr>
      </w:pPr>
      <w:r w:rsidRPr="003935EC">
        <w:rPr>
          <w:b/>
          <w:sz w:val="20"/>
          <w:szCs w:val="20"/>
          <w:lang w:val="fr-CA"/>
        </w:rPr>
        <w:t>33976</w:t>
      </w:r>
      <w:r w:rsidRPr="003935EC">
        <w:rPr>
          <w:b/>
          <w:sz w:val="20"/>
          <w:szCs w:val="20"/>
          <w:lang w:val="fr-CA"/>
        </w:rPr>
        <w:tab/>
      </w:r>
      <w:r w:rsidRPr="003935EC">
        <w:rPr>
          <w:b/>
          <w:sz w:val="20"/>
          <w:szCs w:val="20"/>
          <w:u w:val="single"/>
          <w:lang w:val="fr-CA"/>
        </w:rPr>
        <w:t>Her Majesty the Queen v. Clato Lual Mabior – and – Canadian HIV/AIDS Legal Network, HIV &amp; AIDS Legal Clinic Ontario, Coalition des organismes communautaires québécois de lutte contre le sida, Positive Living Society of British Columbia, Canadian AIDS Society, Toronto People With AIDS Foundation, Black Coalition for AIDS Prevention, Canadian Aboriginal AIDS Network, British Columbia Civil Liberties Association, Criminal Lawyers’ Association of Ontario, Association des avocats de la défense de Montréal and Institut national de santé publique du Québec</w:t>
      </w:r>
      <w:r w:rsidRPr="003935EC">
        <w:rPr>
          <w:b/>
          <w:sz w:val="20"/>
          <w:szCs w:val="20"/>
          <w:lang w:val="fr-CA"/>
        </w:rPr>
        <w:t xml:space="preserve"> </w:t>
      </w:r>
      <w:r w:rsidRPr="003935EC">
        <w:rPr>
          <w:sz w:val="20"/>
          <w:szCs w:val="20"/>
          <w:lang w:val="fr-CA"/>
        </w:rPr>
        <w:t xml:space="preserve">(Man.) </w:t>
      </w:r>
    </w:p>
    <w:p w:rsidR="003935EC" w:rsidRPr="00FD4C9A" w:rsidRDefault="003935EC" w:rsidP="003935EC">
      <w:pPr>
        <w:ind w:left="1440"/>
        <w:jc w:val="both"/>
        <w:rPr>
          <w:b/>
          <w:sz w:val="20"/>
          <w:szCs w:val="20"/>
        </w:rPr>
      </w:pPr>
      <w:r w:rsidRPr="00FD4C9A">
        <w:rPr>
          <w:b/>
          <w:sz w:val="20"/>
          <w:szCs w:val="20"/>
        </w:rPr>
        <w:t>2012 SCC 47 / 2012 CSC 47</w:t>
      </w:r>
    </w:p>
    <w:p w:rsidR="003935EC" w:rsidRPr="00FD4C9A" w:rsidRDefault="003935EC" w:rsidP="003935EC">
      <w:pPr>
        <w:ind w:left="1440" w:hanging="1440"/>
        <w:jc w:val="both"/>
        <w:rPr>
          <w:b/>
          <w:sz w:val="20"/>
          <w:szCs w:val="20"/>
        </w:rPr>
      </w:pPr>
    </w:p>
    <w:p w:rsidR="003935EC" w:rsidRPr="00FD4C9A" w:rsidRDefault="003935EC" w:rsidP="003935EC">
      <w:pPr>
        <w:ind w:left="1440" w:hanging="1440"/>
        <w:jc w:val="both"/>
        <w:rPr>
          <w:sz w:val="20"/>
          <w:szCs w:val="20"/>
          <w:u w:val="single"/>
        </w:rPr>
      </w:pPr>
      <w:r w:rsidRPr="00FD4C9A">
        <w:rPr>
          <w:sz w:val="20"/>
          <w:szCs w:val="20"/>
        </w:rPr>
        <w:t>Coram:</w:t>
      </w:r>
      <w:r>
        <w:rPr>
          <w:sz w:val="20"/>
          <w:szCs w:val="20"/>
        </w:rPr>
        <w:tab/>
      </w:r>
      <w:r w:rsidRPr="00FD4C9A">
        <w:rPr>
          <w:sz w:val="20"/>
          <w:szCs w:val="20"/>
          <w:u w:val="single"/>
        </w:rPr>
        <w:t xml:space="preserve">McLachlin C.J. and LeBel, Deschamps, Fish, Abella, Rothstein, Cromwell, Moldaver and Karakatsanis JJ. </w:t>
      </w:r>
    </w:p>
    <w:p w:rsidR="003935EC" w:rsidRPr="00FD4C9A" w:rsidRDefault="003935EC" w:rsidP="003935E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935EC" w:rsidRPr="00FD4C9A" w:rsidRDefault="003935EC" w:rsidP="003935EC">
      <w:pPr>
        <w:jc w:val="both"/>
        <w:rPr>
          <w:sz w:val="20"/>
          <w:szCs w:val="20"/>
        </w:rPr>
      </w:pPr>
      <w:r w:rsidRPr="00FD4C9A">
        <w:rPr>
          <w:sz w:val="20"/>
          <w:szCs w:val="20"/>
        </w:rPr>
        <w:t xml:space="preserve">The appeal from the judgment of the Court of Appeal of Manitoba, Number AR 08-30-07036, 2010 MBCA 93, dated October 13, 2010, heard on February 8, 2012, is allowed in part.  The convictions in respect of the complaints by S.H., D.C.S. and D.H. are restored.  The appeal in respect of the complaint by K.G. is dismissed.  </w:t>
      </w:r>
    </w:p>
    <w:p w:rsidR="003935EC" w:rsidRPr="00FD4C9A" w:rsidRDefault="003935EC" w:rsidP="003935EC">
      <w:pPr>
        <w:jc w:val="both"/>
        <w:rPr>
          <w:sz w:val="20"/>
          <w:szCs w:val="20"/>
        </w:rPr>
      </w:pPr>
    </w:p>
    <w:p w:rsidR="003935EC" w:rsidRPr="00FD4C9A" w:rsidRDefault="003935EC" w:rsidP="003935EC">
      <w:pPr>
        <w:jc w:val="both"/>
        <w:rPr>
          <w:sz w:val="20"/>
          <w:szCs w:val="20"/>
          <w:lang w:val="fr-CA"/>
        </w:rPr>
      </w:pPr>
      <w:r w:rsidRPr="00FD4C9A">
        <w:rPr>
          <w:sz w:val="20"/>
          <w:szCs w:val="20"/>
          <w:lang w:val="fr-CA"/>
        </w:rPr>
        <w:t>L’appel de l’arrêt de la Cour d’appel du Manitoba, numéro AR 08-30-07036, 2010 MBCA 93, daté du 13 octobre 2010, entendu le 8 février 2012, est accueilli en partie.  Les déclarations de culpabilité relativement aux plaintes de S.H., D.C.S. et D.H. sont rétablies.  Le pourvoi qui découle de la plainte formulée par K.G. est rejeté.</w:t>
      </w:r>
    </w:p>
    <w:p w:rsidR="0010520C" w:rsidRPr="003935EC" w:rsidRDefault="0010520C" w:rsidP="00AF1715">
      <w:pPr>
        <w:rPr>
          <w:sz w:val="20"/>
          <w:szCs w:val="20"/>
          <w:lang w:val="fr-CA"/>
        </w:rPr>
      </w:pPr>
    </w:p>
    <w:p w:rsidR="00AF1715" w:rsidRPr="003B3977" w:rsidRDefault="002B77C5" w:rsidP="00AF1715">
      <w:pPr>
        <w:spacing w:line="0" w:lineRule="atLeast"/>
        <w:rPr>
          <w:sz w:val="20"/>
          <w:szCs w:val="20"/>
        </w:rPr>
      </w:pPr>
      <w:r w:rsidRPr="002B77C5">
        <w:rPr>
          <w:b/>
          <w:sz w:val="20"/>
          <w:szCs w:val="20"/>
        </w:rPr>
        <w:pict>
          <v:rect id="_x0000_i1082" style="width:144.3pt;height:1pt" o:hrpct="300" o:hralign="center" o:hrstd="t" o:hrnoshade="t" o:hr="t" fillcolor="black [3213]" stroked="f"/>
        </w:pict>
      </w:r>
    </w:p>
    <w:p w:rsidR="00AF1715" w:rsidRDefault="00AF1715" w:rsidP="00AF1715">
      <w:pPr>
        <w:spacing w:line="0" w:lineRule="atLeast"/>
        <w:rPr>
          <w:sz w:val="20"/>
          <w:szCs w:val="20"/>
        </w:rPr>
      </w:pPr>
    </w:p>
    <w:p w:rsidR="003935EC" w:rsidRPr="00FD4C9A" w:rsidRDefault="003935EC" w:rsidP="003935EC">
      <w:pPr>
        <w:ind w:left="1440" w:hanging="1440"/>
        <w:jc w:val="both"/>
        <w:rPr>
          <w:sz w:val="20"/>
          <w:szCs w:val="20"/>
          <w:lang w:val="fr-CA"/>
        </w:rPr>
      </w:pPr>
      <w:r w:rsidRPr="00FD4C9A">
        <w:rPr>
          <w:b/>
          <w:sz w:val="20"/>
          <w:szCs w:val="20"/>
          <w:lang w:val="fr-CA"/>
        </w:rPr>
        <w:t>34094</w:t>
      </w:r>
      <w:r w:rsidRPr="00FD4C9A">
        <w:rPr>
          <w:b/>
          <w:sz w:val="20"/>
          <w:szCs w:val="20"/>
          <w:lang w:val="fr-CA"/>
        </w:rPr>
        <w:tab/>
      </w:r>
      <w:r w:rsidRPr="00FD4C9A">
        <w:rPr>
          <w:b/>
          <w:sz w:val="20"/>
          <w:szCs w:val="20"/>
          <w:u w:val="single"/>
          <w:lang w:val="fr-CA"/>
        </w:rPr>
        <w:t>Sa Majesté la Reine c. D.C. – et – Procureur général de l'Alberta, Réseau juridique canadien VIH/sida, HIV &amp; AIDS Legal Clinic Ontario, Coalition des organismes communautaires québécois de lutte contre le sida, Positive Living Society of British Columbia, Société canadienne du sida, Toronto People With AIDS Foundation, Black Coalition for AIDS Prevention, Réseau canadien autochtone du sida, Criminal Lawyers’ Association of Ontario, Association des libertés civiles de la Colombie-Britannique, Association des avocats de la défense de Montréal et Institut national de santé publique du Québec</w:t>
      </w:r>
      <w:r w:rsidRPr="00FD4C9A">
        <w:rPr>
          <w:b/>
          <w:sz w:val="20"/>
          <w:szCs w:val="20"/>
          <w:lang w:val="fr-CA"/>
        </w:rPr>
        <w:t xml:space="preserve"> </w:t>
      </w:r>
      <w:r w:rsidRPr="00FD4C9A">
        <w:rPr>
          <w:sz w:val="20"/>
          <w:szCs w:val="20"/>
          <w:lang w:val="fr-CA"/>
        </w:rPr>
        <w:t xml:space="preserve">(Qc) </w:t>
      </w:r>
    </w:p>
    <w:p w:rsidR="003935EC" w:rsidRPr="00FD4C9A" w:rsidRDefault="003935EC" w:rsidP="003935EC">
      <w:pPr>
        <w:ind w:left="1440"/>
        <w:jc w:val="both"/>
        <w:rPr>
          <w:b/>
          <w:sz w:val="20"/>
          <w:szCs w:val="20"/>
          <w:lang w:val="fr-CA"/>
        </w:rPr>
      </w:pPr>
      <w:r w:rsidRPr="00FD4C9A">
        <w:rPr>
          <w:b/>
          <w:sz w:val="20"/>
          <w:szCs w:val="20"/>
          <w:lang w:val="fr-CA"/>
        </w:rPr>
        <w:t>2012 SCC 48 / 2012 CSC 48</w:t>
      </w:r>
    </w:p>
    <w:p w:rsidR="003935EC" w:rsidRPr="00FD4C9A" w:rsidRDefault="003935EC" w:rsidP="003935EC">
      <w:pPr>
        <w:ind w:left="1440" w:hanging="1440"/>
        <w:jc w:val="both"/>
        <w:rPr>
          <w:b/>
          <w:sz w:val="20"/>
          <w:szCs w:val="20"/>
          <w:lang w:val="fr-CA"/>
        </w:rPr>
      </w:pPr>
    </w:p>
    <w:p w:rsidR="003935EC" w:rsidRPr="00FD4C9A" w:rsidRDefault="003935EC" w:rsidP="003935EC">
      <w:pPr>
        <w:ind w:left="1440" w:hanging="1440"/>
        <w:jc w:val="both"/>
        <w:rPr>
          <w:sz w:val="20"/>
          <w:szCs w:val="20"/>
          <w:u w:val="single"/>
          <w:lang w:val="fr-CA"/>
        </w:rPr>
      </w:pPr>
      <w:r w:rsidRPr="00FD4C9A">
        <w:rPr>
          <w:sz w:val="20"/>
          <w:szCs w:val="20"/>
          <w:lang w:val="fr-CA"/>
        </w:rPr>
        <w:t>Coram:</w:t>
      </w:r>
      <w:r>
        <w:rPr>
          <w:sz w:val="20"/>
          <w:szCs w:val="20"/>
          <w:lang w:val="fr-CA"/>
        </w:rPr>
        <w:tab/>
      </w:r>
      <w:r w:rsidRPr="00FD4C9A">
        <w:rPr>
          <w:sz w:val="20"/>
          <w:szCs w:val="20"/>
          <w:u w:val="single"/>
          <w:lang w:val="fr-CA"/>
        </w:rPr>
        <w:t xml:space="preserve">La juge en chef McLachlin et les juges LeBel, Deschamps, Fish, Abella, Rothstein, Cromwell, Moldaver et Karakatsanis </w:t>
      </w:r>
    </w:p>
    <w:p w:rsidR="003935EC" w:rsidRPr="00FD4C9A" w:rsidRDefault="003935EC" w:rsidP="003935E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3935EC" w:rsidRPr="00FD4C9A" w:rsidRDefault="003935EC" w:rsidP="003935EC">
      <w:pPr>
        <w:jc w:val="both"/>
        <w:rPr>
          <w:sz w:val="20"/>
          <w:szCs w:val="20"/>
          <w:lang w:val="fr-CA"/>
        </w:rPr>
      </w:pPr>
      <w:r w:rsidRPr="00FD4C9A">
        <w:rPr>
          <w:sz w:val="20"/>
          <w:szCs w:val="20"/>
          <w:lang w:val="fr-CA"/>
        </w:rPr>
        <w:t>L’appel de l’arrêt de la Cour d’appel du Québec (Montréal), numéro 500-10-004068-084, 2010 QCCA 2289, daté du 13 décembre 2010, entendu le 8 février 2012, est rejeté.</w:t>
      </w:r>
    </w:p>
    <w:p w:rsidR="003935EC" w:rsidRPr="00FD4C9A" w:rsidRDefault="003935EC" w:rsidP="003935EC">
      <w:pPr>
        <w:jc w:val="both"/>
        <w:rPr>
          <w:sz w:val="20"/>
          <w:szCs w:val="20"/>
          <w:lang w:val="fr-CA"/>
        </w:rPr>
      </w:pPr>
    </w:p>
    <w:p w:rsidR="003935EC" w:rsidRPr="00FD4C9A" w:rsidRDefault="003935EC" w:rsidP="003935EC">
      <w:pPr>
        <w:jc w:val="both"/>
        <w:rPr>
          <w:sz w:val="20"/>
          <w:szCs w:val="20"/>
        </w:rPr>
      </w:pPr>
      <w:r w:rsidRPr="00FD4C9A">
        <w:rPr>
          <w:sz w:val="20"/>
          <w:szCs w:val="20"/>
        </w:rPr>
        <w:t>The appeal from the judgment of the Court of Appeal of Quebec (Montréal), Number 500-10-004068-084, 2010 QCCA 2289, dated December 13, 2010, heard on February 8, 2012, is dismissed.</w:t>
      </w:r>
    </w:p>
    <w:p w:rsidR="003935EC" w:rsidRDefault="003935EC" w:rsidP="00AF1715">
      <w:pPr>
        <w:spacing w:line="0" w:lineRule="atLeast"/>
        <w:rPr>
          <w:sz w:val="20"/>
          <w:szCs w:val="20"/>
        </w:rPr>
      </w:pPr>
    </w:p>
    <w:p w:rsidR="00AF1715" w:rsidRPr="006C5F7A" w:rsidRDefault="002B77C5" w:rsidP="00AF1715">
      <w:pPr>
        <w:spacing w:line="0" w:lineRule="atLeast"/>
        <w:rPr>
          <w:rFonts w:cs="Times New Roman"/>
          <w:b/>
          <w:sz w:val="20"/>
          <w:szCs w:val="20"/>
        </w:rPr>
      </w:pPr>
      <w:r w:rsidRPr="002B77C5">
        <w:rPr>
          <w:rFonts w:cs="Times New Roman"/>
          <w:b/>
          <w:sz w:val="20"/>
          <w:szCs w:val="20"/>
        </w:rPr>
        <w:pict>
          <v:rect id="_x0000_i1083" style="width:144.3pt;height:1pt" o:hrpct="300" o:hralign="center" o:hrstd="t" o:hrnoshade="t" o:hr="t" fillcolor="black [3213]" stroked="f"/>
        </w:pict>
      </w:r>
    </w:p>
    <w:p w:rsidR="00AF1715" w:rsidRPr="0010520C" w:rsidRDefault="00AF1715" w:rsidP="00AF1715">
      <w:pPr>
        <w:spacing w:line="0" w:lineRule="atLeast"/>
        <w:rPr>
          <w:rFonts w:cs="Times New Roman"/>
          <w:sz w:val="20"/>
          <w:szCs w:val="20"/>
        </w:rPr>
      </w:pPr>
    </w:p>
    <w:p w:rsidR="00AF1715" w:rsidRPr="006C5F7A" w:rsidRDefault="00AF1715" w:rsidP="0010520C">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96AAC" w:rsidRPr="007B6EEE" w:rsidRDefault="00196AAC" w:rsidP="00196AAC">
      <w:pPr>
        <w:ind w:left="720" w:hanging="720"/>
        <w:rPr>
          <w:rFonts w:eastAsia="Calibri" w:cs="Times New Roman"/>
          <w:sz w:val="20"/>
          <w:szCs w:val="20"/>
        </w:rPr>
      </w:pPr>
      <w:r w:rsidRPr="007B6EEE">
        <w:rPr>
          <w:rFonts w:eastAsia="Calibri" w:cs="Times New Roman"/>
          <w:i/>
          <w:sz w:val="20"/>
          <w:szCs w:val="20"/>
        </w:rPr>
        <w:t>Her Majesty the Queen v. Clato Lual Mabior</w:t>
      </w:r>
      <w:r w:rsidRPr="007B6EEE">
        <w:rPr>
          <w:rFonts w:eastAsia="Calibri" w:cs="Times New Roman"/>
          <w:sz w:val="20"/>
          <w:szCs w:val="20"/>
        </w:rPr>
        <w:t xml:space="preserve"> (Man.) (33976)</w:t>
      </w:r>
    </w:p>
    <w:p w:rsidR="00330120" w:rsidRPr="006A5A47" w:rsidRDefault="00330120" w:rsidP="00330120">
      <w:pPr>
        <w:jc w:val="both"/>
        <w:rPr>
          <w:b/>
          <w:sz w:val="20"/>
          <w:szCs w:val="20"/>
        </w:rPr>
      </w:pPr>
      <w:r w:rsidRPr="00137B67">
        <w:rPr>
          <w:b/>
          <w:sz w:val="20"/>
        </w:rPr>
        <w:t xml:space="preserve">Indexed as:  R. </w:t>
      </w:r>
      <w:r w:rsidRPr="00137B67">
        <w:rPr>
          <w:b/>
          <w:i/>
          <w:sz w:val="20"/>
        </w:rPr>
        <w:t>v.</w:t>
      </w:r>
      <w:r w:rsidRPr="00137B67">
        <w:rPr>
          <w:b/>
          <w:sz w:val="20"/>
        </w:rPr>
        <w:t xml:space="preserve"> Mabior</w:t>
      </w:r>
      <w:r>
        <w:rPr>
          <w:b/>
          <w:sz w:val="20"/>
        </w:rPr>
        <w:t xml:space="preserve"> / </w:t>
      </w:r>
      <w:r w:rsidRPr="006A5A47">
        <w:rPr>
          <w:b/>
          <w:sz w:val="20"/>
          <w:szCs w:val="20"/>
        </w:rPr>
        <w:t xml:space="preserve">Répertorié : R. </w:t>
      </w:r>
      <w:r w:rsidRPr="006A5A47">
        <w:rPr>
          <w:b/>
          <w:i/>
          <w:sz w:val="20"/>
          <w:szCs w:val="20"/>
        </w:rPr>
        <w:t>c.</w:t>
      </w:r>
      <w:r w:rsidRPr="006A5A47">
        <w:rPr>
          <w:b/>
          <w:sz w:val="20"/>
          <w:szCs w:val="20"/>
        </w:rPr>
        <w:t xml:space="preserve"> Mabior</w:t>
      </w:r>
    </w:p>
    <w:p w:rsidR="005C6840" w:rsidRPr="003B3977" w:rsidRDefault="005C6840" w:rsidP="005C6840">
      <w:pPr>
        <w:pStyle w:val="SCCSystemYear"/>
        <w:jc w:val="both"/>
        <w:rPr>
          <w:sz w:val="20"/>
        </w:rPr>
      </w:pPr>
      <w:r w:rsidRPr="003B3977">
        <w:rPr>
          <w:sz w:val="20"/>
        </w:rPr>
        <w:t>Neutral citation:  201</w:t>
      </w:r>
      <w:r w:rsidR="00196AAC">
        <w:rPr>
          <w:sz w:val="20"/>
        </w:rPr>
        <w:t>2</w:t>
      </w:r>
      <w:r w:rsidRPr="003B3977">
        <w:rPr>
          <w:sz w:val="20"/>
        </w:rPr>
        <w:t xml:space="preserve"> SCC </w:t>
      </w:r>
      <w:r w:rsidR="00196AAC">
        <w:rPr>
          <w:sz w:val="20"/>
        </w:rPr>
        <w:t xml:space="preserve">47 </w:t>
      </w:r>
      <w:r w:rsidRPr="003B3977">
        <w:rPr>
          <w:sz w:val="20"/>
        </w:rPr>
        <w:t>/ Référence neutre : 201</w:t>
      </w:r>
      <w:r w:rsidR="00196AAC">
        <w:rPr>
          <w:sz w:val="20"/>
        </w:rPr>
        <w:t>2</w:t>
      </w:r>
      <w:r w:rsidRPr="003B3977">
        <w:rPr>
          <w:sz w:val="20"/>
        </w:rPr>
        <w:t xml:space="preserve"> CSC </w:t>
      </w:r>
      <w:r w:rsidR="00196AAC">
        <w:rPr>
          <w:sz w:val="20"/>
        </w:rPr>
        <w:t>47</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330120">
        <w:rPr>
          <w:rFonts w:cs="Times New Roman"/>
          <w:sz w:val="20"/>
          <w:szCs w:val="20"/>
          <w:lang w:val="fr-CA"/>
        </w:rPr>
        <w:t>February 8</w:t>
      </w:r>
      <w:r w:rsidRPr="003B3977">
        <w:rPr>
          <w:rFonts w:cs="Times New Roman"/>
          <w:sz w:val="20"/>
          <w:szCs w:val="20"/>
          <w:lang w:val="fr-CA"/>
        </w:rPr>
        <w:t>, 201</w:t>
      </w:r>
      <w:r w:rsidR="00330120">
        <w:rPr>
          <w:rFonts w:cs="Times New Roman"/>
          <w:sz w:val="20"/>
          <w:szCs w:val="20"/>
          <w:lang w:val="fr-CA"/>
        </w:rPr>
        <w:t>2</w:t>
      </w:r>
      <w:r w:rsidRPr="003B3977">
        <w:rPr>
          <w:rFonts w:cs="Times New Roman"/>
          <w:sz w:val="20"/>
          <w:szCs w:val="20"/>
          <w:lang w:val="fr-CA"/>
        </w:rPr>
        <w:t xml:space="preserve"> / Judgment:  October </w:t>
      </w:r>
      <w:r w:rsidR="00196AAC">
        <w:rPr>
          <w:rFonts w:cs="Times New Roman"/>
          <w:sz w:val="20"/>
          <w:szCs w:val="20"/>
          <w:lang w:val="fr-CA"/>
        </w:rPr>
        <w:t>5</w:t>
      </w:r>
      <w:r w:rsidRPr="003B3977">
        <w:rPr>
          <w:rFonts w:cs="Times New Roman"/>
          <w:sz w:val="20"/>
          <w:szCs w:val="20"/>
          <w:lang w:val="fr-CA"/>
        </w:rPr>
        <w:t>, 201</w:t>
      </w:r>
      <w:r w:rsidR="00196AAC">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330120">
        <w:rPr>
          <w:rFonts w:cs="Times New Roman"/>
          <w:sz w:val="20"/>
          <w:szCs w:val="20"/>
          <w:lang w:val="fr-CA"/>
        </w:rPr>
        <w:t>8 février</w:t>
      </w:r>
      <w:r w:rsidRPr="003B3977">
        <w:rPr>
          <w:rFonts w:cs="Times New Roman"/>
          <w:sz w:val="20"/>
          <w:szCs w:val="20"/>
          <w:lang w:val="fr-CA"/>
        </w:rPr>
        <w:t xml:space="preserve"> 201</w:t>
      </w:r>
      <w:r w:rsidR="00330120">
        <w:rPr>
          <w:rFonts w:cs="Times New Roman"/>
          <w:sz w:val="20"/>
          <w:szCs w:val="20"/>
          <w:lang w:val="fr-CA"/>
        </w:rPr>
        <w:t>2</w:t>
      </w:r>
      <w:r w:rsidRPr="003B3977">
        <w:rPr>
          <w:rFonts w:cs="Times New Roman"/>
          <w:sz w:val="20"/>
          <w:szCs w:val="20"/>
          <w:lang w:val="fr-CA"/>
        </w:rPr>
        <w:t xml:space="preserve"> / Jugement : Le </w:t>
      </w:r>
      <w:r w:rsidR="00196AAC">
        <w:rPr>
          <w:rFonts w:cs="Times New Roman"/>
          <w:sz w:val="20"/>
          <w:szCs w:val="20"/>
          <w:lang w:val="fr-CA"/>
        </w:rPr>
        <w:t>5</w:t>
      </w:r>
      <w:r w:rsidRPr="003B3977">
        <w:rPr>
          <w:rFonts w:cs="Times New Roman"/>
          <w:sz w:val="20"/>
          <w:szCs w:val="20"/>
          <w:lang w:val="fr-CA"/>
        </w:rPr>
        <w:t xml:space="preserve"> octobre 201</w:t>
      </w:r>
      <w:r w:rsidR="00196AAC">
        <w:rPr>
          <w:rFonts w:cs="Times New Roman"/>
          <w:sz w:val="20"/>
          <w:szCs w:val="20"/>
          <w:lang w:val="fr-CA"/>
        </w:rPr>
        <w:t>2</w:t>
      </w:r>
    </w:p>
    <w:p w:rsidR="005C6840" w:rsidRPr="003B3977" w:rsidRDefault="002B77C5" w:rsidP="005C6840">
      <w:pPr>
        <w:rPr>
          <w:rFonts w:cs="Times New Roman"/>
          <w:sz w:val="20"/>
          <w:szCs w:val="20"/>
          <w:lang w:val="fr-CA"/>
        </w:rPr>
      </w:pPr>
      <w:r w:rsidRPr="002B77C5">
        <w:rPr>
          <w:rFonts w:cs="Times New Roman"/>
          <w:i/>
          <w:sz w:val="20"/>
          <w:szCs w:val="20"/>
        </w:rPr>
        <w:pict>
          <v:rect id="_x0000_i108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330120" w:rsidRPr="00137B67" w:rsidRDefault="00330120" w:rsidP="00330120">
      <w:pPr>
        <w:jc w:val="both"/>
        <w:rPr>
          <w:sz w:val="20"/>
        </w:rPr>
      </w:pPr>
      <w:r w:rsidRPr="00137B67">
        <w:rPr>
          <w:sz w:val="20"/>
        </w:rPr>
        <w:t>Present:  McLachlin C.J. and LeBel, Deschamps, Fish, Abella, Rothstein, Cromwell, Moldaver and Karakatsanis JJ.</w:t>
      </w:r>
    </w:p>
    <w:p w:rsidR="00330120" w:rsidRDefault="00330120" w:rsidP="00330120">
      <w:pPr>
        <w:pStyle w:val="SCCLowerCourtNameLowercase"/>
        <w:spacing w:line="240" w:lineRule="auto"/>
        <w:rPr>
          <w:sz w:val="20"/>
        </w:rPr>
      </w:pPr>
    </w:p>
    <w:p w:rsidR="00330120" w:rsidRPr="00137B67" w:rsidRDefault="00330120" w:rsidP="00330120">
      <w:pPr>
        <w:pStyle w:val="SCCNormalDoubleSpacing"/>
        <w:spacing w:line="240" w:lineRule="auto"/>
        <w:rPr>
          <w:i/>
          <w:sz w:val="20"/>
        </w:rPr>
      </w:pPr>
      <w:r w:rsidRPr="00137B67">
        <w:rPr>
          <w:i/>
          <w:sz w:val="20"/>
        </w:rPr>
        <w:tab/>
        <w:t>Criminal law — Aggravated assault — Consent — Fraud — Non</w:t>
      </w:r>
      <w:r w:rsidRPr="00137B67">
        <w:rPr>
          <w:i/>
          <w:sz w:val="20"/>
        </w:rPr>
        <w:noBreakHyphen/>
        <w:t>disclosure of HIV status — Accused undergoing antiretroviral therapy and having protected and unprotected sexual relations knowing he was HIV</w:t>
      </w:r>
      <w:r w:rsidRPr="00137B67">
        <w:rPr>
          <w:i/>
          <w:sz w:val="20"/>
        </w:rPr>
        <w:noBreakHyphen/>
        <w:t>positive — Whether approach outlined in R. v. Cuerrier, [1998] 2 S.C.R. 371, remains valid in determining whether fraud vitiates consent to sexual relations — Whether non</w:t>
      </w:r>
      <w:r w:rsidRPr="00137B67">
        <w:rPr>
          <w:i/>
          <w:sz w:val="20"/>
        </w:rPr>
        <w:noBreakHyphen/>
        <w:t>disclosure of HIV status in circumstances where no realistic possibility of transmission exists can constitute fraud vitiating consent — Criminal Code, R.S.C. 1985, c. C</w:t>
      </w:r>
      <w:r w:rsidRPr="00137B67">
        <w:rPr>
          <w:i/>
          <w:sz w:val="20"/>
        </w:rPr>
        <w:noBreakHyphen/>
        <w:t xml:space="preserve">46, ss. 265(3)(c), 268, 273. </w:t>
      </w:r>
    </w:p>
    <w:p w:rsidR="00330120" w:rsidRDefault="00330120" w:rsidP="00330120">
      <w:pPr>
        <w:pStyle w:val="SCCNormalDoubleSpacing"/>
        <w:spacing w:line="240" w:lineRule="auto"/>
        <w:rPr>
          <w:sz w:val="20"/>
        </w:rPr>
      </w:pPr>
    </w:p>
    <w:p w:rsidR="00330120" w:rsidRPr="00137B67" w:rsidRDefault="00330120" w:rsidP="00330120">
      <w:pPr>
        <w:pStyle w:val="SCCNormalDoubleSpacing"/>
        <w:spacing w:line="240" w:lineRule="auto"/>
        <w:rPr>
          <w:sz w:val="20"/>
        </w:rPr>
      </w:pPr>
      <w:r w:rsidRPr="00137B67">
        <w:rPr>
          <w:sz w:val="20"/>
        </w:rPr>
        <w:tab/>
        <w:t>M was charged with nine counts of aggravated sexual assault based on his failure to disclose his HIV</w:t>
      </w:r>
      <w:r w:rsidRPr="00137B67">
        <w:rPr>
          <w:sz w:val="20"/>
        </w:rPr>
        <w:noBreakHyphen/>
        <w:t>positive status to nine complainants before having sex with them (ss. 265(3)(</w:t>
      </w:r>
      <w:r w:rsidRPr="00137B67">
        <w:rPr>
          <w:i/>
          <w:sz w:val="20"/>
        </w:rPr>
        <w:t>c</w:t>
      </w:r>
      <w:r w:rsidRPr="00137B67">
        <w:rPr>
          <w:sz w:val="20"/>
        </w:rPr>
        <w:t xml:space="preserve">) and 273 </w:t>
      </w:r>
      <w:r w:rsidRPr="00137B67">
        <w:rPr>
          <w:i/>
          <w:sz w:val="20"/>
        </w:rPr>
        <w:t>Cr. C.</w:t>
      </w:r>
      <w:r w:rsidRPr="00137B67">
        <w:rPr>
          <w:sz w:val="20"/>
        </w:rPr>
        <w:t xml:space="preserve">).  None of the complainants contracted HIV.  The trial judge convicted him on six of the counts and acquitted him on the other three, on the basis that sexual intercourse using a condom when viral loads are undetectable does not place a sexual partner at “significant risk of serious bodily harm”, as required by </w:t>
      </w:r>
      <w:r w:rsidRPr="00137B67">
        <w:rPr>
          <w:i/>
          <w:sz w:val="20"/>
        </w:rPr>
        <w:t>Cuerrier</w:t>
      </w:r>
      <w:r w:rsidRPr="00137B67">
        <w:rPr>
          <w:sz w:val="20"/>
        </w:rPr>
        <w:t xml:space="preserve">.  The Court of Appeal varied the decision, holding that either low viral loads or condom use could negate significant risk.  This reduced to two the counts on which M could be convicted, and the Court of Appeal entered acquittals on the four remaining counts.  The Crown appealed the acquittals. </w:t>
      </w:r>
    </w:p>
    <w:p w:rsidR="00330120" w:rsidRDefault="00330120" w:rsidP="00330120">
      <w:pPr>
        <w:pStyle w:val="SCCNormalDoubleSpacing"/>
        <w:spacing w:line="240" w:lineRule="auto"/>
        <w:rPr>
          <w:sz w:val="20"/>
        </w:rPr>
      </w:pPr>
    </w:p>
    <w:p w:rsidR="00330120" w:rsidRPr="00137B67" w:rsidRDefault="00330120" w:rsidP="00330120">
      <w:pPr>
        <w:pStyle w:val="SCCNormalDoubleSpacing"/>
        <w:spacing w:line="240" w:lineRule="auto"/>
        <w:rPr>
          <w:sz w:val="20"/>
        </w:rPr>
      </w:pPr>
      <w:r w:rsidRPr="00137B67">
        <w:rPr>
          <w:sz w:val="20"/>
        </w:rPr>
        <w:tab/>
      </w:r>
      <w:r w:rsidRPr="00137B67">
        <w:rPr>
          <w:i/>
          <w:sz w:val="20"/>
        </w:rPr>
        <w:t>Held:</w:t>
      </w:r>
      <w:r w:rsidRPr="00137B67">
        <w:rPr>
          <w:sz w:val="20"/>
        </w:rPr>
        <w:t xml:space="preserve">  The appeal should be allowed in part and the convictions in respect of the complaints by S.H., D.C.S. and D.H. should be restored.  The appeal should be dismissed in respect of the complaint by K.G.</w:t>
      </w:r>
    </w:p>
    <w:p w:rsidR="00330120" w:rsidRDefault="00330120" w:rsidP="00330120">
      <w:pPr>
        <w:pStyle w:val="SCCNormalDoubleSpacing"/>
        <w:spacing w:line="240" w:lineRule="auto"/>
        <w:rPr>
          <w:sz w:val="20"/>
        </w:rPr>
      </w:pPr>
    </w:p>
    <w:p w:rsidR="00330120" w:rsidRPr="00137B67" w:rsidRDefault="00330120" w:rsidP="00330120">
      <w:pPr>
        <w:pStyle w:val="SCCNormalDoubleSpacing"/>
        <w:spacing w:line="240" w:lineRule="auto"/>
        <w:rPr>
          <w:sz w:val="20"/>
        </w:rPr>
      </w:pPr>
      <w:r w:rsidRPr="00137B67">
        <w:rPr>
          <w:sz w:val="20"/>
        </w:rPr>
        <w:tab/>
        <w:t xml:space="preserve">This Court, in </w:t>
      </w:r>
      <w:r w:rsidRPr="00137B67">
        <w:rPr>
          <w:i/>
          <w:sz w:val="20"/>
        </w:rPr>
        <w:t>Cuerrier</w:t>
      </w:r>
      <w:r w:rsidRPr="00137B67">
        <w:rPr>
          <w:sz w:val="20"/>
        </w:rPr>
        <w:t>, established that failure to disclose that one has HIV may constitute fraud vitiating consent to sexual relations under s. 265(3)(</w:t>
      </w:r>
      <w:r w:rsidRPr="00137B67">
        <w:rPr>
          <w:i/>
          <w:sz w:val="20"/>
        </w:rPr>
        <w:t>c</w:t>
      </w:r>
      <w:r w:rsidRPr="00137B67">
        <w:rPr>
          <w:sz w:val="20"/>
        </w:rPr>
        <w:t xml:space="preserve">) </w:t>
      </w:r>
      <w:r w:rsidRPr="00137B67">
        <w:rPr>
          <w:i/>
          <w:sz w:val="20"/>
        </w:rPr>
        <w:t>Cr. C.</w:t>
      </w:r>
      <w:r w:rsidRPr="00137B67">
        <w:rPr>
          <w:sz w:val="20"/>
        </w:rPr>
        <w:t xml:space="preserve">  Because HIV poses a risk of serious bodily harm, the operative offence is one of aggravated sexual assault (s. 273 </w:t>
      </w:r>
      <w:r w:rsidRPr="00137B67">
        <w:rPr>
          <w:i/>
          <w:sz w:val="20"/>
        </w:rPr>
        <w:t>Cr. C.</w:t>
      </w:r>
      <w:r w:rsidRPr="00137B67">
        <w:rPr>
          <w:sz w:val="20"/>
        </w:rPr>
        <w:t>).  To obtain a conviction under ss. 265(3)(</w:t>
      </w:r>
      <w:r w:rsidRPr="00137B67">
        <w:rPr>
          <w:i/>
          <w:sz w:val="20"/>
        </w:rPr>
        <w:t>c</w:t>
      </w:r>
      <w:r w:rsidRPr="00137B67">
        <w:rPr>
          <w:sz w:val="20"/>
        </w:rPr>
        <w:t>) and 273, the Crown must show, beyond a reasonable doubt, that the complainant’s consent to sexual intercourse was vitiated by the accused’s fraud as to his HIV status.  The test boils down to two elements:  (1) </w:t>
      </w:r>
      <w:r w:rsidRPr="00137B67">
        <w:rPr>
          <w:i/>
          <w:sz w:val="20"/>
        </w:rPr>
        <w:t>a dishonest act</w:t>
      </w:r>
      <w:r w:rsidRPr="00137B67">
        <w:rPr>
          <w:sz w:val="20"/>
        </w:rPr>
        <w:t xml:space="preserve"> (either falsehoods or failure to disclose HIV status); and (2) </w:t>
      </w:r>
      <w:r w:rsidRPr="00137B67">
        <w:rPr>
          <w:i/>
          <w:sz w:val="20"/>
        </w:rPr>
        <w:t>deprivation</w:t>
      </w:r>
      <w:r w:rsidRPr="00137B67">
        <w:rPr>
          <w:sz w:val="20"/>
        </w:rPr>
        <w:t xml:space="preserve"> (denying the complainant knowledge which would have caused him or her to refuse sexual relations that exposed him or her to a significant risk of serious bodily harm).  Failure to disclose may amount to fraud where the complainant would not have consented had he or she known the accused was HIV</w:t>
      </w:r>
      <w:r w:rsidRPr="00137B67">
        <w:rPr>
          <w:sz w:val="20"/>
        </w:rPr>
        <w:noBreakHyphen/>
        <w:t xml:space="preserve">positive, and where sexual contact poses a significant risk of or causes actual serious bodily harm. </w:t>
      </w:r>
    </w:p>
    <w:p w:rsidR="00330120" w:rsidRDefault="00330120" w:rsidP="00330120">
      <w:pPr>
        <w:pStyle w:val="SCCNormalDoubleSpacing"/>
        <w:spacing w:line="240" w:lineRule="auto"/>
        <w:rPr>
          <w:sz w:val="20"/>
        </w:rPr>
      </w:pPr>
    </w:p>
    <w:p w:rsidR="00330120" w:rsidRPr="00137B67" w:rsidRDefault="00330120" w:rsidP="00330120">
      <w:pPr>
        <w:pStyle w:val="SCCNormalDoubleSpacing"/>
        <w:spacing w:line="240" w:lineRule="auto"/>
        <w:rPr>
          <w:sz w:val="20"/>
        </w:rPr>
      </w:pPr>
      <w:r w:rsidRPr="00137B67">
        <w:rPr>
          <w:sz w:val="20"/>
        </w:rPr>
        <w:tab/>
        <w:t xml:space="preserve">Two main criticisms of the </w:t>
      </w:r>
      <w:r w:rsidRPr="00137B67">
        <w:rPr>
          <w:i/>
          <w:sz w:val="20"/>
        </w:rPr>
        <w:t>Cuerrier</w:t>
      </w:r>
      <w:r w:rsidRPr="00137B67">
        <w:rPr>
          <w:sz w:val="20"/>
        </w:rPr>
        <w:t xml:space="preserve"> test have been advanced:  first, that it is uncertain, failing to draw a clear line between criminal and non</w:t>
      </w:r>
      <w:r w:rsidRPr="00137B67">
        <w:rPr>
          <w:sz w:val="20"/>
        </w:rPr>
        <w:noBreakHyphen/>
        <w:t xml:space="preserve">criminal conduct, and second, that it either overextends the criminal law or confines it too closely — the problem of breadth.  While it may be difficult to apply, the </w:t>
      </w:r>
      <w:r w:rsidRPr="00137B67">
        <w:rPr>
          <w:i/>
          <w:sz w:val="20"/>
        </w:rPr>
        <w:t xml:space="preserve">Cuerrier </w:t>
      </w:r>
      <w:r w:rsidRPr="00137B67">
        <w:rPr>
          <w:sz w:val="20"/>
        </w:rPr>
        <w:t>approach is in principle valid.  It carves out an appropriate area for the criminal law — one restricted to “significant risk of serious bodily harm”.  The test’s approach to consent accepts the wisdom of the common law that not every deception that leads to sexual intercourse should be criminalized, while still according consent meaningful scope.</w:t>
      </w:r>
    </w:p>
    <w:p w:rsidR="00330120" w:rsidRDefault="00330120" w:rsidP="00330120">
      <w:pPr>
        <w:pStyle w:val="SCCNormalDoubleSpacing"/>
        <w:spacing w:line="240" w:lineRule="auto"/>
        <w:rPr>
          <w:sz w:val="20"/>
        </w:rPr>
      </w:pPr>
    </w:p>
    <w:p w:rsidR="00330120" w:rsidRPr="00137B67" w:rsidRDefault="00330120" w:rsidP="00330120">
      <w:pPr>
        <w:pStyle w:val="SCCNormalDoubleSpacing"/>
        <w:spacing w:line="240" w:lineRule="auto"/>
        <w:rPr>
          <w:sz w:val="20"/>
        </w:rPr>
      </w:pPr>
      <w:r w:rsidRPr="00137B67">
        <w:rPr>
          <w:sz w:val="20"/>
        </w:rPr>
        <w:tab/>
        <w:t xml:space="preserve">The </w:t>
      </w:r>
      <w:r w:rsidRPr="00137B67">
        <w:rPr>
          <w:i/>
          <w:sz w:val="20"/>
        </w:rPr>
        <w:t xml:space="preserve">Cuerrier </w:t>
      </w:r>
      <w:r w:rsidRPr="00137B67">
        <w:rPr>
          <w:sz w:val="20"/>
        </w:rPr>
        <w:t xml:space="preserve">requirement of “significant risk of serious bodily harm” should be read as requiring disclosure of HIV status if there is a realistic possibility of transmission of HIV.  This view is supported by the common law and statutory history of fraud vitiating consent to sexual relations, and is in line with </w:t>
      </w:r>
      <w:r w:rsidRPr="00137B67">
        <w:rPr>
          <w:i/>
          <w:sz w:val="20"/>
        </w:rPr>
        <w:t>Charter</w:t>
      </w:r>
      <w:r w:rsidRPr="00137B67">
        <w:rPr>
          <w:sz w:val="20"/>
        </w:rPr>
        <w:t xml:space="preserve"> values of autonomy and equality that respect the interest of a person to choose whether to consent to sex with a particular person or not.  It also gives adequate weight to the nature of the harm involved in HIV transmission, and avoids setting the bar for criminal conviction too high or too low.  If there is no realistic possibility of transmission of HIV, failure to disclose that one has HIV will not constitute fraud vitiating consent to sexual relations under s. 265(3)(</w:t>
      </w:r>
      <w:r w:rsidRPr="00137B67">
        <w:rPr>
          <w:i/>
          <w:sz w:val="20"/>
        </w:rPr>
        <w:t>c</w:t>
      </w:r>
      <w:r w:rsidRPr="00137B67">
        <w:rPr>
          <w:sz w:val="20"/>
        </w:rPr>
        <w:t>).</w:t>
      </w:r>
    </w:p>
    <w:p w:rsidR="00330120" w:rsidRDefault="00330120" w:rsidP="00330120">
      <w:pPr>
        <w:pStyle w:val="SCCNormalDoubleSpacing"/>
        <w:spacing w:line="240" w:lineRule="auto"/>
        <w:rPr>
          <w:sz w:val="20"/>
        </w:rPr>
      </w:pPr>
    </w:p>
    <w:p w:rsidR="00330120" w:rsidRPr="00137B67" w:rsidRDefault="00330120" w:rsidP="00330120">
      <w:pPr>
        <w:pStyle w:val="SCCNormalDoubleSpacing"/>
        <w:spacing w:line="240" w:lineRule="auto"/>
        <w:rPr>
          <w:sz w:val="20"/>
        </w:rPr>
      </w:pPr>
      <w:r w:rsidRPr="00137B67">
        <w:rPr>
          <w:sz w:val="20"/>
        </w:rPr>
        <w:lastRenderedPageBreak/>
        <w:tab/>
        <w:t xml:space="preserve">The evidence adduced in this case leads to the conclusion that, as a general matter, a realistic possibility of transmission of HIV is negated if:  (i) the accused’s viral load at the time of sexual relations was low </w:t>
      </w:r>
      <w:r w:rsidRPr="00137B67">
        <w:rPr>
          <w:i/>
          <w:sz w:val="20"/>
        </w:rPr>
        <w:t>and</w:t>
      </w:r>
      <w:r w:rsidRPr="00137B67">
        <w:rPr>
          <w:sz w:val="20"/>
        </w:rPr>
        <w:t xml:space="preserve"> (ii) condom protection was used.  This general proposition does not preclude the common law from adapting to future advances in treatment and to circumstances where risk factors other than those considered in this case are at play. </w:t>
      </w:r>
    </w:p>
    <w:p w:rsidR="00330120" w:rsidRDefault="00330120" w:rsidP="00330120">
      <w:pPr>
        <w:pStyle w:val="SCCNormalDoubleSpacing"/>
        <w:spacing w:line="240" w:lineRule="auto"/>
        <w:rPr>
          <w:sz w:val="20"/>
        </w:rPr>
      </w:pPr>
    </w:p>
    <w:p w:rsidR="00330120" w:rsidRDefault="00330120" w:rsidP="00330120">
      <w:pPr>
        <w:pStyle w:val="SCCNormalDoubleSpacing"/>
        <w:spacing w:line="240" w:lineRule="auto"/>
        <w:rPr>
          <w:sz w:val="20"/>
        </w:rPr>
      </w:pPr>
      <w:r w:rsidRPr="00137B67">
        <w:rPr>
          <w:sz w:val="20"/>
        </w:rPr>
        <w:tab/>
        <w:t>Here, the four complainants all consented to sexual intercourse with M, and testified that they would not have had sex with him had they known he was HIV</w:t>
      </w:r>
      <w:r w:rsidRPr="00137B67">
        <w:rPr>
          <w:sz w:val="20"/>
        </w:rPr>
        <w:noBreakHyphen/>
        <w:t>positive.  M had intercourse by vaginal penetration with the four complainants, during which he ejaculated.  At the time of intercourse with the complainants S.H., D.C.S. and D.H., M had a low viral load but did not use a condom.  Consequently, those convictions should be maintained.  As regards K.G., the record shows that M’s viral load was low.  When combined with condom protection, this did not expose K.G. to a significant risk of serious bodily harm.  This conviction must accordingly be reversed.</w:t>
      </w:r>
    </w:p>
    <w:p w:rsidR="00330120" w:rsidRDefault="00330120" w:rsidP="00330120">
      <w:pPr>
        <w:pStyle w:val="SCCNormalDoubleSpacing"/>
        <w:spacing w:line="240" w:lineRule="auto"/>
        <w:rPr>
          <w:sz w:val="20"/>
        </w:rPr>
      </w:pPr>
    </w:p>
    <w:p w:rsidR="00330120" w:rsidRPr="00137B67" w:rsidRDefault="00330120" w:rsidP="00330120">
      <w:pPr>
        <w:pStyle w:val="SCCNormalDoubleSpacing"/>
        <w:spacing w:line="240" w:lineRule="auto"/>
        <w:rPr>
          <w:sz w:val="20"/>
        </w:rPr>
      </w:pPr>
      <w:r w:rsidRPr="00137B67">
        <w:rPr>
          <w:sz w:val="20"/>
        </w:rPr>
        <w:tab/>
        <w:t>APPEAL from a judgment of the Manitoba Court of Appeal (Steel, MacInnes and Beard JJ.A.), 2010 MBCA 93, 258 Man. R. (2d) 166, 261 C.C.C. (3d) 520, 79 C.R. (6th) 1, [2011] 2 W.W.R. 211, [2010] M.J. No. 308 (QL), 2010 CarswellMan 587, setting aside convictions for aggravated sexual assault entered by McKelvey J., 2008 MBQB 201, 230 Man. R. (2d) 184, [2008] M.J. No. 277 (QL), 2008 CarswellMan 406.  Appeal allowed in part.</w:t>
      </w:r>
    </w:p>
    <w:p w:rsidR="00330120" w:rsidRDefault="00330120" w:rsidP="00330120">
      <w:pPr>
        <w:pStyle w:val="SCCNormalDoubleSpacing"/>
        <w:spacing w:line="240" w:lineRule="auto"/>
        <w:rPr>
          <w:i/>
          <w:sz w:val="20"/>
        </w:rPr>
      </w:pPr>
    </w:p>
    <w:p w:rsidR="00330120" w:rsidRPr="00137B67" w:rsidRDefault="00330120" w:rsidP="00330120">
      <w:pPr>
        <w:pStyle w:val="SCCNormalDoubleSpacing"/>
        <w:spacing w:line="240" w:lineRule="auto"/>
        <w:rPr>
          <w:sz w:val="20"/>
        </w:rPr>
      </w:pPr>
      <w:r w:rsidRPr="00137B67">
        <w:rPr>
          <w:i/>
          <w:sz w:val="20"/>
        </w:rPr>
        <w:tab/>
        <w:t>Elizabeth Thomson</w:t>
      </w:r>
      <w:r w:rsidRPr="00137B67">
        <w:rPr>
          <w:sz w:val="20"/>
        </w:rPr>
        <w:t xml:space="preserve"> and </w:t>
      </w:r>
      <w:r w:rsidRPr="00137B67">
        <w:rPr>
          <w:i/>
          <w:sz w:val="20"/>
        </w:rPr>
        <w:t>Ami Kotler</w:t>
      </w:r>
      <w:r w:rsidRPr="00137B67">
        <w:rPr>
          <w:sz w:val="20"/>
        </w:rPr>
        <w:t>, for the appellant.</w:t>
      </w:r>
    </w:p>
    <w:p w:rsidR="00330120" w:rsidRDefault="00330120" w:rsidP="00330120">
      <w:pPr>
        <w:pStyle w:val="SCCNormalDoubleSpacing"/>
        <w:spacing w:line="240" w:lineRule="auto"/>
        <w:rPr>
          <w:i/>
          <w:sz w:val="20"/>
        </w:rPr>
      </w:pPr>
    </w:p>
    <w:p w:rsidR="00330120" w:rsidRPr="00137B67" w:rsidRDefault="00330120" w:rsidP="00330120">
      <w:pPr>
        <w:pStyle w:val="SCCNormalDoubleSpacing"/>
        <w:spacing w:line="240" w:lineRule="auto"/>
        <w:rPr>
          <w:sz w:val="20"/>
        </w:rPr>
      </w:pPr>
      <w:r w:rsidRPr="00137B67">
        <w:rPr>
          <w:i/>
          <w:sz w:val="20"/>
        </w:rPr>
        <w:tab/>
        <w:t>Amanda Sansregret and Corey La Berge</w:t>
      </w:r>
      <w:r w:rsidRPr="00137B67">
        <w:rPr>
          <w:sz w:val="20"/>
        </w:rPr>
        <w:t>, for the respondent.</w:t>
      </w:r>
    </w:p>
    <w:p w:rsidR="00330120" w:rsidRDefault="00330120" w:rsidP="00330120">
      <w:pPr>
        <w:pStyle w:val="SCCNormalDoubleSpacing"/>
        <w:spacing w:line="240" w:lineRule="auto"/>
        <w:rPr>
          <w:i/>
          <w:sz w:val="20"/>
        </w:rPr>
      </w:pPr>
    </w:p>
    <w:p w:rsidR="00330120" w:rsidRPr="00137B67" w:rsidRDefault="00330120" w:rsidP="00330120">
      <w:pPr>
        <w:pStyle w:val="SCCNormalDoubleSpacing"/>
        <w:spacing w:line="240" w:lineRule="auto"/>
        <w:rPr>
          <w:sz w:val="20"/>
        </w:rPr>
      </w:pPr>
      <w:r w:rsidRPr="00137B67">
        <w:rPr>
          <w:i/>
          <w:sz w:val="20"/>
        </w:rPr>
        <w:tab/>
        <w:t>Jonathan Shime</w:t>
      </w:r>
      <w:r w:rsidRPr="00137B67">
        <w:rPr>
          <w:sz w:val="20"/>
        </w:rPr>
        <w:t xml:space="preserve">, </w:t>
      </w:r>
      <w:r w:rsidRPr="00137B67">
        <w:rPr>
          <w:i/>
          <w:sz w:val="20"/>
        </w:rPr>
        <w:t xml:space="preserve">Corie Langdon, Richard Elliott </w:t>
      </w:r>
      <w:r w:rsidRPr="00137B67">
        <w:rPr>
          <w:sz w:val="20"/>
        </w:rPr>
        <w:t xml:space="preserve">and </w:t>
      </w:r>
      <w:r w:rsidRPr="00137B67">
        <w:rPr>
          <w:i/>
          <w:sz w:val="20"/>
        </w:rPr>
        <w:t>Ryan Peck</w:t>
      </w:r>
      <w:r w:rsidRPr="00137B67">
        <w:rPr>
          <w:sz w:val="20"/>
        </w:rPr>
        <w:t>, for the interveners the Canadian HIV/AIDS Legal Network,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w:t>
      </w:r>
    </w:p>
    <w:p w:rsidR="00330120" w:rsidRDefault="00330120" w:rsidP="00330120">
      <w:pPr>
        <w:pStyle w:val="SCCNormalDoubleSpacing"/>
        <w:spacing w:line="240" w:lineRule="auto"/>
        <w:rPr>
          <w:i/>
          <w:sz w:val="20"/>
        </w:rPr>
      </w:pPr>
    </w:p>
    <w:p w:rsidR="00330120" w:rsidRPr="00137B67" w:rsidRDefault="00330120" w:rsidP="00330120">
      <w:pPr>
        <w:pStyle w:val="SCCNormalDoubleSpacing"/>
        <w:spacing w:line="240" w:lineRule="auto"/>
        <w:rPr>
          <w:sz w:val="20"/>
        </w:rPr>
      </w:pPr>
      <w:r w:rsidRPr="00137B67">
        <w:rPr>
          <w:i/>
          <w:sz w:val="20"/>
        </w:rPr>
        <w:tab/>
        <w:t>Michael A. Feder</w:t>
      </w:r>
      <w:r w:rsidRPr="00137B67">
        <w:rPr>
          <w:sz w:val="20"/>
        </w:rPr>
        <w:t xml:space="preserve"> and </w:t>
      </w:r>
      <w:r w:rsidRPr="00137B67">
        <w:rPr>
          <w:i/>
          <w:sz w:val="20"/>
        </w:rPr>
        <w:t>Angela M. Juba</w:t>
      </w:r>
      <w:r w:rsidRPr="00137B67">
        <w:rPr>
          <w:sz w:val="20"/>
        </w:rPr>
        <w:t>, for the intervener the British Columbia Civil Liberties Association.</w:t>
      </w:r>
    </w:p>
    <w:p w:rsidR="00330120" w:rsidRDefault="00330120" w:rsidP="00330120">
      <w:pPr>
        <w:pStyle w:val="SCCNormalDoubleSpacing"/>
        <w:spacing w:line="240" w:lineRule="auto"/>
        <w:rPr>
          <w:i/>
          <w:sz w:val="20"/>
        </w:rPr>
      </w:pPr>
    </w:p>
    <w:p w:rsidR="00330120" w:rsidRPr="00137B67" w:rsidRDefault="00330120" w:rsidP="00330120">
      <w:pPr>
        <w:pStyle w:val="SCCNormalDoubleSpacing"/>
        <w:spacing w:line="240" w:lineRule="auto"/>
        <w:rPr>
          <w:sz w:val="20"/>
        </w:rPr>
      </w:pPr>
      <w:r w:rsidRPr="00137B67">
        <w:rPr>
          <w:i/>
          <w:sz w:val="20"/>
        </w:rPr>
        <w:tab/>
        <w:t>P. Andras Schreck</w:t>
      </w:r>
      <w:r w:rsidRPr="00137B67">
        <w:rPr>
          <w:sz w:val="20"/>
        </w:rPr>
        <w:t xml:space="preserve"> and </w:t>
      </w:r>
      <w:r w:rsidRPr="00137B67">
        <w:rPr>
          <w:i/>
          <w:sz w:val="20"/>
        </w:rPr>
        <w:t>Candice Suter</w:t>
      </w:r>
      <w:r w:rsidRPr="00137B67">
        <w:rPr>
          <w:sz w:val="20"/>
        </w:rPr>
        <w:t>, for the intervener the Criminal Lawyers’ Association of Ontario.</w:t>
      </w:r>
    </w:p>
    <w:p w:rsidR="00330120" w:rsidRDefault="00330120" w:rsidP="00330120">
      <w:pPr>
        <w:pStyle w:val="SCCNormalDoubleSpacing"/>
        <w:spacing w:line="240" w:lineRule="auto"/>
        <w:rPr>
          <w:i/>
          <w:sz w:val="20"/>
        </w:rPr>
      </w:pPr>
    </w:p>
    <w:p w:rsidR="00330120" w:rsidRPr="00137B67" w:rsidRDefault="00330120" w:rsidP="00330120">
      <w:pPr>
        <w:pStyle w:val="SCCNormalDoubleSpacing"/>
        <w:spacing w:line="240" w:lineRule="auto"/>
        <w:rPr>
          <w:sz w:val="20"/>
          <w:lang w:val="fr-CA"/>
        </w:rPr>
      </w:pPr>
      <w:r w:rsidRPr="00137B67">
        <w:rPr>
          <w:i/>
          <w:sz w:val="20"/>
        </w:rPr>
        <w:tab/>
      </w:r>
      <w:r w:rsidRPr="00137B67">
        <w:rPr>
          <w:i/>
          <w:sz w:val="20"/>
          <w:lang w:val="fr-CA"/>
        </w:rPr>
        <w:t>François Dadour</w:t>
      </w:r>
      <w:r w:rsidRPr="00137B67">
        <w:rPr>
          <w:sz w:val="20"/>
          <w:lang w:val="fr-CA"/>
        </w:rPr>
        <w:t>, for the intervener Association des avocats de la défense de Montréal.</w:t>
      </w:r>
    </w:p>
    <w:p w:rsidR="00330120" w:rsidRDefault="00330120" w:rsidP="00330120">
      <w:pPr>
        <w:pStyle w:val="SCCNormalDoubleSpacing"/>
        <w:spacing w:line="240" w:lineRule="auto"/>
        <w:rPr>
          <w:i/>
          <w:sz w:val="20"/>
          <w:lang w:val="fr-CA"/>
        </w:rPr>
      </w:pPr>
    </w:p>
    <w:p w:rsidR="00330120" w:rsidRPr="00137B67" w:rsidRDefault="00330120" w:rsidP="00330120">
      <w:pPr>
        <w:pStyle w:val="SCCNormalDoubleSpacing"/>
        <w:spacing w:line="240" w:lineRule="auto"/>
        <w:rPr>
          <w:sz w:val="20"/>
          <w:lang w:val="fr-CA"/>
        </w:rPr>
      </w:pPr>
      <w:r w:rsidRPr="00137B67">
        <w:rPr>
          <w:i/>
          <w:sz w:val="20"/>
          <w:lang w:val="fr-CA"/>
        </w:rPr>
        <w:tab/>
        <w:t>Lucie Joncas and François Côté</w:t>
      </w:r>
      <w:r w:rsidRPr="00137B67">
        <w:rPr>
          <w:sz w:val="20"/>
          <w:lang w:val="fr-CA"/>
        </w:rPr>
        <w:t>, for the intervener Institut national de santé publique du Québec.</w:t>
      </w:r>
    </w:p>
    <w:p w:rsidR="00330120" w:rsidRDefault="00330120" w:rsidP="00330120">
      <w:pPr>
        <w:pStyle w:val="SCCLawFirm"/>
        <w:spacing w:line="240" w:lineRule="auto"/>
        <w:rPr>
          <w:sz w:val="20"/>
          <w:lang w:val="fr-CA"/>
        </w:rPr>
      </w:pPr>
    </w:p>
    <w:p w:rsidR="00330120" w:rsidRPr="00137B67" w:rsidRDefault="00330120" w:rsidP="00330120">
      <w:pPr>
        <w:pStyle w:val="SCCLawFirm"/>
        <w:spacing w:line="240" w:lineRule="auto"/>
        <w:rPr>
          <w:sz w:val="20"/>
        </w:rPr>
      </w:pPr>
      <w:r w:rsidRPr="00137B67">
        <w:rPr>
          <w:sz w:val="20"/>
          <w:lang w:val="fr-CA"/>
        </w:rPr>
        <w:tab/>
      </w:r>
      <w:r w:rsidRPr="00137B67">
        <w:rPr>
          <w:sz w:val="20"/>
        </w:rPr>
        <w:t>Solicitor for the appellant:  Attorney General of Manitoba, Winnipeg.</w:t>
      </w:r>
    </w:p>
    <w:p w:rsidR="00330120" w:rsidRDefault="00330120" w:rsidP="00330120">
      <w:pPr>
        <w:pStyle w:val="SCCLawFirm"/>
        <w:spacing w:line="240" w:lineRule="auto"/>
        <w:rPr>
          <w:sz w:val="20"/>
        </w:rPr>
      </w:pPr>
    </w:p>
    <w:p w:rsidR="00330120" w:rsidRPr="00137B67" w:rsidRDefault="00330120" w:rsidP="00330120">
      <w:pPr>
        <w:pStyle w:val="SCCLawFirm"/>
        <w:spacing w:line="240" w:lineRule="auto"/>
        <w:rPr>
          <w:sz w:val="20"/>
        </w:rPr>
      </w:pPr>
      <w:r w:rsidRPr="00137B67">
        <w:rPr>
          <w:sz w:val="20"/>
        </w:rPr>
        <w:tab/>
        <w:t>Solicitor for the respondent:  Legal Aid Manitoba, Winnipeg.</w:t>
      </w:r>
    </w:p>
    <w:p w:rsidR="00330120" w:rsidRDefault="00330120" w:rsidP="00330120">
      <w:pPr>
        <w:pStyle w:val="SCCLawFirm"/>
        <w:spacing w:line="240" w:lineRule="auto"/>
        <w:rPr>
          <w:sz w:val="20"/>
        </w:rPr>
      </w:pPr>
    </w:p>
    <w:p w:rsidR="00330120" w:rsidRPr="00137B67" w:rsidRDefault="00330120" w:rsidP="00330120">
      <w:pPr>
        <w:pStyle w:val="SCCLawFirm"/>
        <w:spacing w:line="240" w:lineRule="auto"/>
        <w:rPr>
          <w:sz w:val="20"/>
        </w:rPr>
      </w:pPr>
      <w:r w:rsidRPr="00137B67">
        <w:rPr>
          <w:sz w:val="20"/>
        </w:rPr>
        <w:tab/>
        <w:t>Solicitors for the interveners the Canadian HIV/AIDS Legal Network,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  Cooper &amp; Sandler, Toronto.</w:t>
      </w:r>
    </w:p>
    <w:p w:rsidR="00330120" w:rsidRDefault="00330120" w:rsidP="00330120">
      <w:pPr>
        <w:pStyle w:val="SCCLawFirm"/>
        <w:spacing w:line="240" w:lineRule="auto"/>
        <w:rPr>
          <w:sz w:val="20"/>
        </w:rPr>
      </w:pPr>
    </w:p>
    <w:p w:rsidR="00330120" w:rsidRPr="00137B67" w:rsidRDefault="00330120" w:rsidP="00330120">
      <w:pPr>
        <w:pStyle w:val="SCCLawFirm"/>
        <w:spacing w:line="240" w:lineRule="auto"/>
        <w:rPr>
          <w:sz w:val="20"/>
        </w:rPr>
      </w:pPr>
      <w:r w:rsidRPr="00137B67">
        <w:rPr>
          <w:sz w:val="20"/>
        </w:rPr>
        <w:tab/>
        <w:t>Solicitors for the intervener the British Columbia Civil Liberties Association:  McCarthy Tétrault, Vancouver.</w:t>
      </w:r>
    </w:p>
    <w:p w:rsidR="00330120" w:rsidRDefault="00330120" w:rsidP="00330120">
      <w:pPr>
        <w:pStyle w:val="SCCLawFirm"/>
        <w:spacing w:line="240" w:lineRule="auto"/>
        <w:rPr>
          <w:sz w:val="20"/>
        </w:rPr>
      </w:pPr>
    </w:p>
    <w:p w:rsidR="00330120" w:rsidRPr="00137B67" w:rsidRDefault="00330120" w:rsidP="00330120">
      <w:pPr>
        <w:pStyle w:val="SCCLawFirm"/>
        <w:spacing w:line="240" w:lineRule="auto"/>
        <w:rPr>
          <w:sz w:val="20"/>
        </w:rPr>
      </w:pPr>
      <w:r w:rsidRPr="00137B67">
        <w:rPr>
          <w:sz w:val="20"/>
        </w:rPr>
        <w:tab/>
        <w:t>Solicitors for the intervener the Criminal Lawyers’ Association of Ontario:  Schreck Presser, Toronto.</w:t>
      </w:r>
    </w:p>
    <w:p w:rsidR="00330120" w:rsidRDefault="00330120" w:rsidP="00330120">
      <w:pPr>
        <w:pStyle w:val="SCCLawFirm"/>
        <w:spacing w:line="240" w:lineRule="auto"/>
        <w:rPr>
          <w:sz w:val="20"/>
        </w:rPr>
      </w:pPr>
    </w:p>
    <w:p w:rsidR="00330120" w:rsidRPr="00137B67" w:rsidRDefault="00330120" w:rsidP="00330120">
      <w:pPr>
        <w:pStyle w:val="SCCLawFirm"/>
        <w:spacing w:line="240" w:lineRule="auto"/>
        <w:rPr>
          <w:sz w:val="20"/>
          <w:lang w:val="fr-CA"/>
        </w:rPr>
      </w:pPr>
      <w:r w:rsidRPr="00137B67">
        <w:rPr>
          <w:sz w:val="20"/>
        </w:rPr>
        <w:tab/>
      </w:r>
      <w:r w:rsidRPr="00137B67">
        <w:rPr>
          <w:sz w:val="20"/>
          <w:lang w:val="fr-CA"/>
        </w:rPr>
        <w:t>Solicitors for the intervener Association des avocats de la défense de Montréal:  Poupart, Dadour, Touma et Associés, Montréal.</w:t>
      </w:r>
    </w:p>
    <w:p w:rsidR="00330120" w:rsidRDefault="00330120" w:rsidP="00330120">
      <w:pPr>
        <w:pStyle w:val="SCCLawFirm"/>
        <w:spacing w:line="240" w:lineRule="auto"/>
        <w:rPr>
          <w:sz w:val="20"/>
          <w:lang w:val="fr-CA"/>
        </w:rPr>
      </w:pPr>
    </w:p>
    <w:p w:rsidR="00330120" w:rsidRDefault="00330120" w:rsidP="00330120">
      <w:pPr>
        <w:pStyle w:val="SCCLawFirm"/>
        <w:spacing w:line="240" w:lineRule="auto"/>
        <w:rPr>
          <w:sz w:val="20"/>
          <w:lang w:val="fr-CA"/>
        </w:rPr>
      </w:pPr>
      <w:r w:rsidRPr="00137B67">
        <w:rPr>
          <w:sz w:val="20"/>
          <w:lang w:val="fr-CA"/>
        </w:rPr>
        <w:tab/>
        <w:t>Solicitors for the intervener Institut national de santé publique du Québec:  Desrosiers, Joncas, Massicotte, Montréal.</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330120" w:rsidRPr="00330120" w:rsidRDefault="00330120" w:rsidP="00330120">
      <w:pPr>
        <w:jc w:val="both"/>
        <w:rPr>
          <w:sz w:val="20"/>
          <w:szCs w:val="20"/>
          <w:lang w:val="fr-CA"/>
        </w:rPr>
      </w:pPr>
      <w:r w:rsidRPr="00330120">
        <w:rPr>
          <w:sz w:val="20"/>
          <w:szCs w:val="20"/>
          <w:lang w:val="fr-CA"/>
        </w:rPr>
        <w:lastRenderedPageBreak/>
        <w:t>Présents : La juge en chef McLachlin et les juges LeBel, Deschamps, Fish, Abella, Rothstein, Cromwell, Moldaver et Karakatsanis.</w:t>
      </w:r>
    </w:p>
    <w:p w:rsidR="00330120" w:rsidRPr="00330120" w:rsidRDefault="00330120" w:rsidP="00330120">
      <w:pPr>
        <w:pStyle w:val="SCCLowerCourtNameLowercase"/>
        <w:spacing w:line="240" w:lineRule="auto"/>
        <w:rPr>
          <w:sz w:val="20"/>
          <w:lang w:val="fr-CA"/>
        </w:rPr>
      </w:pPr>
    </w:p>
    <w:p w:rsidR="00330120" w:rsidRPr="00330120" w:rsidRDefault="00330120" w:rsidP="00330120">
      <w:pPr>
        <w:pStyle w:val="SCCNormalDoubleSpacing"/>
        <w:spacing w:line="240" w:lineRule="auto"/>
        <w:rPr>
          <w:i/>
          <w:sz w:val="20"/>
          <w:lang w:val="fr-CA"/>
        </w:rPr>
      </w:pPr>
      <w:r w:rsidRPr="00330120">
        <w:rPr>
          <w:sz w:val="20"/>
          <w:lang w:val="fr-CA"/>
        </w:rPr>
        <w:tab/>
      </w:r>
      <w:r w:rsidRPr="00330120">
        <w:rPr>
          <w:i/>
          <w:sz w:val="20"/>
          <w:lang w:val="fr-CA"/>
        </w:rPr>
        <w:t>Droit criminel — Agression sexuelle grave — Consentement — Fraude — Omission de révéler la séropositivité — Accusé sous traitement aux antirétroviraux ayant des rapports sexuels protégés et non protégés tout en se sachant séropositif — La démarche établie dans R. c. Cuerrier, [1998] 2 R.C.S. 371, demeure</w:t>
      </w:r>
      <w:r w:rsidRPr="00330120">
        <w:rPr>
          <w:i/>
          <w:sz w:val="20"/>
          <w:lang w:val="fr-CA"/>
        </w:rPr>
        <w:noBreakHyphen/>
        <w:t>t</w:t>
      </w:r>
      <w:r w:rsidRPr="00330120">
        <w:rPr>
          <w:i/>
          <w:sz w:val="20"/>
          <w:lang w:val="fr-CA"/>
        </w:rPr>
        <w:noBreakHyphen/>
        <w:t>elle valable pour déterminer si la fraude vicie le consentement aux rapports sexuels? — L’omission de révéler la séropositivité lorsqu’il n’existe aucune possibilité réaliste de transmission du VIH peut</w:t>
      </w:r>
      <w:r w:rsidRPr="00330120">
        <w:rPr>
          <w:i/>
          <w:sz w:val="20"/>
          <w:lang w:val="fr-CA"/>
        </w:rPr>
        <w:noBreakHyphen/>
        <w:t>elle constituer une fraude viciant le consentement? — Code criminel, L.R.C. 1985, ch. C</w:t>
      </w:r>
      <w:r w:rsidRPr="00330120">
        <w:rPr>
          <w:i/>
          <w:sz w:val="20"/>
          <w:lang w:val="fr-CA"/>
        </w:rPr>
        <w:noBreakHyphen/>
        <w:t xml:space="preserve">46, art. 265(3)c), 268, 273. </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tab/>
        <w:t>M a été inculpé de neuf chefs d’agression sexuelle grave par suite de son omission d’informer les neuf plaignantes de sa séropositivité avant d’avoir des rapports sexuels avec elles (al. 265(3)</w:t>
      </w:r>
      <w:r w:rsidRPr="00330120">
        <w:rPr>
          <w:i/>
          <w:sz w:val="20"/>
          <w:lang w:val="fr-CA"/>
        </w:rPr>
        <w:t>c</w:t>
      </w:r>
      <w:r w:rsidRPr="00330120">
        <w:rPr>
          <w:sz w:val="20"/>
          <w:lang w:val="fr-CA"/>
        </w:rPr>
        <w:t xml:space="preserve">) et art. 273 </w:t>
      </w:r>
      <w:r w:rsidRPr="00330120">
        <w:rPr>
          <w:i/>
          <w:sz w:val="20"/>
          <w:lang w:val="fr-CA"/>
        </w:rPr>
        <w:t>C. cr.</w:t>
      </w:r>
      <w:r w:rsidRPr="00330120">
        <w:rPr>
          <w:sz w:val="20"/>
          <w:lang w:val="fr-CA"/>
        </w:rPr>
        <w:t xml:space="preserve">).  Aucune des plaignantes n’a contracté le VIH.  La juge du procès a déclaré M coupable de six des chefs d’accusation et l’a acquitté des trois autres au motif qu’avoir des rapports sexuels en utilisant un condom lorsque la charge virale est indétectable n’expose pas le partenaire sexuel à un « risque important de lésions corporelles graves » comme l’exige l’arrêt </w:t>
      </w:r>
      <w:r w:rsidRPr="00330120">
        <w:rPr>
          <w:i/>
          <w:sz w:val="20"/>
          <w:lang w:val="fr-CA"/>
        </w:rPr>
        <w:t>Cuerrier</w:t>
      </w:r>
      <w:r w:rsidRPr="00330120">
        <w:rPr>
          <w:sz w:val="20"/>
          <w:lang w:val="fr-CA"/>
        </w:rPr>
        <w:t xml:space="preserve">.  La Cour d’appel a modifié la décision, concluant qu’une faible charge virale ou l’utilisation du condom pouvait écarter tout risque important.  Dès lors, M ne pouvait être déclaré coupable que de deux chefs, et la Cour d’appel a inscrit des acquittements pour les quatre autres.  Le ministère public a interjeté appel de ces acquittements. </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tab/>
      </w:r>
      <w:r w:rsidRPr="00330120">
        <w:rPr>
          <w:i/>
          <w:sz w:val="20"/>
          <w:lang w:val="fr-CA"/>
        </w:rPr>
        <w:t>Arrêt :</w:t>
      </w:r>
      <w:r w:rsidRPr="00330120">
        <w:rPr>
          <w:sz w:val="20"/>
          <w:lang w:val="fr-CA"/>
        </w:rPr>
        <w:t xml:space="preserve"> Le pourvoi est accueilli en partie, et les déclarations de culpabilité pour agression sexuelle grave sont rétablies relativement aux plaignantes S.H., D.C.S. et D.H. Le pourvoi est rejeté en ce qui concerne la plaignante K.G.  </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tab/>
        <w:t xml:space="preserve">Dans l’arrêt </w:t>
      </w:r>
      <w:r w:rsidRPr="00330120">
        <w:rPr>
          <w:i/>
          <w:sz w:val="20"/>
          <w:lang w:val="fr-CA"/>
        </w:rPr>
        <w:t>Cuerrier</w:t>
      </w:r>
      <w:r w:rsidRPr="00330120">
        <w:rPr>
          <w:sz w:val="20"/>
          <w:lang w:val="fr-CA"/>
        </w:rPr>
        <w:t>, notre Cour établit que l’omission de révéler sa séropositivité peut constituer une fraude viciant le consentement aux relations sexuelles pour l’application de l’al. 265(3)</w:t>
      </w:r>
      <w:r w:rsidRPr="00330120">
        <w:rPr>
          <w:i/>
          <w:sz w:val="20"/>
          <w:lang w:val="fr-CA"/>
        </w:rPr>
        <w:t>c</w:t>
      </w:r>
      <w:r w:rsidRPr="00330120">
        <w:rPr>
          <w:sz w:val="20"/>
          <w:lang w:val="fr-CA"/>
        </w:rPr>
        <w:t xml:space="preserve">) </w:t>
      </w:r>
      <w:r w:rsidRPr="00330120">
        <w:rPr>
          <w:i/>
          <w:sz w:val="20"/>
          <w:lang w:val="fr-CA"/>
        </w:rPr>
        <w:t>C. cr.</w:t>
      </w:r>
      <w:r w:rsidRPr="00330120">
        <w:rPr>
          <w:sz w:val="20"/>
          <w:lang w:val="fr-CA"/>
        </w:rPr>
        <w:t xml:space="preserve"> Étant donné que le VIH présente un risque de lésions corporelles graves, l’infraction applicable est celle d’agression sexuelle grave (art. 273 </w:t>
      </w:r>
      <w:r w:rsidRPr="00330120">
        <w:rPr>
          <w:i/>
          <w:sz w:val="20"/>
          <w:lang w:val="fr-CA"/>
        </w:rPr>
        <w:t>C. cr.</w:t>
      </w:r>
      <w:r w:rsidRPr="00330120">
        <w:rPr>
          <w:sz w:val="20"/>
          <w:lang w:val="fr-CA"/>
        </w:rPr>
        <w:t>).  Pour obtenir une déclaration de culpabilité sous le régime de l’al. 265(3)</w:t>
      </w:r>
      <w:r w:rsidRPr="00330120">
        <w:rPr>
          <w:i/>
          <w:sz w:val="20"/>
          <w:lang w:val="fr-CA"/>
        </w:rPr>
        <w:t>c</w:t>
      </w:r>
      <w:r w:rsidRPr="00330120">
        <w:rPr>
          <w:sz w:val="20"/>
          <w:lang w:val="fr-CA"/>
        </w:rPr>
        <w:t>) et de l’art. 273, le ministère public doit démontrer, hors de tout doute raisonnable, que le consentement du plaignant aux relations sexuelles est vicié par la fraude de l’accusé concernant sa séropositivité.  Le critère exige essentiellement deux choses : (1) </w:t>
      </w:r>
      <w:r w:rsidRPr="00330120">
        <w:rPr>
          <w:i/>
          <w:sz w:val="20"/>
          <w:lang w:val="fr-CA"/>
        </w:rPr>
        <w:t>un acte malhonnête</w:t>
      </w:r>
      <w:r w:rsidRPr="00330120">
        <w:rPr>
          <w:sz w:val="20"/>
          <w:lang w:val="fr-CA"/>
        </w:rPr>
        <w:t xml:space="preserve"> (le mensonge sur l’état de santé ou l’omission de révéler la séropositivité) et (2) </w:t>
      </w:r>
      <w:r w:rsidRPr="00330120">
        <w:rPr>
          <w:i/>
          <w:sz w:val="20"/>
          <w:lang w:val="fr-CA"/>
        </w:rPr>
        <w:t>la privation</w:t>
      </w:r>
      <w:r w:rsidRPr="00330120">
        <w:rPr>
          <w:sz w:val="20"/>
          <w:lang w:val="fr-CA"/>
        </w:rPr>
        <w:t xml:space="preserve"> (d’éléments d’information qui auraient causé le refus du plaignant d’avoir des relations sexuelles l’exposant à un risque important de lésions corporelles graves).  L’omission de révéler peut constituer une fraude lorsque le plaignant n’aurait pas donné son consentement s’il avait su que l’accusé était séropositif et lorsqu’un contact sexuel présente un risque important de lésions corporelles graves ou inflige effectivement de telles lésions. </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tab/>
        <w:t xml:space="preserve">Le critère issu de l’arrêt </w:t>
      </w:r>
      <w:r w:rsidRPr="00330120">
        <w:rPr>
          <w:i/>
          <w:sz w:val="20"/>
          <w:lang w:val="fr-CA"/>
        </w:rPr>
        <w:t>Cuerrier</w:t>
      </w:r>
      <w:r w:rsidRPr="00330120">
        <w:rPr>
          <w:sz w:val="20"/>
          <w:lang w:val="fr-CA"/>
        </w:rPr>
        <w:t xml:space="preserve"> fait l’objet de deux critiques principales.  Premièrement, on lui reproche son caractère incertain en ce qu’il ne permet pas de départager clairement actes criminels et actes non criminels. Deuxièmement, il confère au droit criminel une portée soit trop grande, soit trop restreinte (le problème de la portée). Bien qu’il puisse être difficile à appliquer, le critère de l’arrêt </w:t>
      </w:r>
      <w:r w:rsidRPr="00330120">
        <w:rPr>
          <w:i/>
          <w:sz w:val="20"/>
          <w:lang w:val="fr-CA"/>
        </w:rPr>
        <w:t xml:space="preserve">Cuerrier </w:t>
      </w:r>
      <w:r w:rsidRPr="00330120">
        <w:rPr>
          <w:sz w:val="20"/>
          <w:lang w:val="fr-CA"/>
        </w:rPr>
        <w:t>demeure valable sur le plan des principes.  Il circonscrit avec justesse la portée du droit criminel — réprimer les actes qui exposent à un « risque important de lésions corporelles graves ». La notion de consentement qui le sous</w:t>
      </w:r>
      <w:r w:rsidRPr="00330120">
        <w:rPr>
          <w:sz w:val="20"/>
          <w:lang w:val="fr-CA"/>
        </w:rPr>
        <w:noBreakHyphen/>
        <w:t>tend s’inspire de la sagesse de la common law (qui s’abstient de criminaliser toute tromperie incitant à consentir à un rapport sexuel) tout en accordant une grande importance au consentement.</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tab/>
        <w:t xml:space="preserve">L’exigence d’un « risque important de lésions corporelles graves » formulée dans l’arrêt </w:t>
      </w:r>
      <w:r w:rsidRPr="00330120">
        <w:rPr>
          <w:i/>
          <w:sz w:val="20"/>
          <w:lang w:val="fr-CA"/>
        </w:rPr>
        <w:t xml:space="preserve">Cuerrier </w:t>
      </w:r>
      <w:r w:rsidRPr="00330120">
        <w:rPr>
          <w:sz w:val="20"/>
          <w:lang w:val="fr-CA"/>
        </w:rPr>
        <w:t xml:space="preserve">doit être interprétée comme obligeant une personne à révéler sa séropositivité lorsqu’il existe une possibilité réaliste de transmission du VIH. Cette interprétation est étayée par l’évolution de la common law et des lois en matière de fraude viciant le consentement aux relations sexuelles. Elle est en outre dans le droit fil des valeurs d’autonomie et d’égalité de la </w:t>
      </w:r>
      <w:r w:rsidRPr="00330120">
        <w:rPr>
          <w:i/>
          <w:sz w:val="20"/>
          <w:lang w:val="fr-CA"/>
        </w:rPr>
        <w:t>Charte</w:t>
      </w:r>
      <w:r w:rsidRPr="00330120">
        <w:rPr>
          <w:sz w:val="20"/>
          <w:lang w:val="fr-CA"/>
        </w:rPr>
        <w:t xml:space="preserve"> qui ont pour effet de protéger le droit de chacun de consentir ou non à des rapports sexuels avec une personne en particulier.  Aussi, cette interprétation tient dûment compte de la nature du préjudice causé par la transmission du VIH et elle ne place la barre ni trop haut ni trop bas pour qu’il puisse y avoir déclaration de culpabilité.  En l’absence de possibilité réaliste de transmission du VIH, l’omission de dévoiler sa séropositivité ne constitue pas une fraude viciant le consentement aux relations sexuelles pour l’application de l’al. 265(3)</w:t>
      </w:r>
      <w:r w:rsidRPr="00330120">
        <w:rPr>
          <w:i/>
          <w:sz w:val="20"/>
          <w:lang w:val="fr-CA"/>
        </w:rPr>
        <w:t>c</w:t>
      </w:r>
      <w:r w:rsidRPr="00330120">
        <w:rPr>
          <w:sz w:val="20"/>
          <w:lang w:val="fr-CA"/>
        </w:rPr>
        <w:t>).</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lastRenderedPageBreak/>
        <w:tab/>
        <w:t xml:space="preserve">Il appert généralement de la preuve admise au procès que la possibilité réaliste de transmission du VIH n’est pas établie dans la mesure où, (i) au moment considéré, la charge virale de l’accusé était faible </w:t>
      </w:r>
      <w:r w:rsidRPr="00330120">
        <w:rPr>
          <w:i/>
          <w:sz w:val="20"/>
          <w:lang w:val="fr-CA"/>
        </w:rPr>
        <w:t>et</w:t>
      </w:r>
      <w:r w:rsidRPr="00330120">
        <w:rPr>
          <w:sz w:val="20"/>
          <w:lang w:val="fr-CA"/>
        </w:rPr>
        <w:t xml:space="preserve"> (ii) un condom a été utilisé.  Cet énoncé général n’empêche pas la common law de s’adapter aux futures avancées thérapeutiques et aux circonstances où des facteurs de risque différents sont en cause. </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tab/>
        <w:t>En l’espèce, les quatre plaignantes ont toutes consenti aux rapports sexuels avec M et témoigné qu’elles n’auraient pas eu ces rapports si elles avaient su que M était séropositif.  Il y a eu pénétration vaginale et éjaculation lors des rapports sexuels avec les quatre plaignantes.  Lors de ses relations sexuelles avec S.H., D.C.S. et D.H., M avait une charge virale faible, mais il n’a pas utilisé de condom. Les déclarations de culpabilité doivent donc être confirmées dans ces cas.  En ce qui concerne K.G., le dossier révèle que la charge virale de M était faible.  Combinée à l’utilisation du condom, cette charge virale faible n’a pas exposé K.G. à un risque important de lésions corporelles graves. Par conséquent, la déclaration de culpabilité prononcée dans ce cas doit être annulée.</w:t>
      </w:r>
    </w:p>
    <w:p w:rsidR="00330120" w:rsidRPr="00330120" w:rsidRDefault="00330120" w:rsidP="00330120">
      <w:pPr>
        <w:pStyle w:val="SCCNormalDoubleSpacing"/>
        <w:spacing w:line="240" w:lineRule="auto"/>
        <w:rPr>
          <w:sz w:val="20"/>
          <w:lang w:val="fr-CA"/>
        </w:rPr>
      </w:pPr>
    </w:p>
    <w:p w:rsidR="00330120" w:rsidRPr="00330120" w:rsidRDefault="00330120" w:rsidP="00330120">
      <w:pPr>
        <w:pStyle w:val="SCCNormalDoubleSpacing"/>
        <w:spacing w:line="240" w:lineRule="auto"/>
        <w:rPr>
          <w:sz w:val="20"/>
          <w:lang w:val="fr-CA"/>
        </w:rPr>
      </w:pPr>
      <w:r w:rsidRPr="00330120">
        <w:rPr>
          <w:sz w:val="20"/>
          <w:lang w:val="fr-CA"/>
        </w:rPr>
        <w:tab/>
        <w:t>POURVOI contre un arrêt de la Cour d’appel du Manitoba (les juges Steel, MacInnes et Beard), 2010 MBCA 93, 258 Man. R. (2d) 166, 261 C.C.C. (3d) 520, 79 C.R. (6th) 1, [2011] 2 W.W.R. 211, [2010] M.J. No. 308 (QL), 2010 CarswellMan 587, qui a annulé des déclarations de culpabilité d’agression sexuelle grave inscrites par la juge McKelvey, 2008 MBQB 201, 230 Man. R. (2d) 184, [2008] M.J. No. 277 (QL), 2008 CarswellMan 406.  Pourvoi accueilli en partie.</w:t>
      </w:r>
    </w:p>
    <w:p w:rsidR="00330120" w:rsidRPr="00330120" w:rsidRDefault="00330120" w:rsidP="00330120">
      <w:pPr>
        <w:pStyle w:val="SCCNormalDoubleSpacing"/>
        <w:spacing w:line="240" w:lineRule="auto"/>
        <w:rPr>
          <w:i/>
          <w:sz w:val="20"/>
          <w:lang w:val="fr-CA"/>
        </w:rPr>
      </w:pPr>
    </w:p>
    <w:p w:rsidR="00330120" w:rsidRPr="00330120" w:rsidRDefault="00330120" w:rsidP="00330120">
      <w:pPr>
        <w:pStyle w:val="SCCNormalDoubleSpacing"/>
        <w:spacing w:line="240" w:lineRule="auto"/>
        <w:rPr>
          <w:sz w:val="20"/>
          <w:lang w:val="fr-CA"/>
        </w:rPr>
      </w:pPr>
      <w:r w:rsidRPr="00330120">
        <w:rPr>
          <w:i/>
          <w:sz w:val="20"/>
          <w:lang w:val="fr-CA"/>
        </w:rPr>
        <w:tab/>
        <w:t>Elizabeth Thomson</w:t>
      </w:r>
      <w:r w:rsidRPr="00330120">
        <w:rPr>
          <w:sz w:val="20"/>
          <w:lang w:val="fr-CA"/>
        </w:rPr>
        <w:t xml:space="preserve"> et </w:t>
      </w:r>
      <w:r w:rsidRPr="00330120">
        <w:rPr>
          <w:i/>
          <w:sz w:val="20"/>
          <w:lang w:val="fr-CA"/>
        </w:rPr>
        <w:t>Ami Kotler</w:t>
      </w:r>
      <w:r w:rsidRPr="00330120">
        <w:rPr>
          <w:sz w:val="20"/>
          <w:lang w:val="fr-CA"/>
        </w:rPr>
        <w:t>, pour l’appelante.</w:t>
      </w:r>
    </w:p>
    <w:p w:rsidR="00330120" w:rsidRPr="00330120" w:rsidRDefault="00330120" w:rsidP="00330120">
      <w:pPr>
        <w:pStyle w:val="SCCNormalDoubleSpacing"/>
        <w:spacing w:line="240" w:lineRule="auto"/>
        <w:rPr>
          <w:i/>
          <w:sz w:val="20"/>
          <w:lang w:val="fr-CA"/>
        </w:rPr>
      </w:pPr>
    </w:p>
    <w:p w:rsidR="00330120" w:rsidRPr="00330120" w:rsidRDefault="00330120" w:rsidP="00330120">
      <w:pPr>
        <w:pStyle w:val="SCCNormalDoubleSpacing"/>
        <w:spacing w:line="240" w:lineRule="auto"/>
        <w:rPr>
          <w:sz w:val="20"/>
          <w:lang w:val="fr-CA"/>
        </w:rPr>
      </w:pPr>
      <w:r w:rsidRPr="00330120">
        <w:rPr>
          <w:i/>
          <w:sz w:val="20"/>
          <w:lang w:val="fr-CA"/>
        </w:rPr>
        <w:tab/>
        <w:t>Amanda Sansregret et Corey La Berge</w:t>
      </w:r>
      <w:r w:rsidRPr="00330120">
        <w:rPr>
          <w:sz w:val="20"/>
          <w:lang w:val="fr-CA"/>
        </w:rPr>
        <w:t>, pour l’intimé.</w:t>
      </w:r>
    </w:p>
    <w:p w:rsidR="00330120" w:rsidRPr="00330120" w:rsidRDefault="00330120" w:rsidP="00330120">
      <w:pPr>
        <w:pStyle w:val="SCCNormalDoubleSpacing"/>
        <w:spacing w:line="240" w:lineRule="auto"/>
        <w:rPr>
          <w:i/>
          <w:sz w:val="20"/>
          <w:lang w:val="fr-CA"/>
        </w:rPr>
      </w:pPr>
    </w:p>
    <w:p w:rsidR="00330120" w:rsidRPr="00330120" w:rsidRDefault="00330120" w:rsidP="00330120">
      <w:pPr>
        <w:pStyle w:val="SCCNormalDoubleSpacing"/>
        <w:spacing w:line="240" w:lineRule="auto"/>
        <w:rPr>
          <w:sz w:val="20"/>
          <w:lang w:val="fr-CA"/>
        </w:rPr>
      </w:pPr>
      <w:r w:rsidRPr="00330120">
        <w:rPr>
          <w:i/>
          <w:sz w:val="20"/>
          <w:lang w:val="fr-CA"/>
        </w:rPr>
        <w:tab/>
        <w:t>Jonathan Shime</w:t>
      </w:r>
      <w:r w:rsidRPr="00330120">
        <w:rPr>
          <w:sz w:val="20"/>
          <w:lang w:val="fr-CA"/>
        </w:rPr>
        <w:t xml:space="preserve">, </w:t>
      </w:r>
      <w:r w:rsidRPr="00330120">
        <w:rPr>
          <w:i/>
          <w:sz w:val="20"/>
          <w:lang w:val="fr-CA"/>
        </w:rPr>
        <w:t xml:space="preserve">Corie Langdon, Richard Elliott </w:t>
      </w:r>
      <w:r w:rsidRPr="00330120">
        <w:rPr>
          <w:sz w:val="20"/>
          <w:lang w:val="fr-CA"/>
        </w:rPr>
        <w:t xml:space="preserve">et </w:t>
      </w:r>
      <w:r w:rsidRPr="00330120">
        <w:rPr>
          <w:i/>
          <w:sz w:val="20"/>
          <w:lang w:val="fr-CA"/>
        </w:rPr>
        <w:t>Ryan Peck</w:t>
      </w:r>
      <w:r w:rsidRPr="00330120">
        <w:rPr>
          <w:sz w:val="20"/>
          <w:lang w:val="fr-CA"/>
        </w:rPr>
        <w:t>, pour les intervenants le Réseau juridique canadien VIH/sida, HIV &amp; AIDS Legal Clinic Ontario, la Coalition des organismes communautaires québécois de lutte contre le sida, Positive Living Society of British Columbia, la Société canadienne du sida, Toronto People With AIDS Foundation, Black Coalition for AIDS Prevention et le Réseau canadien autochtone du sida.</w:t>
      </w:r>
    </w:p>
    <w:p w:rsidR="00330120" w:rsidRPr="00330120" w:rsidRDefault="00330120" w:rsidP="00330120">
      <w:pPr>
        <w:pStyle w:val="SCCNormalDoubleSpacing"/>
        <w:spacing w:line="240" w:lineRule="auto"/>
        <w:rPr>
          <w:i/>
          <w:sz w:val="20"/>
          <w:lang w:val="fr-CA"/>
        </w:rPr>
      </w:pPr>
    </w:p>
    <w:p w:rsidR="00330120" w:rsidRPr="00330120" w:rsidRDefault="00330120" w:rsidP="00330120">
      <w:pPr>
        <w:pStyle w:val="SCCNormalDoubleSpacing"/>
        <w:spacing w:line="240" w:lineRule="auto"/>
        <w:rPr>
          <w:sz w:val="20"/>
          <w:lang w:val="fr-CA"/>
        </w:rPr>
      </w:pPr>
      <w:r w:rsidRPr="00330120">
        <w:rPr>
          <w:i/>
          <w:sz w:val="20"/>
          <w:lang w:val="fr-CA"/>
        </w:rPr>
        <w:tab/>
        <w:t>Michael A. Feder</w:t>
      </w:r>
      <w:r w:rsidRPr="00330120">
        <w:rPr>
          <w:sz w:val="20"/>
          <w:lang w:val="fr-CA"/>
        </w:rPr>
        <w:t xml:space="preserve"> et </w:t>
      </w:r>
      <w:r w:rsidRPr="00330120">
        <w:rPr>
          <w:i/>
          <w:sz w:val="20"/>
          <w:lang w:val="fr-CA"/>
        </w:rPr>
        <w:t>Angela M. Juba</w:t>
      </w:r>
      <w:r w:rsidRPr="00330120">
        <w:rPr>
          <w:sz w:val="20"/>
          <w:lang w:val="fr-CA"/>
        </w:rPr>
        <w:t>, pour l’intervenante l’Association des libertés civiles de la Colombie</w:t>
      </w:r>
      <w:r w:rsidRPr="00330120">
        <w:rPr>
          <w:sz w:val="20"/>
          <w:lang w:val="fr-CA"/>
        </w:rPr>
        <w:noBreakHyphen/>
        <w:t>Britannique.</w:t>
      </w:r>
    </w:p>
    <w:p w:rsidR="00330120" w:rsidRPr="00330120" w:rsidRDefault="00330120" w:rsidP="00330120">
      <w:pPr>
        <w:pStyle w:val="SCCNormalDoubleSpacing"/>
        <w:spacing w:line="240" w:lineRule="auto"/>
        <w:rPr>
          <w:i/>
          <w:sz w:val="20"/>
          <w:lang w:val="fr-CA"/>
        </w:rPr>
      </w:pPr>
    </w:p>
    <w:p w:rsidR="00330120" w:rsidRPr="00330120" w:rsidRDefault="00330120" w:rsidP="00330120">
      <w:pPr>
        <w:pStyle w:val="SCCNormalDoubleSpacing"/>
        <w:spacing w:line="240" w:lineRule="auto"/>
        <w:rPr>
          <w:sz w:val="20"/>
          <w:lang w:val="fr-CA"/>
        </w:rPr>
      </w:pPr>
      <w:r w:rsidRPr="00330120">
        <w:rPr>
          <w:i/>
          <w:sz w:val="20"/>
          <w:lang w:val="fr-CA"/>
        </w:rPr>
        <w:tab/>
        <w:t>P. Andras Schreck</w:t>
      </w:r>
      <w:r w:rsidRPr="00330120">
        <w:rPr>
          <w:sz w:val="20"/>
          <w:lang w:val="fr-CA"/>
        </w:rPr>
        <w:t xml:space="preserve"> et </w:t>
      </w:r>
      <w:r w:rsidRPr="00330120">
        <w:rPr>
          <w:i/>
          <w:sz w:val="20"/>
          <w:lang w:val="fr-CA"/>
        </w:rPr>
        <w:t>Candice Suter</w:t>
      </w:r>
      <w:r w:rsidRPr="00330120">
        <w:rPr>
          <w:sz w:val="20"/>
          <w:lang w:val="fr-CA"/>
        </w:rPr>
        <w:t>, pour l’intervenante Criminal Lawyers’ Association of Ontario.</w:t>
      </w:r>
    </w:p>
    <w:p w:rsidR="00330120" w:rsidRPr="00330120" w:rsidRDefault="00330120" w:rsidP="00330120">
      <w:pPr>
        <w:pStyle w:val="SCCNormalDoubleSpacing"/>
        <w:spacing w:line="240" w:lineRule="auto"/>
        <w:rPr>
          <w:i/>
          <w:sz w:val="20"/>
          <w:lang w:val="fr-CA"/>
        </w:rPr>
      </w:pPr>
    </w:p>
    <w:p w:rsidR="00330120" w:rsidRPr="00330120" w:rsidRDefault="00330120" w:rsidP="00330120">
      <w:pPr>
        <w:pStyle w:val="SCCNormalDoubleSpacing"/>
        <w:spacing w:line="240" w:lineRule="auto"/>
        <w:rPr>
          <w:sz w:val="20"/>
          <w:lang w:val="fr-CA"/>
        </w:rPr>
      </w:pPr>
      <w:r w:rsidRPr="00330120">
        <w:rPr>
          <w:i/>
          <w:sz w:val="20"/>
          <w:lang w:val="fr-CA"/>
        </w:rPr>
        <w:tab/>
        <w:t>François Dadour</w:t>
      </w:r>
      <w:r w:rsidRPr="00330120">
        <w:rPr>
          <w:sz w:val="20"/>
          <w:lang w:val="fr-CA"/>
        </w:rPr>
        <w:t>, pour l’intervenante l’Association des avocats de la défense de Montréal.</w:t>
      </w:r>
    </w:p>
    <w:p w:rsidR="00330120" w:rsidRPr="00330120" w:rsidRDefault="00330120" w:rsidP="00330120">
      <w:pPr>
        <w:pStyle w:val="SCCNormalDoubleSpacing"/>
        <w:spacing w:line="240" w:lineRule="auto"/>
        <w:rPr>
          <w:i/>
          <w:sz w:val="20"/>
          <w:lang w:val="fr-CA"/>
        </w:rPr>
      </w:pPr>
    </w:p>
    <w:p w:rsidR="00330120" w:rsidRPr="00330120" w:rsidRDefault="00330120" w:rsidP="00330120">
      <w:pPr>
        <w:pStyle w:val="SCCNormalDoubleSpacing"/>
        <w:spacing w:line="240" w:lineRule="auto"/>
        <w:rPr>
          <w:sz w:val="20"/>
          <w:lang w:val="fr-CA"/>
        </w:rPr>
      </w:pPr>
      <w:r w:rsidRPr="00330120">
        <w:rPr>
          <w:i/>
          <w:sz w:val="20"/>
          <w:lang w:val="fr-CA"/>
        </w:rPr>
        <w:tab/>
        <w:t>Lucie Joncas et François Côté</w:t>
      </w:r>
      <w:r w:rsidRPr="00330120">
        <w:rPr>
          <w:sz w:val="20"/>
          <w:lang w:val="fr-CA"/>
        </w:rPr>
        <w:t>, pour l’intervenant l’Institut national de santé publique du Québec.</w:t>
      </w:r>
    </w:p>
    <w:p w:rsidR="00330120" w:rsidRPr="00330120" w:rsidRDefault="00330120" w:rsidP="00330120">
      <w:pPr>
        <w:pStyle w:val="SCCLawFirm"/>
        <w:spacing w:line="240" w:lineRule="auto"/>
        <w:rPr>
          <w:sz w:val="20"/>
          <w:lang w:val="fr-CA"/>
        </w:rPr>
      </w:pPr>
    </w:p>
    <w:p w:rsidR="00330120" w:rsidRPr="00330120" w:rsidRDefault="00330120" w:rsidP="00330120">
      <w:pPr>
        <w:pStyle w:val="SCCLawFirm"/>
        <w:spacing w:line="240" w:lineRule="auto"/>
        <w:rPr>
          <w:sz w:val="20"/>
          <w:lang w:val="fr-CA"/>
        </w:rPr>
      </w:pPr>
      <w:r w:rsidRPr="00330120">
        <w:rPr>
          <w:sz w:val="20"/>
          <w:lang w:val="fr-CA"/>
        </w:rPr>
        <w:tab/>
        <w:t>Procureur de l’appelante : Procureur général du Manitoba, Winnipeg.</w:t>
      </w:r>
    </w:p>
    <w:p w:rsidR="00330120" w:rsidRPr="00330120" w:rsidRDefault="00330120" w:rsidP="00330120">
      <w:pPr>
        <w:pStyle w:val="SCCLawFirm"/>
        <w:spacing w:line="240" w:lineRule="auto"/>
        <w:rPr>
          <w:sz w:val="20"/>
          <w:lang w:val="fr-CA"/>
        </w:rPr>
      </w:pPr>
    </w:p>
    <w:p w:rsidR="00330120" w:rsidRPr="00330120" w:rsidRDefault="00330120" w:rsidP="00330120">
      <w:pPr>
        <w:pStyle w:val="SCCLawFirm"/>
        <w:spacing w:line="240" w:lineRule="auto"/>
        <w:rPr>
          <w:sz w:val="20"/>
          <w:lang w:val="fr-CA"/>
        </w:rPr>
      </w:pPr>
      <w:r w:rsidRPr="00330120">
        <w:rPr>
          <w:sz w:val="20"/>
          <w:lang w:val="fr-CA"/>
        </w:rPr>
        <w:tab/>
        <w:t>Procureur de l’intimé : Aide juridique Manitoba, Winnipeg.</w:t>
      </w:r>
    </w:p>
    <w:p w:rsidR="00330120" w:rsidRPr="00330120" w:rsidRDefault="00330120" w:rsidP="00330120">
      <w:pPr>
        <w:pStyle w:val="SCCLawFirm"/>
        <w:spacing w:line="240" w:lineRule="auto"/>
        <w:rPr>
          <w:sz w:val="20"/>
          <w:lang w:val="fr-CA"/>
        </w:rPr>
      </w:pPr>
    </w:p>
    <w:p w:rsidR="00330120" w:rsidRPr="00330120" w:rsidRDefault="00330120" w:rsidP="00330120">
      <w:pPr>
        <w:pStyle w:val="SCCLawFirm"/>
        <w:spacing w:line="240" w:lineRule="auto"/>
        <w:rPr>
          <w:sz w:val="20"/>
          <w:lang w:val="fr-CA"/>
        </w:rPr>
      </w:pPr>
      <w:r w:rsidRPr="00330120">
        <w:rPr>
          <w:sz w:val="20"/>
          <w:lang w:val="fr-CA"/>
        </w:rPr>
        <w:tab/>
        <w:t>Procureurs des intervenants le Réseau juridique canadien VIH/sida, HIV &amp; AIDS Legal Clinic Ontario, la Coalition des organismes communautaires québécois de lutte contre le sida, Positive Living Society of British Columbia, la Société canadienne du sida, Toronto People With AIDS Foundation, Black Coalition for AIDS Prevention et le Réseau canadien autochtone du sida : Cooper &amp; Sandler, Toronto.</w:t>
      </w:r>
    </w:p>
    <w:p w:rsidR="00330120" w:rsidRPr="00330120" w:rsidRDefault="00330120" w:rsidP="00330120">
      <w:pPr>
        <w:pStyle w:val="SCCLawFirm"/>
        <w:spacing w:line="240" w:lineRule="auto"/>
        <w:rPr>
          <w:sz w:val="20"/>
          <w:lang w:val="fr-CA"/>
        </w:rPr>
      </w:pPr>
    </w:p>
    <w:p w:rsidR="00330120" w:rsidRPr="00330120" w:rsidRDefault="00330120" w:rsidP="00330120">
      <w:pPr>
        <w:pStyle w:val="SCCLawFirm"/>
        <w:spacing w:line="240" w:lineRule="auto"/>
        <w:rPr>
          <w:sz w:val="20"/>
          <w:lang w:val="fr-CA"/>
        </w:rPr>
      </w:pPr>
      <w:r w:rsidRPr="00330120">
        <w:rPr>
          <w:sz w:val="20"/>
          <w:lang w:val="fr-CA"/>
        </w:rPr>
        <w:tab/>
        <w:t>Procureurs de l’intervenante l’Association des libertés civiles de la Colombie</w:t>
      </w:r>
      <w:r w:rsidRPr="00330120">
        <w:rPr>
          <w:sz w:val="20"/>
          <w:lang w:val="fr-CA"/>
        </w:rPr>
        <w:noBreakHyphen/>
        <w:t>Britannique : McCarthy Tétrault, Vancouver.</w:t>
      </w:r>
    </w:p>
    <w:p w:rsidR="00330120" w:rsidRPr="00330120" w:rsidRDefault="00330120" w:rsidP="00330120">
      <w:pPr>
        <w:pStyle w:val="SCCLawFirm"/>
        <w:spacing w:line="240" w:lineRule="auto"/>
        <w:rPr>
          <w:sz w:val="20"/>
          <w:lang w:val="fr-CA"/>
        </w:rPr>
      </w:pPr>
    </w:p>
    <w:p w:rsidR="00330120" w:rsidRPr="00330120" w:rsidRDefault="00330120" w:rsidP="00330120">
      <w:pPr>
        <w:pStyle w:val="SCCLawFirm"/>
        <w:spacing w:line="240" w:lineRule="auto"/>
        <w:rPr>
          <w:sz w:val="20"/>
          <w:lang w:val="fr-CA"/>
        </w:rPr>
      </w:pPr>
      <w:r w:rsidRPr="00330120">
        <w:rPr>
          <w:sz w:val="20"/>
          <w:lang w:val="fr-CA"/>
        </w:rPr>
        <w:tab/>
        <w:t>Procureurs de l’intervenante Criminal Lawyers’ Association of Ontario : Schreck Presser, Toronto.</w:t>
      </w:r>
    </w:p>
    <w:p w:rsidR="00330120" w:rsidRPr="00330120" w:rsidRDefault="00330120" w:rsidP="00330120">
      <w:pPr>
        <w:pStyle w:val="SCCLawFirm"/>
        <w:spacing w:line="240" w:lineRule="auto"/>
        <w:rPr>
          <w:sz w:val="20"/>
          <w:lang w:val="fr-CA"/>
        </w:rPr>
      </w:pPr>
    </w:p>
    <w:p w:rsidR="00330120" w:rsidRDefault="00330120">
      <w:pPr>
        <w:rPr>
          <w:rFonts w:eastAsia="Times New Roman" w:cs="Times New Roman"/>
          <w:i/>
          <w:sz w:val="20"/>
          <w:szCs w:val="20"/>
          <w:lang w:val="fr-CA" w:eastAsia="en-CA"/>
        </w:rPr>
      </w:pPr>
      <w:r>
        <w:rPr>
          <w:sz w:val="20"/>
          <w:lang w:val="fr-CA"/>
        </w:rPr>
        <w:br w:type="page"/>
      </w:r>
    </w:p>
    <w:p w:rsidR="00330120" w:rsidRPr="00330120" w:rsidRDefault="00330120" w:rsidP="00330120">
      <w:pPr>
        <w:pStyle w:val="SCCLawFirm"/>
        <w:spacing w:line="240" w:lineRule="auto"/>
        <w:rPr>
          <w:sz w:val="20"/>
          <w:lang w:val="fr-CA"/>
        </w:rPr>
      </w:pPr>
      <w:r w:rsidRPr="00330120">
        <w:rPr>
          <w:sz w:val="20"/>
          <w:lang w:val="fr-CA"/>
        </w:rPr>
        <w:lastRenderedPageBreak/>
        <w:tab/>
        <w:t>Procureurs de l’intervenante l’Association des avocats de la défense de Montréal : Poupart, Dadour, Touma et Associés, Montréal.</w:t>
      </w:r>
    </w:p>
    <w:p w:rsidR="00330120" w:rsidRPr="00330120" w:rsidRDefault="00330120" w:rsidP="00330120">
      <w:pPr>
        <w:pStyle w:val="SCCLawFirm"/>
        <w:spacing w:line="240" w:lineRule="auto"/>
        <w:rPr>
          <w:sz w:val="20"/>
          <w:lang w:val="fr-CA"/>
        </w:rPr>
      </w:pPr>
    </w:p>
    <w:p w:rsidR="00330120" w:rsidRPr="00330120" w:rsidRDefault="00330120" w:rsidP="00330120">
      <w:pPr>
        <w:pStyle w:val="SCCLawFirm"/>
        <w:spacing w:line="240" w:lineRule="auto"/>
        <w:rPr>
          <w:sz w:val="20"/>
          <w:lang w:val="fr-CA"/>
        </w:rPr>
      </w:pPr>
      <w:r w:rsidRPr="00330120">
        <w:rPr>
          <w:sz w:val="20"/>
          <w:lang w:val="fr-CA"/>
        </w:rPr>
        <w:tab/>
        <w:t>Procureurs de l’intervenant l’Institut national de santé publique du Québec : Desrosiers, Joncas, Massicotte, Montréal.</w:t>
      </w:r>
    </w:p>
    <w:p w:rsidR="003B3977" w:rsidRDefault="003B3977" w:rsidP="005C6840">
      <w:pPr>
        <w:rPr>
          <w:rFonts w:cs="Times New Roman"/>
          <w:sz w:val="20"/>
          <w:szCs w:val="20"/>
          <w:lang w:val="fr-CA"/>
        </w:rPr>
      </w:pPr>
    </w:p>
    <w:p w:rsidR="005C6840" w:rsidRDefault="002B77C5" w:rsidP="005C6840">
      <w:pPr>
        <w:rPr>
          <w:lang w:val="fr-CA"/>
        </w:rPr>
      </w:pPr>
      <w:r w:rsidRPr="002B77C5">
        <w:rPr>
          <w:rFonts w:cs="Times New Roman"/>
          <w:sz w:val="20"/>
          <w:szCs w:val="20"/>
          <w:lang w:val="fr-CA"/>
        </w:rPr>
        <w:pict>
          <v:rect id="_x0000_i1087" style="width:144.3pt;height:1pt" o:hrpct="300" o:hralign="center" o:hrstd="t" o:hrnoshade="t" o:hr="t" fillcolor="black [3213]" stroked="f"/>
        </w:pict>
      </w:r>
      <w:r w:rsidR="005C6840">
        <w:rPr>
          <w:lang w:val="fr-CA"/>
        </w:rPr>
        <w:br w:type="page"/>
      </w:r>
    </w:p>
    <w:p w:rsidR="00196AAC" w:rsidRPr="007B6EEE" w:rsidRDefault="00196AAC" w:rsidP="00196AAC">
      <w:pPr>
        <w:ind w:left="720" w:hanging="720"/>
        <w:rPr>
          <w:rFonts w:eastAsia="Calibri" w:cs="Times New Roman"/>
          <w:sz w:val="20"/>
          <w:szCs w:val="20"/>
          <w:lang w:val="fr-CA"/>
        </w:rPr>
      </w:pPr>
      <w:r w:rsidRPr="007B6EEE">
        <w:rPr>
          <w:rFonts w:eastAsia="Calibri" w:cs="Times New Roman"/>
          <w:i/>
          <w:sz w:val="20"/>
          <w:szCs w:val="20"/>
          <w:lang w:val="fr-CA"/>
        </w:rPr>
        <w:lastRenderedPageBreak/>
        <w:t>Sa Majesté la Reine c. D.C.</w:t>
      </w:r>
      <w:r w:rsidRPr="007B6EEE">
        <w:rPr>
          <w:rFonts w:eastAsia="Calibri" w:cs="Times New Roman"/>
          <w:sz w:val="20"/>
          <w:szCs w:val="20"/>
          <w:lang w:val="fr-CA"/>
        </w:rPr>
        <w:t xml:space="preserve"> (Qc) (34094)</w:t>
      </w:r>
    </w:p>
    <w:p w:rsidR="005C6840" w:rsidRPr="003B3977" w:rsidRDefault="00D90E1E" w:rsidP="00D90E1E">
      <w:pPr>
        <w:jc w:val="both"/>
        <w:rPr>
          <w:spacing w:val="3"/>
          <w:sz w:val="20"/>
          <w:szCs w:val="20"/>
        </w:rPr>
      </w:pPr>
      <w:r w:rsidRPr="000927F6">
        <w:rPr>
          <w:b/>
          <w:sz w:val="20"/>
          <w:szCs w:val="20"/>
        </w:rPr>
        <w:t xml:space="preserve">Indexed as:  R. </w:t>
      </w:r>
      <w:r w:rsidRPr="000927F6">
        <w:rPr>
          <w:b/>
          <w:i/>
          <w:sz w:val="20"/>
          <w:szCs w:val="20"/>
        </w:rPr>
        <w:t>v.</w:t>
      </w:r>
      <w:r w:rsidRPr="000927F6">
        <w:rPr>
          <w:b/>
          <w:sz w:val="20"/>
          <w:szCs w:val="20"/>
        </w:rPr>
        <w:t xml:space="preserve"> D.C.</w:t>
      </w:r>
      <w:r>
        <w:rPr>
          <w:b/>
          <w:sz w:val="20"/>
          <w:szCs w:val="20"/>
        </w:rPr>
        <w:t xml:space="preserve"> / </w:t>
      </w:r>
      <w:r w:rsidRPr="00EC2E14">
        <w:rPr>
          <w:b/>
          <w:sz w:val="20"/>
          <w:szCs w:val="20"/>
        </w:rPr>
        <w:t xml:space="preserve">Répertorié : R. </w:t>
      </w:r>
      <w:r w:rsidRPr="00EC2E14">
        <w:rPr>
          <w:b/>
          <w:i/>
          <w:sz w:val="20"/>
          <w:szCs w:val="20"/>
        </w:rPr>
        <w:t>c.</w:t>
      </w:r>
      <w:r w:rsidRPr="00EC2E14">
        <w:rPr>
          <w:b/>
          <w:sz w:val="20"/>
          <w:szCs w:val="20"/>
        </w:rPr>
        <w:t xml:space="preserve"> D.C.</w:t>
      </w:r>
    </w:p>
    <w:p w:rsidR="005C6840" w:rsidRPr="00D90E1E" w:rsidRDefault="005C6840" w:rsidP="005C6840">
      <w:pPr>
        <w:pStyle w:val="SCCSystemYear"/>
        <w:jc w:val="both"/>
        <w:rPr>
          <w:sz w:val="20"/>
        </w:rPr>
      </w:pPr>
      <w:r w:rsidRPr="00D90E1E">
        <w:rPr>
          <w:sz w:val="20"/>
        </w:rPr>
        <w:t>Neutral citation:  201</w:t>
      </w:r>
      <w:r w:rsidR="00196AAC" w:rsidRPr="00D90E1E">
        <w:rPr>
          <w:sz w:val="20"/>
        </w:rPr>
        <w:t>2</w:t>
      </w:r>
      <w:r w:rsidRPr="00D90E1E">
        <w:rPr>
          <w:sz w:val="20"/>
        </w:rPr>
        <w:t xml:space="preserve"> SCC </w:t>
      </w:r>
      <w:r w:rsidR="00196AAC" w:rsidRPr="00D90E1E">
        <w:rPr>
          <w:sz w:val="20"/>
        </w:rPr>
        <w:t>48</w:t>
      </w:r>
      <w:r w:rsidRPr="00D90E1E">
        <w:rPr>
          <w:sz w:val="20"/>
        </w:rPr>
        <w:t xml:space="preserve"> / Référence neutre : 201</w:t>
      </w:r>
      <w:r w:rsidR="00196AAC" w:rsidRPr="00D90E1E">
        <w:rPr>
          <w:sz w:val="20"/>
        </w:rPr>
        <w:t>2</w:t>
      </w:r>
      <w:r w:rsidRPr="00D90E1E">
        <w:rPr>
          <w:sz w:val="20"/>
        </w:rPr>
        <w:t xml:space="preserve"> CSC </w:t>
      </w:r>
      <w:r w:rsidR="00196AAC" w:rsidRPr="00D90E1E">
        <w:rPr>
          <w:sz w:val="20"/>
        </w:rPr>
        <w:t>48</w:t>
      </w:r>
    </w:p>
    <w:p w:rsidR="005C6840" w:rsidRPr="00D90E1E" w:rsidRDefault="005C6840" w:rsidP="005C6840">
      <w:pPr>
        <w:rPr>
          <w:sz w:val="20"/>
          <w:szCs w:val="20"/>
          <w:lang w:val="fr-CA"/>
        </w:rPr>
      </w:pPr>
      <w:r w:rsidRPr="00D90E1E">
        <w:rPr>
          <w:sz w:val="20"/>
          <w:szCs w:val="20"/>
          <w:lang w:val="fr-CA"/>
        </w:rPr>
        <w:t xml:space="preserve">Hearing:  </w:t>
      </w:r>
      <w:r w:rsidR="00D90E1E" w:rsidRPr="00D90E1E">
        <w:rPr>
          <w:sz w:val="20"/>
          <w:szCs w:val="20"/>
          <w:lang w:val="fr-CA"/>
        </w:rPr>
        <w:t>February 8</w:t>
      </w:r>
      <w:r w:rsidRPr="00D90E1E">
        <w:rPr>
          <w:sz w:val="20"/>
          <w:szCs w:val="20"/>
          <w:lang w:val="fr-CA"/>
        </w:rPr>
        <w:t>, 201</w:t>
      </w:r>
      <w:r w:rsidR="00D90E1E" w:rsidRPr="00D90E1E">
        <w:rPr>
          <w:sz w:val="20"/>
          <w:szCs w:val="20"/>
          <w:lang w:val="fr-CA"/>
        </w:rPr>
        <w:t>2</w:t>
      </w:r>
      <w:r w:rsidRPr="00D90E1E">
        <w:rPr>
          <w:sz w:val="20"/>
          <w:szCs w:val="20"/>
          <w:lang w:val="fr-CA"/>
        </w:rPr>
        <w:t xml:space="preserve"> / Judgment:  October </w:t>
      </w:r>
      <w:r w:rsidR="00196AAC" w:rsidRPr="00D90E1E">
        <w:rPr>
          <w:sz w:val="20"/>
          <w:szCs w:val="20"/>
          <w:lang w:val="fr-CA"/>
        </w:rPr>
        <w:t>5</w:t>
      </w:r>
      <w:r w:rsidRPr="00D90E1E">
        <w:rPr>
          <w:sz w:val="20"/>
          <w:szCs w:val="20"/>
          <w:lang w:val="fr-CA"/>
        </w:rPr>
        <w:t>, 201</w:t>
      </w:r>
      <w:r w:rsidR="00196AAC" w:rsidRPr="00D90E1E">
        <w:rPr>
          <w:sz w:val="20"/>
          <w:szCs w:val="20"/>
          <w:lang w:val="fr-CA"/>
        </w:rPr>
        <w:t>2</w:t>
      </w:r>
    </w:p>
    <w:p w:rsidR="005C6840" w:rsidRPr="003B3977" w:rsidRDefault="005C6840" w:rsidP="005C6840">
      <w:pPr>
        <w:rPr>
          <w:sz w:val="20"/>
          <w:szCs w:val="20"/>
          <w:lang w:val="fr-CA"/>
        </w:rPr>
      </w:pPr>
      <w:r w:rsidRPr="003B3977">
        <w:rPr>
          <w:sz w:val="20"/>
          <w:szCs w:val="20"/>
          <w:lang w:val="fr-CA"/>
        </w:rPr>
        <w:t xml:space="preserve">Audition : Le </w:t>
      </w:r>
      <w:r w:rsidR="00D90E1E">
        <w:rPr>
          <w:sz w:val="20"/>
          <w:szCs w:val="20"/>
          <w:lang w:val="fr-CA"/>
        </w:rPr>
        <w:t>8 févr</w:t>
      </w:r>
      <w:r w:rsidRPr="003B3977">
        <w:rPr>
          <w:sz w:val="20"/>
          <w:szCs w:val="20"/>
          <w:lang w:val="fr-CA"/>
        </w:rPr>
        <w:t>i</w:t>
      </w:r>
      <w:r w:rsidR="00D90E1E">
        <w:rPr>
          <w:sz w:val="20"/>
          <w:szCs w:val="20"/>
          <w:lang w:val="fr-CA"/>
        </w:rPr>
        <w:t>er</w:t>
      </w:r>
      <w:r w:rsidRPr="003B3977">
        <w:rPr>
          <w:sz w:val="20"/>
          <w:szCs w:val="20"/>
          <w:lang w:val="fr-CA"/>
        </w:rPr>
        <w:t xml:space="preserve"> 201</w:t>
      </w:r>
      <w:r w:rsidR="00D90E1E">
        <w:rPr>
          <w:sz w:val="20"/>
          <w:szCs w:val="20"/>
          <w:lang w:val="fr-CA"/>
        </w:rPr>
        <w:t>2</w:t>
      </w:r>
      <w:r w:rsidRPr="003B3977">
        <w:rPr>
          <w:sz w:val="20"/>
          <w:szCs w:val="20"/>
          <w:lang w:val="fr-CA"/>
        </w:rPr>
        <w:t xml:space="preserve"> / Jugement : Le </w:t>
      </w:r>
      <w:r w:rsidR="00196AAC">
        <w:rPr>
          <w:sz w:val="20"/>
          <w:szCs w:val="20"/>
          <w:lang w:val="fr-CA"/>
        </w:rPr>
        <w:t>5</w:t>
      </w:r>
      <w:r w:rsidRPr="003B3977">
        <w:rPr>
          <w:sz w:val="20"/>
          <w:szCs w:val="20"/>
          <w:lang w:val="fr-CA"/>
        </w:rPr>
        <w:t xml:space="preserve"> octobre 201</w:t>
      </w:r>
      <w:r w:rsidR="00196AAC">
        <w:rPr>
          <w:sz w:val="20"/>
          <w:szCs w:val="20"/>
          <w:lang w:val="fr-CA"/>
        </w:rPr>
        <w:t>2</w:t>
      </w:r>
    </w:p>
    <w:p w:rsidR="005C6840" w:rsidRPr="003B3977" w:rsidRDefault="002B77C5" w:rsidP="005C6840">
      <w:pPr>
        <w:rPr>
          <w:sz w:val="20"/>
          <w:szCs w:val="20"/>
          <w:lang w:val="fr-CA"/>
        </w:rPr>
      </w:pPr>
      <w:r w:rsidRPr="002B77C5">
        <w:rPr>
          <w:i/>
          <w:sz w:val="20"/>
          <w:szCs w:val="20"/>
        </w:rPr>
        <w:pict>
          <v:rect id="_x0000_i1088" style="width:480.95pt;height:1pt" o:hralign="center" o:hrstd="t" o:hrnoshade="t" o:hr="t" fillcolor="black [3213]" stroked="f"/>
        </w:pict>
      </w:r>
    </w:p>
    <w:p w:rsidR="005C6840" w:rsidRDefault="005C6840" w:rsidP="005C6840">
      <w:pPr>
        <w:spacing w:line="0" w:lineRule="atLeast"/>
        <w:rPr>
          <w:sz w:val="20"/>
          <w:szCs w:val="20"/>
          <w:lang w:val="fr-CA"/>
        </w:rPr>
      </w:pPr>
    </w:p>
    <w:p w:rsidR="00D90E1E" w:rsidRPr="00D90E1E" w:rsidRDefault="00D90E1E" w:rsidP="00D90E1E">
      <w:pPr>
        <w:jc w:val="both"/>
        <w:rPr>
          <w:sz w:val="20"/>
          <w:szCs w:val="20"/>
          <w:lang w:val="fr-CA"/>
        </w:rPr>
      </w:pPr>
      <w:r w:rsidRPr="00D90E1E">
        <w:rPr>
          <w:sz w:val="20"/>
          <w:szCs w:val="20"/>
          <w:lang w:val="fr-CA"/>
        </w:rPr>
        <w:t>Présents : La juge en chef McLachlin et les juges LeBel, Deschamps, Fish, Abella, Rothstein, Cromwell, Moldaver et Karakatsanis.</w:t>
      </w:r>
    </w:p>
    <w:p w:rsidR="00D90E1E" w:rsidRPr="00D90E1E" w:rsidRDefault="00D90E1E" w:rsidP="00D90E1E">
      <w:pPr>
        <w:pStyle w:val="SCCLowerCourtNameLowercase"/>
        <w:spacing w:line="240" w:lineRule="auto"/>
        <w:rPr>
          <w:sz w:val="20"/>
          <w:lang w:val="fr-CA"/>
        </w:rPr>
      </w:pPr>
    </w:p>
    <w:p w:rsidR="00D90E1E" w:rsidRPr="00D90E1E" w:rsidRDefault="00D90E1E" w:rsidP="00D90E1E">
      <w:pPr>
        <w:pStyle w:val="SCCNormalDoubleSpacing"/>
        <w:spacing w:line="240" w:lineRule="auto"/>
        <w:rPr>
          <w:i/>
          <w:sz w:val="20"/>
          <w:lang w:val="fr-CA"/>
        </w:rPr>
      </w:pPr>
      <w:r w:rsidRPr="00D90E1E">
        <w:rPr>
          <w:sz w:val="20"/>
          <w:lang w:val="fr-CA"/>
        </w:rPr>
        <w:tab/>
      </w:r>
      <w:r w:rsidRPr="00D90E1E">
        <w:rPr>
          <w:i/>
          <w:sz w:val="20"/>
          <w:lang w:val="fr-CA"/>
        </w:rPr>
        <w:t>Droit criminel — Preuve — Crédibilité — Agression sexuelle et voies de fait graves — Omission de révéler la séropositivité — Preuve d’une possibilité réaliste de transmission du VIH — Le juge du procès pouvait</w:t>
      </w:r>
      <w:r w:rsidRPr="00D90E1E">
        <w:rPr>
          <w:i/>
          <w:sz w:val="20"/>
          <w:lang w:val="fr-CA"/>
        </w:rPr>
        <w:noBreakHyphen/>
        <w:t>il considérer la note d’un médecin comme un élément de preuve corroborant le témoignage du plaignant concernant l’inutilisation d’un condom? — A-t-il commis une erreur de droit? — Code criminel, L.R.C. 1985, ch. C</w:t>
      </w:r>
      <w:r w:rsidRPr="00D90E1E">
        <w:rPr>
          <w:i/>
          <w:sz w:val="20"/>
          <w:lang w:val="fr-CA"/>
        </w:rPr>
        <w:noBreakHyphen/>
        <w:t>46, art. 265(3)c), 268, 271, 686(1)a)(ii).</w:t>
      </w:r>
    </w:p>
    <w:p w:rsidR="00D90E1E" w:rsidRPr="00D90E1E" w:rsidRDefault="00D90E1E" w:rsidP="00D90E1E">
      <w:pPr>
        <w:pStyle w:val="SCCNormalDoubleSpacing"/>
        <w:spacing w:line="240" w:lineRule="auto"/>
        <w:rPr>
          <w:sz w:val="20"/>
          <w:lang w:val="fr-CA"/>
        </w:rPr>
      </w:pPr>
    </w:p>
    <w:p w:rsidR="00D90E1E" w:rsidRPr="00D90E1E" w:rsidRDefault="00D90E1E" w:rsidP="00D90E1E">
      <w:pPr>
        <w:pStyle w:val="SCCNormalDoubleSpacing"/>
        <w:spacing w:line="240" w:lineRule="auto"/>
        <w:rPr>
          <w:sz w:val="20"/>
          <w:lang w:val="fr-CA"/>
        </w:rPr>
      </w:pPr>
      <w:r w:rsidRPr="00D90E1E">
        <w:rPr>
          <w:sz w:val="20"/>
          <w:lang w:val="fr-CA"/>
        </w:rPr>
        <w:tab/>
        <w:t xml:space="preserve">D.C. a été inculpée d’agression sexuelle et de voies de fait graves.  Lors de sa première relation sexuelle vaginale avec le plaignant, elle ne lui avait pas révélé sa séropositivité. Sa charge virale était alors indétectable.  Au procès, la question cruciale était celle de savoir si un condom avait été utilisé.  Les seuls témoignages entendus sur ce point ont été ceux du plaignant et de D.C.  Le premier a témoigné qu’ils n’avaient pas utilisé de condom; la seconde a affirmé le contraire.  Selon le juge du procès, ni l’un ni l’autre n’étaient crédibles.  Cependant, il a conclu sur la foi d’une note du médecin de D.C., rédigée sept ans auparavant et faisant mention d’une rupture de condom, que D.C. avait menti à son médecin. Il en a inféré que la relation n’avait pas été protégée et il a déclaré D.C. coupable.  La Cour d’appel a conclu que le raisonnement du juge du procès sur l’utilisation d’un condom participait d’une inférence qu’il pouvait raisonnablement tirer, mais elle a annulé les déclarations de culpabilité au motif que, même si un condom n’avait pas été utilisé, l’exigence jurisprudentielle d’un risque important de lésions corporelles graves n’était pas remplie vu l’absence de copie détectable du VIH dans le sang de D.C. </w:t>
      </w:r>
    </w:p>
    <w:p w:rsidR="00D90E1E" w:rsidRPr="00D90E1E" w:rsidRDefault="00D90E1E" w:rsidP="00D90E1E">
      <w:pPr>
        <w:pStyle w:val="SCCNormalDoubleSpacing"/>
        <w:spacing w:line="240" w:lineRule="auto"/>
        <w:rPr>
          <w:sz w:val="20"/>
          <w:lang w:val="fr-CA"/>
        </w:rPr>
      </w:pPr>
    </w:p>
    <w:p w:rsidR="00D90E1E" w:rsidRPr="00D90E1E" w:rsidRDefault="00D90E1E" w:rsidP="00D90E1E">
      <w:pPr>
        <w:pStyle w:val="SCCNormalDoubleSpacing"/>
        <w:spacing w:line="240" w:lineRule="auto"/>
        <w:rPr>
          <w:sz w:val="20"/>
          <w:lang w:val="fr-CA"/>
        </w:rPr>
      </w:pPr>
      <w:r w:rsidRPr="00D90E1E">
        <w:rPr>
          <w:sz w:val="20"/>
          <w:lang w:val="fr-CA"/>
        </w:rPr>
        <w:tab/>
      </w:r>
      <w:r w:rsidRPr="00D90E1E">
        <w:rPr>
          <w:i/>
          <w:sz w:val="20"/>
          <w:lang w:val="fr-CA"/>
        </w:rPr>
        <w:t>Arrêt :</w:t>
      </w:r>
      <w:r w:rsidRPr="00D90E1E">
        <w:rPr>
          <w:sz w:val="20"/>
          <w:lang w:val="fr-CA"/>
        </w:rPr>
        <w:t xml:space="preserve"> Le pourvoi est rejeté.</w:t>
      </w:r>
    </w:p>
    <w:p w:rsidR="00D90E1E" w:rsidRPr="00D90E1E" w:rsidRDefault="00D90E1E" w:rsidP="00D90E1E">
      <w:pPr>
        <w:pStyle w:val="SCCNormalDoubleSpacing"/>
        <w:spacing w:line="240" w:lineRule="auto"/>
        <w:rPr>
          <w:sz w:val="20"/>
          <w:lang w:val="fr-CA"/>
        </w:rPr>
      </w:pPr>
    </w:p>
    <w:p w:rsidR="00D90E1E" w:rsidRPr="00D90E1E" w:rsidRDefault="00D90E1E" w:rsidP="00D90E1E">
      <w:pPr>
        <w:pStyle w:val="SCCNormalDoubleSpacing"/>
        <w:spacing w:line="240" w:lineRule="auto"/>
        <w:rPr>
          <w:iCs/>
          <w:sz w:val="20"/>
          <w:lang w:val="fr-CA"/>
        </w:rPr>
      </w:pPr>
      <w:r w:rsidRPr="00D90E1E">
        <w:rPr>
          <w:sz w:val="20"/>
          <w:lang w:val="fr-CA"/>
        </w:rPr>
        <w:tab/>
        <w:t xml:space="preserve">Comme il est précisé dans l’arrêt </w:t>
      </w:r>
      <w:r w:rsidRPr="00D90E1E">
        <w:rPr>
          <w:i/>
          <w:sz w:val="20"/>
          <w:lang w:val="fr-CA"/>
        </w:rPr>
        <w:t>R. c. Mabior</w:t>
      </w:r>
      <w:r w:rsidRPr="00D90E1E">
        <w:rPr>
          <w:sz w:val="20"/>
          <w:lang w:val="fr-CA"/>
        </w:rPr>
        <w:t xml:space="preserve">, 2012 CSC 47, dans le cas du VIH, la possibilité réaliste de transmission crée un risque important de lésions corporelles graves.  </w:t>
      </w:r>
      <w:r w:rsidRPr="00D90E1E">
        <w:rPr>
          <w:iCs/>
          <w:sz w:val="20"/>
          <w:lang w:val="fr-CA"/>
        </w:rPr>
        <w:t>Au vu des faits de l’espèce, il y avait obligation d’utiliser le condom pour exclure la possibilité réaliste de transmission du VIH.</w:t>
      </w:r>
      <w:r w:rsidRPr="00D90E1E">
        <w:rPr>
          <w:sz w:val="20"/>
          <w:lang w:val="fr-CA"/>
        </w:rPr>
        <w:t xml:space="preserve">  Étant donné l’absence de crédibilité du plaignant, le juge du procès ne pouvait prononcer une déclaration de culpabilité que si l’inutilisation du condom était établie par ailleurs</w:t>
      </w:r>
      <w:r w:rsidRPr="00D90E1E">
        <w:rPr>
          <w:iCs/>
          <w:sz w:val="20"/>
          <w:lang w:val="fr-CA"/>
        </w:rPr>
        <w:t xml:space="preserve">.  En l’espèce, il </w:t>
      </w:r>
      <w:r w:rsidRPr="00D90E1E">
        <w:rPr>
          <w:sz w:val="20"/>
          <w:lang w:val="fr-CA"/>
        </w:rPr>
        <w:t>a commis une erreur de droit en se fondant sur une conjecture comme s’il s’agissait d’un élément de preuve corroborant le témoignage du plaignant selon lequel aucun condom n’avait été utilisé.</w:t>
      </w:r>
      <w:r w:rsidRPr="00D90E1E">
        <w:rPr>
          <w:iCs/>
          <w:sz w:val="20"/>
          <w:lang w:val="fr-CA"/>
        </w:rPr>
        <w:t xml:space="preserve">  Il ne lui était pas loisible de s’appuyer sur </w:t>
      </w:r>
      <w:r w:rsidRPr="00D90E1E">
        <w:rPr>
          <w:sz w:val="20"/>
          <w:lang w:val="fr-CA"/>
        </w:rPr>
        <w:t>une série de conclusions conjecturales concernant un prétendu mensonge et ce qui l’avait motivé, des conclusions tirées à partir d’une note rédigée sept ans auparavant qui ne constituait pas une preuve indépendante.  La poursuite n’a donc pas établi hors de tout doute raisonnable la culpabilité de D.C. à l’égard des accusations qui pesaient contre elle</w:t>
      </w:r>
      <w:r w:rsidRPr="00D90E1E">
        <w:rPr>
          <w:iCs/>
          <w:sz w:val="20"/>
          <w:lang w:val="fr-CA"/>
        </w:rPr>
        <w:t>.</w:t>
      </w:r>
    </w:p>
    <w:p w:rsidR="00D90E1E" w:rsidRPr="00D90E1E" w:rsidRDefault="00D90E1E" w:rsidP="00D90E1E">
      <w:pPr>
        <w:pStyle w:val="SCCNormalDoubleSpacing"/>
        <w:spacing w:line="240" w:lineRule="auto"/>
        <w:rPr>
          <w:iCs/>
          <w:sz w:val="20"/>
          <w:lang w:val="fr-CA"/>
        </w:rPr>
      </w:pPr>
    </w:p>
    <w:p w:rsidR="00D90E1E" w:rsidRPr="00D90E1E" w:rsidRDefault="00D90E1E" w:rsidP="00D90E1E">
      <w:pPr>
        <w:pStyle w:val="SCCNormalDoubleSpacing"/>
        <w:spacing w:line="240" w:lineRule="auto"/>
        <w:rPr>
          <w:sz w:val="20"/>
          <w:lang w:val="fr-CA"/>
        </w:rPr>
      </w:pPr>
      <w:r w:rsidRPr="00D90E1E">
        <w:rPr>
          <w:sz w:val="20"/>
          <w:lang w:val="fr-CA"/>
        </w:rPr>
        <w:tab/>
        <w:t>POURVOI contre un arrêt de la Cour d’appel du Québec (les juges Chamberland, Léger et Gagnon), 2010 QCCA 2289, [2011] R.J.Q. 18, 270 C.C.C. (3d) 50, 81 C.R. (6th) 336, [2010] J.Q. n</w:t>
      </w:r>
      <w:r w:rsidRPr="00D90E1E">
        <w:rPr>
          <w:sz w:val="20"/>
          <w:vertAlign w:val="superscript"/>
          <w:lang w:val="fr-CA"/>
        </w:rPr>
        <w:t>o</w:t>
      </w:r>
      <w:r w:rsidRPr="00D90E1E">
        <w:rPr>
          <w:sz w:val="20"/>
          <w:lang w:val="fr-CA"/>
        </w:rPr>
        <w:t> 13599 (QL), 2010 CarswellQue 13482, SOQUIJ AZ-50700564, qui a annulé les déclarations de culpabilité d’agression sexuelle et de voies de fait graves inscrites par le juge Bisson, 2008 QCCQ 629 (CanLII), [2008] J.Q. n</w:t>
      </w:r>
      <w:r w:rsidRPr="00D90E1E">
        <w:rPr>
          <w:sz w:val="20"/>
          <w:vertAlign w:val="superscript"/>
          <w:lang w:val="fr-CA"/>
        </w:rPr>
        <w:t>o</w:t>
      </w:r>
      <w:r w:rsidRPr="00D90E1E">
        <w:rPr>
          <w:sz w:val="20"/>
          <w:lang w:val="fr-CA"/>
        </w:rPr>
        <w:t> 994 (QL), 2008 CarswellQue 986, SOQUIJ AZ-50473926.  Pourvoi rejeté.</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sz w:val="20"/>
          <w:lang w:val="fr-CA"/>
        </w:rPr>
      </w:pPr>
      <w:r w:rsidRPr="00D90E1E">
        <w:rPr>
          <w:i/>
          <w:sz w:val="20"/>
          <w:lang w:val="fr-CA"/>
        </w:rPr>
        <w:tab/>
        <w:t xml:space="preserve">Caroline Fontaine </w:t>
      </w:r>
      <w:r w:rsidRPr="00D90E1E">
        <w:rPr>
          <w:sz w:val="20"/>
          <w:lang w:val="fr-CA"/>
        </w:rPr>
        <w:t>et</w:t>
      </w:r>
      <w:r w:rsidRPr="00D90E1E">
        <w:rPr>
          <w:i/>
          <w:sz w:val="20"/>
          <w:lang w:val="fr-CA"/>
        </w:rPr>
        <w:t xml:space="preserve"> Magalie Cimon</w:t>
      </w:r>
      <w:r w:rsidRPr="00D90E1E">
        <w:rPr>
          <w:sz w:val="20"/>
          <w:lang w:val="fr-CA"/>
        </w:rPr>
        <w:t>, pour l’appelante.</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sz w:val="20"/>
          <w:lang w:val="fr-CA"/>
        </w:rPr>
      </w:pPr>
      <w:r w:rsidRPr="00D90E1E">
        <w:rPr>
          <w:i/>
          <w:sz w:val="20"/>
          <w:lang w:val="fr-CA"/>
        </w:rPr>
        <w:tab/>
        <w:t>Christian Desrosiers</w:t>
      </w:r>
      <w:r w:rsidRPr="00D90E1E">
        <w:rPr>
          <w:sz w:val="20"/>
          <w:lang w:val="fr-CA"/>
        </w:rPr>
        <w:t>, pour l’intimée.</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sz w:val="20"/>
          <w:lang w:val="fr-CA"/>
        </w:rPr>
      </w:pPr>
      <w:r w:rsidRPr="00D90E1E">
        <w:rPr>
          <w:i/>
          <w:sz w:val="20"/>
          <w:lang w:val="fr-CA"/>
        </w:rPr>
        <w:tab/>
        <w:t>Christine Rideout</w:t>
      </w:r>
      <w:r w:rsidRPr="00D90E1E">
        <w:rPr>
          <w:sz w:val="20"/>
          <w:lang w:val="fr-CA"/>
        </w:rPr>
        <w:t>, pour l’intervenant le procureur général de l’Alberta.</w:t>
      </w:r>
    </w:p>
    <w:p w:rsidR="00D90E1E" w:rsidRPr="00D90E1E" w:rsidRDefault="00D90E1E" w:rsidP="00D90E1E">
      <w:pPr>
        <w:pStyle w:val="SCCNormalDoubleSpacing"/>
        <w:spacing w:line="240" w:lineRule="auto"/>
        <w:rPr>
          <w:i/>
          <w:sz w:val="20"/>
          <w:lang w:val="fr-CA"/>
        </w:rPr>
      </w:pPr>
    </w:p>
    <w:p w:rsidR="003C630F" w:rsidRDefault="003C630F">
      <w:pPr>
        <w:rPr>
          <w:rFonts w:eastAsia="Times New Roman" w:cs="Times New Roman"/>
          <w:i/>
          <w:sz w:val="20"/>
          <w:szCs w:val="20"/>
          <w:lang w:val="fr-CA" w:eastAsia="en-CA"/>
        </w:rPr>
      </w:pPr>
      <w:r>
        <w:rPr>
          <w:i/>
          <w:sz w:val="20"/>
          <w:lang w:val="fr-CA"/>
        </w:rPr>
        <w:br w:type="page"/>
      </w:r>
    </w:p>
    <w:p w:rsidR="00D90E1E" w:rsidRPr="00D90E1E" w:rsidRDefault="00D90E1E" w:rsidP="00D90E1E">
      <w:pPr>
        <w:pStyle w:val="SCCNormalDoubleSpacing"/>
        <w:spacing w:line="240" w:lineRule="auto"/>
        <w:rPr>
          <w:sz w:val="20"/>
          <w:lang w:val="fr-CA"/>
        </w:rPr>
      </w:pPr>
      <w:r w:rsidRPr="00D90E1E">
        <w:rPr>
          <w:i/>
          <w:sz w:val="20"/>
          <w:lang w:val="fr-CA"/>
        </w:rPr>
        <w:lastRenderedPageBreak/>
        <w:tab/>
        <w:t>Jonathan Shime</w:t>
      </w:r>
      <w:r w:rsidRPr="00D90E1E">
        <w:rPr>
          <w:sz w:val="20"/>
          <w:lang w:val="fr-CA"/>
        </w:rPr>
        <w:t xml:space="preserve">, </w:t>
      </w:r>
      <w:r w:rsidRPr="00D90E1E">
        <w:rPr>
          <w:i/>
          <w:sz w:val="20"/>
          <w:lang w:val="fr-CA"/>
        </w:rPr>
        <w:t xml:space="preserve">Corie Langdon, Richard Elliott </w:t>
      </w:r>
      <w:r w:rsidRPr="00D90E1E">
        <w:rPr>
          <w:sz w:val="20"/>
          <w:lang w:val="fr-CA"/>
        </w:rPr>
        <w:t xml:space="preserve">et </w:t>
      </w:r>
      <w:r w:rsidRPr="00D90E1E">
        <w:rPr>
          <w:i/>
          <w:sz w:val="20"/>
          <w:lang w:val="fr-CA"/>
        </w:rPr>
        <w:t>Ryan Peck</w:t>
      </w:r>
      <w:r w:rsidRPr="00D90E1E">
        <w:rPr>
          <w:sz w:val="20"/>
          <w:lang w:val="fr-CA"/>
        </w:rPr>
        <w:t>, pour les intervenants le Réseau juridique canadien VIH/sida, HIV &amp; AIDS Legal Clinic Ontario, la Coalition des organismes communautaires québécois de lutte contre le sida, Positive Living Society of British Columbia, la Société canadienne du sida, Toronto People With AIDS Foundation, Black Coalition for AIDS Prevention et le Réseau canadien autochtone du sida.</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sz w:val="20"/>
          <w:lang w:val="fr-CA"/>
        </w:rPr>
      </w:pPr>
      <w:r w:rsidRPr="00D90E1E">
        <w:rPr>
          <w:i/>
          <w:sz w:val="20"/>
          <w:lang w:val="fr-CA"/>
        </w:rPr>
        <w:tab/>
        <w:t>P. Andras Schreck</w:t>
      </w:r>
      <w:r w:rsidRPr="00D90E1E">
        <w:rPr>
          <w:sz w:val="20"/>
          <w:lang w:val="fr-CA"/>
        </w:rPr>
        <w:t xml:space="preserve"> et </w:t>
      </w:r>
      <w:r w:rsidRPr="00D90E1E">
        <w:rPr>
          <w:i/>
          <w:sz w:val="20"/>
          <w:lang w:val="fr-CA"/>
        </w:rPr>
        <w:t>Candice Suter</w:t>
      </w:r>
      <w:r w:rsidRPr="00D90E1E">
        <w:rPr>
          <w:sz w:val="20"/>
          <w:lang w:val="fr-CA"/>
        </w:rPr>
        <w:t>, pour l’intervenante Criminal Lawyers’ Association of Ontario.</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sz w:val="20"/>
          <w:lang w:val="fr-CA"/>
        </w:rPr>
      </w:pPr>
      <w:r w:rsidRPr="00D90E1E">
        <w:rPr>
          <w:i/>
          <w:sz w:val="20"/>
          <w:lang w:val="fr-CA"/>
        </w:rPr>
        <w:tab/>
        <w:t>Michael A. Feder</w:t>
      </w:r>
      <w:r w:rsidRPr="00D90E1E">
        <w:rPr>
          <w:sz w:val="20"/>
          <w:lang w:val="fr-CA"/>
        </w:rPr>
        <w:t xml:space="preserve"> et </w:t>
      </w:r>
      <w:r w:rsidRPr="00D90E1E">
        <w:rPr>
          <w:i/>
          <w:sz w:val="20"/>
          <w:lang w:val="fr-CA"/>
        </w:rPr>
        <w:t>Angela M. Juba</w:t>
      </w:r>
      <w:r w:rsidRPr="00D90E1E">
        <w:rPr>
          <w:sz w:val="20"/>
          <w:lang w:val="fr-CA"/>
        </w:rPr>
        <w:t>, pour l’intervenante l’Association des libertés civiles de la Colombie</w:t>
      </w:r>
      <w:r w:rsidRPr="00D90E1E">
        <w:rPr>
          <w:sz w:val="20"/>
          <w:lang w:val="fr-CA"/>
        </w:rPr>
        <w:noBreakHyphen/>
        <w:t>Britannique.</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sz w:val="20"/>
          <w:lang w:val="fr-CA"/>
        </w:rPr>
      </w:pPr>
      <w:r w:rsidRPr="00D90E1E">
        <w:rPr>
          <w:i/>
          <w:sz w:val="20"/>
          <w:lang w:val="fr-CA"/>
        </w:rPr>
        <w:tab/>
        <w:t>François Dadour</w:t>
      </w:r>
      <w:r w:rsidRPr="00D90E1E">
        <w:rPr>
          <w:sz w:val="20"/>
          <w:lang w:val="fr-CA"/>
        </w:rPr>
        <w:t>, pour l’intervenante l’Association des avocats de la défense de Montréal.</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sz w:val="20"/>
          <w:lang w:val="fr-CA"/>
        </w:rPr>
      </w:pPr>
      <w:r w:rsidRPr="00D90E1E">
        <w:rPr>
          <w:i/>
          <w:sz w:val="20"/>
          <w:lang w:val="fr-CA"/>
        </w:rPr>
        <w:tab/>
        <w:t>Lucie Joncas et François Côté</w:t>
      </w:r>
      <w:r w:rsidRPr="00D90E1E">
        <w:rPr>
          <w:sz w:val="20"/>
          <w:lang w:val="fr-CA"/>
        </w:rPr>
        <w:t>, pour l’intervenant l’Institut national de santé publique du Québec.</w:t>
      </w:r>
    </w:p>
    <w:p w:rsidR="00D90E1E" w:rsidRPr="00D90E1E" w:rsidRDefault="00D90E1E" w:rsidP="00D90E1E">
      <w:pPr>
        <w:pStyle w:val="SCCNormalDoubleSpacing"/>
        <w:spacing w:line="240" w:lineRule="auto"/>
        <w:rPr>
          <w:sz w:val="20"/>
          <w:lang w:val="fr-CA"/>
        </w:rPr>
      </w:pPr>
    </w:p>
    <w:p w:rsidR="00D90E1E" w:rsidRPr="00D90E1E" w:rsidRDefault="00D90E1E" w:rsidP="00D90E1E">
      <w:pPr>
        <w:pStyle w:val="SCCNormalDoubleSpacing"/>
        <w:spacing w:line="240" w:lineRule="auto"/>
        <w:rPr>
          <w:i/>
          <w:sz w:val="20"/>
          <w:lang w:val="fr-CA"/>
        </w:rPr>
      </w:pPr>
      <w:r w:rsidRPr="00D90E1E">
        <w:rPr>
          <w:sz w:val="20"/>
          <w:lang w:val="fr-CA"/>
        </w:rPr>
        <w:tab/>
      </w:r>
      <w:r w:rsidRPr="00D90E1E">
        <w:rPr>
          <w:i/>
          <w:sz w:val="20"/>
          <w:lang w:val="fr-CA"/>
        </w:rPr>
        <w:t>Procureur de l’appelante : Poursuites criminelles et pénales du Québec, Longueuil.</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i/>
          <w:sz w:val="20"/>
          <w:lang w:val="fr-CA"/>
        </w:rPr>
      </w:pPr>
      <w:r w:rsidRPr="00D90E1E">
        <w:rPr>
          <w:i/>
          <w:sz w:val="20"/>
          <w:lang w:val="fr-CA"/>
        </w:rPr>
        <w:tab/>
        <w:t>Procureurs de l’intimée : Desrosiers, Joncas, Massicotte, Montréal.</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i/>
          <w:sz w:val="20"/>
          <w:lang w:val="fr-CA"/>
        </w:rPr>
      </w:pPr>
      <w:r w:rsidRPr="00D90E1E">
        <w:rPr>
          <w:i/>
          <w:sz w:val="20"/>
          <w:lang w:val="fr-CA"/>
        </w:rPr>
        <w:tab/>
        <w:t>Procureur de l’intervenant le procureur général de l’Alberta : Procureur général de l’Alberta, Calgary.</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i/>
          <w:sz w:val="20"/>
          <w:lang w:val="fr-CA"/>
        </w:rPr>
      </w:pPr>
      <w:r w:rsidRPr="00D90E1E">
        <w:rPr>
          <w:i/>
          <w:sz w:val="20"/>
          <w:lang w:val="fr-CA"/>
        </w:rPr>
        <w:tab/>
        <w:t>Procureurs des intervenants le Réseau juridique canadien VIH/sida, HIV &amp; AIDS Legal Clinic Ontario, la Coalition des organismes communautaires québécois de lutte contre le sida, Positive Living Society of British Columbia, la Société canadienne du sida, Toronto People With AIDS Foundation, Black Coalition for AIDS Prevention et le Réseau canadien autochtone du sida : Cooper &amp; Sandler, Toronto.</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i/>
          <w:sz w:val="20"/>
          <w:lang w:val="fr-CA"/>
        </w:rPr>
      </w:pPr>
      <w:r w:rsidRPr="00D90E1E">
        <w:rPr>
          <w:i/>
          <w:sz w:val="20"/>
          <w:lang w:val="fr-CA"/>
        </w:rPr>
        <w:tab/>
        <w:t>Procureurs de l’intervenante Criminal Lawyers’ Association of Ontario : Schreck Presser, Toronto.</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i/>
          <w:sz w:val="20"/>
          <w:lang w:val="fr-CA"/>
        </w:rPr>
      </w:pPr>
      <w:r w:rsidRPr="00D90E1E">
        <w:rPr>
          <w:i/>
          <w:sz w:val="20"/>
          <w:lang w:val="fr-CA"/>
        </w:rPr>
        <w:tab/>
        <w:t>Procureurs de l’intervenante l’Association des libertés civiles de la Colombie</w:t>
      </w:r>
      <w:r w:rsidRPr="00D90E1E">
        <w:rPr>
          <w:i/>
          <w:sz w:val="20"/>
          <w:lang w:val="fr-CA"/>
        </w:rPr>
        <w:noBreakHyphen/>
        <w:t>Britannique : McCarthy Tétrault, Vancouver.</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i/>
          <w:sz w:val="20"/>
          <w:lang w:val="fr-CA"/>
        </w:rPr>
      </w:pPr>
      <w:r w:rsidRPr="00D90E1E">
        <w:rPr>
          <w:i/>
          <w:sz w:val="20"/>
          <w:lang w:val="fr-CA"/>
        </w:rPr>
        <w:tab/>
        <w:t>Procureurs de l’intervenante l’Association des avocats de la défense de Montréal : Poupart, Dadour, Touma et Associés, Montréal.</w:t>
      </w:r>
    </w:p>
    <w:p w:rsidR="00D90E1E" w:rsidRPr="00D90E1E" w:rsidRDefault="00D90E1E" w:rsidP="00D90E1E">
      <w:pPr>
        <w:pStyle w:val="SCCNormalDoubleSpacing"/>
        <w:spacing w:line="240" w:lineRule="auto"/>
        <w:rPr>
          <w:i/>
          <w:sz w:val="20"/>
          <w:lang w:val="fr-CA"/>
        </w:rPr>
      </w:pPr>
    </w:p>
    <w:p w:rsidR="00D90E1E" w:rsidRPr="00D90E1E" w:rsidRDefault="00D90E1E" w:rsidP="00D90E1E">
      <w:pPr>
        <w:pStyle w:val="SCCNormalDoubleSpacing"/>
        <w:spacing w:line="240" w:lineRule="auto"/>
        <w:rPr>
          <w:i/>
          <w:sz w:val="20"/>
          <w:lang w:val="fr-CA"/>
        </w:rPr>
      </w:pPr>
      <w:r w:rsidRPr="00D90E1E">
        <w:rPr>
          <w:i/>
          <w:sz w:val="20"/>
          <w:lang w:val="fr-CA"/>
        </w:rPr>
        <w:tab/>
        <w:t>Procureurs de l’intervenant l’Institut national de santé publique du Québec : Desrosiers, Joncas, Massicotte, Montréal.</w:t>
      </w:r>
    </w:p>
    <w:p w:rsidR="003B3977" w:rsidRDefault="003B3977" w:rsidP="003B3977">
      <w:pPr>
        <w:rPr>
          <w:sz w:val="20"/>
          <w:szCs w:val="20"/>
        </w:rPr>
      </w:pPr>
      <w:r w:rsidRPr="00492DCE">
        <w:rPr>
          <w:sz w:val="20"/>
          <w:szCs w:val="20"/>
        </w:rPr>
        <w:t>________________________</w:t>
      </w:r>
    </w:p>
    <w:p w:rsidR="003B3977" w:rsidRDefault="003B3977" w:rsidP="003B3977">
      <w:pPr>
        <w:rPr>
          <w:sz w:val="20"/>
          <w:szCs w:val="20"/>
        </w:rPr>
      </w:pPr>
    </w:p>
    <w:p w:rsidR="00D90E1E" w:rsidRPr="000927F6" w:rsidRDefault="00D90E1E" w:rsidP="00D90E1E">
      <w:pPr>
        <w:jc w:val="both"/>
        <w:rPr>
          <w:sz w:val="20"/>
          <w:szCs w:val="20"/>
        </w:rPr>
      </w:pPr>
      <w:r w:rsidRPr="000927F6">
        <w:rPr>
          <w:sz w:val="20"/>
          <w:szCs w:val="20"/>
        </w:rPr>
        <w:t>Present:  McLachlin C.J. and LeBel, Deschamps, Fish, Abella, Rothstein, Cromwell, Moldaver and Karakatsanis JJ.</w:t>
      </w:r>
    </w:p>
    <w:p w:rsidR="00D90E1E" w:rsidRDefault="00D90E1E" w:rsidP="00D90E1E">
      <w:pPr>
        <w:pStyle w:val="SCCLowerCourtNameLowercase"/>
        <w:spacing w:line="240" w:lineRule="auto"/>
        <w:rPr>
          <w:sz w:val="20"/>
        </w:rPr>
      </w:pPr>
    </w:p>
    <w:p w:rsidR="00D90E1E" w:rsidRPr="000927F6" w:rsidRDefault="00D90E1E" w:rsidP="00D90E1E">
      <w:pPr>
        <w:pStyle w:val="SCCNormalDoubleSpacing"/>
        <w:spacing w:line="240" w:lineRule="auto"/>
        <w:rPr>
          <w:i/>
          <w:sz w:val="20"/>
        </w:rPr>
      </w:pPr>
      <w:r w:rsidRPr="000927F6">
        <w:rPr>
          <w:i/>
          <w:sz w:val="20"/>
        </w:rPr>
        <w:tab/>
        <w:t>Criminal law — Evidence — Credibility — Sexual assault and aggravated assault — Non</w:t>
      </w:r>
      <w:r w:rsidRPr="000927F6">
        <w:rPr>
          <w:i/>
          <w:sz w:val="20"/>
        </w:rPr>
        <w:noBreakHyphen/>
        <w:t>disclosure of HIV status — Proof of realistic possibility of transmission of HIV — Whether trial judge could rely on doctor’s note as confirmatory evidence of complainant’s testimony that no condom had been used — Whether trial judge committed error on question of law — Criminal Code, R.S.C. 1985, c. C</w:t>
      </w:r>
      <w:r w:rsidRPr="000927F6">
        <w:rPr>
          <w:i/>
          <w:sz w:val="20"/>
        </w:rPr>
        <w:noBreakHyphen/>
        <w:t>46, ss. 265(3)(c), 268, 271, 686(1)(a)(ii).</w:t>
      </w:r>
    </w:p>
    <w:p w:rsidR="00D90E1E" w:rsidRDefault="00D90E1E" w:rsidP="00D90E1E">
      <w:pPr>
        <w:pStyle w:val="SCCNormalDoubleSpacing"/>
        <w:spacing w:line="240" w:lineRule="auto"/>
        <w:rPr>
          <w:sz w:val="20"/>
        </w:rPr>
      </w:pPr>
    </w:p>
    <w:p w:rsidR="00D90E1E" w:rsidRPr="000927F6" w:rsidRDefault="00D90E1E" w:rsidP="00D90E1E">
      <w:pPr>
        <w:pStyle w:val="SCCNormalDoubleSpacing"/>
        <w:spacing w:line="240" w:lineRule="auto"/>
        <w:rPr>
          <w:sz w:val="20"/>
        </w:rPr>
      </w:pPr>
      <w:r w:rsidRPr="000927F6">
        <w:rPr>
          <w:sz w:val="20"/>
        </w:rPr>
        <w:tab/>
        <w:t>D.C. was charged with sexual assault and aggravated assault.  When she first engaged in vaginal intercourse with the complainant, she had not disclosed to him the fact that she was HIV</w:t>
      </w:r>
      <w:r w:rsidRPr="000927F6">
        <w:rPr>
          <w:sz w:val="20"/>
        </w:rPr>
        <w:noBreakHyphen/>
        <w:t>positive.  At the time, her viral load was undetectable.  The critical issue in the trial was whether a condom had been used.  The only evidence on the point was that of the complainant and D.C.  The complainant testified no condom was used; D.C. testified a condom was used.  The trial judge found that neither witness was credible.  However, on the basis of a note of D.C.’s doctor made seven years earlier and referring to a broken condom, the judge concluded that D.C. had lied to her doctor, and inferred that no condom had been worn.  He convicted D.C.  The Court of Appeal concluded that the trial judge’s reasoning as to whether a condom was used was a reasonable inference, but set aside the convictions on the ground that even without condom use, the requirement of a significant risk of serious bodily harm was not met, given the absence of detectable HIV copies in D.C.’s blood.</w:t>
      </w:r>
    </w:p>
    <w:p w:rsidR="00D90E1E" w:rsidRDefault="00D90E1E" w:rsidP="00D90E1E">
      <w:pPr>
        <w:pStyle w:val="SCCNormalDoubleSpacing"/>
        <w:spacing w:line="240" w:lineRule="auto"/>
        <w:rPr>
          <w:sz w:val="20"/>
        </w:rPr>
      </w:pPr>
    </w:p>
    <w:p w:rsidR="00D90E1E" w:rsidRPr="000927F6" w:rsidRDefault="00D90E1E" w:rsidP="00D90E1E">
      <w:pPr>
        <w:pStyle w:val="SCCNormalDoubleSpacing"/>
        <w:spacing w:line="240" w:lineRule="auto"/>
        <w:rPr>
          <w:sz w:val="20"/>
        </w:rPr>
      </w:pPr>
      <w:r w:rsidRPr="000927F6">
        <w:rPr>
          <w:sz w:val="20"/>
        </w:rPr>
        <w:lastRenderedPageBreak/>
        <w:tab/>
      </w:r>
      <w:r w:rsidRPr="000927F6">
        <w:rPr>
          <w:i/>
          <w:sz w:val="20"/>
        </w:rPr>
        <w:t>Held:</w:t>
      </w:r>
      <w:r w:rsidRPr="000927F6">
        <w:rPr>
          <w:sz w:val="20"/>
        </w:rPr>
        <w:t xml:space="preserve">  The appeal should be dismissed.</w:t>
      </w:r>
    </w:p>
    <w:p w:rsidR="00D90E1E" w:rsidRDefault="00D90E1E" w:rsidP="00D90E1E">
      <w:pPr>
        <w:pStyle w:val="SCCNormalDoubleSpacing"/>
        <w:spacing w:line="240" w:lineRule="auto"/>
        <w:rPr>
          <w:sz w:val="20"/>
        </w:rPr>
      </w:pPr>
    </w:p>
    <w:p w:rsidR="00D90E1E" w:rsidRDefault="00D90E1E" w:rsidP="00D90E1E">
      <w:pPr>
        <w:pStyle w:val="SCCNormalDoubleSpacing"/>
        <w:spacing w:line="240" w:lineRule="auto"/>
        <w:rPr>
          <w:iCs/>
          <w:sz w:val="20"/>
        </w:rPr>
      </w:pPr>
      <w:r w:rsidRPr="000927F6">
        <w:rPr>
          <w:sz w:val="20"/>
        </w:rPr>
        <w:tab/>
        <w:t xml:space="preserve">As discussed in </w:t>
      </w:r>
      <w:r w:rsidRPr="000927F6">
        <w:rPr>
          <w:i/>
          <w:sz w:val="20"/>
        </w:rPr>
        <w:t>R. v. Mabior</w:t>
      </w:r>
      <w:r w:rsidRPr="000927F6">
        <w:rPr>
          <w:sz w:val="20"/>
        </w:rPr>
        <w:t xml:space="preserve">, 2012 SCC 47, in the case of HIV, a significant risk of serious bodily harm is found in the presence of a realistic possibility of transmission.  </w:t>
      </w:r>
      <w:r w:rsidRPr="000927F6">
        <w:rPr>
          <w:iCs/>
          <w:sz w:val="20"/>
        </w:rPr>
        <w:t>On the facts of this case, condom use was required to preclude a realistic possibility of HIV transmission.</w:t>
      </w:r>
      <w:r w:rsidRPr="000927F6">
        <w:rPr>
          <w:sz w:val="20"/>
        </w:rPr>
        <w:t xml:space="preserve"> </w:t>
      </w:r>
      <w:r w:rsidRPr="000927F6">
        <w:rPr>
          <w:iCs/>
          <w:sz w:val="20"/>
        </w:rPr>
        <w:t xml:space="preserve"> Given the lack of credibility of the complainant, the trial judge needed evidence that a condom had not been used in order to convict.  Here, he erred in law in relying on speculation as confirmatory evidence of the complainant’s testimony that a condom had not been used.  He could not rely on a series of speculative conclusions about a supposed lie and the motives for it, based on a note made seven years earlier that did not constitute independent evidence.  It follows that the prosecution failed to prove D.C.’s guilt on the charges against her beyond a reasonable doubt.</w:t>
      </w:r>
    </w:p>
    <w:p w:rsidR="00D90E1E" w:rsidRDefault="00D90E1E" w:rsidP="00D90E1E">
      <w:pPr>
        <w:pStyle w:val="SCCNormalDoubleSpacing"/>
        <w:spacing w:line="240" w:lineRule="auto"/>
        <w:rPr>
          <w:iCs/>
          <w:sz w:val="20"/>
        </w:rPr>
      </w:pPr>
    </w:p>
    <w:p w:rsidR="00D90E1E" w:rsidRPr="000927F6" w:rsidRDefault="00D90E1E" w:rsidP="00D90E1E">
      <w:pPr>
        <w:pStyle w:val="SCCNormalDoubleSpacing"/>
        <w:spacing w:line="240" w:lineRule="auto"/>
        <w:rPr>
          <w:sz w:val="20"/>
        </w:rPr>
      </w:pPr>
      <w:r w:rsidRPr="00D90E1E">
        <w:rPr>
          <w:sz w:val="20"/>
        </w:rPr>
        <w:tab/>
      </w:r>
      <w:r w:rsidRPr="000927F6">
        <w:rPr>
          <w:sz w:val="20"/>
        </w:rPr>
        <w:t>APPEAL from a judgment of the Quebec Court of Appeal (Chamberland, Léger and Gagnon JJ.A.), 2010 QCCA 2289, 270 C.C.C. (3d) 50, [2011] R.J.Q. 18, 81 C.R. (6th) 336, [2010] Q.J. No. 13599 (QL), 2010 CarswellQue 14778, SOQUIJ AZ-50700564, setting aside the convictions for sexual assault and aggravated assault entered by Bisson J.C.Q., 2008 QCCQ 629 (CanLII), [2008] J.Q. n</w:t>
      </w:r>
      <w:r w:rsidRPr="000927F6">
        <w:rPr>
          <w:sz w:val="20"/>
          <w:vertAlign w:val="superscript"/>
        </w:rPr>
        <w:t>o</w:t>
      </w:r>
      <w:r w:rsidRPr="000927F6">
        <w:rPr>
          <w:sz w:val="20"/>
        </w:rPr>
        <w:t> 994 (QL), 2008 CarswellQue 986, SOQUIJ AZ-50473926.  Appeal dismissed.</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sz w:val="20"/>
        </w:rPr>
      </w:pPr>
      <w:r w:rsidRPr="000927F6">
        <w:rPr>
          <w:i/>
          <w:sz w:val="20"/>
        </w:rPr>
        <w:tab/>
        <w:t xml:space="preserve">Caroline Fontaine </w:t>
      </w:r>
      <w:r w:rsidRPr="000927F6">
        <w:rPr>
          <w:sz w:val="20"/>
        </w:rPr>
        <w:t>and</w:t>
      </w:r>
      <w:r w:rsidRPr="000927F6">
        <w:rPr>
          <w:i/>
          <w:sz w:val="20"/>
        </w:rPr>
        <w:t xml:space="preserve"> Magalie Cimon</w:t>
      </w:r>
      <w:r w:rsidRPr="000927F6">
        <w:rPr>
          <w:sz w:val="20"/>
        </w:rPr>
        <w:t>, for the appellant.</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sz w:val="20"/>
        </w:rPr>
      </w:pPr>
      <w:r w:rsidRPr="000927F6">
        <w:rPr>
          <w:i/>
          <w:sz w:val="20"/>
        </w:rPr>
        <w:tab/>
        <w:t>Christian Desrosiers</w:t>
      </w:r>
      <w:r w:rsidRPr="000927F6">
        <w:rPr>
          <w:sz w:val="20"/>
        </w:rPr>
        <w:t>, for the respondent.</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sz w:val="20"/>
        </w:rPr>
      </w:pPr>
      <w:r w:rsidRPr="000927F6">
        <w:rPr>
          <w:i/>
          <w:sz w:val="20"/>
        </w:rPr>
        <w:tab/>
        <w:t>Christine Rideout</w:t>
      </w:r>
      <w:r w:rsidRPr="000927F6">
        <w:rPr>
          <w:sz w:val="20"/>
        </w:rPr>
        <w:t>, for the intervener the Attorney General of Alberta.</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sz w:val="20"/>
        </w:rPr>
      </w:pPr>
      <w:r w:rsidRPr="000927F6">
        <w:rPr>
          <w:i/>
          <w:sz w:val="20"/>
        </w:rPr>
        <w:tab/>
        <w:t>Jonathan Shime</w:t>
      </w:r>
      <w:r w:rsidRPr="000927F6">
        <w:rPr>
          <w:sz w:val="20"/>
        </w:rPr>
        <w:t xml:space="preserve">, </w:t>
      </w:r>
      <w:r w:rsidRPr="000927F6">
        <w:rPr>
          <w:i/>
          <w:sz w:val="20"/>
        </w:rPr>
        <w:t xml:space="preserve">Corie Langdon, Richard Elliott </w:t>
      </w:r>
      <w:r w:rsidRPr="000927F6">
        <w:rPr>
          <w:sz w:val="20"/>
        </w:rPr>
        <w:t xml:space="preserve">and </w:t>
      </w:r>
      <w:r w:rsidRPr="000927F6">
        <w:rPr>
          <w:i/>
          <w:sz w:val="20"/>
        </w:rPr>
        <w:t>Ryan Peck</w:t>
      </w:r>
      <w:r w:rsidRPr="000927F6">
        <w:rPr>
          <w:sz w:val="20"/>
        </w:rPr>
        <w:t>, for the interveners the Canadian HIV/AIDS Legal Network,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sz w:val="20"/>
        </w:rPr>
      </w:pPr>
      <w:r w:rsidRPr="000927F6">
        <w:rPr>
          <w:i/>
          <w:sz w:val="20"/>
        </w:rPr>
        <w:tab/>
        <w:t>P. Andras Schreck</w:t>
      </w:r>
      <w:r w:rsidRPr="000927F6">
        <w:rPr>
          <w:sz w:val="20"/>
        </w:rPr>
        <w:t xml:space="preserve"> and </w:t>
      </w:r>
      <w:r w:rsidRPr="000927F6">
        <w:rPr>
          <w:i/>
          <w:sz w:val="20"/>
        </w:rPr>
        <w:t>Candice Suter</w:t>
      </w:r>
      <w:r w:rsidRPr="000927F6">
        <w:rPr>
          <w:sz w:val="20"/>
        </w:rPr>
        <w:t>, for the intervener the Criminal Lawyers’ Association of Ontario.</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sz w:val="20"/>
        </w:rPr>
      </w:pPr>
      <w:r w:rsidRPr="000927F6">
        <w:rPr>
          <w:i/>
          <w:sz w:val="20"/>
        </w:rPr>
        <w:tab/>
        <w:t>Michael A. Feder</w:t>
      </w:r>
      <w:r w:rsidRPr="000927F6">
        <w:rPr>
          <w:sz w:val="20"/>
        </w:rPr>
        <w:t xml:space="preserve"> and </w:t>
      </w:r>
      <w:r w:rsidRPr="000927F6">
        <w:rPr>
          <w:i/>
          <w:sz w:val="20"/>
        </w:rPr>
        <w:t>Angela M. Juba</w:t>
      </w:r>
      <w:r w:rsidRPr="000927F6">
        <w:rPr>
          <w:sz w:val="20"/>
        </w:rPr>
        <w:t>, for the intervener the British Columbia Civil Liberties Association.</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sz w:val="20"/>
          <w:lang w:val="fr-CA"/>
        </w:rPr>
      </w:pPr>
      <w:r w:rsidRPr="000927F6">
        <w:rPr>
          <w:i/>
          <w:sz w:val="20"/>
        </w:rPr>
        <w:tab/>
      </w:r>
      <w:r w:rsidRPr="000927F6">
        <w:rPr>
          <w:i/>
          <w:sz w:val="20"/>
          <w:lang w:val="fr-CA"/>
        </w:rPr>
        <w:t>François Dadour</w:t>
      </w:r>
      <w:r w:rsidRPr="000927F6">
        <w:rPr>
          <w:sz w:val="20"/>
          <w:lang w:val="fr-CA"/>
        </w:rPr>
        <w:t>, for the intervener Association des avocats de la défense de Montréal.</w:t>
      </w:r>
    </w:p>
    <w:p w:rsidR="00D90E1E" w:rsidRDefault="00D90E1E" w:rsidP="00D90E1E">
      <w:pPr>
        <w:pStyle w:val="SCCNormalDoubleSpacing"/>
        <w:spacing w:line="240" w:lineRule="auto"/>
        <w:rPr>
          <w:i/>
          <w:sz w:val="20"/>
          <w:lang w:val="fr-CA"/>
        </w:rPr>
      </w:pPr>
    </w:p>
    <w:p w:rsidR="00D90E1E" w:rsidRPr="000927F6" w:rsidRDefault="00D90E1E" w:rsidP="00D90E1E">
      <w:pPr>
        <w:pStyle w:val="SCCNormalDoubleSpacing"/>
        <w:spacing w:line="240" w:lineRule="auto"/>
        <w:rPr>
          <w:sz w:val="20"/>
          <w:lang w:val="fr-CA"/>
        </w:rPr>
      </w:pPr>
      <w:r w:rsidRPr="000927F6">
        <w:rPr>
          <w:i/>
          <w:sz w:val="20"/>
          <w:lang w:val="fr-CA"/>
        </w:rPr>
        <w:tab/>
        <w:t>Lucie Joncas and François Côté</w:t>
      </w:r>
      <w:r w:rsidRPr="000927F6">
        <w:rPr>
          <w:sz w:val="20"/>
          <w:lang w:val="fr-CA"/>
        </w:rPr>
        <w:t>, for the intervener Institut national de santé publique du Québec.</w:t>
      </w:r>
    </w:p>
    <w:p w:rsidR="00D90E1E" w:rsidRDefault="00D90E1E" w:rsidP="00D90E1E">
      <w:pPr>
        <w:pStyle w:val="SCCNormalDoubleSpacing"/>
        <w:spacing w:line="240" w:lineRule="auto"/>
        <w:rPr>
          <w:sz w:val="20"/>
          <w:lang w:val="fr-CA"/>
        </w:rPr>
      </w:pPr>
    </w:p>
    <w:p w:rsidR="00D90E1E" w:rsidRPr="000927F6" w:rsidRDefault="00D90E1E" w:rsidP="00D90E1E">
      <w:pPr>
        <w:pStyle w:val="SCCNormalDoubleSpacing"/>
        <w:spacing w:line="240" w:lineRule="auto"/>
        <w:rPr>
          <w:i/>
          <w:sz w:val="20"/>
          <w:lang w:val="fr-CA"/>
        </w:rPr>
      </w:pPr>
      <w:r w:rsidRPr="000927F6">
        <w:rPr>
          <w:sz w:val="20"/>
          <w:lang w:val="fr-CA"/>
        </w:rPr>
        <w:tab/>
      </w:r>
      <w:r w:rsidRPr="000927F6">
        <w:rPr>
          <w:i/>
          <w:sz w:val="20"/>
          <w:lang w:val="fr-CA"/>
        </w:rPr>
        <w:t>Solicitor for the appellant:  Poursuites criminelles et pénales du Québec, Longueuil.</w:t>
      </w:r>
    </w:p>
    <w:p w:rsidR="00D90E1E" w:rsidRDefault="00D90E1E" w:rsidP="00D90E1E">
      <w:pPr>
        <w:pStyle w:val="SCCNormalDoubleSpacing"/>
        <w:spacing w:line="240" w:lineRule="auto"/>
        <w:rPr>
          <w:i/>
          <w:sz w:val="20"/>
          <w:lang w:val="fr-CA"/>
        </w:rPr>
      </w:pPr>
    </w:p>
    <w:p w:rsidR="00D90E1E" w:rsidRPr="000927F6" w:rsidRDefault="00D90E1E" w:rsidP="00D90E1E">
      <w:pPr>
        <w:pStyle w:val="SCCNormalDoubleSpacing"/>
        <w:spacing w:line="240" w:lineRule="auto"/>
        <w:rPr>
          <w:i/>
          <w:sz w:val="20"/>
        </w:rPr>
      </w:pPr>
      <w:r w:rsidRPr="000927F6">
        <w:rPr>
          <w:i/>
          <w:sz w:val="20"/>
          <w:lang w:val="fr-CA"/>
        </w:rPr>
        <w:tab/>
      </w:r>
      <w:r w:rsidRPr="000927F6">
        <w:rPr>
          <w:i/>
          <w:sz w:val="20"/>
          <w:lang w:val="en-US"/>
        </w:rPr>
        <w:t>Solicitors</w:t>
      </w:r>
      <w:r w:rsidRPr="000927F6">
        <w:rPr>
          <w:i/>
          <w:sz w:val="20"/>
        </w:rPr>
        <w:t xml:space="preserve"> for the respondent:  Desrosiers, Joncas, Massicotte, Montréal.</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i/>
          <w:sz w:val="20"/>
        </w:rPr>
      </w:pPr>
      <w:r w:rsidRPr="000927F6">
        <w:rPr>
          <w:i/>
          <w:sz w:val="20"/>
        </w:rPr>
        <w:tab/>
      </w:r>
      <w:r w:rsidRPr="000927F6">
        <w:rPr>
          <w:i/>
          <w:sz w:val="20"/>
          <w:lang w:val="en-US"/>
        </w:rPr>
        <w:t>Solicitor</w:t>
      </w:r>
      <w:r w:rsidRPr="000927F6">
        <w:rPr>
          <w:i/>
          <w:sz w:val="20"/>
        </w:rPr>
        <w:t xml:space="preserve"> for the intervener the Attorney General of Alberta:  Attorney General of Alberta, Calgary.</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i/>
          <w:sz w:val="20"/>
        </w:rPr>
      </w:pPr>
      <w:r w:rsidRPr="000927F6">
        <w:rPr>
          <w:i/>
          <w:sz w:val="20"/>
        </w:rPr>
        <w:tab/>
      </w:r>
      <w:r w:rsidRPr="000927F6">
        <w:rPr>
          <w:i/>
          <w:sz w:val="20"/>
          <w:lang w:val="en-US"/>
        </w:rPr>
        <w:t>Solicitors</w:t>
      </w:r>
      <w:r w:rsidRPr="000927F6">
        <w:rPr>
          <w:i/>
          <w:sz w:val="20"/>
        </w:rPr>
        <w:t xml:space="preserve"> for the interveners the Canadian HIV/AIDS Legal Network,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  Cooper &amp; Sandler, Toronto.</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i/>
          <w:sz w:val="20"/>
        </w:rPr>
      </w:pPr>
      <w:r w:rsidRPr="000927F6">
        <w:rPr>
          <w:i/>
          <w:sz w:val="20"/>
        </w:rPr>
        <w:tab/>
      </w:r>
      <w:r w:rsidRPr="000927F6">
        <w:rPr>
          <w:i/>
          <w:sz w:val="20"/>
          <w:lang w:val="en-US"/>
        </w:rPr>
        <w:t>Solicitors</w:t>
      </w:r>
      <w:r w:rsidRPr="000927F6">
        <w:rPr>
          <w:i/>
          <w:sz w:val="20"/>
        </w:rPr>
        <w:t xml:space="preserve"> for the intervener the Criminal Lawyers’ Association of Ontario:  Schreck Presser, Toronto.</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i/>
          <w:sz w:val="20"/>
        </w:rPr>
      </w:pPr>
      <w:r w:rsidRPr="000927F6">
        <w:rPr>
          <w:i/>
          <w:sz w:val="20"/>
        </w:rPr>
        <w:tab/>
      </w:r>
      <w:r w:rsidRPr="000927F6">
        <w:rPr>
          <w:i/>
          <w:sz w:val="20"/>
          <w:lang w:val="en-US"/>
        </w:rPr>
        <w:t>Solicitors</w:t>
      </w:r>
      <w:r w:rsidRPr="000927F6">
        <w:rPr>
          <w:i/>
          <w:sz w:val="20"/>
        </w:rPr>
        <w:t xml:space="preserve"> for the intervener the British Columbia Civil Liberties Association:  McCarthy Tétrault, Vancouver.</w:t>
      </w:r>
    </w:p>
    <w:p w:rsidR="00D90E1E" w:rsidRDefault="00D90E1E" w:rsidP="00D90E1E">
      <w:pPr>
        <w:pStyle w:val="SCCNormalDoubleSpacing"/>
        <w:spacing w:line="240" w:lineRule="auto"/>
        <w:rPr>
          <w:i/>
          <w:sz w:val="20"/>
        </w:rPr>
      </w:pPr>
    </w:p>
    <w:p w:rsidR="00D90E1E" w:rsidRPr="000927F6" w:rsidRDefault="00D90E1E" w:rsidP="00D90E1E">
      <w:pPr>
        <w:pStyle w:val="SCCNormalDoubleSpacing"/>
        <w:spacing w:line="240" w:lineRule="auto"/>
        <w:rPr>
          <w:i/>
          <w:sz w:val="20"/>
          <w:lang w:val="fr-CA"/>
        </w:rPr>
      </w:pPr>
      <w:r w:rsidRPr="000927F6">
        <w:rPr>
          <w:i/>
          <w:sz w:val="20"/>
        </w:rPr>
        <w:tab/>
      </w:r>
      <w:r w:rsidRPr="000927F6">
        <w:rPr>
          <w:i/>
          <w:sz w:val="20"/>
          <w:lang w:val="fr-CA"/>
        </w:rPr>
        <w:t>Solicitors for the intervener Association des avocats de la défense de Montréal:  Poupart, Dadour, Touma et Associés, Montréal.</w:t>
      </w:r>
    </w:p>
    <w:p w:rsidR="00D90E1E" w:rsidRDefault="00D90E1E" w:rsidP="00D90E1E">
      <w:pPr>
        <w:pStyle w:val="SCCNormalDoubleSpacing"/>
        <w:spacing w:line="240" w:lineRule="auto"/>
        <w:rPr>
          <w:i/>
          <w:sz w:val="20"/>
          <w:lang w:val="fr-CA"/>
        </w:rPr>
      </w:pPr>
    </w:p>
    <w:p w:rsidR="00D90E1E" w:rsidRDefault="00D90E1E" w:rsidP="00D90E1E">
      <w:pPr>
        <w:pStyle w:val="SCCNormalDoubleSpacing"/>
        <w:spacing w:line="240" w:lineRule="auto"/>
        <w:rPr>
          <w:i/>
          <w:sz w:val="20"/>
          <w:lang w:val="fr-CA"/>
        </w:rPr>
      </w:pPr>
      <w:r w:rsidRPr="000927F6">
        <w:rPr>
          <w:i/>
          <w:sz w:val="20"/>
          <w:lang w:val="fr-CA"/>
        </w:rPr>
        <w:lastRenderedPageBreak/>
        <w:tab/>
        <w:t>Solicitors for the intervener Institut national de santé publique du Québec:  Desrosiers, Joncas, Massicotte, Montréal.</w:t>
      </w:r>
    </w:p>
    <w:p w:rsidR="00D90E1E" w:rsidRPr="00D90E1E" w:rsidRDefault="00D90E1E" w:rsidP="003B3977">
      <w:pPr>
        <w:rPr>
          <w:sz w:val="20"/>
          <w:szCs w:val="20"/>
          <w:lang w:val="fr-CA"/>
        </w:rPr>
      </w:pPr>
    </w:p>
    <w:p w:rsidR="00D90E1E" w:rsidRDefault="002B77C5" w:rsidP="003B3977">
      <w:pPr>
        <w:rPr>
          <w:rFonts w:cs="Times New Roman"/>
          <w:sz w:val="20"/>
          <w:szCs w:val="20"/>
          <w:lang w:val="fr-CA"/>
        </w:rPr>
      </w:pPr>
      <w:r w:rsidRPr="002B77C5">
        <w:rPr>
          <w:rFonts w:cs="Times New Roman"/>
          <w:sz w:val="20"/>
          <w:szCs w:val="20"/>
          <w:lang w:val="fr-CA"/>
        </w:rPr>
        <w:pict>
          <v:rect id="_x0000_i1089" style="width:144.3pt;height:1pt" o:hrpct="300" o:hralign="center" o:hrstd="t" o:hrnoshade="t" o:hr="t" fillcolor="black [3213]" stroked="f"/>
        </w:pict>
      </w:r>
    </w:p>
    <w:p w:rsidR="003C630F" w:rsidRPr="00D90E1E" w:rsidRDefault="003C630F" w:rsidP="003B3977">
      <w:pPr>
        <w:rPr>
          <w:sz w:val="20"/>
          <w:szCs w:val="20"/>
          <w:lang w:val="fr-CA"/>
        </w:rPr>
      </w:pPr>
    </w:p>
    <w:p w:rsidR="005C6840" w:rsidRPr="00D90E1E" w:rsidRDefault="005C6840" w:rsidP="005C6840">
      <w:pPr>
        <w:jc w:val="both"/>
        <w:rPr>
          <w:sz w:val="20"/>
          <w:szCs w:val="20"/>
          <w:lang w:val="fr-CA"/>
        </w:rPr>
      </w:pPr>
    </w:p>
    <w:p w:rsidR="00102926" w:rsidRPr="00D90E1E" w:rsidRDefault="00102926" w:rsidP="00782AE4">
      <w:pPr>
        <w:jc w:val="both"/>
        <w:rPr>
          <w:sz w:val="20"/>
          <w:szCs w:val="20"/>
          <w:lang w:val="fr-CA"/>
        </w:rPr>
        <w:sectPr w:rsidR="00102926" w:rsidRPr="00D90E1E"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p w:rsidR="00091FA6" w:rsidRPr="002E0C7E" w:rsidRDefault="002B77C5"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10520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0520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0520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DECEMBER - DÉCEMBRE</w:t>
            </w:r>
          </w:p>
        </w:tc>
      </w:tr>
      <w:tr w:rsidR="00091FA6" w:rsidRPr="002E0C7E" w:rsidTr="0010520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r>
      <w:tr w:rsidR="00091FA6" w:rsidRPr="002E0C7E" w:rsidTr="0010520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w:t>
            </w:r>
          </w:p>
        </w:tc>
      </w:tr>
      <w:tr w:rsidR="00091FA6" w:rsidRPr="002E0C7E" w:rsidTr="0010520C">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10520C">
            <w:pPr>
              <w:widowControl w:val="0"/>
              <w:jc w:val="center"/>
              <w:rPr>
                <w:rFonts w:ascii="Arial" w:hAnsi="Arial"/>
                <w:b/>
                <w:sz w:val="14"/>
              </w:rPr>
            </w:pPr>
            <w:r w:rsidRPr="000C583B">
              <w:rPr>
                <w:rFonts w:ascii="Arial" w:hAnsi="Arial"/>
                <w:b/>
                <w:sz w:val="14"/>
              </w:rPr>
              <w:t>H</w:t>
            </w:r>
          </w:p>
          <w:p w:rsidR="00091FA6" w:rsidRPr="002E0C7E" w:rsidRDefault="00091FA6" w:rsidP="0010520C">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10520C">
            <w:pPr>
              <w:widowControl w:val="0"/>
              <w:jc w:val="center"/>
              <w:rPr>
                <w:rFonts w:ascii="Arial" w:hAnsi="Arial"/>
                <w:b/>
                <w:sz w:val="14"/>
              </w:rPr>
            </w:pPr>
            <w:r w:rsidRPr="000C583B">
              <w:rPr>
                <w:rFonts w:ascii="Arial" w:hAnsi="Arial"/>
                <w:b/>
                <w:sz w:val="14"/>
              </w:rPr>
              <w:t>M</w:t>
            </w:r>
          </w:p>
          <w:p w:rsidR="00091FA6" w:rsidRPr="002E0C7E" w:rsidRDefault="00091FA6" w:rsidP="0010520C">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M</w:t>
            </w:r>
          </w:p>
          <w:p w:rsidR="00091FA6" w:rsidRPr="002E0C7E" w:rsidRDefault="00091FA6" w:rsidP="0010520C">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M</w:t>
            </w:r>
          </w:p>
          <w:p w:rsidR="00091FA6" w:rsidRPr="002E0C7E" w:rsidRDefault="00091FA6" w:rsidP="0010520C">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8</w:t>
            </w:r>
          </w:p>
        </w:tc>
      </w:tr>
      <w:tr w:rsidR="00091FA6" w:rsidRPr="002E0C7E" w:rsidTr="0010520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10520C">
            <w:pPr>
              <w:widowControl w:val="0"/>
              <w:jc w:val="center"/>
              <w:rPr>
                <w:rFonts w:ascii="Arial" w:hAnsi="Arial"/>
                <w:b/>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10520C">
            <w:pPr>
              <w:widowControl w:val="0"/>
              <w:jc w:val="center"/>
              <w:rPr>
                <w:rFonts w:ascii="Arial" w:hAnsi="Arial"/>
                <w:sz w:val="14"/>
              </w:rPr>
            </w:pPr>
            <w:r>
              <w:rPr>
                <w:rFonts w:ascii="Arial" w:hAnsi="Arial"/>
                <w:b/>
                <w:sz w:val="14"/>
              </w:rPr>
              <w:t>H</w:t>
            </w: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0520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0520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Pr>
                <w:rFonts w:ascii="Arial" w:hAnsi="Arial"/>
                <w:sz w:val="14"/>
              </w:rPr>
              <w:t>23</w:t>
            </w:r>
          </w:p>
          <w:p w:rsidR="00091FA6" w:rsidRPr="002E0C7E" w:rsidRDefault="00091FA6" w:rsidP="0010520C">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Pr>
                <w:rFonts w:ascii="Arial" w:hAnsi="Arial"/>
                <w:sz w:val="14"/>
              </w:rPr>
              <w:t>24</w:t>
            </w:r>
          </w:p>
          <w:p w:rsidR="00091FA6" w:rsidRPr="002E0C7E" w:rsidRDefault="00091FA6" w:rsidP="0010520C">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H</w:t>
            </w: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10520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0520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0520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MARCH - MARS</w:t>
            </w:r>
          </w:p>
        </w:tc>
      </w:tr>
      <w:tr w:rsidR="00091FA6" w:rsidRPr="002E0C7E" w:rsidTr="0010520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r>
      <w:tr w:rsidR="00091FA6" w:rsidRPr="002E0C7E" w:rsidTr="0010520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10520C">
            <w:pPr>
              <w:widowControl w:val="0"/>
              <w:jc w:val="center"/>
              <w:rPr>
                <w:rFonts w:ascii="Arial" w:hAnsi="Arial"/>
                <w:b/>
                <w:sz w:val="14"/>
              </w:rPr>
            </w:pPr>
            <w:r>
              <w:rPr>
                <w:rFonts w:ascii="Arial" w:hAnsi="Arial"/>
                <w:b/>
                <w:sz w:val="14"/>
              </w:rPr>
              <w:t>H</w:t>
            </w:r>
          </w:p>
          <w:p w:rsidR="00091FA6" w:rsidRPr="002E0C7E" w:rsidRDefault="00091FA6" w:rsidP="0010520C">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r>
      <w:tr w:rsidR="00091FA6" w:rsidRPr="002E0C7E" w:rsidTr="0010520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r>
      <w:tr w:rsidR="00091FA6" w:rsidRPr="002E0C7E" w:rsidTr="0010520C">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10520C">
            <w:pPr>
              <w:widowControl w:val="0"/>
              <w:jc w:val="center"/>
              <w:rPr>
                <w:rFonts w:ascii="Arial" w:hAnsi="Arial"/>
                <w:b/>
                <w:sz w:val="14"/>
              </w:rPr>
            </w:pPr>
            <w:r>
              <w:rPr>
                <w:rFonts w:ascii="Arial" w:hAnsi="Arial"/>
                <w:b/>
                <w:sz w:val="14"/>
              </w:rPr>
              <w:t>M</w:t>
            </w: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10520C">
            <w:pPr>
              <w:widowControl w:val="0"/>
              <w:jc w:val="center"/>
              <w:rPr>
                <w:rFonts w:ascii="Arial" w:hAnsi="Arial"/>
                <w:b/>
                <w:sz w:val="14"/>
              </w:rPr>
            </w:pPr>
            <w:r>
              <w:rPr>
                <w:rFonts w:ascii="Arial" w:hAnsi="Arial"/>
                <w:b/>
                <w:sz w:val="14"/>
              </w:rPr>
              <w:t>M</w:t>
            </w: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10520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10520C">
            <w:pPr>
              <w:widowControl w:val="0"/>
              <w:jc w:val="center"/>
              <w:rPr>
                <w:rFonts w:ascii="Arial" w:hAnsi="Arial"/>
                <w:b/>
                <w:sz w:val="14"/>
              </w:rPr>
            </w:pPr>
            <w:r>
              <w:rPr>
                <w:rFonts w:ascii="Arial" w:hAnsi="Arial"/>
                <w:b/>
                <w:sz w:val="14"/>
              </w:rPr>
              <w:t>M</w:t>
            </w: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10520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Pr>
                <w:rFonts w:ascii="Arial" w:hAnsi="Arial"/>
                <w:sz w:val="14"/>
              </w:rPr>
              <w:t>24</w:t>
            </w:r>
          </w:p>
          <w:p w:rsidR="00091FA6" w:rsidRPr="002E0C7E" w:rsidRDefault="00091FA6" w:rsidP="0010520C">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10520C">
            <w:pPr>
              <w:widowControl w:val="0"/>
              <w:jc w:val="center"/>
              <w:rPr>
                <w:rFonts w:ascii="Arial" w:hAnsi="Arial"/>
                <w:b/>
                <w:sz w:val="14"/>
              </w:rPr>
            </w:pPr>
            <w:r w:rsidRPr="00261B35">
              <w:rPr>
                <w:rFonts w:ascii="Arial" w:hAnsi="Arial"/>
                <w:b/>
                <w:sz w:val="14"/>
              </w:rPr>
              <w:t>H</w:t>
            </w:r>
          </w:p>
          <w:p w:rsidR="00091FA6" w:rsidRPr="002E0C7E" w:rsidRDefault="00091FA6" w:rsidP="0010520C">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10520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0520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0520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0520C">
            <w:pPr>
              <w:widowControl w:val="0"/>
              <w:jc w:val="center"/>
              <w:rPr>
                <w:rFonts w:ascii="Arial" w:hAnsi="Arial"/>
                <w:sz w:val="14"/>
              </w:rPr>
            </w:pPr>
            <w:r w:rsidRPr="002E0C7E">
              <w:rPr>
                <w:rFonts w:ascii="Arial" w:hAnsi="Arial"/>
                <w:b/>
                <w:sz w:val="14"/>
              </w:rPr>
              <w:t>JUNE - JUIN</w:t>
            </w:r>
          </w:p>
        </w:tc>
      </w:tr>
      <w:tr w:rsidR="00091FA6" w:rsidRPr="002E0C7E" w:rsidTr="0010520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M</w:t>
            </w:r>
          </w:p>
          <w:p w:rsidR="00091FA6" w:rsidRPr="002E0C7E" w:rsidRDefault="00091FA6" w:rsidP="0010520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W</w:t>
            </w:r>
          </w:p>
          <w:p w:rsidR="00091FA6" w:rsidRPr="002E0C7E" w:rsidRDefault="00091FA6" w:rsidP="0010520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T</w:t>
            </w:r>
          </w:p>
          <w:p w:rsidR="00091FA6" w:rsidRPr="002E0C7E" w:rsidRDefault="00091FA6" w:rsidP="0010520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F</w:t>
            </w:r>
          </w:p>
          <w:p w:rsidR="00091FA6" w:rsidRPr="002E0C7E" w:rsidRDefault="00091FA6" w:rsidP="0010520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sidRPr="002E0C7E">
              <w:rPr>
                <w:rFonts w:ascii="Arial" w:hAnsi="Arial"/>
                <w:sz w:val="14"/>
              </w:rPr>
              <w:t>s</w:t>
            </w:r>
          </w:p>
          <w:p w:rsidR="00091FA6" w:rsidRPr="002E0C7E" w:rsidRDefault="00091FA6" w:rsidP="0010520C">
            <w:pPr>
              <w:widowControl w:val="0"/>
              <w:jc w:val="center"/>
              <w:rPr>
                <w:rFonts w:ascii="Arial" w:hAnsi="Arial"/>
                <w:sz w:val="14"/>
              </w:rPr>
            </w:pPr>
            <w:r w:rsidRPr="002E0C7E">
              <w:rPr>
                <w:rFonts w:ascii="Arial" w:hAnsi="Arial"/>
                <w:sz w:val="14"/>
              </w:rPr>
              <w:t>s</w:t>
            </w:r>
          </w:p>
        </w:tc>
      </w:tr>
      <w:tr w:rsidR="00091FA6" w:rsidRPr="002E0C7E" w:rsidTr="0010520C">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10520C">
            <w:pPr>
              <w:widowControl w:val="0"/>
              <w:jc w:val="center"/>
              <w:rPr>
                <w:rFonts w:ascii="Arial" w:hAnsi="Arial"/>
                <w:b/>
                <w:sz w:val="14"/>
              </w:rPr>
            </w:pPr>
            <w:r w:rsidRPr="002453E3">
              <w:rPr>
                <w:rFonts w:ascii="Arial" w:hAnsi="Arial"/>
                <w:b/>
                <w:sz w:val="14"/>
              </w:rPr>
              <w:t>H</w:t>
            </w:r>
          </w:p>
          <w:p w:rsidR="00091FA6" w:rsidRPr="002E0C7E" w:rsidRDefault="00091FA6" w:rsidP="0010520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b/>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w:t>
            </w:r>
          </w:p>
        </w:tc>
      </w:tr>
      <w:tr w:rsidR="00091FA6" w:rsidRPr="002E0C7E" w:rsidTr="0010520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10520C">
            <w:pPr>
              <w:widowControl w:val="0"/>
              <w:jc w:val="center"/>
              <w:rPr>
                <w:rFonts w:ascii="Arial" w:hAnsi="Arial"/>
                <w:b/>
                <w:sz w:val="14"/>
              </w:rPr>
            </w:pPr>
          </w:p>
          <w:p w:rsidR="00091FA6" w:rsidRPr="002E0C7E" w:rsidRDefault="00091FA6" w:rsidP="0010520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8</w:t>
            </w:r>
          </w:p>
        </w:tc>
      </w:tr>
      <w:tr w:rsidR="00091FA6" w:rsidRPr="002E0C7E" w:rsidTr="0010520C">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10520C">
            <w:pPr>
              <w:widowControl w:val="0"/>
              <w:jc w:val="center"/>
              <w:rPr>
                <w:rFonts w:ascii="Arial" w:hAnsi="Arial"/>
                <w:b/>
                <w:sz w:val="14"/>
              </w:rPr>
            </w:pPr>
            <w:r w:rsidRPr="00DB5777">
              <w:rPr>
                <w:rFonts w:ascii="Arial" w:hAnsi="Arial"/>
                <w:b/>
                <w:sz w:val="14"/>
              </w:rPr>
              <w:t>M</w:t>
            </w: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10520C">
            <w:pPr>
              <w:widowControl w:val="0"/>
              <w:jc w:val="center"/>
              <w:rPr>
                <w:rFonts w:ascii="Arial" w:hAnsi="Arial"/>
                <w:b/>
                <w:sz w:val="14"/>
              </w:rPr>
            </w:pPr>
            <w:r w:rsidRPr="002453E3">
              <w:rPr>
                <w:rFonts w:ascii="Arial" w:hAnsi="Arial"/>
                <w:b/>
                <w:sz w:val="14"/>
              </w:rPr>
              <w:t>M</w:t>
            </w: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10520C">
            <w:pPr>
              <w:widowControl w:val="0"/>
              <w:jc w:val="center"/>
              <w:rPr>
                <w:rFonts w:ascii="Arial" w:hAnsi="Arial"/>
                <w:b/>
                <w:sz w:val="14"/>
              </w:rPr>
            </w:pPr>
            <w:r w:rsidRPr="006A1E8D">
              <w:rPr>
                <w:rFonts w:ascii="Arial" w:hAnsi="Arial"/>
                <w:b/>
                <w:sz w:val="14"/>
              </w:rPr>
              <w:t>M</w:t>
            </w: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0520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10520C">
            <w:pPr>
              <w:widowControl w:val="0"/>
              <w:jc w:val="center"/>
              <w:rPr>
                <w:rFonts w:ascii="Arial" w:hAnsi="Arial"/>
                <w:b/>
                <w:sz w:val="14"/>
              </w:rPr>
            </w:pPr>
            <w:r>
              <w:rPr>
                <w:rFonts w:ascii="Arial" w:hAnsi="Arial"/>
                <w:b/>
                <w:sz w:val="14"/>
              </w:rPr>
              <w:t>H</w:t>
            </w: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0520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r>
              <w:rPr>
                <w:rFonts w:ascii="Arial" w:hAnsi="Arial"/>
                <w:sz w:val="14"/>
              </w:rPr>
              <w:t>23</w:t>
            </w:r>
          </w:p>
          <w:p w:rsidR="00091FA6" w:rsidRPr="002E0C7E" w:rsidRDefault="00091FA6" w:rsidP="0010520C">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0520C">
            <w:pPr>
              <w:widowControl w:val="0"/>
              <w:jc w:val="center"/>
              <w:rPr>
                <w:rFonts w:ascii="Arial" w:hAnsi="Arial"/>
                <w:sz w:val="14"/>
              </w:rPr>
            </w:pPr>
          </w:p>
          <w:p w:rsidR="00091FA6" w:rsidRPr="002E0C7E" w:rsidRDefault="00091FA6" w:rsidP="0010520C">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10520C">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10520C">
            <w:pPr>
              <w:widowControl w:val="0"/>
              <w:rPr>
                <w:rFonts w:ascii="Arial" w:hAnsi="Arial"/>
                <w:sz w:val="16"/>
              </w:rPr>
            </w:pPr>
            <w:r w:rsidRPr="002E0C7E">
              <w:rPr>
                <w:rFonts w:ascii="Arial" w:hAnsi="Arial"/>
                <w:sz w:val="16"/>
              </w:rPr>
              <w:t>Sittings of the court:</w:t>
            </w:r>
          </w:p>
          <w:p w:rsidR="00091FA6" w:rsidRPr="002E0C7E" w:rsidRDefault="00091FA6" w:rsidP="0010520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10520C">
            <w:pPr>
              <w:widowControl w:val="0"/>
              <w:rPr>
                <w:rFonts w:ascii="Arial" w:hAnsi="Arial"/>
                <w:sz w:val="16"/>
              </w:rPr>
            </w:pPr>
          </w:p>
          <w:p w:rsidR="00091FA6" w:rsidRPr="002E0C7E" w:rsidRDefault="00091FA6" w:rsidP="0010520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0520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0520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10520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052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5"/>
      <w:footerReference w:type="default" r:id="rId5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0F" w:rsidRDefault="003C630F" w:rsidP="00A87207">
      <w:r>
        <w:separator/>
      </w:r>
    </w:p>
  </w:endnote>
  <w:endnote w:type="continuationSeparator" w:id="0">
    <w:p w:rsidR="003C630F" w:rsidRDefault="003C630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pPr>
      <w:pStyle w:val="Footer"/>
      <w:rPr>
        <w:lang w:val="fr-CA"/>
      </w:rPr>
    </w:pPr>
    <w:r w:rsidRPr="002B77C5">
      <w:rPr>
        <w:lang w:val="fr-CA"/>
      </w:rPr>
      <w:pict>
        <v:rect id="_x0000_i1073" style="width:480.95pt;height:1pt" o:hralign="center" o:hrstd="t" o:hrnoshade="t" o:hr="t" fillcolor="black [3213]" stroked="f"/>
      </w:pict>
    </w:r>
  </w:p>
  <w:p w:rsidR="003C630F" w:rsidRDefault="003C630F" w:rsidP="00245129">
    <w:pPr>
      <w:tabs>
        <w:tab w:val="center" w:pos="4680"/>
      </w:tabs>
    </w:pPr>
    <w:r>
      <w:tab/>
    </w:r>
    <w:r w:rsidRPr="0009648D">
      <w:t xml:space="preserve">- </w:t>
    </w:r>
    <w:fldSimple w:instr=" PAGE   \* MERGEFORMAT ">
      <w:r w:rsidR="004C4EDB">
        <w:rPr>
          <w:noProof/>
        </w:rPr>
        <w:t>1446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630F" w:rsidRDefault="003C630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755F22">
    <w:pPr>
      <w:tabs>
        <w:tab w:val="left" w:pos="-1440"/>
        <w:tab w:val="left" w:pos="-720"/>
      </w:tabs>
    </w:pPr>
    <w:r>
      <w:pict>
        <v:rect id="_x0000_i1076" style="width:480.95pt;height:1pt" o:hralign="center" o:hrstd="t" o:hrnoshade="t" o:hr="t" fillcolor="black [3213]" stroked="f"/>
      </w:pict>
    </w:r>
  </w:p>
  <w:p w:rsidR="003C630F" w:rsidRDefault="003C630F" w:rsidP="00EB2B90">
    <w:pPr>
      <w:tabs>
        <w:tab w:val="center" w:pos="4680"/>
      </w:tabs>
    </w:pPr>
    <w:r>
      <w:tab/>
      <w:t xml:space="preserve">- </w:t>
    </w:r>
    <w:fldSimple w:instr=" PAGE   \* MERGEFORMAT ">
      <w:r w:rsidR="004C4EDB">
        <w:rPr>
          <w:noProof/>
        </w:rPr>
        <w:t>1475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EB2B90">
    <w:pPr>
      <w:tabs>
        <w:tab w:val="center" w:pos="4680"/>
      </w:tabs>
    </w:pPr>
    <w:r>
      <w:pict>
        <v:rect id="_x0000_i1077" style="width:480.95pt;height:1pt" o:hralign="center" o:hrstd="t" o:hrnoshade="t" o:hr="t" fillcolor="black [3213]" stroked="f"/>
      </w:pict>
    </w:r>
  </w:p>
  <w:p w:rsidR="003C630F" w:rsidRPr="0031432F" w:rsidRDefault="003C630F" w:rsidP="00EB2B90">
    <w:pPr>
      <w:tabs>
        <w:tab w:val="center" w:pos="4680"/>
      </w:tabs>
    </w:pPr>
    <w:r>
      <w:tab/>
      <w:t xml:space="preserve">- </w:t>
    </w:r>
    <w:fldSimple w:instr=" PAGE   \* MERGEFORMAT ">
      <w:r w:rsidR="004C4EDB">
        <w:rPr>
          <w:noProof/>
        </w:rPr>
        <w:t>1473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630F" w:rsidRDefault="003C630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B77C5">
      <w:rPr>
        <w:lang w:val="fr-CA"/>
      </w:rPr>
      <w:pict>
        <v:rect id="_x0000_i1080" style="width:480.95pt;height:1pt" o:hralign="center" o:hrstd="t" o:hrnoshade="t" o:hr="t" fillcolor="black [3213]" stroked="f"/>
      </w:pict>
    </w:r>
  </w:p>
  <w:p w:rsidR="003C630F" w:rsidRDefault="003C630F"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pPr>
      <w:pStyle w:val="Footer"/>
      <w:rPr>
        <w:lang w:val="fr-CA"/>
      </w:rPr>
    </w:pPr>
    <w:r w:rsidRPr="002B77C5">
      <w:rPr>
        <w:lang w:val="fr-CA"/>
      </w:rPr>
      <w:pict>
        <v:rect id="_x0000_i1081" style="width:480.95pt;height:1pt" o:hralign="center" o:hrstd="t" o:hrnoshade="t" o:hr="t" fillcolor="black [3213]" stroked="f"/>
      </w:pict>
    </w:r>
  </w:p>
  <w:p w:rsidR="003C630F" w:rsidRDefault="003C630F" w:rsidP="00EB2B90">
    <w:pPr>
      <w:tabs>
        <w:tab w:val="center" w:pos="4680"/>
      </w:tabs>
    </w:pPr>
    <w:r>
      <w:tab/>
      <w:t xml:space="preserve">- </w:t>
    </w:r>
    <w:fldSimple w:instr=" PAGE   \* MERGEFORMAT ">
      <w:r w:rsidR="004C4EDB">
        <w:rPr>
          <w:noProof/>
        </w:rPr>
        <w:t>1476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630F" w:rsidRDefault="003C630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732DB7">
    <w:r>
      <w:pict>
        <v:rect id="_x0000_i1084" style="width:480.95pt;height:1pt" o:hralign="center" o:hrstd="t" o:hrnoshade="t" o:hr="t" fillcolor="black" stroked="f"/>
      </w:pict>
    </w:r>
  </w:p>
  <w:p w:rsidR="003C630F" w:rsidRDefault="003C630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pPr>
      <w:pStyle w:val="Footer"/>
    </w:pPr>
    <w:r>
      <w:pict>
        <v:rect id="_x0000_i1085" style="width:480.95pt;height:1pt" o:hralign="center" o:hrstd="t" o:hrnoshade="t" o:hr="t" fillcolor="black [3213]" stroked="f"/>
      </w:pict>
    </w:r>
  </w:p>
  <w:p w:rsidR="003C630F" w:rsidRPr="003C2C0F" w:rsidRDefault="003C630F" w:rsidP="00697C62">
    <w:pPr>
      <w:tabs>
        <w:tab w:val="center" w:pos="4680"/>
      </w:tabs>
    </w:pPr>
    <w:r>
      <w:tab/>
      <w:t xml:space="preserve">- </w:t>
    </w:r>
    <w:fldSimple w:instr=" PAGE   \* MERGEFORMAT ">
      <w:r w:rsidR="004C4EDB">
        <w:rPr>
          <w:noProof/>
        </w:rPr>
        <w:t>1477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630F" w:rsidRDefault="003C630F">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630F" w:rsidRDefault="002B7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0" style="width:480.95pt;height:1pt" o:hralign="center" o:hrstd="t" o:hrnoshade="t" o:hr="t" fillcolor="black [3213]" stroked="f"/>
      </w:pict>
    </w:r>
  </w:p>
  <w:p w:rsidR="003C630F" w:rsidRDefault="003C630F" w:rsidP="00782AE4">
    <w:pPr>
      <w:tabs>
        <w:tab w:val="center" w:pos="4680"/>
      </w:tabs>
    </w:pPr>
    <w:r>
      <w:tab/>
      <w:t xml:space="preserve">- </w:t>
    </w:r>
    <w:r w:rsidR="002B77C5" w:rsidRPr="001775C1">
      <w:rPr>
        <w:szCs w:val="24"/>
      </w:rPr>
      <w:fldChar w:fldCharType="begin"/>
    </w:r>
    <w:r w:rsidRPr="001775C1">
      <w:rPr>
        <w:szCs w:val="24"/>
      </w:rPr>
      <w:instrText xml:space="preserve"> PAGE   \* MERGEFORMAT </w:instrText>
    </w:r>
    <w:r w:rsidR="002B77C5" w:rsidRPr="001775C1">
      <w:rPr>
        <w:szCs w:val="24"/>
      </w:rPr>
      <w:fldChar w:fldCharType="separate"/>
    </w:r>
    <w:r w:rsidR="004C4EDB">
      <w:rPr>
        <w:noProof/>
        <w:szCs w:val="24"/>
      </w:rPr>
      <w:t>1486</w:t>
    </w:r>
    <w:r w:rsidR="002B77C5"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782AE4">
    <w:pPr>
      <w:tabs>
        <w:tab w:val="center" w:pos="4680"/>
      </w:tabs>
    </w:pPr>
    <w:r>
      <w:pict>
        <v:rect id="_x0000_i1091" style="width:480.95pt;height:1pt" o:hralign="center" o:hrstd="t" o:hrnoshade="t" o:hr="t" fillcolor="black [3213]" stroked="f"/>
      </w:pict>
    </w:r>
  </w:p>
  <w:p w:rsidR="003C630F" w:rsidRDefault="003C630F" w:rsidP="00782AE4">
    <w:pPr>
      <w:tabs>
        <w:tab w:val="center" w:pos="4680"/>
      </w:tabs>
    </w:pPr>
    <w:r>
      <w:tab/>
      <w:t xml:space="preserve">- </w:t>
    </w:r>
    <w:r w:rsidR="002B77C5" w:rsidRPr="001775C1">
      <w:rPr>
        <w:szCs w:val="24"/>
      </w:rPr>
      <w:fldChar w:fldCharType="begin"/>
    </w:r>
    <w:r w:rsidRPr="001775C1">
      <w:rPr>
        <w:szCs w:val="24"/>
      </w:rPr>
      <w:instrText xml:space="preserve"> PAGE   \* MERGEFORMAT </w:instrText>
    </w:r>
    <w:r w:rsidR="002B77C5" w:rsidRPr="001775C1">
      <w:rPr>
        <w:szCs w:val="24"/>
      </w:rPr>
      <w:fldChar w:fldCharType="separate"/>
    </w:r>
    <w:r w:rsidR="004C4EDB">
      <w:rPr>
        <w:noProof/>
        <w:szCs w:val="24"/>
      </w:rPr>
      <w:t>1478</w:t>
    </w:r>
    <w:r w:rsidR="002B77C5"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Pr="00924065" w:rsidRDefault="003C630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A87207">
    <w:pPr>
      <w:pStyle w:val="Footer"/>
    </w:pPr>
    <w:r>
      <w:pict>
        <v:rect id="_x0000_i1039" style="width:480.95pt;height:1pt" o:hralign="center" o:hrstd="t" o:hrnoshade="t" o:hr="t" fillcolor="black [3213]" stroked="f"/>
      </w:pict>
    </w:r>
  </w:p>
  <w:p w:rsidR="003C630F" w:rsidRPr="00B7374B" w:rsidRDefault="003C630F" w:rsidP="00B7374B">
    <w:pPr>
      <w:tabs>
        <w:tab w:val="center" w:pos="4680"/>
      </w:tabs>
      <w:rPr>
        <w:szCs w:val="24"/>
      </w:rPr>
    </w:pPr>
    <w:r w:rsidRPr="00954D22">
      <w:rPr>
        <w:szCs w:val="24"/>
      </w:rPr>
      <w:tab/>
      <w:t xml:space="preserve">- </w:t>
    </w:r>
    <w:r w:rsidR="002B77C5" w:rsidRPr="00954D22">
      <w:rPr>
        <w:szCs w:val="24"/>
      </w:rPr>
      <w:fldChar w:fldCharType="begin"/>
    </w:r>
    <w:r w:rsidRPr="00954D22">
      <w:rPr>
        <w:szCs w:val="24"/>
      </w:rPr>
      <w:instrText xml:space="preserve"> PAGE   \* MERGEFORMAT </w:instrText>
    </w:r>
    <w:r w:rsidR="002B77C5" w:rsidRPr="00954D22">
      <w:rPr>
        <w:szCs w:val="24"/>
      </w:rPr>
      <w:fldChar w:fldCharType="separate"/>
    </w:r>
    <w:r w:rsidR="004C4EDB">
      <w:rPr>
        <w:noProof/>
        <w:szCs w:val="24"/>
      </w:rPr>
      <w:t>1444</w:t>
    </w:r>
    <w:r w:rsidR="002B77C5"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755F22">
    <w:pPr>
      <w:tabs>
        <w:tab w:val="left" w:pos="-1440"/>
        <w:tab w:val="left" w:pos="-720"/>
      </w:tabs>
    </w:pPr>
    <w:r>
      <w:pict>
        <v:rect id="_x0000_i1040" style="width:480.95pt;height:1pt" o:hralign="center" o:hrstd="t" o:hrnoshade="t" o:hr="t" fillcolor="black [3213]" stroked="f"/>
      </w:pict>
    </w:r>
  </w:p>
  <w:p w:rsidR="003C630F" w:rsidRPr="00954D22" w:rsidRDefault="003C630F" w:rsidP="00B7374B">
    <w:pPr>
      <w:tabs>
        <w:tab w:val="center" w:pos="4680"/>
      </w:tabs>
      <w:rPr>
        <w:szCs w:val="24"/>
      </w:rPr>
    </w:pPr>
    <w:r w:rsidRPr="00954D22">
      <w:rPr>
        <w:szCs w:val="24"/>
      </w:rPr>
      <w:tab/>
      <w:t xml:space="preserve">- </w:t>
    </w:r>
    <w:r w:rsidR="002B77C5">
      <w:rPr>
        <w:szCs w:val="24"/>
      </w:rPr>
      <w:fldChar w:fldCharType="begin"/>
    </w:r>
    <w:r>
      <w:rPr>
        <w:szCs w:val="24"/>
      </w:rPr>
      <w:instrText xml:space="preserve"> PAGE   \* MERGEFORMAT </w:instrText>
    </w:r>
    <w:r w:rsidR="002B77C5">
      <w:rPr>
        <w:szCs w:val="24"/>
      </w:rPr>
      <w:fldChar w:fldCharType="separate"/>
    </w:r>
    <w:r w:rsidR="004C4EDB">
      <w:rPr>
        <w:noProof/>
        <w:szCs w:val="24"/>
      </w:rPr>
      <w:t>1443</w:t>
    </w:r>
    <w:r w:rsidR="002B77C5">
      <w:rPr>
        <w:szCs w:val="24"/>
      </w:rPr>
      <w:fldChar w:fldCharType="end"/>
    </w:r>
    <w:r w:rsidRPr="00954D22">
      <w:rPr>
        <w:szCs w:val="24"/>
      </w:rPr>
      <w:t xml:space="preserve"> -</w:t>
    </w:r>
  </w:p>
  <w:p w:rsidR="003C630F" w:rsidRDefault="003C63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A87207">
    <w:pPr>
      <w:pStyle w:val="Footer"/>
    </w:pPr>
    <w:r>
      <w:pict>
        <v:rect id="_x0000_i1042" style="width:480.95pt;height:1pt" o:hralign="center" o:hrstd="t" o:hrnoshade="t" o:hr="t" fillcolor="black [3213]" stroked="f"/>
      </w:pict>
    </w:r>
  </w:p>
  <w:p w:rsidR="003C630F" w:rsidRPr="00B7374B" w:rsidRDefault="003C630F" w:rsidP="00B7374B">
    <w:pPr>
      <w:tabs>
        <w:tab w:val="center" w:pos="4680"/>
      </w:tabs>
      <w:rPr>
        <w:szCs w:val="24"/>
      </w:rPr>
    </w:pPr>
    <w:r w:rsidRPr="00954D22">
      <w:rPr>
        <w:szCs w:val="24"/>
      </w:rPr>
      <w:tab/>
      <w:t xml:space="preserve">- </w:t>
    </w:r>
    <w:r w:rsidR="002B77C5" w:rsidRPr="00954D22">
      <w:rPr>
        <w:szCs w:val="24"/>
      </w:rPr>
      <w:fldChar w:fldCharType="begin"/>
    </w:r>
    <w:r w:rsidRPr="00954D22">
      <w:rPr>
        <w:szCs w:val="24"/>
      </w:rPr>
      <w:instrText xml:space="preserve"> PAGE   \* MERGEFORMAT </w:instrText>
    </w:r>
    <w:r w:rsidR="002B77C5" w:rsidRPr="00954D22">
      <w:rPr>
        <w:szCs w:val="24"/>
      </w:rPr>
      <w:fldChar w:fldCharType="separate"/>
    </w:r>
    <w:r>
      <w:rPr>
        <w:noProof/>
        <w:szCs w:val="24"/>
      </w:rPr>
      <w:t>1446</w:t>
    </w:r>
    <w:r w:rsidR="002B77C5"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3C630F" w:rsidRPr="00954D22" w:rsidRDefault="003C630F" w:rsidP="00B7374B">
    <w:pPr>
      <w:tabs>
        <w:tab w:val="center" w:pos="4680"/>
      </w:tabs>
      <w:rPr>
        <w:szCs w:val="24"/>
      </w:rPr>
    </w:pPr>
    <w:r w:rsidRPr="00954D22">
      <w:rPr>
        <w:szCs w:val="24"/>
      </w:rPr>
      <w:tab/>
      <w:t xml:space="preserve">- </w:t>
    </w:r>
    <w:r w:rsidR="002B77C5" w:rsidRPr="00954D22">
      <w:rPr>
        <w:szCs w:val="24"/>
      </w:rPr>
      <w:fldChar w:fldCharType="begin"/>
    </w:r>
    <w:r w:rsidRPr="00954D22">
      <w:rPr>
        <w:szCs w:val="24"/>
      </w:rPr>
      <w:instrText xml:space="preserve"> PAGE   \* MERGEFORMAT </w:instrText>
    </w:r>
    <w:r w:rsidR="002B77C5" w:rsidRPr="00954D22">
      <w:rPr>
        <w:szCs w:val="24"/>
      </w:rPr>
      <w:fldChar w:fldCharType="separate"/>
    </w:r>
    <w:r w:rsidR="004C4EDB">
      <w:rPr>
        <w:noProof/>
        <w:szCs w:val="24"/>
      </w:rPr>
      <w:t>1445</w:t>
    </w:r>
    <w:r w:rsidR="002B77C5"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630F" w:rsidRDefault="003C630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2B7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B77C5">
      <w:rPr>
        <w:lang w:val="fr-CA"/>
      </w:rPr>
      <w:pict>
        <v:rect id="_x0000_i1072" style="width:480.95pt;height:1pt" o:hralign="center" o:hrstd="t" o:hrnoshade="t" o:hr="t" fillcolor="black [3213]" stroked="f"/>
      </w:pict>
    </w:r>
  </w:p>
  <w:p w:rsidR="003C630F" w:rsidRPr="0009648D" w:rsidRDefault="003C630F" w:rsidP="00ED7E83">
    <w:pPr>
      <w:tabs>
        <w:tab w:val="center" w:pos="4680"/>
      </w:tabs>
    </w:pPr>
    <w:r>
      <w:tab/>
    </w:r>
    <w:r w:rsidRPr="0009648D">
      <w:t xml:space="preserve">- </w:t>
    </w:r>
    <w:fldSimple w:instr=" PAGE   \* MERGEFORMAT ">
      <w:r w:rsidR="004C4EDB">
        <w:rPr>
          <w:noProof/>
        </w:rPr>
        <w:t>1472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0F" w:rsidRDefault="003C630F" w:rsidP="00A87207">
      <w:r>
        <w:separator/>
      </w:r>
    </w:p>
  </w:footnote>
  <w:footnote w:type="continuationSeparator" w:id="0">
    <w:p w:rsidR="003C630F" w:rsidRDefault="003C630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C630F">
      <w:tc>
        <w:tcPr>
          <w:tcW w:w="423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C630F"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630F"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C630F">
      <w:trPr>
        <w:gridAfter w:val="2"/>
        <w:wAfter w:w="5250" w:type="dxa"/>
      </w:trPr>
      <w:tc>
        <w:tcPr>
          <w:tcW w:w="4230" w:type="dxa"/>
          <w:tcMar>
            <w:left w:w="0" w:type="dxa"/>
            <w:right w:w="0" w:type="dxa"/>
          </w:tcMar>
        </w:tcPr>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C630F" w:rsidRPr="00755F22" w:rsidTr="00245129">
      <w:tc>
        <w:tcPr>
          <w:tcW w:w="4230" w:type="dxa"/>
          <w:tcMar>
            <w:left w:w="0" w:type="dxa"/>
            <w:right w:w="0" w:type="dxa"/>
          </w:tcMar>
        </w:tcPr>
        <w:p w:rsidR="003C630F" w:rsidRPr="00755F22" w:rsidRDefault="003C630F" w:rsidP="00831CA9">
          <w:pPr>
            <w:keepNext/>
            <w:keepLines/>
            <w:rPr>
              <w:sz w:val="20"/>
              <w:szCs w:val="20"/>
            </w:rPr>
          </w:pPr>
          <w:r w:rsidRPr="00755F22">
            <w:rPr>
              <w:sz w:val="20"/>
              <w:szCs w:val="20"/>
            </w:rPr>
            <w:t>MOTIONS</w:t>
          </w:r>
        </w:p>
      </w:tc>
      <w:tc>
        <w:tcPr>
          <w:tcW w:w="1170" w:type="dxa"/>
          <w:tcMar>
            <w:left w:w="0" w:type="dxa"/>
            <w:right w:w="0" w:type="dxa"/>
          </w:tcMar>
        </w:tcPr>
        <w:p w:rsidR="003C630F" w:rsidRPr="00755F22" w:rsidRDefault="003C630F" w:rsidP="00831CA9">
          <w:pPr>
            <w:keepLines/>
            <w:jc w:val="center"/>
            <w:rPr>
              <w:sz w:val="20"/>
              <w:szCs w:val="20"/>
            </w:rPr>
          </w:pPr>
        </w:p>
        <w:p w:rsidR="003C630F" w:rsidRPr="00755F22" w:rsidRDefault="003C630F" w:rsidP="00831CA9">
          <w:pPr>
            <w:keepLines/>
            <w:tabs>
              <w:tab w:val="left" w:pos="-1440"/>
              <w:tab w:val="left" w:pos="-720"/>
            </w:tabs>
            <w:jc w:val="center"/>
            <w:rPr>
              <w:sz w:val="20"/>
              <w:szCs w:val="20"/>
            </w:rPr>
          </w:pPr>
        </w:p>
      </w:tc>
      <w:tc>
        <w:tcPr>
          <w:tcW w:w="4080" w:type="dxa"/>
          <w:tcMar>
            <w:left w:w="0" w:type="dxa"/>
            <w:right w:w="0" w:type="dxa"/>
          </w:tcMar>
        </w:tcPr>
        <w:p w:rsidR="003C630F" w:rsidRPr="00BA6468" w:rsidRDefault="003C630F" w:rsidP="00BA6468">
          <w:pPr>
            <w:keepLines/>
            <w:rPr>
              <w:sz w:val="20"/>
              <w:szCs w:val="20"/>
              <w:lang w:val="fr-CA"/>
            </w:rPr>
          </w:pPr>
          <w:r w:rsidRPr="00BA6468">
            <w:rPr>
              <w:sz w:val="20"/>
              <w:szCs w:val="20"/>
              <w:lang w:val="fr-CA"/>
            </w:rPr>
            <w:t>REQUÊTES</w:t>
          </w:r>
        </w:p>
      </w:tc>
    </w:tr>
  </w:tbl>
  <w:p w:rsidR="003C630F" w:rsidRDefault="003C630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C630F" w:rsidRPr="003935EC">
      <w:tc>
        <w:tcPr>
          <w:tcW w:w="420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630F" w:rsidRPr="00B01A03"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C630F" w:rsidRPr="00B01A03"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630F" w:rsidRPr="00B01A03"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C630F" w:rsidRPr="003935EC" w:rsidTr="00245129">
      <w:tc>
        <w:tcPr>
          <w:tcW w:w="4200" w:type="dxa"/>
          <w:tcMar>
            <w:left w:w="0" w:type="dxa"/>
            <w:right w:w="0" w:type="dxa"/>
          </w:tcMar>
        </w:tcPr>
        <w:p w:rsidR="003C630F" w:rsidRPr="00F40249" w:rsidRDefault="003C630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C630F" w:rsidRDefault="003C630F" w:rsidP="00102926">
          <w:pPr>
            <w:keepNext/>
            <w:keepLines/>
            <w:tabs>
              <w:tab w:val="left" w:pos="-1440"/>
              <w:tab w:val="left" w:pos="-720"/>
            </w:tabs>
            <w:jc w:val="center"/>
            <w:rPr>
              <w:sz w:val="20"/>
              <w:szCs w:val="20"/>
            </w:rPr>
          </w:pPr>
        </w:p>
        <w:p w:rsidR="003C630F" w:rsidRDefault="003C630F" w:rsidP="00102926">
          <w:pPr>
            <w:keepNext/>
            <w:keepLines/>
            <w:tabs>
              <w:tab w:val="left" w:pos="-1440"/>
              <w:tab w:val="left" w:pos="-720"/>
            </w:tabs>
            <w:jc w:val="center"/>
            <w:rPr>
              <w:sz w:val="20"/>
              <w:szCs w:val="20"/>
            </w:rPr>
          </w:pPr>
        </w:p>
        <w:p w:rsidR="003C630F" w:rsidRPr="00F40249" w:rsidRDefault="003C630F" w:rsidP="00102926">
          <w:pPr>
            <w:keepNext/>
            <w:keepLines/>
            <w:tabs>
              <w:tab w:val="left" w:pos="-1440"/>
              <w:tab w:val="left" w:pos="-720"/>
            </w:tabs>
            <w:jc w:val="center"/>
            <w:rPr>
              <w:sz w:val="20"/>
              <w:szCs w:val="20"/>
            </w:rPr>
          </w:pPr>
        </w:p>
      </w:tc>
      <w:tc>
        <w:tcPr>
          <w:tcW w:w="4230" w:type="dxa"/>
          <w:tcMar>
            <w:left w:w="0" w:type="dxa"/>
            <w:right w:w="0" w:type="dxa"/>
          </w:tcMar>
        </w:tcPr>
        <w:p w:rsidR="003C630F" w:rsidRPr="00F40249" w:rsidRDefault="003C630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C630F" w:rsidRPr="00B01A03" w:rsidRDefault="003C630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C630F" w:rsidRPr="003935EC">
      <w:tc>
        <w:tcPr>
          <w:tcW w:w="420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C630F" w:rsidRPr="003C2C0F"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C630F" w:rsidRPr="003C2C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C630F" w:rsidRPr="003C2C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C630F" w:rsidRPr="003935EC" w:rsidTr="00245129">
      <w:tc>
        <w:tcPr>
          <w:tcW w:w="4200" w:type="dxa"/>
          <w:tcMar>
            <w:left w:w="0" w:type="dxa"/>
            <w:right w:w="0" w:type="dxa"/>
          </w:tcMar>
        </w:tcPr>
        <w:p w:rsidR="003C630F" w:rsidRPr="00FF6EEC" w:rsidRDefault="003C630F" w:rsidP="00FF6EEC">
          <w:pPr>
            <w:rPr>
              <w:sz w:val="20"/>
              <w:szCs w:val="20"/>
            </w:rPr>
          </w:pPr>
          <w:r w:rsidRPr="00FF6EEC">
            <w:rPr>
              <w:sz w:val="20"/>
              <w:szCs w:val="20"/>
            </w:rPr>
            <w:t>PRONOUNCEMENTS OF APPEALS RESERVED</w:t>
          </w:r>
        </w:p>
      </w:tc>
      <w:tc>
        <w:tcPr>
          <w:tcW w:w="1200" w:type="dxa"/>
          <w:tcMar>
            <w:left w:w="0" w:type="dxa"/>
            <w:right w:w="0" w:type="dxa"/>
          </w:tcMar>
        </w:tcPr>
        <w:p w:rsidR="003C630F" w:rsidRPr="00FF6EEC" w:rsidRDefault="003C630F" w:rsidP="00FF6EEC">
          <w:pPr>
            <w:jc w:val="center"/>
            <w:rPr>
              <w:sz w:val="20"/>
              <w:szCs w:val="20"/>
            </w:rPr>
          </w:pPr>
        </w:p>
        <w:p w:rsidR="003C630F" w:rsidRPr="00FF6EEC" w:rsidRDefault="003C630F" w:rsidP="00FF6EEC">
          <w:pPr>
            <w:jc w:val="center"/>
            <w:rPr>
              <w:sz w:val="20"/>
              <w:szCs w:val="20"/>
            </w:rPr>
          </w:pPr>
        </w:p>
        <w:p w:rsidR="003C630F" w:rsidRPr="00FF6EEC" w:rsidRDefault="003C630F" w:rsidP="00FF6EEC">
          <w:pPr>
            <w:jc w:val="center"/>
            <w:rPr>
              <w:sz w:val="20"/>
              <w:szCs w:val="20"/>
            </w:rPr>
          </w:pPr>
        </w:p>
      </w:tc>
      <w:tc>
        <w:tcPr>
          <w:tcW w:w="4080" w:type="dxa"/>
          <w:tcMar>
            <w:left w:w="0" w:type="dxa"/>
            <w:right w:w="0" w:type="dxa"/>
          </w:tcMar>
        </w:tcPr>
        <w:p w:rsidR="003C630F" w:rsidRPr="00FF6EEC" w:rsidRDefault="003C630F" w:rsidP="00FF6EEC">
          <w:pPr>
            <w:rPr>
              <w:sz w:val="20"/>
              <w:szCs w:val="20"/>
              <w:lang w:val="fr-CA"/>
            </w:rPr>
          </w:pPr>
          <w:r w:rsidRPr="00FF6EEC">
            <w:rPr>
              <w:sz w:val="20"/>
              <w:szCs w:val="20"/>
              <w:lang w:val="fr-CA"/>
            </w:rPr>
            <w:t>JUGEMENTS RENDUS SUR LES APPELS EN DÉLIBÉRÉ</w:t>
          </w:r>
        </w:p>
      </w:tc>
    </w:tr>
  </w:tbl>
  <w:p w:rsidR="003C630F" w:rsidRPr="003C2C0F" w:rsidRDefault="003C630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C630F">
      <w:tc>
        <w:tcPr>
          <w:tcW w:w="423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C630F"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C630F"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C630F" w:rsidRPr="00782AE4" w:rsidTr="00245129">
      <w:tc>
        <w:tcPr>
          <w:tcW w:w="4230" w:type="dxa"/>
          <w:tcMar>
            <w:left w:w="0" w:type="dxa"/>
            <w:right w:w="0" w:type="dxa"/>
          </w:tcMar>
        </w:tcPr>
        <w:p w:rsidR="003C630F" w:rsidRPr="00782AE4" w:rsidRDefault="003C630F" w:rsidP="00102926">
          <w:pPr>
            <w:keepNext/>
            <w:keepLines/>
            <w:tabs>
              <w:tab w:val="left" w:pos="-1440"/>
              <w:tab w:val="left" w:pos="-720"/>
            </w:tabs>
            <w:rPr>
              <w:sz w:val="20"/>
              <w:szCs w:val="20"/>
            </w:rPr>
          </w:pPr>
          <w:r w:rsidRPr="00782AE4">
            <w:rPr>
              <w:sz w:val="20"/>
              <w:szCs w:val="20"/>
            </w:rPr>
            <w:t xml:space="preserve">HEADNOTES OF RECENT </w:t>
          </w:r>
        </w:p>
        <w:p w:rsidR="003C630F" w:rsidRPr="00782AE4"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C630F" w:rsidRDefault="003C630F" w:rsidP="00102926">
          <w:pPr>
            <w:keepNext/>
            <w:keepLines/>
            <w:tabs>
              <w:tab w:val="left" w:pos="-1440"/>
              <w:tab w:val="left" w:pos="-720"/>
            </w:tabs>
            <w:jc w:val="center"/>
            <w:rPr>
              <w:sz w:val="20"/>
              <w:szCs w:val="20"/>
            </w:rPr>
          </w:pPr>
        </w:p>
        <w:p w:rsidR="003C630F" w:rsidRDefault="003C630F" w:rsidP="00102926">
          <w:pPr>
            <w:keepNext/>
            <w:keepLines/>
            <w:tabs>
              <w:tab w:val="left" w:pos="-1440"/>
              <w:tab w:val="left" w:pos="-720"/>
            </w:tabs>
            <w:jc w:val="center"/>
            <w:rPr>
              <w:sz w:val="20"/>
              <w:szCs w:val="20"/>
            </w:rPr>
          </w:pPr>
        </w:p>
        <w:p w:rsidR="003C630F" w:rsidRPr="00782AE4" w:rsidRDefault="003C630F" w:rsidP="00102926">
          <w:pPr>
            <w:keepNext/>
            <w:keepLines/>
            <w:tabs>
              <w:tab w:val="left" w:pos="-1440"/>
              <w:tab w:val="left" w:pos="-720"/>
            </w:tabs>
            <w:jc w:val="center"/>
            <w:rPr>
              <w:sz w:val="20"/>
              <w:szCs w:val="20"/>
            </w:rPr>
          </w:pPr>
        </w:p>
      </w:tc>
      <w:tc>
        <w:tcPr>
          <w:tcW w:w="4080" w:type="dxa"/>
          <w:tcMar>
            <w:left w:w="0" w:type="dxa"/>
            <w:right w:w="0" w:type="dxa"/>
          </w:tcMar>
        </w:tcPr>
        <w:p w:rsidR="003C630F" w:rsidRPr="00102926"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C630F" w:rsidRPr="00782AE4" w:rsidRDefault="003C630F" w:rsidP="00102926">
          <w:pPr>
            <w:keepLines/>
            <w:tabs>
              <w:tab w:val="left" w:pos="-1440"/>
              <w:tab w:val="left" w:pos="-720"/>
            </w:tabs>
            <w:rPr>
              <w:sz w:val="20"/>
              <w:szCs w:val="20"/>
            </w:rPr>
          </w:pPr>
          <w:r w:rsidRPr="00102926">
            <w:rPr>
              <w:sz w:val="20"/>
              <w:szCs w:val="20"/>
              <w:lang w:val="fr-CA"/>
            </w:rPr>
            <w:t>RÉCENTS</w:t>
          </w:r>
        </w:p>
      </w:tc>
    </w:tr>
  </w:tbl>
  <w:p w:rsidR="003C630F" w:rsidRDefault="003C630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C630F" w:rsidRPr="0044776A" w:rsidTr="00245129">
      <w:tc>
        <w:tcPr>
          <w:tcW w:w="4290" w:type="dxa"/>
          <w:tcMar>
            <w:left w:w="0" w:type="dxa"/>
            <w:right w:w="0" w:type="dxa"/>
          </w:tcMar>
        </w:tcPr>
        <w:p w:rsidR="003C630F" w:rsidRPr="0044776A" w:rsidRDefault="003C630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C630F" w:rsidRPr="0044776A" w:rsidRDefault="003C630F" w:rsidP="002E2327">
          <w:pPr>
            <w:keepNext/>
            <w:keepLines/>
            <w:tabs>
              <w:tab w:val="left" w:pos="-1440"/>
              <w:tab w:val="left" w:pos="-720"/>
            </w:tabs>
            <w:jc w:val="center"/>
            <w:rPr>
              <w:sz w:val="20"/>
              <w:szCs w:val="20"/>
            </w:rPr>
          </w:pPr>
        </w:p>
        <w:p w:rsidR="003C630F" w:rsidRPr="0044776A" w:rsidRDefault="003C630F" w:rsidP="002E2327">
          <w:pPr>
            <w:keepNext/>
            <w:keepLines/>
            <w:tabs>
              <w:tab w:val="left" w:pos="-1440"/>
              <w:tab w:val="left" w:pos="-720"/>
            </w:tabs>
            <w:jc w:val="center"/>
            <w:rPr>
              <w:sz w:val="20"/>
              <w:szCs w:val="20"/>
            </w:rPr>
          </w:pPr>
        </w:p>
        <w:p w:rsidR="003C630F" w:rsidRPr="0044776A" w:rsidRDefault="003C630F" w:rsidP="002E2327">
          <w:pPr>
            <w:keepNext/>
            <w:keepLines/>
            <w:tabs>
              <w:tab w:val="left" w:pos="-1440"/>
              <w:tab w:val="left" w:pos="-720"/>
            </w:tabs>
            <w:jc w:val="center"/>
            <w:rPr>
              <w:sz w:val="20"/>
              <w:szCs w:val="20"/>
            </w:rPr>
          </w:pPr>
        </w:p>
      </w:tc>
      <w:tc>
        <w:tcPr>
          <w:tcW w:w="4320" w:type="dxa"/>
          <w:tcMar>
            <w:left w:w="0" w:type="dxa"/>
            <w:right w:w="0" w:type="dxa"/>
          </w:tcMar>
        </w:tcPr>
        <w:p w:rsidR="003C630F" w:rsidRPr="0044776A" w:rsidRDefault="003C630F" w:rsidP="002E2327">
          <w:pPr>
            <w:keepLines/>
            <w:rPr>
              <w:sz w:val="20"/>
              <w:szCs w:val="20"/>
              <w:lang w:val="fr-CA"/>
            </w:rPr>
          </w:pPr>
          <w:r w:rsidRPr="0044776A">
            <w:rPr>
              <w:sz w:val="20"/>
              <w:szCs w:val="20"/>
              <w:lang w:val="fr-CA"/>
            </w:rPr>
            <w:t>DEMANDES D'AUTORISATION D'APPEL DÉPOSÉES</w:t>
          </w:r>
        </w:p>
      </w:tc>
    </w:tr>
  </w:tbl>
  <w:p w:rsidR="003C630F" w:rsidRDefault="003C630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C630F" w:rsidRPr="003935EC" w:rsidTr="00245129">
      <w:tc>
        <w:tcPr>
          <w:tcW w:w="4200" w:type="dxa"/>
          <w:tcMar>
            <w:left w:w="0" w:type="dxa"/>
            <w:right w:w="0" w:type="dxa"/>
          </w:tcMar>
        </w:tcPr>
        <w:p w:rsidR="003C630F" w:rsidRPr="0044776A" w:rsidRDefault="003C630F" w:rsidP="0044776A">
          <w:pPr>
            <w:keepNext/>
            <w:keepLines/>
            <w:widowControl w:val="0"/>
            <w:rPr>
              <w:sz w:val="20"/>
              <w:szCs w:val="20"/>
            </w:rPr>
          </w:pPr>
          <w:r>
            <w:rPr>
              <w:sz w:val="20"/>
              <w:szCs w:val="20"/>
            </w:rPr>
            <w:t>APPLICATIONS FOR LEAVE</w:t>
          </w:r>
        </w:p>
        <w:p w:rsidR="003C630F" w:rsidRPr="0044776A" w:rsidRDefault="003C630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C630F" w:rsidRPr="0044776A" w:rsidRDefault="003C630F" w:rsidP="0044776A">
          <w:pPr>
            <w:keepNext/>
            <w:keepLines/>
            <w:widowControl w:val="0"/>
            <w:jc w:val="center"/>
            <w:rPr>
              <w:sz w:val="20"/>
              <w:szCs w:val="20"/>
            </w:rPr>
          </w:pPr>
        </w:p>
        <w:p w:rsidR="003C630F" w:rsidRPr="0044776A" w:rsidRDefault="003C630F" w:rsidP="0044776A">
          <w:pPr>
            <w:keepNext/>
            <w:keepLines/>
            <w:widowControl w:val="0"/>
            <w:jc w:val="center"/>
            <w:rPr>
              <w:sz w:val="20"/>
              <w:szCs w:val="20"/>
            </w:rPr>
          </w:pPr>
        </w:p>
        <w:p w:rsidR="003C630F" w:rsidRPr="0044776A" w:rsidRDefault="003C630F" w:rsidP="0044776A">
          <w:pPr>
            <w:keepNext/>
            <w:keepLines/>
            <w:widowControl w:val="0"/>
            <w:jc w:val="center"/>
            <w:rPr>
              <w:sz w:val="20"/>
              <w:szCs w:val="20"/>
            </w:rPr>
          </w:pPr>
        </w:p>
      </w:tc>
      <w:tc>
        <w:tcPr>
          <w:tcW w:w="4080" w:type="dxa"/>
          <w:tcMar>
            <w:left w:w="0" w:type="dxa"/>
            <w:right w:w="0" w:type="dxa"/>
          </w:tcMar>
        </w:tcPr>
        <w:p w:rsidR="003C630F" w:rsidRPr="0044776A" w:rsidRDefault="003C630F" w:rsidP="0044776A">
          <w:pPr>
            <w:keepLines/>
            <w:widowControl w:val="0"/>
            <w:rPr>
              <w:sz w:val="20"/>
              <w:szCs w:val="20"/>
              <w:lang w:val="fr-CA"/>
            </w:rPr>
          </w:pPr>
          <w:r w:rsidRPr="0044776A">
            <w:rPr>
              <w:sz w:val="20"/>
              <w:szCs w:val="20"/>
              <w:lang w:val="fr-CA"/>
            </w:rPr>
            <w:t>DEMANDES SOUMISES À LA COUR DEPUIS LA DERNIÈRE PARUTION</w:t>
          </w:r>
        </w:p>
        <w:p w:rsidR="003C630F" w:rsidRPr="0044776A" w:rsidRDefault="003C630F" w:rsidP="0044776A">
          <w:pPr>
            <w:widowControl w:val="0"/>
            <w:rPr>
              <w:sz w:val="20"/>
              <w:szCs w:val="20"/>
              <w:lang w:val="fr-CA"/>
            </w:rPr>
          </w:pPr>
        </w:p>
      </w:tc>
    </w:tr>
  </w:tbl>
  <w:p w:rsidR="003C630F" w:rsidRPr="002E2327" w:rsidRDefault="003C630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0F" w:rsidRDefault="003C630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C630F" w:rsidRPr="003935EC">
      <w:tc>
        <w:tcPr>
          <w:tcW w:w="4200" w:type="dxa"/>
          <w:tcMar>
            <w:left w:w="0" w:type="dxa"/>
            <w:right w:w="0" w:type="dxa"/>
          </w:tcMar>
        </w:tcPr>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C630F"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C630F"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630F" w:rsidRPr="00FF6BA5"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C630F" w:rsidRPr="00FF6BA5"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C630F" w:rsidRPr="00FF6BA5"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C630F" w:rsidRPr="00FF6BA5" w:rsidRDefault="003C6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C630F" w:rsidRPr="003935EC" w:rsidTr="00245129">
      <w:tc>
        <w:tcPr>
          <w:tcW w:w="4200" w:type="dxa"/>
          <w:tcMar>
            <w:left w:w="0" w:type="dxa"/>
            <w:right w:w="0" w:type="dxa"/>
          </w:tcMar>
        </w:tcPr>
        <w:p w:rsidR="003C630F" w:rsidRPr="00755F22"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C630F" w:rsidRPr="00755F22" w:rsidRDefault="003C63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C630F" w:rsidRPr="00755F22" w:rsidRDefault="003C630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C630F" w:rsidRPr="00755F22" w:rsidRDefault="003C630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C630F" w:rsidRPr="00755F22" w:rsidRDefault="003C630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C630F" w:rsidRPr="00755F22" w:rsidRDefault="003C63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C630F" w:rsidRPr="00FF6BA5" w:rsidRDefault="003C630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4831"/>
  </w:hdrShapeDefaults>
  <w:footnotePr>
    <w:footnote w:id="-1"/>
    <w:footnote w:id="0"/>
  </w:footnotePr>
  <w:endnotePr>
    <w:endnote w:id="-1"/>
    <w:endnote w:id="0"/>
  </w:endnotePr>
  <w:compat/>
  <w:rsids>
    <w:rsidRoot w:val="00C01D73"/>
    <w:rsid w:val="0003223B"/>
    <w:rsid w:val="000327B2"/>
    <w:rsid w:val="00054E79"/>
    <w:rsid w:val="00091FA6"/>
    <w:rsid w:val="00096BD9"/>
    <w:rsid w:val="000B3C9A"/>
    <w:rsid w:val="000B40A2"/>
    <w:rsid w:val="000B4624"/>
    <w:rsid w:val="000C0ACD"/>
    <w:rsid w:val="00102926"/>
    <w:rsid w:val="0010520C"/>
    <w:rsid w:val="0010587F"/>
    <w:rsid w:val="00111C6B"/>
    <w:rsid w:val="0012102B"/>
    <w:rsid w:val="0013369E"/>
    <w:rsid w:val="001616BC"/>
    <w:rsid w:val="00164E6D"/>
    <w:rsid w:val="001833B1"/>
    <w:rsid w:val="00196AAC"/>
    <w:rsid w:val="001B157C"/>
    <w:rsid w:val="001B5C23"/>
    <w:rsid w:val="001D0D5F"/>
    <w:rsid w:val="001D6B8C"/>
    <w:rsid w:val="001E50A0"/>
    <w:rsid w:val="001F1F83"/>
    <w:rsid w:val="001F6C28"/>
    <w:rsid w:val="002021A9"/>
    <w:rsid w:val="002139A7"/>
    <w:rsid w:val="00215F7C"/>
    <w:rsid w:val="0022323B"/>
    <w:rsid w:val="002410B8"/>
    <w:rsid w:val="00242AEE"/>
    <w:rsid w:val="00243F8A"/>
    <w:rsid w:val="00245129"/>
    <w:rsid w:val="00245879"/>
    <w:rsid w:val="00267FD5"/>
    <w:rsid w:val="002774C7"/>
    <w:rsid w:val="0028080A"/>
    <w:rsid w:val="002868D0"/>
    <w:rsid w:val="002A27D1"/>
    <w:rsid w:val="002A4AFA"/>
    <w:rsid w:val="002B1E96"/>
    <w:rsid w:val="002B516C"/>
    <w:rsid w:val="002B77C5"/>
    <w:rsid w:val="002D72EB"/>
    <w:rsid w:val="002E2327"/>
    <w:rsid w:val="002E3583"/>
    <w:rsid w:val="002E5576"/>
    <w:rsid w:val="002E6033"/>
    <w:rsid w:val="00330120"/>
    <w:rsid w:val="00331B52"/>
    <w:rsid w:val="003359D3"/>
    <w:rsid w:val="00355967"/>
    <w:rsid w:val="00355FF9"/>
    <w:rsid w:val="00382C47"/>
    <w:rsid w:val="00384384"/>
    <w:rsid w:val="003866AE"/>
    <w:rsid w:val="003935EC"/>
    <w:rsid w:val="003B3977"/>
    <w:rsid w:val="003C4F25"/>
    <w:rsid w:val="003C630F"/>
    <w:rsid w:val="00432989"/>
    <w:rsid w:val="00440E24"/>
    <w:rsid w:val="00444501"/>
    <w:rsid w:val="0044776A"/>
    <w:rsid w:val="00460AFC"/>
    <w:rsid w:val="0047471F"/>
    <w:rsid w:val="004B195E"/>
    <w:rsid w:val="004B66B4"/>
    <w:rsid w:val="004B7F60"/>
    <w:rsid w:val="004C1AAC"/>
    <w:rsid w:val="004C4EDB"/>
    <w:rsid w:val="004F090E"/>
    <w:rsid w:val="00527CC7"/>
    <w:rsid w:val="00571CA4"/>
    <w:rsid w:val="0058204A"/>
    <w:rsid w:val="00582136"/>
    <w:rsid w:val="005840C6"/>
    <w:rsid w:val="00594C0F"/>
    <w:rsid w:val="005B42D6"/>
    <w:rsid w:val="005C6840"/>
    <w:rsid w:val="005D3361"/>
    <w:rsid w:val="005F263E"/>
    <w:rsid w:val="005F361C"/>
    <w:rsid w:val="005F717A"/>
    <w:rsid w:val="00600252"/>
    <w:rsid w:val="00612A40"/>
    <w:rsid w:val="00643147"/>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55F22"/>
    <w:rsid w:val="00760492"/>
    <w:rsid w:val="00761AF0"/>
    <w:rsid w:val="00766E4A"/>
    <w:rsid w:val="007820CE"/>
    <w:rsid w:val="00782AE4"/>
    <w:rsid w:val="0079724F"/>
    <w:rsid w:val="007A3EAE"/>
    <w:rsid w:val="007B4201"/>
    <w:rsid w:val="007C04FC"/>
    <w:rsid w:val="007C1867"/>
    <w:rsid w:val="007D3E0F"/>
    <w:rsid w:val="007F387B"/>
    <w:rsid w:val="00802863"/>
    <w:rsid w:val="00815B3C"/>
    <w:rsid w:val="0082783A"/>
    <w:rsid w:val="00831CA9"/>
    <w:rsid w:val="00843ADA"/>
    <w:rsid w:val="00850E1F"/>
    <w:rsid w:val="0085476B"/>
    <w:rsid w:val="00890FEB"/>
    <w:rsid w:val="008A3C3B"/>
    <w:rsid w:val="008D292F"/>
    <w:rsid w:val="008E03DC"/>
    <w:rsid w:val="00924065"/>
    <w:rsid w:val="00930D68"/>
    <w:rsid w:val="00932DB4"/>
    <w:rsid w:val="00941A4B"/>
    <w:rsid w:val="00946242"/>
    <w:rsid w:val="0095096B"/>
    <w:rsid w:val="00956EDB"/>
    <w:rsid w:val="009572E2"/>
    <w:rsid w:val="00970CD3"/>
    <w:rsid w:val="009723FA"/>
    <w:rsid w:val="00984546"/>
    <w:rsid w:val="00996510"/>
    <w:rsid w:val="009C422A"/>
    <w:rsid w:val="009C74D4"/>
    <w:rsid w:val="009D1F15"/>
    <w:rsid w:val="009D555E"/>
    <w:rsid w:val="009F3024"/>
    <w:rsid w:val="00A0355E"/>
    <w:rsid w:val="00A12B58"/>
    <w:rsid w:val="00A375D1"/>
    <w:rsid w:val="00A51D10"/>
    <w:rsid w:val="00A52A83"/>
    <w:rsid w:val="00A6552C"/>
    <w:rsid w:val="00A87207"/>
    <w:rsid w:val="00A921C3"/>
    <w:rsid w:val="00A935AA"/>
    <w:rsid w:val="00AB2201"/>
    <w:rsid w:val="00AD3259"/>
    <w:rsid w:val="00AF1715"/>
    <w:rsid w:val="00AF3904"/>
    <w:rsid w:val="00B010C0"/>
    <w:rsid w:val="00B03EE3"/>
    <w:rsid w:val="00B4740D"/>
    <w:rsid w:val="00B61629"/>
    <w:rsid w:val="00B64857"/>
    <w:rsid w:val="00B7374B"/>
    <w:rsid w:val="00B90DC0"/>
    <w:rsid w:val="00BA116A"/>
    <w:rsid w:val="00BA5582"/>
    <w:rsid w:val="00BA6468"/>
    <w:rsid w:val="00BD06DA"/>
    <w:rsid w:val="00BD4217"/>
    <w:rsid w:val="00BF25F3"/>
    <w:rsid w:val="00C01D73"/>
    <w:rsid w:val="00C04E7C"/>
    <w:rsid w:val="00C1697B"/>
    <w:rsid w:val="00C21CB5"/>
    <w:rsid w:val="00C44279"/>
    <w:rsid w:val="00C50A5C"/>
    <w:rsid w:val="00C50FDF"/>
    <w:rsid w:val="00C52D9D"/>
    <w:rsid w:val="00C63381"/>
    <w:rsid w:val="00C73D06"/>
    <w:rsid w:val="00C73E1B"/>
    <w:rsid w:val="00C759B4"/>
    <w:rsid w:val="00C77713"/>
    <w:rsid w:val="00C965C5"/>
    <w:rsid w:val="00CB43D5"/>
    <w:rsid w:val="00CC4D84"/>
    <w:rsid w:val="00CE198A"/>
    <w:rsid w:val="00D45EFE"/>
    <w:rsid w:val="00D64901"/>
    <w:rsid w:val="00D76BDF"/>
    <w:rsid w:val="00D862C1"/>
    <w:rsid w:val="00D90E1E"/>
    <w:rsid w:val="00D93A47"/>
    <w:rsid w:val="00D93B50"/>
    <w:rsid w:val="00D94670"/>
    <w:rsid w:val="00DA46F6"/>
    <w:rsid w:val="00DB759F"/>
    <w:rsid w:val="00DD0B49"/>
    <w:rsid w:val="00E06DFA"/>
    <w:rsid w:val="00E20A0A"/>
    <w:rsid w:val="00E356C7"/>
    <w:rsid w:val="00E45FE4"/>
    <w:rsid w:val="00E61DD3"/>
    <w:rsid w:val="00E64FA7"/>
    <w:rsid w:val="00E762C6"/>
    <w:rsid w:val="00E770CB"/>
    <w:rsid w:val="00E903A1"/>
    <w:rsid w:val="00E940EB"/>
    <w:rsid w:val="00EB2B90"/>
    <w:rsid w:val="00ED7E83"/>
    <w:rsid w:val="00EF4B63"/>
    <w:rsid w:val="00EF7905"/>
    <w:rsid w:val="00F0068D"/>
    <w:rsid w:val="00F0576D"/>
    <w:rsid w:val="00F14E6D"/>
    <w:rsid w:val="00F15EA8"/>
    <w:rsid w:val="00F16C8D"/>
    <w:rsid w:val="00F26C61"/>
    <w:rsid w:val="00F33CCE"/>
    <w:rsid w:val="00F40249"/>
    <w:rsid w:val="00F526C8"/>
    <w:rsid w:val="00F9272D"/>
    <w:rsid w:val="00F9518C"/>
    <w:rsid w:val="00F956F1"/>
    <w:rsid w:val="00FA316E"/>
    <w:rsid w:val="00FA59EF"/>
    <w:rsid w:val="00FB19A2"/>
    <w:rsid w:val="00FC466D"/>
    <w:rsid w:val="00FD20F0"/>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owerCourtNameLowercase">
    <w:name w:val="SCC.LowerCourtNameLowercase"/>
    <w:basedOn w:val="SCCNormalDoubleSpacing"/>
    <w:next w:val="SCCNormalDoubleSpacing"/>
    <w:rsid w:val="00330120"/>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294C-95ED-4173-8CF8-4132E9CC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18419</Words>
  <Characters>104991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2012-10-05T18:29:00Z</dcterms:created>
  <dcterms:modified xsi:type="dcterms:W3CDTF">2012-10-05T18:29:00Z</dcterms:modified>
</cp:coreProperties>
</file>