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571F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571F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571F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571F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571F9" w:rsidTr="002E5576">
        <w:tc>
          <w:tcPr>
            <w:tcW w:w="4518" w:type="dxa"/>
          </w:tcPr>
          <w:p w:rsidR="00BF25F3" w:rsidRPr="002E2327" w:rsidRDefault="002048E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048E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571F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571F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B1989"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Pr>
          <w:lang w:val="fr-CA"/>
        </w:rPr>
        <w:t>2</w:t>
      </w:r>
      <w:r w:rsidR="00440E24" w:rsidRPr="00675479">
        <w:rPr>
          <w:lang w:val="fr-CA"/>
        </w:rPr>
        <w:t>, 201</w:t>
      </w:r>
      <w:r w:rsidR="00C73D06">
        <w:rPr>
          <w:lang w:val="fr-CA"/>
        </w:rPr>
        <w:t>2</w:t>
      </w:r>
      <w:r w:rsidR="00F0068D" w:rsidRPr="00675479">
        <w:rPr>
          <w:lang w:val="fr-CA"/>
        </w:rPr>
        <w:tab/>
        <w:t>1</w:t>
      </w:r>
      <w:r>
        <w:rPr>
          <w:lang w:val="fr-CA"/>
        </w:rPr>
        <w:t>615</w:t>
      </w:r>
      <w:r w:rsidR="00F0068D" w:rsidRPr="00675479">
        <w:rPr>
          <w:lang w:val="fr-CA"/>
        </w:rPr>
        <w:t xml:space="preserve"> - </w:t>
      </w:r>
      <w:r w:rsidR="00401D71">
        <w:rPr>
          <w:lang w:val="fr-CA"/>
        </w:rPr>
        <w:t>1677</w:t>
      </w:r>
      <w:r w:rsidR="00440E24" w:rsidRPr="00675479">
        <w:rPr>
          <w:lang w:val="fr-CA"/>
        </w:rPr>
        <w:tab/>
      </w:r>
      <w:r w:rsidR="00440E24" w:rsidRPr="002E2327">
        <w:rPr>
          <w:lang w:val="fr-CA"/>
        </w:rPr>
        <w:t>Le</w:t>
      </w:r>
      <w:r w:rsidR="00C73D06">
        <w:rPr>
          <w:lang w:val="fr-CA"/>
        </w:rPr>
        <w:t xml:space="preserve"> </w:t>
      </w:r>
      <w:r>
        <w:rPr>
          <w:lang w:val="fr-CA"/>
        </w:rPr>
        <w:t>2 novembr</w:t>
      </w:r>
      <w:r w:rsidR="00C73D06">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lastRenderedPageBreak/>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6647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5505A5">
            <w:pPr>
              <w:tabs>
                <w:tab w:val="right" w:pos="9360"/>
              </w:tabs>
              <w:rPr>
                <w:rFonts w:cs="Times New Roman"/>
                <w:sz w:val="20"/>
                <w:szCs w:val="20"/>
              </w:rPr>
            </w:pPr>
          </w:p>
        </w:tc>
        <w:tc>
          <w:tcPr>
            <w:tcW w:w="1980" w:type="dxa"/>
          </w:tcPr>
          <w:p w:rsidR="0095096B" w:rsidRPr="002E2327" w:rsidRDefault="009B1989" w:rsidP="0095096B">
            <w:pPr>
              <w:jc w:val="center"/>
              <w:rPr>
                <w:rFonts w:cs="Times New Roman"/>
                <w:sz w:val="20"/>
                <w:szCs w:val="20"/>
              </w:rPr>
            </w:pPr>
            <w:r>
              <w:rPr>
                <w:rFonts w:cs="Times New Roman"/>
                <w:sz w:val="20"/>
                <w:szCs w:val="20"/>
              </w:rPr>
              <w:t xml:space="preserve">1615 </w:t>
            </w:r>
            <w:r w:rsidR="002048ED" w:rsidRPr="002E2327">
              <w:rPr>
                <w:rFonts w:cs="Times New Roman"/>
                <w:sz w:val="20"/>
                <w:szCs w:val="20"/>
              </w:rPr>
              <w:fldChar w:fldCharType="begin"/>
            </w:r>
            <w:r w:rsidR="0095096B" w:rsidRPr="002E2327">
              <w:rPr>
                <w:rFonts w:cs="Times New Roman"/>
                <w:sz w:val="20"/>
                <w:szCs w:val="20"/>
              </w:rPr>
              <w:instrText xml:space="preserve"> SEQ CHAPTER \h \r 1</w:instrText>
            </w:r>
            <w:r w:rsidR="002048ED" w:rsidRPr="002E2327">
              <w:rPr>
                <w:rFonts w:cs="Times New Roman"/>
                <w:sz w:val="20"/>
                <w:szCs w:val="20"/>
              </w:rPr>
              <w:fldChar w:fldCharType="end"/>
            </w:r>
            <w:r w:rsidR="0095096B" w:rsidRPr="002E2327">
              <w:rPr>
                <w:rFonts w:cs="Times New Roman"/>
                <w:sz w:val="20"/>
                <w:szCs w:val="20"/>
              </w:rPr>
              <w:t>-</w:t>
            </w:r>
            <w:r w:rsidR="00093B21">
              <w:rPr>
                <w:rFonts w:cs="Times New Roman"/>
                <w:sz w:val="20"/>
                <w:szCs w:val="20"/>
              </w:rPr>
              <w:t xml:space="preserve"> 1616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93B21" w:rsidP="0095096B">
            <w:pPr>
              <w:jc w:val="center"/>
              <w:rPr>
                <w:rFonts w:cs="Times New Roman"/>
                <w:sz w:val="20"/>
                <w:szCs w:val="20"/>
              </w:rPr>
            </w:pPr>
            <w:r>
              <w:rPr>
                <w:rFonts w:cs="Times New Roman"/>
                <w:sz w:val="20"/>
                <w:szCs w:val="20"/>
              </w:rPr>
              <w:t>1617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93B21" w:rsidP="0095096B">
            <w:pPr>
              <w:jc w:val="center"/>
              <w:rPr>
                <w:rFonts w:cs="Times New Roman"/>
                <w:sz w:val="20"/>
                <w:szCs w:val="20"/>
              </w:rPr>
            </w:pPr>
            <w:r>
              <w:rPr>
                <w:rFonts w:cs="Times New Roman"/>
                <w:sz w:val="20"/>
                <w:szCs w:val="20"/>
              </w:rPr>
              <w:t xml:space="preserve">1618 </w:t>
            </w:r>
            <w:r w:rsidR="0095096B" w:rsidRPr="002E2327">
              <w:rPr>
                <w:rFonts w:cs="Times New Roman"/>
                <w:sz w:val="20"/>
                <w:szCs w:val="20"/>
              </w:rPr>
              <w:t>-</w:t>
            </w:r>
            <w:r w:rsidR="0019613D">
              <w:rPr>
                <w:rFonts w:cs="Times New Roman"/>
                <w:sz w:val="20"/>
                <w:szCs w:val="20"/>
              </w:rPr>
              <w:t xml:space="preserve"> 1655</w:t>
            </w:r>
          </w:p>
          <w:p w:rsidR="0095096B" w:rsidRPr="002E2327" w:rsidRDefault="0095096B" w:rsidP="0095096B">
            <w:pPr>
              <w:jc w:val="center"/>
              <w:rPr>
                <w:rFonts w:cs="Times New Roman"/>
                <w:sz w:val="20"/>
                <w:szCs w:val="20"/>
              </w:rPr>
            </w:pPr>
          </w:p>
          <w:p w:rsidR="0019613D" w:rsidRDefault="0019613D" w:rsidP="0095096B">
            <w:pPr>
              <w:jc w:val="center"/>
              <w:rPr>
                <w:rFonts w:cs="Times New Roman"/>
                <w:sz w:val="20"/>
                <w:szCs w:val="20"/>
              </w:rPr>
            </w:pPr>
          </w:p>
          <w:p w:rsidR="0095096B" w:rsidRPr="002E2327" w:rsidRDefault="0019613D" w:rsidP="0095096B">
            <w:pPr>
              <w:jc w:val="center"/>
              <w:rPr>
                <w:rFonts w:cs="Times New Roman"/>
                <w:sz w:val="20"/>
                <w:szCs w:val="20"/>
              </w:rPr>
            </w:pPr>
            <w:r>
              <w:rPr>
                <w:rFonts w:cs="Times New Roman"/>
                <w:sz w:val="20"/>
                <w:szCs w:val="20"/>
              </w:rPr>
              <w:t xml:space="preserve">1656 </w:t>
            </w:r>
            <w:r w:rsidR="0095096B" w:rsidRPr="002E2327">
              <w:rPr>
                <w:rFonts w:cs="Times New Roman"/>
                <w:sz w:val="20"/>
                <w:szCs w:val="20"/>
              </w:rPr>
              <w:t>-</w:t>
            </w:r>
            <w:r>
              <w:rPr>
                <w:rFonts w:cs="Times New Roman"/>
                <w:sz w:val="20"/>
                <w:szCs w:val="20"/>
              </w:rPr>
              <w:t xml:space="preserve"> 1659</w:t>
            </w:r>
          </w:p>
          <w:p w:rsidR="0095096B" w:rsidRPr="002E2327" w:rsidRDefault="0095096B" w:rsidP="0095096B">
            <w:pPr>
              <w:jc w:val="center"/>
              <w:rPr>
                <w:rFonts w:cs="Times New Roman"/>
                <w:sz w:val="20"/>
                <w:szCs w:val="20"/>
              </w:rPr>
            </w:pPr>
          </w:p>
          <w:p w:rsidR="0095096B" w:rsidRPr="002E2327" w:rsidRDefault="0019613D" w:rsidP="0095096B">
            <w:pPr>
              <w:jc w:val="center"/>
              <w:rPr>
                <w:rFonts w:cs="Times New Roman"/>
                <w:sz w:val="20"/>
                <w:szCs w:val="20"/>
              </w:rPr>
            </w:pPr>
            <w:r>
              <w:rPr>
                <w:rFonts w:cs="Times New Roman"/>
                <w:sz w:val="20"/>
                <w:szCs w:val="20"/>
              </w:rPr>
              <w:t>1660</w:t>
            </w:r>
            <w:r w:rsidR="00401D71">
              <w:rPr>
                <w:rFonts w:cs="Times New Roman"/>
                <w:sz w:val="20"/>
                <w:szCs w:val="20"/>
              </w:rPr>
              <w:t xml:space="preserve"> - 1662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9613D" w:rsidP="0095096B">
            <w:pPr>
              <w:jc w:val="center"/>
              <w:rPr>
                <w:rFonts w:cs="Times New Roman"/>
                <w:sz w:val="20"/>
                <w:szCs w:val="20"/>
              </w:rPr>
            </w:pPr>
            <w:r>
              <w:rPr>
                <w:rFonts w:cs="Times New Roman"/>
                <w:sz w:val="20"/>
                <w:szCs w:val="20"/>
              </w:rPr>
              <w:t>166</w:t>
            </w:r>
            <w:r w:rsidR="00401D71">
              <w:rPr>
                <w:rFonts w:cs="Times New Roman"/>
                <w:sz w:val="20"/>
                <w:szCs w:val="20"/>
              </w:rPr>
              <w:t>3</w:t>
            </w:r>
            <w:r>
              <w:rPr>
                <w:rFonts w:cs="Times New Roman"/>
                <w:sz w:val="20"/>
                <w:szCs w:val="20"/>
              </w:rPr>
              <w:t xml:space="preserve"> </w:t>
            </w:r>
            <w:r w:rsidR="0095096B" w:rsidRPr="002E2327">
              <w:rPr>
                <w:rFonts w:cs="Times New Roman"/>
                <w:sz w:val="20"/>
                <w:szCs w:val="20"/>
              </w:rPr>
              <w:t>-</w:t>
            </w:r>
            <w:r w:rsidR="00401D71">
              <w:rPr>
                <w:rFonts w:cs="Times New Roman"/>
                <w:sz w:val="20"/>
                <w:szCs w:val="20"/>
              </w:rPr>
              <w:t xml:space="preserve"> 1677</w:t>
            </w:r>
          </w:p>
          <w:p w:rsidR="00A87207" w:rsidRPr="002E2327" w:rsidRDefault="00A87207" w:rsidP="00093B21">
            <w:pPr>
              <w:jc w:val="center"/>
              <w:rPr>
                <w:rFonts w:cs="Times New Roman"/>
                <w:sz w:val="20"/>
                <w:szCs w:val="20"/>
              </w:rPr>
            </w:pPr>
          </w:p>
        </w:tc>
        <w:tc>
          <w:tcPr>
            <w:tcW w:w="3888" w:type="dxa"/>
          </w:tcPr>
          <w:p w:rsidR="0095096B" w:rsidRPr="002E2327" w:rsidRDefault="002048E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93B21">
            <w:pPr>
              <w:rPr>
                <w:rFonts w:cs="Times New Roman"/>
                <w:sz w:val="20"/>
                <w:szCs w:val="20"/>
                <w:lang w:val="fr-CA"/>
              </w:rPr>
            </w:pPr>
          </w:p>
        </w:tc>
      </w:tr>
    </w:tbl>
    <w:p w:rsidR="0095096B" w:rsidRDefault="0095096B" w:rsidP="0095096B">
      <w:pPr>
        <w:tabs>
          <w:tab w:val="right" w:pos="9360"/>
        </w:tabs>
        <w:rPr>
          <w:lang w:val="fr-CA"/>
        </w:rPr>
      </w:pPr>
    </w:p>
    <w:p w:rsidR="00093B21" w:rsidRDefault="00093B21" w:rsidP="0095096B">
      <w:pPr>
        <w:tabs>
          <w:tab w:val="right" w:pos="9360"/>
        </w:tabs>
        <w:rPr>
          <w:lang w:val="fr-CA"/>
        </w:rPr>
      </w:pPr>
    </w:p>
    <w:p w:rsidR="00093B21" w:rsidRDefault="00093B21" w:rsidP="0095096B">
      <w:pPr>
        <w:tabs>
          <w:tab w:val="right" w:pos="9360"/>
        </w:tabs>
        <w:rPr>
          <w:lang w:val="fr-CA"/>
        </w:rPr>
      </w:pPr>
    </w:p>
    <w:p w:rsidR="00093B21" w:rsidRDefault="00093B21" w:rsidP="0095096B">
      <w:pPr>
        <w:tabs>
          <w:tab w:val="right" w:pos="9360"/>
        </w:tabs>
        <w:rPr>
          <w:lang w:val="fr-CA"/>
        </w:rPr>
      </w:pPr>
    </w:p>
    <w:p w:rsidR="00093B21" w:rsidRPr="005505A5" w:rsidRDefault="00093B21" w:rsidP="0095096B">
      <w:pPr>
        <w:tabs>
          <w:tab w:val="right" w:pos="9360"/>
        </w:tabs>
        <w:rPr>
          <w:lang w:val="fr-CA"/>
        </w:rPr>
      </w:pPr>
    </w:p>
    <w:tbl>
      <w:tblPr>
        <w:tblStyle w:val="TableGrid"/>
        <w:tblW w:w="0" w:type="auto"/>
        <w:tblLook w:val="04A0"/>
      </w:tblPr>
      <w:tblGrid>
        <w:gridCol w:w="9576"/>
      </w:tblGrid>
      <w:tr w:rsidR="0079724F" w:rsidRPr="005571F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266477" w:rsidRDefault="00FC69F7" w:rsidP="003B3977">
            <w:pPr>
              <w:rPr>
                <w:b/>
                <w:sz w:val="20"/>
                <w:szCs w:val="20"/>
                <w:lang w:val="fr-CA"/>
              </w:rPr>
            </w:pPr>
            <w:r w:rsidRPr="00266477">
              <w:rPr>
                <w:b/>
                <w:sz w:val="20"/>
                <w:szCs w:val="20"/>
                <w:lang w:val="fr-CA"/>
              </w:rPr>
              <w:t>Jacynthe Deschênes</w:t>
            </w:r>
          </w:p>
          <w:p w:rsidR="00242AEE" w:rsidRPr="00266477" w:rsidRDefault="00242AEE" w:rsidP="003B3977">
            <w:pPr>
              <w:tabs>
                <w:tab w:val="left" w:pos="-1440"/>
                <w:tab w:val="left" w:pos="-720"/>
              </w:tabs>
              <w:rPr>
                <w:sz w:val="20"/>
                <w:szCs w:val="20"/>
                <w:lang w:val="fr-CA"/>
              </w:rPr>
            </w:pPr>
            <w:r w:rsidRPr="00266477">
              <w:rPr>
                <w:sz w:val="20"/>
                <w:szCs w:val="20"/>
                <w:lang w:val="fr-CA"/>
              </w:rPr>
              <w:tab/>
            </w:r>
            <w:r w:rsidR="00FC69F7" w:rsidRPr="00266477">
              <w:rPr>
                <w:sz w:val="20"/>
                <w:szCs w:val="20"/>
                <w:lang w:val="fr-CA"/>
              </w:rPr>
              <w:t>Jacynthe Deschênes</w:t>
            </w:r>
          </w:p>
          <w:p w:rsidR="00242AEE" w:rsidRPr="00266477" w:rsidRDefault="00242AEE" w:rsidP="003B3977">
            <w:pPr>
              <w:tabs>
                <w:tab w:val="left" w:pos="-1440"/>
                <w:tab w:val="left" w:pos="-720"/>
              </w:tabs>
              <w:rPr>
                <w:sz w:val="20"/>
                <w:szCs w:val="20"/>
                <w:lang w:val="fr-CA"/>
              </w:rPr>
            </w:pPr>
          </w:p>
          <w:p w:rsidR="00242AEE" w:rsidRPr="00FC69F7" w:rsidRDefault="00242AEE" w:rsidP="003B3977">
            <w:pPr>
              <w:tabs>
                <w:tab w:val="left" w:pos="-1440"/>
                <w:tab w:val="left" w:pos="-720"/>
              </w:tabs>
              <w:rPr>
                <w:sz w:val="20"/>
                <w:szCs w:val="20"/>
                <w:lang w:val="fr-CA"/>
              </w:rPr>
            </w:pPr>
            <w:r w:rsidRPr="00266477">
              <w:rPr>
                <w:sz w:val="20"/>
                <w:szCs w:val="20"/>
                <w:lang w:val="fr-CA"/>
              </w:rPr>
              <w:tab/>
            </w:r>
            <w:r w:rsidR="00FC69F7" w:rsidRPr="00FC69F7">
              <w:rPr>
                <w:sz w:val="20"/>
                <w:szCs w:val="20"/>
                <w:lang w:val="fr-CA"/>
              </w:rPr>
              <w:t>c</w:t>
            </w:r>
            <w:r w:rsidRPr="00FC69F7">
              <w:rPr>
                <w:sz w:val="20"/>
                <w:szCs w:val="20"/>
                <w:lang w:val="fr-CA"/>
              </w:rPr>
              <w:t>. (3</w:t>
            </w:r>
            <w:r w:rsidR="00FC69F7" w:rsidRPr="00FC69F7">
              <w:rPr>
                <w:sz w:val="20"/>
                <w:szCs w:val="20"/>
                <w:lang w:val="fr-CA"/>
              </w:rPr>
              <w:t>4969</w:t>
            </w:r>
            <w:r w:rsidRPr="00FC69F7">
              <w:rPr>
                <w:sz w:val="20"/>
                <w:szCs w:val="20"/>
                <w:lang w:val="fr-CA"/>
              </w:rPr>
              <w:t>)</w:t>
            </w:r>
          </w:p>
          <w:p w:rsidR="00242AEE" w:rsidRPr="00FC69F7" w:rsidRDefault="00242AEE" w:rsidP="003B3977">
            <w:pPr>
              <w:tabs>
                <w:tab w:val="left" w:pos="-1440"/>
                <w:tab w:val="left" w:pos="-720"/>
              </w:tabs>
              <w:rPr>
                <w:sz w:val="20"/>
                <w:szCs w:val="20"/>
                <w:lang w:val="fr-CA"/>
              </w:rPr>
            </w:pPr>
          </w:p>
          <w:p w:rsidR="00242AEE" w:rsidRPr="00FC69F7" w:rsidRDefault="00FC69F7" w:rsidP="003B3977">
            <w:pPr>
              <w:tabs>
                <w:tab w:val="left" w:pos="-1440"/>
                <w:tab w:val="left" w:pos="-720"/>
              </w:tabs>
              <w:rPr>
                <w:b/>
                <w:sz w:val="20"/>
                <w:szCs w:val="20"/>
                <w:lang w:val="fr-CA"/>
              </w:rPr>
            </w:pPr>
            <w:r w:rsidRPr="00FC69F7">
              <w:rPr>
                <w:b/>
                <w:sz w:val="20"/>
                <w:szCs w:val="20"/>
                <w:lang w:val="fr-CA"/>
              </w:rPr>
              <w:t>Banque canadienne imp</w:t>
            </w:r>
            <w:r w:rsidR="00FC6B97">
              <w:rPr>
                <w:b/>
                <w:sz w:val="20"/>
                <w:szCs w:val="20"/>
                <w:lang w:val="fr-CA"/>
              </w:rPr>
              <w:t>é</w:t>
            </w:r>
            <w:r w:rsidRPr="00FC69F7">
              <w:rPr>
                <w:b/>
                <w:sz w:val="20"/>
                <w:szCs w:val="20"/>
                <w:lang w:val="fr-CA"/>
              </w:rPr>
              <w:t>rial</w:t>
            </w:r>
            <w:r w:rsidR="00FC6B97">
              <w:rPr>
                <w:b/>
                <w:sz w:val="20"/>
                <w:szCs w:val="20"/>
                <w:lang w:val="fr-CA"/>
              </w:rPr>
              <w:t>e</w:t>
            </w:r>
            <w:r w:rsidRPr="00FC69F7">
              <w:rPr>
                <w:b/>
                <w:sz w:val="20"/>
                <w:szCs w:val="20"/>
                <w:lang w:val="fr-CA"/>
              </w:rPr>
              <w:t xml:space="preserve"> de commerce</w:t>
            </w:r>
            <w:r w:rsidR="00035B10" w:rsidRPr="00FC69F7">
              <w:rPr>
                <w:b/>
                <w:sz w:val="20"/>
                <w:szCs w:val="20"/>
                <w:lang w:val="fr-CA"/>
              </w:rPr>
              <w:t xml:space="preserve"> </w:t>
            </w:r>
            <w:r w:rsidR="00242AEE" w:rsidRPr="00FC69F7">
              <w:rPr>
                <w:b/>
                <w:sz w:val="20"/>
                <w:szCs w:val="20"/>
                <w:lang w:val="fr-CA"/>
              </w:rPr>
              <w:t>(</w:t>
            </w:r>
            <w:r w:rsidRPr="00FC69F7">
              <w:rPr>
                <w:b/>
                <w:sz w:val="20"/>
                <w:szCs w:val="20"/>
                <w:lang w:val="fr-CA"/>
              </w:rPr>
              <w:t>Qc</w:t>
            </w:r>
            <w:r w:rsidR="00242AEE" w:rsidRPr="00FC69F7">
              <w:rPr>
                <w:b/>
                <w:sz w:val="20"/>
                <w:szCs w:val="20"/>
                <w:lang w:val="fr-CA"/>
              </w:rPr>
              <w:t>)</w:t>
            </w:r>
          </w:p>
          <w:p w:rsidR="00242AEE" w:rsidRPr="00FC69F7" w:rsidRDefault="00242AEE" w:rsidP="003B3977">
            <w:pPr>
              <w:tabs>
                <w:tab w:val="left" w:pos="-1440"/>
                <w:tab w:val="left" w:pos="-720"/>
              </w:tabs>
              <w:rPr>
                <w:sz w:val="20"/>
                <w:szCs w:val="20"/>
                <w:lang w:val="fr-CA"/>
              </w:rPr>
            </w:pPr>
            <w:r w:rsidRPr="00FC69F7">
              <w:rPr>
                <w:sz w:val="20"/>
                <w:szCs w:val="20"/>
                <w:lang w:val="fr-CA"/>
              </w:rPr>
              <w:tab/>
            </w:r>
            <w:r w:rsidR="00FC69F7">
              <w:rPr>
                <w:sz w:val="20"/>
                <w:szCs w:val="20"/>
                <w:lang w:val="fr-CA"/>
              </w:rPr>
              <w:t>Simon-Pierre Hébert</w:t>
            </w:r>
          </w:p>
          <w:p w:rsidR="00242AEE" w:rsidRPr="00FC69F7" w:rsidRDefault="00242AEE" w:rsidP="003B3977">
            <w:pPr>
              <w:tabs>
                <w:tab w:val="left" w:pos="-1440"/>
                <w:tab w:val="left" w:pos="-720"/>
              </w:tabs>
              <w:rPr>
                <w:sz w:val="20"/>
                <w:szCs w:val="20"/>
                <w:lang w:val="fr-CA"/>
              </w:rPr>
            </w:pPr>
            <w:r w:rsidRPr="00FC69F7">
              <w:rPr>
                <w:sz w:val="20"/>
                <w:szCs w:val="20"/>
                <w:lang w:val="fr-CA"/>
              </w:rPr>
              <w:tab/>
            </w:r>
            <w:r w:rsidR="00FC69F7">
              <w:rPr>
                <w:sz w:val="20"/>
                <w:szCs w:val="20"/>
                <w:lang w:val="fr-CA"/>
              </w:rPr>
              <w:t xml:space="preserve">McCarthy Tétrault, </w:t>
            </w:r>
            <w:proofErr w:type="gramStart"/>
            <w:r w:rsidR="00FC69F7">
              <w:rPr>
                <w:sz w:val="20"/>
                <w:szCs w:val="20"/>
                <w:lang w:val="fr-CA"/>
              </w:rPr>
              <w:t>s.e.n.c.r.l.,</w:t>
            </w:r>
            <w:proofErr w:type="gramEnd"/>
            <w:r w:rsidR="00FC69F7">
              <w:rPr>
                <w:sz w:val="20"/>
                <w:szCs w:val="20"/>
                <w:lang w:val="fr-CA"/>
              </w:rPr>
              <w:t xml:space="preserve"> s.r.l.</w:t>
            </w:r>
          </w:p>
          <w:p w:rsidR="00242AEE" w:rsidRPr="00FC69F7"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FC69F7">
              <w:rPr>
                <w:sz w:val="20"/>
                <w:szCs w:val="20"/>
              </w:rPr>
              <w:t xml:space="preserve"> DE PRODUCTION </w:t>
            </w:r>
            <w:r w:rsidRPr="00A935AA">
              <w:rPr>
                <w:sz w:val="20"/>
                <w:szCs w:val="20"/>
              </w:rPr>
              <w:t xml:space="preserve">: </w:t>
            </w:r>
            <w:r w:rsidR="00FC69F7">
              <w:rPr>
                <w:sz w:val="20"/>
                <w:szCs w:val="20"/>
              </w:rPr>
              <w:t>31</w:t>
            </w:r>
            <w:r w:rsidRPr="00A935AA">
              <w:rPr>
                <w:sz w:val="20"/>
                <w:szCs w:val="20"/>
              </w:rPr>
              <w:t>.0</w:t>
            </w:r>
            <w:r w:rsidR="00FC69F7">
              <w:rPr>
                <w:sz w:val="20"/>
                <w:szCs w:val="20"/>
              </w:rPr>
              <w:t>8</w:t>
            </w:r>
            <w:r w:rsidRPr="00A935AA">
              <w:rPr>
                <w:sz w:val="20"/>
                <w:szCs w:val="20"/>
              </w:rPr>
              <w:t>.201</w:t>
            </w:r>
            <w:r w:rsidR="00035B10">
              <w:rPr>
                <w:sz w:val="20"/>
                <w:szCs w:val="20"/>
              </w:rPr>
              <w:t>2</w:t>
            </w:r>
          </w:p>
          <w:p w:rsidR="00242AEE" w:rsidRDefault="002048ED" w:rsidP="003B3977">
            <w:pPr>
              <w:rPr>
                <w:sz w:val="20"/>
                <w:szCs w:val="20"/>
                <w:lang w:val="fr-CA"/>
              </w:rPr>
            </w:pPr>
            <w:r w:rsidRPr="002048ED">
              <w:rPr>
                <w:sz w:val="20"/>
                <w:szCs w:val="20"/>
                <w:lang w:val="fr-CA"/>
              </w:rPr>
              <w:pict>
                <v:rect id="_x0000_i1025" style="width:108pt;height:1pt" o:hrpct="0" o:hralign="center" o:hrstd="t" o:hrnoshade="t" o:hr="t" fillcolor="black [3213]" stroked="f"/>
              </w:pict>
            </w:r>
          </w:p>
          <w:p w:rsidR="00FC69F7" w:rsidRPr="00A935AA" w:rsidRDefault="00FC69F7" w:rsidP="003B3977">
            <w:pPr>
              <w:rPr>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FC69F7" w:rsidP="003B3977">
            <w:pPr>
              <w:keepNext/>
              <w:keepLines/>
              <w:tabs>
                <w:tab w:val="left" w:pos="-1440"/>
                <w:tab w:val="left" w:pos="-720"/>
              </w:tabs>
              <w:rPr>
                <w:b/>
                <w:sz w:val="20"/>
                <w:szCs w:val="20"/>
              </w:rPr>
            </w:pPr>
            <w:r>
              <w:rPr>
                <w:b/>
                <w:sz w:val="20"/>
                <w:szCs w:val="20"/>
              </w:rPr>
              <w:t>Jorge Sosa also known as Jorge Vinicio Sosa Orantes</w:t>
            </w:r>
          </w:p>
          <w:p w:rsidR="00242AEE" w:rsidRPr="00A935AA" w:rsidRDefault="00242AEE" w:rsidP="003B3977">
            <w:pPr>
              <w:keepNext/>
              <w:keepLines/>
              <w:tabs>
                <w:tab w:val="left" w:pos="-1440"/>
                <w:tab w:val="left" w:pos="-720"/>
              </w:tabs>
              <w:rPr>
                <w:sz w:val="20"/>
                <w:szCs w:val="20"/>
              </w:rPr>
            </w:pPr>
            <w:r w:rsidRPr="00A935AA">
              <w:rPr>
                <w:sz w:val="20"/>
                <w:szCs w:val="20"/>
              </w:rPr>
              <w:tab/>
            </w:r>
            <w:r w:rsidR="00FC69F7">
              <w:rPr>
                <w:sz w:val="20"/>
                <w:szCs w:val="20"/>
              </w:rPr>
              <w:t>Jorge Sosa</w:t>
            </w:r>
          </w:p>
          <w:p w:rsidR="00242AEE" w:rsidRPr="00A935AA" w:rsidRDefault="00242AEE" w:rsidP="003B3977">
            <w:pPr>
              <w:keepNext/>
              <w:keepLines/>
              <w:tabs>
                <w:tab w:val="left" w:pos="-1440"/>
                <w:tab w:val="left" w:pos="-720"/>
              </w:tabs>
              <w:rPr>
                <w:sz w:val="20"/>
                <w:szCs w:val="20"/>
              </w:rPr>
            </w:pPr>
          </w:p>
          <w:p w:rsidR="00242AEE" w:rsidRPr="00FC69F7" w:rsidRDefault="00242AEE" w:rsidP="003B3977">
            <w:pPr>
              <w:keepNext/>
              <w:keepLines/>
              <w:tabs>
                <w:tab w:val="left" w:pos="-1440"/>
                <w:tab w:val="left" w:pos="-720"/>
              </w:tabs>
              <w:rPr>
                <w:sz w:val="20"/>
                <w:szCs w:val="20"/>
              </w:rPr>
            </w:pPr>
            <w:r w:rsidRPr="00A935AA">
              <w:rPr>
                <w:sz w:val="20"/>
                <w:szCs w:val="20"/>
              </w:rPr>
              <w:tab/>
            </w:r>
            <w:r w:rsidRPr="00FC69F7">
              <w:rPr>
                <w:sz w:val="20"/>
                <w:szCs w:val="20"/>
              </w:rPr>
              <w:t>v. (3</w:t>
            </w:r>
            <w:r w:rsidR="00035B10" w:rsidRPr="00FC69F7">
              <w:rPr>
                <w:sz w:val="20"/>
                <w:szCs w:val="20"/>
              </w:rPr>
              <w:t>5</w:t>
            </w:r>
            <w:r w:rsidR="00FC69F7" w:rsidRPr="00FC69F7">
              <w:rPr>
                <w:sz w:val="20"/>
                <w:szCs w:val="20"/>
              </w:rPr>
              <w:t>047</w:t>
            </w:r>
            <w:r w:rsidRPr="00FC69F7">
              <w:rPr>
                <w:sz w:val="20"/>
                <w:szCs w:val="20"/>
              </w:rPr>
              <w:t>)</w:t>
            </w:r>
          </w:p>
          <w:p w:rsidR="00242AEE" w:rsidRPr="00FC69F7" w:rsidRDefault="00242AEE" w:rsidP="003B3977">
            <w:pPr>
              <w:keepNext/>
              <w:keepLines/>
              <w:tabs>
                <w:tab w:val="left" w:pos="-1440"/>
                <w:tab w:val="left" w:pos="-720"/>
              </w:tabs>
              <w:rPr>
                <w:sz w:val="20"/>
                <w:szCs w:val="20"/>
              </w:rPr>
            </w:pPr>
          </w:p>
          <w:p w:rsidR="00242AEE" w:rsidRPr="00FC69F7" w:rsidRDefault="00FC69F7" w:rsidP="003B3977">
            <w:pPr>
              <w:keepNext/>
              <w:keepLines/>
              <w:tabs>
                <w:tab w:val="left" w:pos="-1440"/>
                <w:tab w:val="left" w:pos="-720"/>
              </w:tabs>
              <w:rPr>
                <w:b/>
                <w:sz w:val="20"/>
                <w:szCs w:val="20"/>
              </w:rPr>
            </w:pPr>
            <w:r w:rsidRPr="00FC69F7">
              <w:rPr>
                <w:b/>
                <w:sz w:val="20"/>
                <w:szCs w:val="20"/>
              </w:rPr>
              <w:t xml:space="preserve">Attorney General of Canada (On behalf of the United States of America) </w:t>
            </w:r>
            <w:r w:rsidR="00242AEE" w:rsidRPr="00FC69F7">
              <w:rPr>
                <w:b/>
                <w:sz w:val="20"/>
                <w:szCs w:val="20"/>
              </w:rPr>
              <w:t>(</w:t>
            </w:r>
            <w:r w:rsidRPr="00FC69F7">
              <w:rPr>
                <w:b/>
                <w:sz w:val="20"/>
                <w:szCs w:val="20"/>
              </w:rPr>
              <w:t>Al</w:t>
            </w:r>
            <w:r w:rsidR="00242AEE" w:rsidRPr="00FC69F7">
              <w:rPr>
                <w:b/>
                <w:sz w:val="20"/>
                <w:szCs w:val="20"/>
              </w:rPr>
              <w:t>t</w:t>
            </w:r>
            <w:r>
              <w:rPr>
                <w:b/>
                <w:sz w:val="20"/>
                <w:szCs w:val="20"/>
              </w:rPr>
              <w:t>a</w:t>
            </w:r>
            <w:r w:rsidR="00242AEE" w:rsidRPr="00FC69F7">
              <w:rPr>
                <w:b/>
                <w:sz w:val="20"/>
                <w:szCs w:val="20"/>
              </w:rPr>
              <w:t>.)</w:t>
            </w:r>
          </w:p>
          <w:p w:rsidR="00242AEE" w:rsidRPr="00FC69F7" w:rsidRDefault="00242AEE" w:rsidP="003B3977">
            <w:pPr>
              <w:keepNext/>
              <w:keepLines/>
              <w:tabs>
                <w:tab w:val="left" w:pos="-1440"/>
                <w:tab w:val="left" w:pos="-720"/>
              </w:tabs>
              <w:rPr>
                <w:sz w:val="20"/>
                <w:szCs w:val="20"/>
              </w:rPr>
            </w:pPr>
            <w:r w:rsidRPr="00FC69F7">
              <w:rPr>
                <w:sz w:val="20"/>
                <w:szCs w:val="20"/>
              </w:rPr>
              <w:tab/>
            </w:r>
            <w:r w:rsidR="00FC69F7">
              <w:rPr>
                <w:sz w:val="20"/>
                <w:szCs w:val="20"/>
              </w:rPr>
              <w:t>Janet Henchey</w:t>
            </w:r>
          </w:p>
          <w:p w:rsidR="00242AEE" w:rsidRPr="00FC69F7" w:rsidRDefault="00242AEE" w:rsidP="003B3977">
            <w:pPr>
              <w:keepNext/>
              <w:keepLines/>
              <w:tabs>
                <w:tab w:val="left" w:pos="-1440"/>
                <w:tab w:val="left" w:pos="-720"/>
              </w:tabs>
              <w:rPr>
                <w:sz w:val="20"/>
                <w:szCs w:val="20"/>
              </w:rPr>
            </w:pPr>
            <w:r w:rsidRPr="00FC69F7">
              <w:rPr>
                <w:sz w:val="20"/>
                <w:szCs w:val="20"/>
              </w:rPr>
              <w:tab/>
            </w:r>
            <w:r w:rsidR="00FC69F7">
              <w:rPr>
                <w:sz w:val="20"/>
                <w:szCs w:val="20"/>
              </w:rPr>
              <w:t>A.G. of Canada</w:t>
            </w:r>
          </w:p>
          <w:p w:rsidR="00242AEE" w:rsidRPr="00FC69F7" w:rsidRDefault="00242AEE" w:rsidP="003B3977">
            <w:pPr>
              <w:keepNext/>
              <w:keepLines/>
              <w:tabs>
                <w:tab w:val="left" w:pos="-1440"/>
                <w:tab w:val="left" w:pos="-720"/>
              </w:tabs>
              <w:rPr>
                <w:sz w:val="20"/>
                <w:szCs w:val="20"/>
              </w:rPr>
            </w:pPr>
          </w:p>
          <w:p w:rsidR="00242AEE" w:rsidRPr="00A935AA" w:rsidRDefault="00242AEE" w:rsidP="00FC6B97">
            <w:pPr>
              <w:rPr>
                <w:sz w:val="20"/>
                <w:szCs w:val="20"/>
              </w:rPr>
            </w:pPr>
            <w:r w:rsidRPr="00A935AA">
              <w:rPr>
                <w:sz w:val="20"/>
                <w:szCs w:val="20"/>
              </w:rPr>
              <w:t>FILING DATE: 2</w:t>
            </w:r>
            <w:r w:rsidR="00FC6B97">
              <w:rPr>
                <w:sz w:val="20"/>
                <w:szCs w:val="20"/>
              </w:rPr>
              <w:t>5</w:t>
            </w:r>
            <w:r w:rsidRPr="00A935AA">
              <w:rPr>
                <w:sz w:val="20"/>
                <w:szCs w:val="20"/>
              </w:rPr>
              <w:t>.09.201</w:t>
            </w:r>
            <w:r w:rsidR="00035B10">
              <w:rPr>
                <w:sz w:val="20"/>
                <w:szCs w:val="20"/>
              </w:rPr>
              <w:t>2</w:t>
            </w:r>
            <w:r w:rsidR="002048ED" w:rsidRPr="002048ED">
              <w:rPr>
                <w:sz w:val="20"/>
                <w:szCs w:val="20"/>
                <w:lang w:val="fr-CA"/>
              </w:rPr>
              <w:pict>
                <v:rect id="_x0000_i1026" style="width:108pt;height:1pt" o:hrpct="0" o:hralign="center" o:hrstd="t" o:hrnoshade="t" o:hr="t" fillcolor="black [3213]" stroked="f"/>
              </w:pict>
            </w:r>
          </w:p>
        </w:tc>
      </w:tr>
      <w:tr w:rsidR="00035B10" w:rsidRPr="00A935AA" w:rsidTr="003B3977">
        <w:tc>
          <w:tcPr>
            <w:tcW w:w="4320" w:type="dxa"/>
            <w:shd w:val="clear" w:color="auto" w:fill="auto"/>
          </w:tcPr>
          <w:p w:rsidR="00FC6B97" w:rsidRDefault="00FC6B97" w:rsidP="009C7C08">
            <w:pPr>
              <w:tabs>
                <w:tab w:val="left" w:pos="-1440"/>
                <w:tab w:val="left" w:pos="-720"/>
              </w:tabs>
              <w:rPr>
                <w:sz w:val="20"/>
                <w:szCs w:val="20"/>
              </w:rPr>
            </w:pPr>
            <w:r>
              <w:rPr>
                <w:b/>
                <w:sz w:val="20"/>
                <w:szCs w:val="20"/>
              </w:rPr>
              <w:t>Réal Marcotte</w:t>
            </w:r>
          </w:p>
          <w:p w:rsidR="00035B10" w:rsidRPr="00A935AA" w:rsidRDefault="00035B10" w:rsidP="009C7C08">
            <w:pPr>
              <w:tabs>
                <w:tab w:val="left" w:pos="-1440"/>
                <w:tab w:val="left" w:pos="-720"/>
              </w:tabs>
              <w:rPr>
                <w:sz w:val="20"/>
                <w:szCs w:val="20"/>
              </w:rPr>
            </w:pPr>
            <w:r w:rsidRPr="00A935AA">
              <w:rPr>
                <w:sz w:val="20"/>
                <w:szCs w:val="20"/>
              </w:rPr>
              <w:tab/>
            </w:r>
            <w:r w:rsidR="00FC69F7">
              <w:rPr>
                <w:sz w:val="20"/>
                <w:szCs w:val="20"/>
              </w:rPr>
              <w:t>Bruce W. Johnston</w:t>
            </w:r>
          </w:p>
          <w:p w:rsidR="00035B10" w:rsidRPr="00A935AA" w:rsidRDefault="00035B10" w:rsidP="009C7C08">
            <w:pPr>
              <w:tabs>
                <w:tab w:val="left" w:pos="-1440"/>
                <w:tab w:val="left" w:pos="-720"/>
              </w:tabs>
              <w:rPr>
                <w:sz w:val="20"/>
                <w:szCs w:val="20"/>
              </w:rPr>
            </w:pPr>
            <w:r w:rsidRPr="00A935AA">
              <w:rPr>
                <w:sz w:val="20"/>
                <w:szCs w:val="20"/>
              </w:rPr>
              <w:tab/>
            </w:r>
            <w:r w:rsidR="00FC69F7">
              <w:rPr>
                <w:sz w:val="20"/>
                <w:szCs w:val="20"/>
              </w:rPr>
              <w:t>Trudel &amp; Johnston</w:t>
            </w:r>
          </w:p>
          <w:p w:rsidR="00035B10" w:rsidRPr="00A935AA" w:rsidRDefault="00035B10" w:rsidP="009C7C08">
            <w:pPr>
              <w:tabs>
                <w:tab w:val="left" w:pos="-1440"/>
                <w:tab w:val="left" w:pos="-720"/>
              </w:tabs>
              <w:rPr>
                <w:sz w:val="20"/>
                <w:szCs w:val="20"/>
              </w:rPr>
            </w:pPr>
          </w:p>
          <w:p w:rsidR="00035B10" w:rsidRPr="00B52DF7" w:rsidRDefault="00035B10" w:rsidP="009C7C08">
            <w:pPr>
              <w:tabs>
                <w:tab w:val="left" w:pos="-1440"/>
                <w:tab w:val="left" w:pos="-720"/>
              </w:tabs>
              <w:rPr>
                <w:sz w:val="20"/>
                <w:szCs w:val="20"/>
                <w:lang w:val="fr-CA"/>
              </w:rPr>
            </w:pPr>
            <w:r w:rsidRPr="00A935AA">
              <w:rPr>
                <w:sz w:val="20"/>
                <w:szCs w:val="20"/>
              </w:rPr>
              <w:tab/>
            </w:r>
            <w:r w:rsidRPr="00B52DF7">
              <w:rPr>
                <w:sz w:val="20"/>
                <w:szCs w:val="20"/>
                <w:lang w:val="fr-CA"/>
              </w:rPr>
              <w:t>v. (35</w:t>
            </w:r>
            <w:r w:rsidR="00FC69F7" w:rsidRPr="00B52DF7">
              <w:rPr>
                <w:sz w:val="20"/>
                <w:szCs w:val="20"/>
                <w:lang w:val="fr-CA"/>
              </w:rPr>
              <w:t>018</w:t>
            </w:r>
            <w:r w:rsidRPr="00B52DF7">
              <w:rPr>
                <w:sz w:val="20"/>
                <w:szCs w:val="20"/>
                <w:lang w:val="fr-CA"/>
              </w:rPr>
              <w:t>)</w:t>
            </w:r>
          </w:p>
          <w:p w:rsidR="00035B10" w:rsidRPr="00B52DF7" w:rsidRDefault="00035B10" w:rsidP="009C7C08">
            <w:pPr>
              <w:tabs>
                <w:tab w:val="left" w:pos="-1440"/>
                <w:tab w:val="left" w:pos="-720"/>
              </w:tabs>
              <w:rPr>
                <w:sz w:val="20"/>
                <w:szCs w:val="20"/>
                <w:lang w:val="fr-CA"/>
              </w:rPr>
            </w:pPr>
          </w:p>
          <w:p w:rsidR="00035B10" w:rsidRPr="007C0F86" w:rsidRDefault="00FC69F7" w:rsidP="009C7C08">
            <w:pPr>
              <w:tabs>
                <w:tab w:val="left" w:pos="-1440"/>
                <w:tab w:val="left" w:pos="-720"/>
              </w:tabs>
              <w:rPr>
                <w:b/>
                <w:sz w:val="20"/>
                <w:szCs w:val="20"/>
                <w:lang w:val="fr-CA"/>
              </w:rPr>
            </w:pPr>
            <w:r w:rsidRPr="007C0F86">
              <w:rPr>
                <w:b/>
                <w:sz w:val="20"/>
                <w:szCs w:val="20"/>
                <w:lang w:val="fr-CA"/>
              </w:rPr>
              <w:t xml:space="preserve">Fédération des caisses </w:t>
            </w:r>
            <w:r w:rsidR="007C0F86" w:rsidRPr="007C0F86">
              <w:rPr>
                <w:b/>
                <w:sz w:val="20"/>
                <w:szCs w:val="20"/>
                <w:lang w:val="fr-CA"/>
              </w:rPr>
              <w:t>D</w:t>
            </w:r>
            <w:r w:rsidRPr="007C0F86">
              <w:rPr>
                <w:b/>
                <w:sz w:val="20"/>
                <w:szCs w:val="20"/>
                <w:lang w:val="fr-CA"/>
              </w:rPr>
              <w:t>esjardins</w:t>
            </w:r>
            <w:r w:rsidR="00035B10" w:rsidRPr="007C0F86">
              <w:rPr>
                <w:b/>
                <w:sz w:val="20"/>
                <w:szCs w:val="20"/>
                <w:lang w:val="fr-CA"/>
              </w:rPr>
              <w:t xml:space="preserve"> </w:t>
            </w:r>
            <w:r w:rsidR="007C0F86" w:rsidRPr="007C0F86">
              <w:rPr>
                <w:b/>
                <w:sz w:val="20"/>
                <w:szCs w:val="20"/>
                <w:lang w:val="fr-CA"/>
              </w:rPr>
              <w:t xml:space="preserve">du Québec </w:t>
            </w:r>
            <w:r w:rsidR="00035B10" w:rsidRPr="007C0F86">
              <w:rPr>
                <w:b/>
                <w:sz w:val="20"/>
                <w:szCs w:val="20"/>
                <w:lang w:val="fr-CA"/>
              </w:rPr>
              <w:t>(</w:t>
            </w:r>
            <w:r w:rsidR="007C0F86" w:rsidRPr="007C0F86">
              <w:rPr>
                <w:b/>
                <w:sz w:val="20"/>
                <w:szCs w:val="20"/>
                <w:lang w:val="fr-CA"/>
              </w:rPr>
              <w:t>Que.</w:t>
            </w:r>
            <w:r w:rsidR="00035B10" w:rsidRPr="007C0F86">
              <w:rPr>
                <w:b/>
                <w:sz w:val="20"/>
                <w:szCs w:val="20"/>
                <w:lang w:val="fr-CA"/>
              </w:rPr>
              <w:t>)</w:t>
            </w:r>
          </w:p>
          <w:p w:rsidR="00035B10" w:rsidRPr="00FC69F7" w:rsidRDefault="00035B10" w:rsidP="009C7C08">
            <w:pPr>
              <w:tabs>
                <w:tab w:val="left" w:pos="-1440"/>
                <w:tab w:val="left" w:pos="-720"/>
              </w:tabs>
              <w:rPr>
                <w:sz w:val="20"/>
                <w:szCs w:val="20"/>
                <w:lang w:val="fr-CA"/>
              </w:rPr>
            </w:pPr>
            <w:r w:rsidRPr="007C0F86">
              <w:rPr>
                <w:sz w:val="20"/>
                <w:szCs w:val="20"/>
                <w:lang w:val="fr-CA"/>
              </w:rPr>
              <w:tab/>
            </w:r>
            <w:r w:rsidR="00FC69F7" w:rsidRPr="00FC69F7">
              <w:rPr>
                <w:sz w:val="20"/>
                <w:szCs w:val="20"/>
                <w:lang w:val="fr-CA"/>
              </w:rPr>
              <w:t>Rayn</w:t>
            </w:r>
            <w:r w:rsidR="00FC6B97">
              <w:rPr>
                <w:sz w:val="20"/>
                <w:szCs w:val="20"/>
                <w:lang w:val="fr-CA"/>
              </w:rPr>
              <w:t>o</w:t>
            </w:r>
            <w:r w:rsidR="00FC69F7" w:rsidRPr="00FC69F7">
              <w:rPr>
                <w:sz w:val="20"/>
                <w:szCs w:val="20"/>
                <w:lang w:val="fr-CA"/>
              </w:rPr>
              <w:t>ld Langlois, c.r.</w:t>
            </w:r>
          </w:p>
          <w:p w:rsidR="00035B10" w:rsidRPr="00FC69F7" w:rsidRDefault="00035B10" w:rsidP="009C7C08">
            <w:pPr>
              <w:tabs>
                <w:tab w:val="left" w:pos="-1440"/>
                <w:tab w:val="left" w:pos="-720"/>
              </w:tabs>
              <w:rPr>
                <w:sz w:val="20"/>
                <w:szCs w:val="20"/>
                <w:lang w:val="fr-CA"/>
              </w:rPr>
            </w:pPr>
            <w:r w:rsidRPr="00FC69F7">
              <w:rPr>
                <w:sz w:val="20"/>
                <w:szCs w:val="20"/>
                <w:lang w:val="fr-CA"/>
              </w:rPr>
              <w:tab/>
            </w:r>
            <w:r w:rsidR="00FC69F7" w:rsidRPr="00FC69F7">
              <w:rPr>
                <w:sz w:val="20"/>
                <w:szCs w:val="20"/>
                <w:lang w:val="fr-CA"/>
              </w:rPr>
              <w:t>Langlois Kronst</w:t>
            </w:r>
            <w:r w:rsidR="00FC69F7">
              <w:rPr>
                <w:sz w:val="20"/>
                <w:szCs w:val="20"/>
                <w:lang w:val="fr-CA"/>
              </w:rPr>
              <w:t>öm Desjardins</w:t>
            </w:r>
          </w:p>
          <w:p w:rsidR="00035B10" w:rsidRPr="00FC69F7" w:rsidRDefault="00035B10" w:rsidP="009C7C08">
            <w:pPr>
              <w:tabs>
                <w:tab w:val="left" w:pos="-1440"/>
                <w:tab w:val="left" w:pos="-720"/>
              </w:tabs>
              <w:rPr>
                <w:sz w:val="20"/>
                <w:szCs w:val="20"/>
                <w:lang w:val="fr-CA"/>
              </w:rPr>
            </w:pPr>
          </w:p>
          <w:p w:rsidR="00035B10" w:rsidRPr="00A935AA" w:rsidRDefault="00035B10" w:rsidP="009C7C08">
            <w:pPr>
              <w:rPr>
                <w:sz w:val="20"/>
                <w:szCs w:val="20"/>
              </w:rPr>
            </w:pPr>
            <w:r w:rsidRPr="00A935AA">
              <w:rPr>
                <w:sz w:val="20"/>
                <w:szCs w:val="20"/>
              </w:rPr>
              <w:t xml:space="preserve">FILING DATE: </w:t>
            </w:r>
            <w:r w:rsidR="00FC69F7">
              <w:rPr>
                <w:sz w:val="20"/>
                <w:szCs w:val="20"/>
              </w:rPr>
              <w:t>01</w:t>
            </w:r>
            <w:r w:rsidRPr="00A935AA">
              <w:rPr>
                <w:sz w:val="20"/>
                <w:szCs w:val="20"/>
              </w:rPr>
              <w:t>.</w:t>
            </w:r>
            <w:r w:rsidR="00FC69F7">
              <w:rPr>
                <w:sz w:val="20"/>
                <w:szCs w:val="20"/>
              </w:rPr>
              <w:t>1</w:t>
            </w:r>
            <w:r w:rsidRPr="00A935AA">
              <w:rPr>
                <w:sz w:val="20"/>
                <w:szCs w:val="20"/>
              </w:rPr>
              <w:t>0.201</w:t>
            </w:r>
            <w:r>
              <w:rPr>
                <w:sz w:val="20"/>
                <w:szCs w:val="20"/>
              </w:rPr>
              <w:t>2</w:t>
            </w:r>
          </w:p>
          <w:p w:rsidR="00035B10" w:rsidRPr="00A935AA" w:rsidRDefault="002048ED" w:rsidP="009C7C08">
            <w:pPr>
              <w:rPr>
                <w:sz w:val="20"/>
                <w:szCs w:val="20"/>
              </w:rPr>
            </w:pPr>
            <w:r w:rsidRPr="002048E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tc>
        <w:tc>
          <w:tcPr>
            <w:tcW w:w="4320" w:type="dxa"/>
            <w:shd w:val="clear" w:color="auto" w:fill="auto"/>
          </w:tcPr>
          <w:p w:rsidR="00035B10" w:rsidRDefault="00035B10" w:rsidP="009C7C08">
            <w:pPr>
              <w:keepNext/>
              <w:keepLines/>
              <w:tabs>
                <w:tab w:val="left" w:pos="-1440"/>
                <w:tab w:val="left" w:pos="-720"/>
              </w:tabs>
              <w:rPr>
                <w:b/>
                <w:sz w:val="20"/>
                <w:szCs w:val="20"/>
              </w:rPr>
            </w:pPr>
          </w:p>
          <w:p w:rsidR="007C0F86" w:rsidRPr="00266477" w:rsidRDefault="007C0F86" w:rsidP="009C7C08">
            <w:pPr>
              <w:keepNext/>
              <w:keepLines/>
              <w:tabs>
                <w:tab w:val="left" w:pos="-1440"/>
                <w:tab w:val="left" w:pos="-720"/>
              </w:tabs>
              <w:rPr>
                <w:b/>
                <w:sz w:val="20"/>
                <w:szCs w:val="20"/>
                <w:lang w:val="fr-CA"/>
              </w:rPr>
            </w:pPr>
            <w:r w:rsidRPr="00266477">
              <w:rPr>
                <w:b/>
                <w:sz w:val="20"/>
                <w:szCs w:val="20"/>
                <w:lang w:val="fr-CA"/>
              </w:rPr>
              <w:t>Noel Ayangma</w:t>
            </w:r>
          </w:p>
          <w:p w:rsidR="00035B10" w:rsidRPr="00266477" w:rsidRDefault="00035B10" w:rsidP="009C7C08">
            <w:pPr>
              <w:keepNext/>
              <w:keepLines/>
              <w:tabs>
                <w:tab w:val="left" w:pos="-1440"/>
                <w:tab w:val="left" w:pos="-720"/>
              </w:tabs>
              <w:rPr>
                <w:sz w:val="20"/>
                <w:szCs w:val="20"/>
                <w:lang w:val="fr-CA"/>
              </w:rPr>
            </w:pPr>
            <w:r w:rsidRPr="00266477">
              <w:rPr>
                <w:sz w:val="20"/>
                <w:szCs w:val="20"/>
                <w:lang w:val="fr-CA"/>
              </w:rPr>
              <w:tab/>
            </w:r>
            <w:r w:rsidR="007C0F86" w:rsidRPr="00266477">
              <w:rPr>
                <w:sz w:val="20"/>
                <w:szCs w:val="20"/>
                <w:lang w:val="fr-CA"/>
              </w:rPr>
              <w:t>Noel Ayangma</w:t>
            </w:r>
          </w:p>
          <w:p w:rsidR="00035B10" w:rsidRPr="00266477" w:rsidRDefault="00035B10" w:rsidP="009C7C08">
            <w:pPr>
              <w:keepNext/>
              <w:keepLines/>
              <w:tabs>
                <w:tab w:val="left" w:pos="-1440"/>
                <w:tab w:val="left" w:pos="-720"/>
              </w:tabs>
              <w:rPr>
                <w:sz w:val="20"/>
                <w:szCs w:val="20"/>
                <w:lang w:val="fr-CA"/>
              </w:rPr>
            </w:pPr>
          </w:p>
          <w:p w:rsidR="00035B10" w:rsidRPr="00266477" w:rsidRDefault="00035B10" w:rsidP="009C7C08">
            <w:pPr>
              <w:keepNext/>
              <w:keepLines/>
              <w:tabs>
                <w:tab w:val="left" w:pos="-1440"/>
                <w:tab w:val="left" w:pos="-720"/>
              </w:tabs>
              <w:rPr>
                <w:sz w:val="20"/>
                <w:szCs w:val="20"/>
                <w:lang w:val="fr-CA"/>
              </w:rPr>
            </w:pPr>
            <w:r w:rsidRPr="00266477">
              <w:rPr>
                <w:sz w:val="20"/>
                <w:szCs w:val="20"/>
                <w:lang w:val="fr-CA"/>
              </w:rPr>
              <w:tab/>
              <w:t>v. (35</w:t>
            </w:r>
            <w:r w:rsidR="007C0F86" w:rsidRPr="00266477">
              <w:rPr>
                <w:sz w:val="20"/>
                <w:szCs w:val="20"/>
                <w:lang w:val="fr-CA"/>
              </w:rPr>
              <w:t>050</w:t>
            </w:r>
            <w:r w:rsidRPr="00266477">
              <w:rPr>
                <w:sz w:val="20"/>
                <w:szCs w:val="20"/>
                <w:lang w:val="fr-CA"/>
              </w:rPr>
              <w:t>)</w:t>
            </w:r>
          </w:p>
          <w:p w:rsidR="00035B10" w:rsidRPr="00266477" w:rsidRDefault="00035B10" w:rsidP="009C7C08">
            <w:pPr>
              <w:keepNext/>
              <w:keepLines/>
              <w:tabs>
                <w:tab w:val="left" w:pos="-1440"/>
                <w:tab w:val="left" w:pos="-720"/>
              </w:tabs>
              <w:rPr>
                <w:sz w:val="20"/>
                <w:szCs w:val="20"/>
                <w:lang w:val="fr-CA"/>
              </w:rPr>
            </w:pPr>
          </w:p>
          <w:p w:rsidR="00035B10" w:rsidRPr="007C0F86" w:rsidRDefault="007C0F86" w:rsidP="009C7C08">
            <w:pPr>
              <w:keepNext/>
              <w:keepLines/>
              <w:tabs>
                <w:tab w:val="left" w:pos="-1440"/>
                <w:tab w:val="left" w:pos="-720"/>
              </w:tabs>
              <w:rPr>
                <w:b/>
                <w:sz w:val="20"/>
                <w:szCs w:val="20"/>
              </w:rPr>
            </w:pPr>
            <w:r w:rsidRPr="007C0F86">
              <w:rPr>
                <w:b/>
                <w:sz w:val="20"/>
                <w:szCs w:val="20"/>
              </w:rPr>
              <w:t>Attorney General of Canada</w:t>
            </w:r>
            <w:r w:rsidR="00035B10" w:rsidRPr="007C0F86">
              <w:rPr>
                <w:b/>
                <w:sz w:val="20"/>
                <w:szCs w:val="20"/>
              </w:rPr>
              <w:t xml:space="preserve"> (</w:t>
            </w:r>
            <w:r w:rsidRPr="007C0F86">
              <w:rPr>
                <w:b/>
                <w:sz w:val="20"/>
                <w:szCs w:val="20"/>
              </w:rPr>
              <w:t>F.C</w:t>
            </w:r>
            <w:r w:rsidR="00035B10" w:rsidRPr="007C0F86">
              <w:rPr>
                <w:b/>
                <w:sz w:val="20"/>
                <w:szCs w:val="20"/>
              </w:rPr>
              <w:t>.)</w:t>
            </w:r>
          </w:p>
          <w:p w:rsidR="00035B10" w:rsidRPr="007C0F86" w:rsidRDefault="00035B10" w:rsidP="009C7C08">
            <w:pPr>
              <w:keepNext/>
              <w:keepLines/>
              <w:tabs>
                <w:tab w:val="left" w:pos="-1440"/>
                <w:tab w:val="left" w:pos="-720"/>
              </w:tabs>
              <w:rPr>
                <w:sz w:val="20"/>
                <w:szCs w:val="20"/>
              </w:rPr>
            </w:pPr>
            <w:r w:rsidRPr="007C0F86">
              <w:rPr>
                <w:sz w:val="20"/>
                <w:szCs w:val="20"/>
              </w:rPr>
              <w:tab/>
            </w:r>
            <w:r w:rsidR="00266477">
              <w:rPr>
                <w:sz w:val="20"/>
                <w:szCs w:val="20"/>
              </w:rPr>
              <w:t>Melissa Chan</w:t>
            </w:r>
          </w:p>
          <w:p w:rsidR="00035B10" w:rsidRPr="007C0F86" w:rsidRDefault="00035B10" w:rsidP="009C7C08">
            <w:pPr>
              <w:keepNext/>
              <w:keepLines/>
              <w:tabs>
                <w:tab w:val="left" w:pos="-1440"/>
                <w:tab w:val="left" w:pos="-720"/>
              </w:tabs>
              <w:rPr>
                <w:sz w:val="20"/>
                <w:szCs w:val="20"/>
              </w:rPr>
            </w:pPr>
            <w:r w:rsidRPr="007C0F86">
              <w:rPr>
                <w:sz w:val="20"/>
                <w:szCs w:val="20"/>
              </w:rPr>
              <w:tab/>
            </w:r>
            <w:r w:rsidR="00266477">
              <w:rPr>
                <w:sz w:val="20"/>
                <w:szCs w:val="20"/>
              </w:rPr>
              <w:t>A.G. of Canada</w:t>
            </w:r>
          </w:p>
          <w:p w:rsidR="00035B10" w:rsidRPr="007C0F86" w:rsidRDefault="00035B10" w:rsidP="009C7C08">
            <w:pPr>
              <w:keepNext/>
              <w:keepLines/>
              <w:tabs>
                <w:tab w:val="left" w:pos="-1440"/>
                <w:tab w:val="left" w:pos="-720"/>
              </w:tabs>
              <w:rPr>
                <w:sz w:val="20"/>
                <w:szCs w:val="20"/>
              </w:rPr>
            </w:pPr>
          </w:p>
          <w:p w:rsidR="00035B10" w:rsidRPr="00A935AA" w:rsidRDefault="00035B10" w:rsidP="00266477">
            <w:pPr>
              <w:rPr>
                <w:sz w:val="20"/>
                <w:szCs w:val="20"/>
              </w:rPr>
            </w:pPr>
            <w:r w:rsidRPr="00A935AA">
              <w:rPr>
                <w:sz w:val="20"/>
                <w:szCs w:val="20"/>
              </w:rPr>
              <w:t xml:space="preserve">FILING DATE: </w:t>
            </w:r>
            <w:r w:rsidR="00266477">
              <w:rPr>
                <w:sz w:val="20"/>
                <w:szCs w:val="20"/>
              </w:rPr>
              <w:t>04</w:t>
            </w:r>
            <w:r w:rsidRPr="00A935AA">
              <w:rPr>
                <w:sz w:val="20"/>
                <w:szCs w:val="20"/>
              </w:rPr>
              <w:t>.</w:t>
            </w:r>
            <w:r w:rsidR="00266477">
              <w:rPr>
                <w:sz w:val="20"/>
                <w:szCs w:val="20"/>
              </w:rPr>
              <w:t>1</w:t>
            </w:r>
            <w:r w:rsidRPr="00A935AA">
              <w:rPr>
                <w:sz w:val="20"/>
                <w:szCs w:val="20"/>
              </w:rPr>
              <w:t>0.201</w:t>
            </w:r>
            <w:r>
              <w:rPr>
                <w:sz w:val="20"/>
                <w:szCs w:val="20"/>
              </w:rPr>
              <w:t>2</w:t>
            </w:r>
            <w:r w:rsidR="002048ED" w:rsidRPr="002048ED">
              <w:rPr>
                <w:sz w:val="20"/>
                <w:szCs w:val="20"/>
                <w:lang w:val="fr-CA"/>
              </w:rPr>
              <w:pict>
                <v:rect id="_x0000_i1028" style="width:108pt;height:1pt" o:hrpct="0" o:hralign="center" o:hrstd="t" o:hrnoshade="t" o:hr="t" fillcolor="black [3213]" stroked="f"/>
              </w:pict>
            </w:r>
          </w:p>
        </w:tc>
      </w:tr>
      <w:tr w:rsidR="00035B10" w:rsidRPr="00A935AA" w:rsidTr="003B3977">
        <w:tc>
          <w:tcPr>
            <w:tcW w:w="4320" w:type="dxa"/>
            <w:shd w:val="clear" w:color="auto" w:fill="auto"/>
          </w:tcPr>
          <w:p w:rsidR="00FC6B97" w:rsidRDefault="00FC6B97" w:rsidP="009C7C08">
            <w:pPr>
              <w:rPr>
                <w:b/>
                <w:sz w:val="20"/>
                <w:szCs w:val="20"/>
              </w:rPr>
            </w:pPr>
          </w:p>
          <w:p w:rsidR="00035B10" w:rsidRPr="00A935AA" w:rsidRDefault="00266477" w:rsidP="009C7C08">
            <w:pPr>
              <w:rPr>
                <w:b/>
                <w:sz w:val="20"/>
                <w:szCs w:val="20"/>
              </w:rPr>
            </w:pPr>
            <w:r>
              <w:rPr>
                <w:b/>
                <w:sz w:val="20"/>
                <w:szCs w:val="20"/>
              </w:rPr>
              <w:t>Earl Takefman</w:t>
            </w:r>
          </w:p>
          <w:p w:rsidR="00035B10" w:rsidRPr="00A935AA" w:rsidRDefault="00035B10" w:rsidP="009C7C08">
            <w:pPr>
              <w:tabs>
                <w:tab w:val="left" w:pos="-1440"/>
                <w:tab w:val="left" w:pos="-720"/>
              </w:tabs>
              <w:rPr>
                <w:sz w:val="20"/>
                <w:szCs w:val="20"/>
              </w:rPr>
            </w:pPr>
            <w:r w:rsidRPr="00A935AA">
              <w:rPr>
                <w:sz w:val="20"/>
                <w:szCs w:val="20"/>
              </w:rPr>
              <w:tab/>
            </w:r>
            <w:r w:rsidR="00266477">
              <w:rPr>
                <w:sz w:val="20"/>
                <w:szCs w:val="20"/>
              </w:rPr>
              <w:t>Earl Takefman</w:t>
            </w:r>
          </w:p>
          <w:p w:rsidR="00035B10" w:rsidRPr="00A935AA" w:rsidRDefault="00035B10" w:rsidP="009C7C08">
            <w:pPr>
              <w:tabs>
                <w:tab w:val="left" w:pos="-1440"/>
                <w:tab w:val="left" w:pos="-720"/>
              </w:tabs>
              <w:rPr>
                <w:sz w:val="20"/>
                <w:szCs w:val="20"/>
              </w:rPr>
            </w:pPr>
          </w:p>
          <w:p w:rsidR="00035B10" w:rsidRPr="00A935AA" w:rsidRDefault="00035B10" w:rsidP="009C7C08">
            <w:pPr>
              <w:tabs>
                <w:tab w:val="left" w:pos="-1440"/>
                <w:tab w:val="left" w:pos="-720"/>
              </w:tabs>
              <w:rPr>
                <w:sz w:val="20"/>
                <w:szCs w:val="20"/>
              </w:rPr>
            </w:pPr>
            <w:r w:rsidRPr="00A935AA">
              <w:rPr>
                <w:sz w:val="20"/>
                <w:szCs w:val="20"/>
              </w:rPr>
              <w:tab/>
              <w:t>v. (3</w:t>
            </w:r>
            <w:r>
              <w:rPr>
                <w:sz w:val="20"/>
                <w:szCs w:val="20"/>
              </w:rPr>
              <w:t>5</w:t>
            </w:r>
            <w:r w:rsidR="00266477">
              <w:rPr>
                <w:sz w:val="20"/>
                <w:szCs w:val="20"/>
              </w:rPr>
              <w:t>037</w:t>
            </w:r>
            <w:r w:rsidRPr="00A935AA">
              <w:rPr>
                <w:sz w:val="20"/>
                <w:szCs w:val="20"/>
              </w:rPr>
              <w:t>)</w:t>
            </w:r>
          </w:p>
          <w:p w:rsidR="00035B10" w:rsidRPr="00A935AA" w:rsidRDefault="00035B10" w:rsidP="009C7C08">
            <w:pPr>
              <w:tabs>
                <w:tab w:val="left" w:pos="-1440"/>
                <w:tab w:val="left" w:pos="-720"/>
              </w:tabs>
              <w:rPr>
                <w:sz w:val="20"/>
                <w:szCs w:val="20"/>
              </w:rPr>
            </w:pPr>
          </w:p>
          <w:p w:rsidR="00035B10" w:rsidRPr="00B52DF7" w:rsidRDefault="00266477" w:rsidP="009C7C08">
            <w:pPr>
              <w:tabs>
                <w:tab w:val="left" w:pos="-1440"/>
                <w:tab w:val="left" w:pos="-720"/>
              </w:tabs>
              <w:rPr>
                <w:b/>
                <w:sz w:val="20"/>
                <w:szCs w:val="20"/>
                <w:lang w:val="fr-CA"/>
              </w:rPr>
            </w:pPr>
            <w:r w:rsidRPr="00B52DF7">
              <w:rPr>
                <w:b/>
                <w:sz w:val="20"/>
                <w:szCs w:val="20"/>
                <w:lang w:val="fr-CA"/>
              </w:rPr>
              <w:t>Dawna Bier et al.</w:t>
            </w:r>
            <w:r w:rsidR="00035B10" w:rsidRPr="00B52DF7">
              <w:rPr>
                <w:b/>
                <w:sz w:val="20"/>
                <w:szCs w:val="20"/>
                <w:lang w:val="fr-CA"/>
              </w:rPr>
              <w:t xml:space="preserve"> (</w:t>
            </w:r>
            <w:r w:rsidRPr="00B52DF7">
              <w:rPr>
                <w:b/>
                <w:sz w:val="20"/>
                <w:szCs w:val="20"/>
                <w:lang w:val="fr-CA"/>
              </w:rPr>
              <w:t>Que</w:t>
            </w:r>
            <w:r w:rsidR="00035B10" w:rsidRPr="00B52DF7">
              <w:rPr>
                <w:b/>
                <w:sz w:val="20"/>
                <w:szCs w:val="20"/>
                <w:lang w:val="fr-CA"/>
              </w:rPr>
              <w:t>.)</w:t>
            </w:r>
          </w:p>
          <w:p w:rsidR="00035B10" w:rsidRPr="00A935AA" w:rsidRDefault="00035B10" w:rsidP="009C7C08">
            <w:pPr>
              <w:tabs>
                <w:tab w:val="left" w:pos="-1440"/>
                <w:tab w:val="left" w:pos="-720"/>
              </w:tabs>
              <w:rPr>
                <w:sz w:val="20"/>
                <w:szCs w:val="20"/>
              </w:rPr>
            </w:pPr>
            <w:r w:rsidRPr="00B52DF7">
              <w:rPr>
                <w:sz w:val="20"/>
                <w:szCs w:val="20"/>
                <w:lang w:val="fr-CA"/>
              </w:rPr>
              <w:tab/>
            </w:r>
            <w:r w:rsidR="00266477">
              <w:rPr>
                <w:sz w:val="20"/>
                <w:szCs w:val="20"/>
              </w:rPr>
              <w:t>Howard L. Tatner</w:t>
            </w:r>
          </w:p>
          <w:p w:rsidR="00035B10" w:rsidRPr="00A935AA" w:rsidRDefault="00035B10" w:rsidP="009C7C08">
            <w:pPr>
              <w:tabs>
                <w:tab w:val="left" w:pos="-1440"/>
                <w:tab w:val="left" w:pos="-720"/>
              </w:tabs>
              <w:rPr>
                <w:sz w:val="20"/>
                <w:szCs w:val="20"/>
              </w:rPr>
            </w:pPr>
            <w:r w:rsidRPr="00A935AA">
              <w:rPr>
                <w:sz w:val="20"/>
                <w:szCs w:val="20"/>
              </w:rPr>
              <w:tab/>
            </w:r>
            <w:r w:rsidR="00266477">
              <w:rPr>
                <w:sz w:val="20"/>
                <w:szCs w:val="20"/>
              </w:rPr>
              <w:t>Tatner &amp; Tatner</w:t>
            </w:r>
          </w:p>
          <w:p w:rsidR="00035B10" w:rsidRPr="00A935AA" w:rsidRDefault="00035B10" w:rsidP="009C7C08">
            <w:pPr>
              <w:tabs>
                <w:tab w:val="left" w:pos="-1440"/>
                <w:tab w:val="left" w:pos="-720"/>
              </w:tabs>
              <w:rPr>
                <w:sz w:val="20"/>
                <w:szCs w:val="20"/>
              </w:rPr>
            </w:pPr>
          </w:p>
          <w:p w:rsidR="00035B10" w:rsidRPr="00A935AA" w:rsidRDefault="00035B10" w:rsidP="009C7C08">
            <w:pPr>
              <w:rPr>
                <w:sz w:val="20"/>
                <w:szCs w:val="20"/>
              </w:rPr>
            </w:pPr>
            <w:r w:rsidRPr="00A935AA">
              <w:rPr>
                <w:sz w:val="20"/>
                <w:szCs w:val="20"/>
              </w:rPr>
              <w:t xml:space="preserve">FILING DATE: </w:t>
            </w:r>
            <w:r w:rsidR="00266477">
              <w:rPr>
                <w:sz w:val="20"/>
                <w:szCs w:val="20"/>
              </w:rPr>
              <w:t>09</w:t>
            </w:r>
            <w:r w:rsidRPr="00A935AA">
              <w:rPr>
                <w:sz w:val="20"/>
                <w:szCs w:val="20"/>
              </w:rPr>
              <w:t>.</w:t>
            </w:r>
            <w:r w:rsidR="00266477">
              <w:rPr>
                <w:sz w:val="20"/>
                <w:szCs w:val="20"/>
              </w:rPr>
              <w:t>1</w:t>
            </w:r>
            <w:r w:rsidRPr="00A935AA">
              <w:rPr>
                <w:sz w:val="20"/>
                <w:szCs w:val="20"/>
              </w:rPr>
              <w:t>0.201</w:t>
            </w:r>
            <w:r>
              <w:rPr>
                <w:sz w:val="20"/>
                <w:szCs w:val="20"/>
              </w:rPr>
              <w:t>2</w:t>
            </w:r>
          </w:p>
          <w:p w:rsidR="00035B10" w:rsidRPr="00A935AA" w:rsidRDefault="002048ED" w:rsidP="009C7C08">
            <w:pPr>
              <w:rPr>
                <w:sz w:val="20"/>
                <w:szCs w:val="20"/>
              </w:rPr>
            </w:pPr>
            <w:r w:rsidRPr="002048E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Default="00035B10" w:rsidP="00242AEE">
            <w:pPr>
              <w:jc w:val="center"/>
              <w:rPr>
                <w:sz w:val="20"/>
                <w:szCs w:val="20"/>
              </w:rPr>
            </w:pPr>
          </w:p>
          <w:p w:rsidR="00FC6B97" w:rsidRDefault="00FC6B97" w:rsidP="00242AEE">
            <w:pPr>
              <w:jc w:val="center"/>
              <w:rPr>
                <w:sz w:val="20"/>
                <w:szCs w:val="20"/>
              </w:rPr>
            </w:pPr>
          </w:p>
          <w:p w:rsidR="00035B10" w:rsidRPr="00A935AA" w:rsidRDefault="00035B10" w:rsidP="00242AEE">
            <w:pPr>
              <w:jc w:val="center"/>
              <w:rPr>
                <w:sz w:val="20"/>
                <w:szCs w:val="20"/>
              </w:rPr>
            </w:pPr>
          </w:p>
        </w:tc>
        <w:tc>
          <w:tcPr>
            <w:tcW w:w="4320" w:type="dxa"/>
            <w:shd w:val="clear" w:color="auto" w:fill="auto"/>
          </w:tcPr>
          <w:p w:rsidR="00035B10" w:rsidRPr="00A935AA" w:rsidRDefault="00266477" w:rsidP="009C7C08">
            <w:pPr>
              <w:keepNext/>
              <w:keepLines/>
              <w:tabs>
                <w:tab w:val="left" w:pos="-1440"/>
                <w:tab w:val="left" w:pos="-720"/>
              </w:tabs>
              <w:rPr>
                <w:b/>
                <w:sz w:val="20"/>
                <w:szCs w:val="20"/>
              </w:rPr>
            </w:pPr>
            <w:r>
              <w:rPr>
                <w:b/>
                <w:sz w:val="20"/>
                <w:szCs w:val="20"/>
              </w:rPr>
              <w:t>North American Pipe &amp; Steel Ltd.</w:t>
            </w:r>
          </w:p>
          <w:p w:rsidR="00035B10" w:rsidRPr="00A935AA" w:rsidRDefault="00035B10" w:rsidP="009C7C08">
            <w:pPr>
              <w:keepNext/>
              <w:keepLines/>
              <w:tabs>
                <w:tab w:val="left" w:pos="-1440"/>
                <w:tab w:val="left" w:pos="-720"/>
              </w:tabs>
              <w:rPr>
                <w:sz w:val="20"/>
                <w:szCs w:val="20"/>
              </w:rPr>
            </w:pPr>
            <w:r w:rsidRPr="00A935AA">
              <w:rPr>
                <w:sz w:val="20"/>
                <w:szCs w:val="20"/>
              </w:rPr>
              <w:tab/>
            </w:r>
            <w:r w:rsidR="00266477">
              <w:rPr>
                <w:sz w:val="20"/>
                <w:szCs w:val="20"/>
              </w:rPr>
              <w:t>Blair M. Shaw</w:t>
            </w:r>
          </w:p>
          <w:p w:rsidR="00035B10" w:rsidRPr="00A935AA" w:rsidRDefault="00035B10" w:rsidP="009C7C08">
            <w:pPr>
              <w:keepNext/>
              <w:keepLines/>
              <w:tabs>
                <w:tab w:val="left" w:pos="-1440"/>
                <w:tab w:val="left" w:pos="-720"/>
              </w:tabs>
              <w:rPr>
                <w:sz w:val="20"/>
                <w:szCs w:val="20"/>
              </w:rPr>
            </w:pPr>
            <w:r w:rsidRPr="00A935AA">
              <w:rPr>
                <w:sz w:val="20"/>
                <w:szCs w:val="20"/>
              </w:rPr>
              <w:tab/>
            </w:r>
            <w:r w:rsidR="00266477">
              <w:rPr>
                <w:sz w:val="20"/>
                <w:szCs w:val="20"/>
              </w:rPr>
              <w:t>Davis LLP</w:t>
            </w:r>
          </w:p>
          <w:p w:rsidR="00035B10" w:rsidRPr="00A935AA" w:rsidRDefault="00035B10" w:rsidP="009C7C08">
            <w:pPr>
              <w:keepNext/>
              <w:keepLines/>
              <w:tabs>
                <w:tab w:val="left" w:pos="-1440"/>
                <w:tab w:val="left" w:pos="-720"/>
              </w:tabs>
              <w:rPr>
                <w:sz w:val="20"/>
                <w:szCs w:val="20"/>
              </w:rPr>
            </w:pPr>
          </w:p>
          <w:p w:rsidR="00035B10" w:rsidRPr="00266477" w:rsidRDefault="00035B10" w:rsidP="009C7C08">
            <w:pPr>
              <w:keepNext/>
              <w:keepLines/>
              <w:tabs>
                <w:tab w:val="left" w:pos="-1440"/>
                <w:tab w:val="left" w:pos="-720"/>
              </w:tabs>
              <w:rPr>
                <w:sz w:val="20"/>
                <w:szCs w:val="20"/>
              </w:rPr>
            </w:pPr>
            <w:r w:rsidRPr="00A935AA">
              <w:rPr>
                <w:sz w:val="20"/>
                <w:szCs w:val="20"/>
              </w:rPr>
              <w:tab/>
            </w:r>
            <w:r w:rsidRPr="00266477">
              <w:rPr>
                <w:sz w:val="20"/>
                <w:szCs w:val="20"/>
              </w:rPr>
              <w:t>v. (35</w:t>
            </w:r>
            <w:r w:rsidR="00266477">
              <w:rPr>
                <w:sz w:val="20"/>
                <w:szCs w:val="20"/>
              </w:rPr>
              <w:t>031</w:t>
            </w:r>
            <w:r w:rsidRPr="00266477">
              <w:rPr>
                <w:sz w:val="20"/>
                <w:szCs w:val="20"/>
              </w:rPr>
              <w:t>)</w:t>
            </w:r>
          </w:p>
          <w:p w:rsidR="00035B10" w:rsidRPr="00266477" w:rsidRDefault="00035B10" w:rsidP="009C7C08">
            <w:pPr>
              <w:keepNext/>
              <w:keepLines/>
              <w:tabs>
                <w:tab w:val="left" w:pos="-1440"/>
                <w:tab w:val="left" w:pos="-720"/>
              </w:tabs>
              <w:rPr>
                <w:sz w:val="20"/>
                <w:szCs w:val="20"/>
              </w:rPr>
            </w:pPr>
          </w:p>
          <w:p w:rsidR="00035B10" w:rsidRPr="00266477" w:rsidRDefault="00266477" w:rsidP="009C7C08">
            <w:pPr>
              <w:keepNext/>
              <w:keepLines/>
              <w:tabs>
                <w:tab w:val="left" w:pos="-1440"/>
                <w:tab w:val="left" w:pos="-720"/>
              </w:tabs>
              <w:rPr>
                <w:b/>
                <w:sz w:val="20"/>
                <w:szCs w:val="20"/>
              </w:rPr>
            </w:pPr>
            <w:r>
              <w:rPr>
                <w:b/>
                <w:sz w:val="20"/>
                <w:szCs w:val="20"/>
              </w:rPr>
              <w:t>Greater Vancouver Water District</w:t>
            </w:r>
            <w:r w:rsidR="00035B10" w:rsidRPr="00266477">
              <w:rPr>
                <w:b/>
                <w:sz w:val="20"/>
                <w:szCs w:val="20"/>
              </w:rPr>
              <w:t xml:space="preserve"> (</w:t>
            </w:r>
            <w:r>
              <w:rPr>
                <w:b/>
                <w:sz w:val="20"/>
                <w:szCs w:val="20"/>
              </w:rPr>
              <w:t>B.C</w:t>
            </w:r>
            <w:r w:rsidR="00035B10" w:rsidRPr="00266477">
              <w:rPr>
                <w:b/>
                <w:sz w:val="20"/>
                <w:szCs w:val="20"/>
              </w:rPr>
              <w:t>.)</w:t>
            </w:r>
          </w:p>
          <w:p w:rsidR="00035B10" w:rsidRPr="00266477" w:rsidRDefault="00035B10" w:rsidP="009C7C08">
            <w:pPr>
              <w:keepNext/>
              <w:keepLines/>
              <w:tabs>
                <w:tab w:val="left" w:pos="-1440"/>
                <w:tab w:val="left" w:pos="-720"/>
              </w:tabs>
              <w:rPr>
                <w:sz w:val="20"/>
                <w:szCs w:val="20"/>
                <w:lang w:val="fr-CA"/>
              </w:rPr>
            </w:pPr>
            <w:r w:rsidRPr="00266477">
              <w:rPr>
                <w:sz w:val="20"/>
                <w:szCs w:val="20"/>
              </w:rPr>
              <w:tab/>
            </w:r>
            <w:r w:rsidR="00266477" w:rsidRPr="00266477">
              <w:rPr>
                <w:sz w:val="20"/>
                <w:szCs w:val="20"/>
                <w:lang w:val="fr-CA"/>
              </w:rPr>
              <w:t>Irwin G. Nathanson, Q.C.</w:t>
            </w:r>
          </w:p>
          <w:p w:rsidR="00035B10" w:rsidRPr="00266477" w:rsidRDefault="00035B10" w:rsidP="009C7C08">
            <w:pPr>
              <w:keepNext/>
              <w:keepLines/>
              <w:tabs>
                <w:tab w:val="left" w:pos="-1440"/>
                <w:tab w:val="left" w:pos="-720"/>
              </w:tabs>
              <w:rPr>
                <w:sz w:val="20"/>
                <w:szCs w:val="20"/>
              </w:rPr>
            </w:pPr>
            <w:r w:rsidRPr="00266477">
              <w:rPr>
                <w:sz w:val="20"/>
                <w:szCs w:val="20"/>
                <w:lang w:val="fr-CA"/>
              </w:rPr>
              <w:tab/>
            </w:r>
            <w:r w:rsidR="00266477" w:rsidRPr="00266477">
              <w:rPr>
                <w:sz w:val="20"/>
                <w:szCs w:val="20"/>
              </w:rPr>
              <w:t>Nathanson, Schachter &amp; Thompson</w:t>
            </w:r>
          </w:p>
          <w:p w:rsidR="00035B10" w:rsidRPr="00266477" w:rsidRDefault="00035B10" w:rsidP="009C7C08">
            <w:pPr>
              <w:keepNext/>
              <w:keepLines/>
              <w:tabs>
                <w:tab w:val="left" w:pos="-1440"/>
                <w:tab w:val="left" w:pos="-720"/>
              </w:tabs>
              <w:rPr>
                <w:sz w:val="20"/>
                <w:szCs w:val="20"/>
              </w:rPr>
            </w:pPr>
          </w:p>
          <w:p w:rsidR="00035B10" w:rsidRPr="00A935AA" w:rsidRDefault="00035B10" w:rsidP="00266477">
            <w:pPr>
              <w:rPr>
                <w:sz w:val="20"/>
                <w:szCs w:val="20"/>
              </w:rPr>
            </w:pPr>
            <w:r w:rsidRPr="00A935AA">
              <w:rPr>
                <w:sz w:val="20"/>
                <w:szCs w:val="20"/>
              </w:rPr>
              <w:t xml:space="preserve">FILING DATE: </w:t>
            </w:r>
            <w:r w:rsidR="00266477">
              <w:rPr>
                <w:sz w:val="20"/>
                <w:szCs w:val="20"/>
              </w:rPr>
              <w:t>1</w:t>
            </w:r>
            <w:r w:rsidRPr="00A935AA">
              <w:rPr>
                <w:sz w:val="20"/>
                <w:szCs w:val="20"/>
              </w:rPr>
              <w:t>2.</w:t>
            </w:r>
            <w:r w:rsidR="00266477">
              <w:rPr>
                <w:sz w:val="20"/>
                <w:szCs w:val="20"/>
              </w:rPr>
              <w:t>1</w:t>
            </w:r>
            <w:r w:rsidRPr="00A935AA">
              <w:rPr>
                <w:sz w:val="20"/>
                <w:szCs w:val="20"/>
              </w:rPr>
              <w:t>0.201</w:t>
            </w:r>
            <w:r>
              <w:rPr>
                <w:sz w:val="20"/>
                <w:szCs w:val="20"/>
              </w:rPr>
              <w:t>2</w:t>
            </w:r>
            <w:r w:rsidR="002048ED" w:rsidRPr="002048ED">
              <w:rPr>
                <w:sz w:val="20"/>
                <w:szCs w:val="20"/>
                <w:lang w:val="fr-CA"/>
              </w:rPr>
              <w:pict>
                <v:rect id="_x0000_i1030" style="width:108pt;height:1pt" o:hrpct="0" o:hralign="center" o:hrstd="t" o:hrnoshade="t" o:hr="t" fillcolor="black [3213]" stroked="f"/>
              </w:pict>
            </w:r>
          </w:p>
        </w:tc>
      </w:tr>
      <w:tr w:rsidR="00035B10" w:rsidRPr="00A935AA" w:rsidTr="003B3977">
        <w:trPr>
          <w:cantSplit/>
        </w:trPr>
        <w:tc>
          <w:tcPr>
            <w:tcW w:w="4320" w:type="dxa"/>
            <w:shd w:val="clear" w:color="auto" w:fill="auto"/>
          </w:tcPr>
          <w:p w:rsidR="00035B10" w:rsidRPr="00A935AA" w:rsidRDefault="00266477" w:rsidP="009C7C08">
            <w:pPr>
              <w:rPr>
                <w:b/>
                <w:sz w:val="20"/>
                <w:szCs w:val="20"/>
              </w:rPr>
            </w:pPr>
            <w:r>
              <w:rPr>
                <w:b/>
                <w:sz w:val="20"/>
                <w:szCs w:val="20"/>
              </w:rPr>
              <w:t>Amex Bank of Canada</w:t>
            </w:r>
          </w:p>
          <w:p w:rsidR="00035B10" w:rsidRPr="00A935AA" w:rsidRDefault="00035B10" w:rsidP="009C7C08">
            <w:pPr>
              <w:tabs>
                <w:tab w:val="left" w:pos="-1440"/>
                <w:tab w:val="left" w:pos="-720"/>
              </w:tabs>
              <w:rPr>
                <w:sz w:val="20"/>
                <w:szCs w:val="20"/>
              </w:rPr>
            </w:pPr>
            <w:r w:rsidRPr="00A935AA">
              <w:rPr>
                <w:sz w:val="20"/>
                <w:szCs w:val="20"/>
              </w:rPr>
              <w:tab/>
            </w:r>
            <w:r w:rsidR="00266477">
              <w:rPr>
                <w:sz w:val="20"/>
                <w:szCs w:val="20"/>
              </w:rPr>
              <w:t>Mahmud Jamal</w:t>
            </w:r>
          </w:p>
          <w:p w:rsidR="00035B10" w:rsidRPr="00A935AA" w:rsidRDefault="00035B10" w:rsidP="009C7C08">
            <w:pPr>
              <w:tabs>
                <w:tab w:val="left" w:pos="-1440"/>
                <w:tab w:val="left" w:pos="-720"/>
              </w:tabs>
              <w:rPr>
                <w:sz w:val="20"/>
                <w:szCs w:val="20"/>
              </w:rPr>
            </w:pPr>
            <w:r w:rsidRPr="00A935AA">
              <w:rPr>
                <w:sz w:val="20"/>
                <w:szCs w:val="20"/>
              </w:rPr>
              <w:tab/>
            </w:r>
            <w:r w:rsidR="00266477">
              <w:rPr>
                <w:sz w:val="20"/>
                <w:szCs w:val="20"/>
              </w:rPr>
              <w:t>Osler, Hoskin &amp; Harcourt LLP</w:t>
            </w:r>
          </w:p>
          <w:p w:rsidR="00035B10" w:rsidRPr="00A935AA" w:rsidRDefault="00035B10" w:rsidP="009C7C08">
            <w:pPr>
              <w:tabs>
                <w:tab w:val="left" w:pos="-1440"/>
                <w:tab w:val="left" w:pos="-720"/>
              </w:tabs>
              <w:rPr>
                <w:sz w:val="20"/>
                <w:szCs w:val="20"/>
              </w:rPr>
            </w:pPr>
          </w:p>
          <w:p w:rsidR="00035B10" w:rsidRPr="00A935AA" w:rsidRDefault="00035B10" w:rsidP="009C7C08">
            <w:pPr>
              <w:tabs>
                <w:tab w:val="left" w:pos="-1440"/>
                <w:tab w:val="left" w:pos="-720"/>
              </w:tabs>
              <w:rPr>
                <w:sz w:val="20"/>
                <w:szCs w:val="20"/>
              </w:rPr>
            </w:pPr>
            <w:r w:rsidRPr="00A935AA">
              <w:rPr>
                <w:sz w:val="20"/>
                <w:szCs w:val="20"/>
              </w:rPr>
              <w:tab/>
              <w:t>v. (3</w:t>
            </w:r>
            <w:r>
              <w:rPr>
                <w:sz w:val="20"/>
                <w:szCs w:val="20"/>
              </w:rPr>
              <w:t>5</w:t>
            </w:r>
            <w:r w:rsidR="00266477">
              <w:rPr>
                <w:sz w:val="20"/>
                <w:szCs w:val="20"/>
              </w:rPr>
              <w:t>033</w:t>
            </w:r>
            <w:r w:rsidRPr="00A935AA">
              <w:rPr>
                <w:sz w:val="20"/>
                <w:szCs w:val="20"/>
              </w:rPr>
              <w:t>)</w:t>
            </w:r>
          </w:p>
          <w:p w:rsidR="00035B10" w:rsidRPr="00A935AA" w:rsidRDefault="00035B10" w:rsidP="009C7C08">
            <w:pPr>
              <w:tabs>
                <w:tab w:val="left" w:pos="-1440"/>
                <w:tab w:val="left" w:pos="-720"/>
              </w:tabs>
              <w:rPr>
                <w:sz w:val="20"/>
                <w:szCs w:val="20"/>
              </w:rPr>
            </w:pPr>
          </w:p>
          <w:p w:rsidR="00035B10" w:rsidRPr="00266477" w:rsidRDefault="00266477" w:rsidP="009C7C08">
            <w:pPr>
              <w:tabs>
                <w:tab w:val="left" w:pos="-1440"/>
                <w:tab w:val="left" w:pos="-720"/>
              </w:tabs>
              <w:rPr>
                <w:b/>
                <w:sz w:val="20"/>
                <w:szCs w:val="20"/>
                <w:lang w:val="fr-CA"/>
              </w:rPr>
            </w:pPr>
            <w:r w:rsidRPr="00266477">
              <w:rPr>
                <w:b/>
                <w:sz w:val="20"/>
                <w:szCs w:val="20"/>
                <w:lang w:val="fr-CA"/>
              </w:rPr>
              <w:t xml:space="preserve">Sylvan Adams et al. </w:t>
            </w:r>
            <w:r w:rsidR="00035B10" w:rsidRPr="00266477">
              <w:rPr>
                <w:b/>
                <w:sz w:val="20"/>
                <w:szCs w:val="20"/>
                <w:lang w:val="fr-CA"/>
              </w:rPr>
              <w:t>(</w:t>
            </w:r>
            <w:r w:rsidRPr="00266477">
              <w:rPr>
                <w:b/>
                <w:sz w:val="20"/>
                <w:szCs w:val="20"/>
                <w:lang w:val="fr-CA"/>
              </w:rPr>
              <w:t>Que</w:t>
            </w:r>
            <w:r w:rsidR="00035B10" w:rsidRPr="00266477">
              <w:rPr>
                <w:b/>
                <w:sz w:val="20"/>
                <w:szCs w:val="20"/>
                <w:lang w:val="fr-CA"/>
              </w:rPr>
              <w:t>.)</w:t>
            </w:r>
          </w:p>
          <w:p w:rsidR="00035B10" w:rsidRPr="00266477" w:rsidRDefault="00035B10" w:rsidP="009C7C08">
            <w:pPr>
              <w:tabs>
                <w:tab w:val="left" w:pos="-1440"/>
                <w:tab w:val="left" w:pos="-720"/>
              </w:tabs>
              <w:rPr>
                <w:sz w:val="20"/>
                <w:szCs w:val="20"/>
              </w:rPr>
            </w:pPr>
            <w:r w:rsidRPr="00266477">
              <w:rPr>
                <w:sz w:val="20"/>
                <w:szCs w:val="20"/>
                <w:lang w:val="fr-CA"/>
              </w:rPr>
              <w:tab/>
            </w:r>
            <w:r w:rsidR="00266477" w:rsidRPr="00266477">
              <w:rPr>
                <w:sz w:val="20"/>
                <w:szCs w:val="20"/>
              </w:rPr>
              <w:t>Peter Kalichman</w:t>
            </w:r>
          </w:p>
          <w:p w:rsidR="00035B10" w:rsidRPr="00266477" w:rsidRDefault="00035B10" w:rsidP="009C7C08">
            <w:pPr>
              <w:tabs>
                <w:tab w:val="left" w:pos="-1440"/>
                <w:tab w:val="left" w:pos="-720"/>
              </w:tabs>
              <w:rPr>
                <w:sz w:val="20"/>
                <w:szCs w:val="20"/>
              </w:rPr>
            </w:pPr>
            <w:r w:rsidRPr="00266477">
              <w:rPr>
                <w:sz w:val="20"/>
                <w:szCs w:val="20"/>
              </w:rPr>
              <w:tab/>
            </w:r>
            <w:r w:rsidR="00266477" w:rsidRPr="00266477">
              <w:rPr>
                <w:sz w:val="20"/>
                <w:szCs w:val="20"/>
              </w:rPr>
              <w:t>Irving Mitchell Kalichman LLP</w:t>
            </w:r>
          </w:p>
          <w:p w:rsidR="00035B10" w:rsidRPr="00266477" w:rsidRDefault="00035B10" w:rsidP="009C7C08">
            <w:pPr>
              <w:tabs>
                <w:tab w:val="left" w:pos="-1440"/>
                <w:tab w:val="left" w:pos="-720"/>
              </w:tabs>
              <w:rPr>
                <w:sz w:val="20"/>
                <w:szCs w:val="20"/>
              </w:rPr>
            </w:pPr>
          </w:p>
          <w:p w:rsidR="00035B10" w:rsidRPr="00A935AA" w:rsidRDefault="00035B10" w:rsidP="009C7C08">
            <w:pPr>
              <w:rPr>
                <w:sz w:val="20"/>
                <w:szCs w:val="20"/>
              </w:rPr>
            </w:pPr>
            <w:r w:rsidRPr="00A935AA">
              <w:rPr>
                <w:sz w:val="20"/>
                <w:szCs w:val="20"/>
              </w:rPr>
              <w:t xml:space="preserve">FILING DATE: </w:t>
            </w:r>
            <w:r w:rsidR="00266477">
              <w:rPr>
                <w:sz w:val="20"/>
                <w:szCs w:val="20"/>
              </w:rPr>
              <w:t>15</w:t>
            </w:r>
            <w:r w:rsidRPr="00A935AA">
              <w:rPr>
                <w:sz w:val="20"/>
                <w:szCs w:val="20"/>
              </w:rPr>
              <w:t>.</w:t>
            </w:r>
            <w:r w:rsidR="00266477">
              <w:rPr>
                <w:sz w:val="20"/>
                <w:szCs w:val="20"/>
              </w:rPr>
              <w:t>1</w:t>
            </w:r>
            <w:r w:rsidRPr="00A935AA">
              <w:rPr>
                <w:sz w:val="20"/>
                <w:szCs w:val="20"/>
              </w:rPr>
              <w:t>0.201</w:t>
            </w:r>
            <w:r>
              <w:rPr>
                <w:sz w:val="20"/>
                <w:szCs w:val="20"/>
              </w:rPr>
              <w:t>2</w:t>
            </w:r>
          </w:p>
          <w:p w:rsidR="00035B10" w:rsidRPr="00A935AA" w:rsidRDefault="002048ED" w:rsidP="009C7C08">
            <w:pPr>
              <w:rPr>
                <w:sz w:val="20"/>
                <w:szCs w:val="20"/>
              </w:rPr>
            </w:pPr>
            <w:r w:rsidRPr="002048E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tc>
        <w:tc>
          <w:tcPr>
            <w:tcW w:w="4320" w:type="dxa"/>
            <w:shd w:val="clear" w:color="auto" w:fill="auto"/>
          </w:tcPr>
          <w:p w:rsidR="00266477" w:rsidRPr="00A935AA" w:rsidRDefault="00266477" w:rsidP="009C7C08">
            <w:pPr>
              <w:keepNext/>
              <w:keepLines/>
              <w:tabs>
                <w:tab w:val="left" w:pos="-1440"/>
                <w:tab w:val="left" w:pos="-720"/>
              </w:tabs>
              <w:rPr>
                <w:b/>
                <w:sz w:val="20"/>
                <w:szCs w:val="20"/>
              </w:rPr>
            </w:pPr>
            <w:r>
              <w:rPr>
                <w:b/>
                <w:sz w:val="20"/>
                <w:szCs w:val="20"/>
              </w:rPr>
              <w:t>Estate of the Late Zahra (Ziba) Kazemi et al.</w:t>
            </w:r>
          </w:p>
          <w:p w:rsidR="00035B10" w:rsidRPr="00A935AA" w:rsidRDefault="00035B10" w:rsidP="009C7C08">
            <w:pPr>
              <w:keepNext/>
              <w:keepLines/>
              <w:tabs>
                <w:tab w:val="left" w:pos="-1440"/>
                <w:tab w:val="left" w:pos="-720"/>
              </w:tabs>
              <w:rPr>
                <w:sz w:val="20"/>
                <w:szCs w:val="20"/>
              </w:rPr>
            </w:pPr>
            <w:r w:rsidRPr="00A935AA">
              <w:rPr>
                <w:sz w:val="20"/>
                <w:szCs w:val="20"/>
              </w:rPr>
              <w:tab/>
            </w:r>
            <w:r w:rsidR="00266477">
              <w:rPr>
                <w:sz w:val="20"/>
                <w:szCs w:val="20"/>
              </w:rPr>
              <w:t>Kurt A. Johnson</w:t>
            </w:r>
          </w:p>
          <w:p w:rsidR="00035B10" w:rsidRPr="00A935AA" w:rsidRDefault="00035B10" w:rsidP="009C7C08">
            <w:pPr>
              <w:keepNext/>
              <w:keepLines/>
              <w:tabs>
                <w:tab w:val="left" w:pos="-1440"/>
                <w:tab w:val="left" w:pos="-720"/>
              </w:tabs>
              <w:rPr>
                <w:sz w:val="20"/>
                <w:szCs w:val="20"/>
              </w:rPr>
            </w:pPr>
            <w:r w:rsidRPr="00A935AA">
              <w:rPr>
                <w:sz w:val="20"/>
                <w:szCs w:val="20"/>
              </w:rPr>
              <w:tab/>
            </w:r>
            <w:r w:rsidR="00266477">
              <w:rPr>
                <w:sz w:val="20"/>
                <w:szCs w:val="20"/>
              </w:rPr>
              <w:t>Irving Mitchell Kalichman LLP</w:t>
            </w:r>
          </w:p>
          <w:p w:rsidR="00035B10" w:rsidRPr="00A935AA" w:rsidRDefault="00035B10" w:rsidP="009C7C08">
            <w:pPr>
              <w:keepNext/>
              <w:keepLines/>
              <w:tabs>
                <w:tab w:val="left" w:pos="-1440"/>
                <w:tab w:val="left" w:pos="-720"/>
              </w:tabs>
              <w:rPr>
                <w:sz w:val="20"/>
                <w:szCs w:val="20"/>
              </w:rPr>
            </w:pPr>
          </w:p>
          <w:p w:rsidR="00035B10" w:rsidRPr="00B52DF7" w:rsidRDefault="00035B10" w:rsidP="009C7C08">
            <w:pPr>
              <w:keepNext/>
              <w:keepLines/>
              <w:tabs>
                <w:tab w:val="left" w:pos="-1440"/>
                <w:tab w:val="left" w:pos="-720"/>
              </w:tabs>
              <w:rPr>
                <w:sz w:val="20"/>
                <w:szCs w:val="20"/>
                <w:lang w:val="fr-CA"/>
              </w:rPr>
            </w:pPr>
            <w:r w:rsidRPr="00A935AA">
              <w:rPr>
                <w:sz w:val="20"/>
                <w:szCs w:val="20"/>
              </w:rPr>
              <w:tab/>
            </w:r>
            <w:r w:rsidRPr="00B52DF7">
              <w:rPr>
                <w:sz w:val="20"/>
                <w:szCs w:val="20"/>
                <w:lang w:val="fr-CA"/>
              </w:rPr>
              <w:t>v. (35</w:t>
            </w:r>
            <w:r w:rsidR="00266477" w:rsidRPr="00B52DF7">
              <w:rPr>
                <w:sz w:val="20"/>
                <w:szCs w:val="20"/>
                <w:lang w:val="fr-CA"/>
              </w:rPr>
              <w:t>034</w:t>
            </w:r>
            <w:r w:rsidRPr="00B52DF7">
              <w:rPr>
                <w:sz w:val="20"/>
                <w:szCs w:val="20"/>
                <w:lang w:val="fr-CA"/>
              </w:rPr>
              <w:t>)</w:t>
            </w:r>
          </w:p>
          <w:p w:rsidR="00035B10" w:rsidRPr="00B52DF7" w:rsidRDefault="00035B10" w:rsidP="009C7C08">
            <w:pPr>
              <w:keepNext/>
              <w:keepLines/>
              <w:tabs>
                <w:tab w:val="left" w:pos="-1440"/>
                <w:tab w:val="left" w:pos="-720"/>
              </w:tabs>
              <w:rPr>
                <w:sz w:val="20"/>
                <w:szCs w:val="20"/>
                <w:lang w:val="fr-CA"/>
              </w:rPr>
            </w:pPr>
          </w:p>
          <w:p w:rsidR="00035B10" w:rsidRPr="00B52DF7" w:rsidRDefault="00266477" w:rsidP="009C7C08">
            <w:pPr>
              <w:keepNext/>
              <w:keepLines/>
              <w:tabs>
                <w:tab w:val="left" w:pos="-1440"/>
                <w:tab w:val="left" w:pos="-720"/>
              </w:tabs>
              <w:rPr>
                <w:b/>
                <w:sz w:val="20"/>
                <w:szCs w:val="20"/>
                <w:lang w:val="fr-CA"/>
              </w:rPr>
            </w:pPr>
            <w:r w:rsidRPr="00B52DF7">
              <w:rPr>
                <w:b/>
                <w:sz w:val="20"/>
                <w:szCs w:val="20"/>
                <w:lang w:val="fr-CA"/>
              </w:rPr>
              <w:t xml:space="preserve">Islamic Republic of Iran et al. </w:t>
            </w:r>
            <w:r w:rsidR="00035B10" w:rsidRPr="00B52DF7">
              <w:rPr>
                <w:b/>
                <w:sz w:val="20"/>
                <w:szCs w:val="20"/>
                <w:lang w:val="fr-CA"/>
              </w:rPr>
              <w:t>(</w:t>
            </w:r>
            <w:r w:rsidRPr="00B52DF7">
              <w:rPr>
                <w:b/>
                <w:sz w:val="20"/>
                <w:szCs w:val="20"/>
                <w:lang w:val="fr-CA"/>
              </w:rPr>
              <w:t>Que</w:t>
            </w:r>
            <w:r w:rsidR="00035B10" w:rsidRPr="00B52DF7">
              <w:rPr>
                <w:b/>
                <w:sz w:val="20"/>
                <w:szCs w:val="20"/>
                <w:lang w:val="fr-CA"/>
              </w:rPr>
              <w:t>.)</w:t>
            </w:r>
          </w:p>
          <w:p w:rsidR="00035B10" w:rsidRPr="00266477" w:rsidRDefault="00035B10" w:rsidP="009C7C08">
            <w:pPr>
              <w:keepNext/>
              <w:keepLines/>
              <w:tabs>
                <w:tab w:val="left" w:pos="-1440"/>
                <w:tab w:val="left" w:pos="-720"/>
              </w:tabs>
              <w:rPr>
                <w:sz w:val="20"/>
                <w:szCs w:val="20"/>
              </w:rPr>
            </w:pPr>
            <w:r w:rsidRPr="00B52DF7">
              <w:rPr>
                <w:sz w:val="20"/>
                <w:szCs w:val="20"/>
                <w:lang w:val="fr-CA"/>
              </w:rPr>
              <w:tab/>
            </w:r>
            <w:r w:rsidR="00266477">
              <w:rPr>
                <w:sz w:val="20"/>
                <w:szCs w:val="20"/>
              </w:rPr>
              <w:t>James A. Woods</w:t>
            </w:r>
          </w:p>
          <w:p w:rsidR="00035B10" w:rsidRPr="00266477" w:rsidRDefault="00035B10" w:rsidP="009C7C08">
            <w:pPr>
              <w:keepNext/>
              <w:keepLines/>
              <w:tabs>
                <w:tab w:val="left" w:pos="-1440"/>
                <w:tab w:val="left" w:pos="-720"/>
              </w:tabs>
              <w:rPr>
                <w:sz w:val="20"/>
                <w:szCs w:val="20"/>
              </w:rPr>
            </w:pPr>
            <w:r w:rsidRPr="00266477">
              <w:rPr>
                <w:sz w:val="20"/>
                <w:szCs w:val="20"/>
              </w:rPr>
              <w:tab/>
            </w:r>
            <w:r w:rsidR="00266477">
              <w:rPr>
                <w:sz w:val="20"/>
                <w:szCs w:val="20"/>
              </w:rPr>
              <w:t>Woods LLP</w:t>
            </w:r>
          </w:p>
          <w:p w:rsidR="00035B10" w:rsidRPr="00266477" w:rsidRDefault="00035B10" w:rsidP="009C7C08">
            <w:pPr>
              <w:keepNext/>
              <w:keepLines/>
              <w:tabs>
                <w:tab w:val="left" w:pos="-1440"/>
                <w:tab w:val="left" w:pos="-720"/>
              </w:tabs>
              <w:rPr>
                <w:sz w:val="20"/>
                <w:szCs w:val="20"/>
              </w:rPr>
            </w:pPr>
          </w:p>
          <w:p w:rsidR="00035B10" w:rsidRPr="00A935AA" w:rsidRDefault="00035B10" w:rsidP="00266477">
            <w:pPr>
              <w:rPr>
                <w:sz w:val="20"/>
                <w:szCs w:val="20"/>
              </w:rPr>
            </w:pPr>
            <w:r w:rsidRPr="00A935AA">
              <w:rPr>
                <w:sz w:val="20"/>
                <w:szCs w:val="20"/>
              </w:rPr>
              <w:t xml:space="preserve">FILING DATE: </w:t>
            </w:r>
            <w:r w:rsidR="00266477">
              <w:rPr>
                <w:sz w:val="20"/>
                <w:szCs w:val="20"/>
              </w:rPr>
              <w:t>15</w:t>
            </w:r>
            <w:r w:rsidRPr="00A935AA">
              <w:rPr>
                <w:sz w:val="20"/>
                <w:szCs w:val="20"/>
              </w:rPr>
              <w:t>.</w:t>
            </w:r>
            <w:r w:rsidR="00266477">
              <w:rPr>
                <w:sz w:val="20"/>
                <w:szCs w:val="20"/>
              </w:rPr>
              <w:t>1</w:t>
            </w:r>
            <w:r w:rsidRPr="00A935AA">
              <w:rPr>
                <w:sz w:val="20"/>
                <w:szCs w:val="20"/>
              </w:rPr>
              <w:t>0.201</w:t>
            </w:r>
            <w:r>
              <w:rPr>
                <w:sz w:val="20"/>
                <w:szCs w:val="20"/>
              </w:rPr>
              <w:t>2</w:t>
            </w:r>
            <w:r w:rsidR="002048ED" w:rsidRPr="002048ED">
              <w:rPr>
                <w:sz w:val="20"/>
                <w:szCs w:val="20"/>
                <w:lang w:val="fr-CA"/>
              </w:rPr>
              <w:pict>
                <v:rect id="_x0000_i1032" style="width:108pt;height:1pt" o:hrpct="0" o:hralign="center" o:hrstd="t" o:hrnoshade="t" o:hr="t" fillcolor="black [3213]" stroked="f"/>
              </w:pict>
            </w:r>
          </w:p>
        </w:tc>
      </w:tr>
      <w:tr w:rsidR="00035B10" w:rsidRPr="00A935AA" w:rsidTr="003B3977">
        <w:trPr>
          <w:cantSplit/>
        </w:trPr>
        <w:tc>
          <w:tcPr>
            <w:tcW w:w="4320" w:type="dxa"/>
            <w:shd w:val="clear" w:color="auto" w:fill="auto"/>
          </w:tcPr>
          <w:p w:rsidR="00035B10" w:rsidRPr="00A935AA" w:rsidRDefault="00CF6C0F" w:rsidP="009C7C08">
            <w:pPr>
              <w:rPr>
                <w:b/>
                <w:sz w:val="20"/>
                <w:szCs w:val="20"/>
              </w:rPr>
            </w:pPr>
            <w:r>
              <w:rPr>
                <w:b/>
                <w:sz w:val="20"/>
                <w:szCs w:val="20"/>
              </w:rPr>
              <w:t>Lana Yvonne Young</w:t>
            </w:r>
          </w:p>
          <w:p w:rsidR="00035B10" w:rsidRPr="00A935AA" w:rsidRDefault="00035B10" w:rsidP="009C7C08">
            <w:pPr>
              <w:tabs>
                <w:tab w:val="left" w:pos="-1440"/>
                <w:tab w:val="left" w:pos="-720"/>
              </w:tabs>
              <w:rPr>
                <w:sz w:val="20"/>
                <w:szCs w:val="20"/>
              </w:rPr>
            </w:pPr>
            <w:r w:rsidRPr="00A935AA">
              <w:rPr>
                <w:sz w:val="20"/>
                <w:szCs w:val="20"/>
              </w:rPr>
              <w:tab/>
            </w:r>
            <w:r w:rsidR="00CF6C0F">
              <w:rPr>
                <w:sz w:val="20"/>
                <w:szCs w:val="20"/>
              </w:rPr>
              <w:t>R. Ian Histed</w:t>
            </w:r>
          </w:p>
          <w:p w:rsidR="00035B10" w:rsidRPr="00A935AA" w:rsidRDefault="00035B10" w:rsidP="009C7C08">
            <w:pPr>
              <w:tabs>
                <w:tab w:val="left" w:pos="-1440"/>
                <w:tab w:val="left" w:pos="-720"/>
              </w:tabs>
              <w:rPr>
                <w:sz w:val="20"/>
                <w:szCs w:val="20"/>
              </w:rPr>
            </w:pPr>
            <w:r w:rsidRPr="00A935AA">
              <w:rPr>
                <w:sz w:val="20"/>
                <w:szCs w:val="20"/>
              </w:rPr>
              <w:tab/>
            </w:r>
            <w:r w:rsidR="00CF6C0F">
              <w:rPr>
                <w:sz w:val="20"/>
                <w:szCs w:val="20"/>
              </w:rPr>
              <w:t>Downtown Legal Action</w:t>
            </w:r>
          </w:p>
          <w:p w:rsidR="00035B10" w:rsidRPr="00A935AA" w:rsidRDefault="00035B10" w:rsidP="009C7C08">
            <w:pPr>
              <w:tabs>
                <w:tab w:val="left" w:pos="-1440"/>
                <w:tab w:val="left" w:pos="-720"/>
              </w:tabs>
              <w:rPr>
                <w:sz w:val="20"/>
                <w:szCs w:val="20"/>
              </w:rPr>
            </w:pPr>
          </w:p>
          <w:p w:rsidR="00035B10" w:rsidRPr="00A935AA" w:rsidRDefault="00035B10" w:rsidP="009C7C08">
            <w:pPr>
              <w:tabs>
                <w:tab w:val="left" w:pos="-1440"/>
                <w:tab w:val="left" w:pos="-720"/>
              </w:tabs>
              <w:rPr>
                <w:sz w:val="20"/>
                <w:szCs w:val="20"/>
              </w:rPr>
            </w:pPr>
            <w:r w:rsidRPr="00A935AA">
              <w:rPr>
                <w:sz w:val="20"/>
                <w:szCs w:val="20"/>
              </w:rPr>
              <w:tab/>
              <w:t>v. (3</w:t>
            </w:r>
            <w:r>
              <w:rPr>
                <w:sz w:val="20"/>
                <w:szCs w:val="20"/>
              </w:rPr>
              <w:t>5</w:t>
            </w:r>
            <w:r w:rsidR="00CF6C0F">
              <w:rPr>
                <w:sz w:val="20"/>
                <w:szCs w:val="20"/>
              </w:rPr>
              <w:t>035</w:t>
            </w:r>
            <w:r w:rsidRPr="00A935AA">
              <w:rPr>
                <w:sz w:val="20"/>
                <w:szCs w:val="20"/>
              </w:rPr>
              <w:t>)</w:t>
            </w:r>
          </w:p>
          <w:p w:rsidR="00035B10" w:rsidRPr="00A935AA" w:rsidRDefault="00035B10" w:rsidP="009C7C08">
            <w:pPr>
              <w:tabs>
                <w:tab w:val="left" w:pos="-1440"/>
                <w:tab w:val="left" w:pos="-720"/>
              </w:tabs>
              <w:rPr>
                <w:sz w:val="20"/>
                <w:szCs w:val="20"/>
              </w:rPr>
            </w:pPr>
          </w:p>
          <w:p w:rsidR="00035B10" w:rsidRPr="00A935AA" w:rsidRDefault="00CF6C0F" w:rsidP="009C7C08">
            <w:pPr>
              <w:tabs>
                <w:tab w:val="left" w:pos="-1440"/>
                <w:tab w:val="left" w:pos="-720"/>
              </w:tabs>
              <w:rPr>
                <w:b/>
                <w:sz w:val="20"/>
                <w:szCs w:val="20"/>
              </w:rPr>
            </w:pPr>
            <w:r>
              <w:rPr>
                <w:b/>
                <w:sz w:val="20"/>
                <w:szCs w:val="20"/>
              </w:rPr>
              <w:t xml:space="preserve">Jack Ewatski </w:t>
            </w:r>
            <w:r w:rsidR="0078080D">
              <w:rPr>
                <w:b/>
                <w:sz w:val="20"/>
                <w:szCs w:val="20"/>
              </w:rPr>
              <w:t xml:space="preserve">et al. </w:t>
            </w:r>
            <w:r w:rsidR="00035B10" w:rsidRPr="00A935AA">
              <w:rPr>
                <w:b/>
                <w:sz w:val="20"/>
                <w:szCs w:val="20"/>
              </w:rPr>
              <w:t>(</w:t>
            </w:r>
            <w:r>
              <w:rPr>
                <w:b/>
                <w:sz w:val="20"/>
                <w:szCs w:val="20"/>
              </w:rPr>
              <w:t>Man</w:t>
            </w:r>
            <w:r w:rsidR="00035B10" w:rsidRPr="00A935AA">
              <w:rPr>
                <w:b/>
                <w:sz w:val="20"/>
                <w:szCs w:val="20"/>
              </w:rPr>
              <w:t>.)</w:t>
            </w:r>
          </w:p>
          <w:p w:rsidR="00035B10" w:rsidRPr="00A935AA" w:rsidRDefault="00035B10" w:rsidP="009C7C08">
            <w:pPr>
              <w:tabs>
                <w:tab w:val="left" w:pos="-1440"/>
                <w:tab w:val="left" w:pos="-720"/>
              </w:tabs>
              <w:rPr>
                <w:sz w:val="20"/>
                <w:szCs w:val="20"/>
              </w:rPr>
            </w:pPr>
            <w:r w:rsidRPr="00A935AA">
              <w:rPr>
                <w:sz w:val="20"/>
                <w:szCs w:val="20"/>
              </w:rPr>
              <w:tab/>
            </w:r>
            <w:r w:rsidR="00CF6C0F">
              <w:rPr>
                <w:sz w:val="20"/>
                <w:szCs w:val="20"/>
              </w:rPr>
              <w:t>Denise A.M. Pambrun</w:t>
            </w:r>
          </w:p>
          <w:p w:rsidR="00035B10" w:rsidRPr="00A935AA" w:rsidRDefault="00035B10" w:rsidP="009C7C08">
            <w:pPr>
              <w:tabs>
                <w:tab w:val="left" w:pos="-1440"/>
                <w:tab w:val="left" w:pos="-720"/>
              </w:tabs>
              <w:rPr>
                <w:sz w:val="20"/>
                <w:szCs w:val="20"/>
              </w:rPr>
            </w:pPr>
            <w:r w:rsidRPr="00A935AA">
              <w:rPr>
                <w:sz w:val="20"/>
                <w:szCs w:val="20"/>
              </w:rPr>
              <w:tab/>
            </w:r>
            <w:r w:rsidR="00CF6C0F">
              <w:rPr>
                <w:sz w:val="20"/>
                <w:szCs w:val="20"/>
              </w:rPr>
              <w:t>City of Winnipeg</w:t>
            </w:r>
          </w:p>
          <w:p w:rsidR="00035B10" w:rsidRPr="00A935AA" w:rsidRDefault="00035B10" w:rsidP="009C7C08">
            <w:pPr>
              <w:tabs>
                <w:tab w:val="left" w:pos="-1440"/>
                <w:tab w:val="left" w:pos="-720"/>
              </w:tabs>
              <w:rPr>
                <w:sz w:val="20"/>
                <w:szCs w:val="20"/>
              </w:rPr>
            </w:pPr>
          </w:p>
          <w:p w:rsidR="00035B10" w:rsidRPr="00A935AA" w:rsidRDefault="00035B10" w:rsidP="009C7C08">
            <w:pPr>
              <w:rPr>
                <w:sz w:val="20"/>
                <w:szCs w:val="20"/>
              </w:rPr>
            </w:pPr>
            <w:r w:rsidRPr="00A935AA">
              <w:rPr>
                <w:sz w:val="20"/>
                <w:szCs w:val="20"/>
              </w:rPr>
              <w:t xml:space="preserve">FILING DATE: </w:t>
            </w:r>
            <w:r w:rsidR="00CF6C0F">
              <w:rPr>
                <w:sz w:val="20"/>
                <w:szCs w:val="20"/>
              </w:rPr>
              <w:t>15</w:t>
            </w:r>
            <w:r w:rsidRPr="00A935AA">
              <w:rPr>
                <w:sz w:val="20"/>
                <w:szCs w:val="20"/>
              </w:rPr>
              <w:t>.</w:t>
            </w:r>
            <w:r w:rsidR="00CF6C0F">
              <w:rPr>
                <w:sz w:val="20"/>
                <w:szCs w:val="20"/>
              </w:rPr>
              <w:t>1</w:t>
            </w:r>
            <w:r w:rsidRPr="00A935AA">
              <w:rPr>
                <w:sz w:val="20"/>
                <w:szCs w:val="20"/>
              </w:rPr>
              <w:t>0.201</w:t>
            </w:r>
            <w:r>
              <w:rPr>
                <w:sz w:val="20"/>
                <w:szCs w:val="20"/>
              </w:rPr>
              <w:t>2</w:t>
            </w:r>
          </w:p>
          <w:p w:rsidR="00035B10" w:rsidRPr="00A935AA" w:rsidRDefault="002048ED" w:rsidP="009C7C08">
            <w:pPr>
              <w:rPr>
                <w:sz w:val="20"/>
                <w:szCs w:val="20"/>
              </w:rPr>
            </w:pPr>
            <w:r w:rsidRPr="002048E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tc>
        <w:tc>
          <w:tcPr>
            <w:tcW w:w="4320" w:type="dxa"/>
            <w:shd w:val="clear" w:color="auto" w:fill="auto"/>
          </w:tcPr>
          <w:p w:rsidR="00CF6C0F" w:rsidRPr="00A935AA" w:rsidRDefault="00CF6C0F" w:rsidP="009C7C08">
            <w:pPr>
              <w:keepNext/>
              <w:keepLines/>
              <w:tabs>
                <w:tab w:val="left" w:pos="-1440"/>
                <w:tab w:val="left" w:pos="-720"/>
              </w:tabs>
              <w:rPr>
                <w:b/>
                <w:sz w:val="20"/>
                <w:szCs w:val="20"/>
              </w:rPr>
            </w:pPr>
            <w:r>
              <w:rPr>
                <w:b/>
                <w:sz w:val="20"/>
                <w:szCs w:val="20"/>
              </w:rPr>
              <w:t>Larry Peter Klippenstein</w:t>
            </w:r>
          </w:p>
          <w:p w:rsidR="00035B10" w:rsidRPr="00A935AA" w:rsidRDefault="00035B10" w:rsidP="009C7C08">
            <w:pPr>
              <w:keepNext/>
              <w:keepLines/>
              <w:tabs>
                <w:tab w:val="left" w:pos="-1440"/>
                <w:tab w:val="left" w:pos="-720"/>
              </w:tabs>
              <w:rPr>
                <w:sz w:val="20"/>
                <w:szCs w:val="20"/>
              </w:rPr>
            </w:pPr>
            <w:r w:rsidRPr="00A935AA">
              <w:rPr>
                <w:sz w:val="20"/>
                <w:szCs w:val="20"/>
              </w:rPr>
              <w:tab/>
            </w:r>
            <w:r w:rsidR="00CF6C0F">
              <w:rPr>
                <w:sz w:val="20"/>
                <w:szCs w:val="20"/>
              </w:rPr>
              <w:t>Larry Peter Klippenstein</w:t>
            </w:r>
          </w:p>
          <w:p w:rsidR="00035B10" w:rsidRPr="00A935AA" w:rsidRDefault="00035B10" w:rsidP="009C7C08">
            <w:pPr>
              <w:keepNext/>
              <w:keepLines/>
              <w:tabs>
                <w:tab w:val="left" w:pos="-1440"/>
                <w:tab w:val="left" w:pos="-720"/>
              </w:tabs>
              <w:rPr>
                <w:sz w:val="20"/>
                <w:szCs w:val="20"/>
              </w:rPr>
            </w:pPr>
          </w:p>
          <w:p w:rsidR="00035B10" w:rsidRPr="00266477" w:rsidRDefault="00035B10" w:rsidP="009C7C08">
            <w:pPr>
              <w:keepNext/>
              <w:keepLines/>
              <w:tabs>
                <w:tab w:val="left" w:pos="-1440"/>
                <w:tab w:val="left" w:pos="-720"/>
              </w:tabs>
              <w:rPr>
                <w:sz w:val="20"/>
                <w:szCs w:val="20"/>
              </w:rPr>
            </w:pPr>
            <w:r w:rsidRPr="00A935AA">
              <w:rPr>
                <w:sz w:val="20"/>
                <w:szCs w:val="20"/>
              </w:rPr>
              <w:tab/>
            </w:r>
            <w:r w:rsidRPr="00266477">
              <w:rPr>
                <w:sz w:val="20"/>
                <w:szCs w:val="20"/>
              </w:rPr>
              <w:t>v. (35</w:t>
            </w:r>
            <w:r w:rsidR="00CF6C0F">
              <w:rPr>
                <w:sz w:val="20"/>
                <w:szCs w:val="20"/>
              </w:rPr>
              <w:t>036</w:t>
            </w:r>
            <w:r w:rsidRPr="00266477">
              <w:rPr>
                <w:sz w:val="20"/>
                <w:szCs w:val="20"/>
              </w:rPr>
              <w:t>)</w:t>
            </w:r>
          </w:p>
          <w:p w:rsidR="00035B10" w:rsidRPr="00266477" w:rsidRDefault="00035B10" w:rsidP="009C7C08">
            <w:pPr>
              <w:keepNext/>
              <w:keepLines/>
              <w:tabs>
                <w:tab w:val="left" w:pos="-1440"/>
                <w:tab w:val="left" w:pos="-720"/>
              </w:tabs>
              <w:rPr>
                <w:sz w:val="20"/>
                <w:szCs w:val="20"/>
              </w:rPr>
            </w:pPr>
          </w:p>
          <w:p w:rsidR="00035B10" w:rsidRPr="00266477" w:rsidRDefault="00CF6C0F" w:rsidP="009C7C08">
            <w:pPr>
              <w:keepNext/>
              <w:keepLines/>
              <w:tabs>
                <w:tab w:val="left" w:pos="-1440"/>
                <w:tab w:val="left" w:pos="-720"/>
              </w:tabs>
              <w:rPr>
                <w:b/>
                <w:sz w:val="20"/>
                <w:szCs w:val="20"/>
              </w:rPr>
            </w:pPr>
            <w:r>
              <w:rPr>
                <w:b/>
                <w:sz w:val="20"/>
                <w:szCs w:val="20"/>
              </w:rPr>
              <w:t>Attorney General of Manitoba</w:t>
            </w:r>
            <w:r w:rsidR="00035B10" w:rsidRPr="00266477">
              <w:rPr>
                <w:b/>
                <w:sz w:val="20"/>
                <w:szCs w:val="20"/>
              </w:rPr>
              <w:t xml:space="preserve"> (</w:t>
            </w:r>
            <w:r>
              <w:rPr>
                <w:b/>
                <w:sz w:val="20"/>
                <w:szCs w:val="20"/>
              </w:rPr>
              <w:t>Ma</w:t>
            </w:r>
            <w:r w:rsidR="00035B10" w:rsidRPr="00266477">
              <w:rPr>
                <w:b/>
                <w:sz w:val="20"/>
                <w:szCs w:val="20"/>
              </w:rPr>
              <w:t>n.)</w:t>
            </w:r>
          </w:p>
          <w:p w:rsidR="00035B10" w:rsidRPr="00266477" w:rsidRDefault="00035B10" w:rsidP="009C7C08">
            <w:pPr>
              <w:keepNext/>
              <w:keepLines/>
              <w:tabs>
                <w:tab w:val="left" w:pos="-1440"/>
                <w:tab w:val="left" w:pos="-720"/>
              </w:tabs>
              <w:rPr>
                <w:sz w:val="20"/>
                <w:szCs w:val="20"/>
              </w:rPr>
            </w:pPr>
            <w:r w:rsidRPr="00266477">
              <w:rPr>
                <w:sz w:val="20"/>
                <w:szCs w:val="20"/>
              </w:rPr>
              <w:tab/>
            </w:r>
            <w:r w:rsidR="00CF6C0F">
              <w:rPr>
                <w:sz w:val="20"/>
                <w:szCs w:val="20"/>
              </w:rPr>
              <w:t>Sean Boyd</w:t>
            </w:r>
          </w:p>
          <w:p w:rsidR="00035B10" w:rsidRPr="00266477" w:rsidRDefault="00035B10" w:rsidP="009C7C08">
            <w:pPr>
              <w:keepNext/>
              <w:keepLines/>
              <w:tabs>
                <w:tab w:val="left" w:pos="-1440"/>
                <w:tab w:val="left" w:pos="-720"/>
              </w:tabs>
              <w:rPr>
                <w:sz w:val="20"/>
                <w:szCs w:val="20"/>
              </w:rPr>
            </w:pPr>
            <w:r w:rsidRPr="00266477">
              <w:rPr>
                <w:sz w:val="20"/>
                <w:szCs w:val="20"/>
              </w:rPr>
              <w:tab/>
            </w:r>
            <w:r w:rsidR="00CF6C0F">
              <w:rPr>
                <w:sz w:val="20"/>
                <w:szCs w:val="20"/>
              </w:rPr>
              <w:t xml:space="preserve">Deputy Minister of Justice (Manitoba) </w:t>
            </w:r>
            <w:r w:rsidR="00CF6C0F">
              <w:rPr>
                <w:sz w:val="20"/>
                <w:szCs w:val="20"/>
              </w:rPr>
              <w:tab/>
              <w:t>Civil Legal Services</w:t>
            </w:r>
          </w:p>
          <w:p w:rsidR="00035B10" w:rsidRPr="00266477" w:rsidRDefault="00035B10" w:rsidP="009C7C08">
            <w:pPr>
              <w:keepNext/>
              <w:keepLines/>
              <w:tabs>
                <w:tab w:val="left" w:pos="-1440"/>
                <w:tab w:val="left" w:pos="-720"/>
              </w:tabs>
              <w:rPr>
                <w:sz w:val="20"/>
                <w:szCs w:val="20"/>
              </w:rPr>
            </w:pPr>
          </w:p>
          <w:p w:rsidR="00035B10" w:rsidRPr="00A935AA" w:rsidRDefault="00035B10" w:rsidP="00CF6C0F">
            <w:pPr>
              <w:rPr>
                <w:sz w:val="20"/>
                <w:szCs w:val="20"/>
              </w:rPr>
            </w:pPr>
            <w:r w:rsidRPr="00A935AA">
              <w:rPr>
                <w:sz w:val="20"/>
                <w:szCs w:val="20"/>
              </w:rPr>
              <w:t xml:space="preserve">FILING DATE: </w:t>
            </w:r>
            <w:r w:rsidR="00CF6C0F">
              <w:rPr>
                <w:sz w:val="20"/>
                <w:szCs w:val="20"/>
              </w:rPr>
              <w:t>16</w:t>
            </w:r>
            <w:r w:rsidRPr="00A935AA">
              <w:rPr>
                <w:sz w:val="20"/>
                <w:szCs w:val="20"/>
              </w:rPr>
              <w:t>.</w:t>
            </w:r>
            <w:r w:rsidR="00CF6C0F">
              <w:rPr>
                <w:sz w:val="20"/>
                <w:szCs w:val="20"/>
              </w:rPr>
              <w:t>1</w:t>
            </w:r>
            <w:r w:rsidRPr="00A935AA">
              <w:rPr>
                <w:sz w:val="20"/>
                <w:szCs w:val="20"/>
              </w:rPr>
              <w:t>0.201</w:t>
            </w:r>
            <w:r>
              <w:rPr>
                <w:sz w:val="20"/>
                <w:szCs w:val="20"/>
              </w:rPr>
              <w:t>2</w:t>
            </w:r>
            <w:r w:rsidR="002048ED" w:rsidRPr="002048ED">
              <w:rPr>
                <w:sz w:val="20"/>
                <w:szCs w:val="20"/>
                <w:lang w:val="fr-CA"/>
              </w:rPr>
              <w:pict>
                <v:rect id="_x0000_i1034" style="width:108pt;height:1pt" o:hrpct="0" o:hralign="center" o:hrstd="t" o:hrnoshade="t" o:hr="t" fillcolor="black [3213]" stroked="f"/>
              </w:pict>
            </w:r>
          </w:p>
        </w:tc>
      </w:tr>
      <w:tr w:rsidR="00035B10" w:rsidRPr="00CF6C0F" w:rsidTr="003B3977">
        <w:trPr>
          <w:cantSplit/>
        </w:trPr>
        <w:tc>
          <w:tcPr>
            <w:tcW w:w="4320" w:type="dxa"/>
            <w:shd w:val="clear" w:color="auto" w:fill="auto"/>
          </w:tcPr>
          <w:p w:rsidR="00035B10" w:rsidRPr="00CF6C0F" w:rsidRDefault="00CF6C0F" w:rsidP="009C7C08">
            <w:pPr>
              <w:rPr>
                <w:b/>
                <w:sz w:val="20"/>
                <w:szCs w:val="20"/>
                <w:lang w:val="fr-CA"/>
              </w:rPr>
            </w:pPr>
            <w:r w:rsidRPr="00CF6C0F">
              <w:rPr>
                <w:b/>
                <w:sz w:val="20"/>
                <w:szCs w:val="20"/>
                <w:lang w:val="fr-CA"/>
              </w:rPr>
              <w:t>Cynthia Michelle Burton</w:t>
            </w:r>
          </w:p>
          <w:p w:rsidR="00035B10" w:rsidRPr="00CF6C0F" w:rsidRDefault="00035B10" w:rsidP="009C7C08">
            <w:pPr>
              <w:tabs>
                <w:tab w:val="left" w:pos="-1440"/>
                <w:tab w:val="left" w:pos="-720"/>
              </w:tabs>
              <w:rPr>
                <w:sz w:val="20"/>
                <w:szCs w:val="20"/>
                <w:lang w:val="fr-CA"/>
              </w:rPr>
            </w:pPr>
            <w:r w:rsidRPr="00CF6C0F">
              <w:rPr>
                <w:sz w:val="20"/>
                <w:szCs w:val="20"/>
                <w:lang w:val="fr-CA"/>
              </w:rPr>
              <w:tab/>
            </w:r>
            <w:r w:rsidR="00CF6C0F" w:rsidRPr="00CF6C0F">
              <w:rPr>
                <w:sz w:val="20"/>
                <w:szCs w:val="20"/>
                <w:lang w:val="fr-CA"/>
              </w:rPr>
              <w:t>Cynthia Michelle Burton</w:t>
            </w:r>
          </w:p>
          <w:p w:rsidR="00035B10" w:rsidRPr="00CF6C0F" w:rsidRDefault="00035B10" w:rsidP="009C7C08">
            <w:pPr>
              <w:tabs>
                <w:tab w:val="left" w:pos="-1440"/>
                <w:tab w:val="left" w:pos="-720"/>
              </w:tabs>
              <w:rPr>
                <w:sz w:val="20"/>
                <w:szCs w:val="20"/>
                <w:lang w:val="fr-CA"/>
              </w:rPr>
            </w:pPr>
          </w:p>
          <w:p w:rsidR="00035B10" w:rsidRPr="00A935AA" w:rsidRDefault="00035B10" w:rsidP="009C7C08">
            <w:pPr>
              <w:tabs>
                <w:tab w:val="left" w:pos="-1440"/>
                <w:tab w:val="left" w:pos="-720"/>
              </w:tabs>
              <w:rPr>
                <w:sz w:val="20"/>
                <w:szCs w:val="20"/>
              </w:rPr>
            </w:pPr>
            <w:r w:rsidRPr="00CF6C0F">
              <w:rPr>
                <w:sz w:val="20"/>
                <w:szCs w:val="20"/>
                <w:lang w:val="fr-CA"/>
              </w:rPr>
              <w:tab/>
            </w:r>
            <w:r w:rsidRPr="00A935AA">
              <w:rPr>
                <w:sz w:val="20"/>
                <w:szCs w:val="20"/>
              </w:rPr>
              <w:t>v. (3</w:t>
            </w:r>
            <w:r>
              <w:rPr>
                <w:sz w:val="20"/>
                <w:szCs w:val="20"/>
              </w:rPr>
              <w:t>5</w:t>
            </w:r>
            <w:r w:rsidR="00CF6C0F">
              <w:rPr>
                <w:sz w:val="20"/>
                <w:szCs w:val="20"/>
              </w:rPr>
              <w:t>039</w:t>
            </w:r>
            <w:r w:rsidRPr="00A935AA">
              <w:rPr>
                <w:sz w:val="20"/>
                <w:szCs w:val="20"/>
              </w:rPr>
              <w:t>)</w:t>
            </w:r>
          </w:p>
          <w:p w:rsidR="00035B10" w:rsidRPr="00A935AA" w:rsidRDefault="00035B10" w:rsidP="009C7C08">
            <w:pPr>
              <w:tabs>
                <w:tab w:val="left" w:pos="-1440"/>
                <w:tab w:val="left" w:pos="-720"/>
              </w:tabs>
              <w:rPr>
                <w:sz w:val="20"/>
                <w:szCs w:val="20"/>
              </w:rPr>
            </w:pPr>
          </w:p>
          <w:p w:rsidR="00035B10" w:rsidRPr="00A935AA" w:rsidRDefault="00CF6C0F" w:rsidP="009C7C08">
            <w:pPr>
              <w:tabs>
                <w:tab w:val="left" w:pos="-1440"/>
                <w:tab w:val="left" w:pos="-720"/>
              </w:tabs>
              <w:rPr>
                <w:b/>
                <w:sz w:val="20"/>
                <w:szCs w:val="20"/>
              </w:rPr>
            </w:pPr>
            <w:r>
              <w:rPr>
                <w:b/>
                <w:sz w:val="20"/>
                <w:szCs w:val="20"/>
              </w:rPr>
              <w:t>Her Majesty the Queen</w:t>
            </w:r>
            <w:r w:rsidR="00035B10">
              <w:rPr>
                <w:b/>
                <w:sz w:val="20"/>
                <w:szCs w:val="20"/>
              </w:rPr>
              <w:t xml:space="preserve"> </w:t>
            </w:r>
            <w:r w:rsidR="00035B10" w:rsidRPr="00A935AA">
              <w:rPr>
                <w:b/>
                <w:sz w:val="20"/>
                <w:szCs w:val="20"/>
              </w:rPr>
              <w:t>(</w:t>
            </w:r>
            <w:r>
              <w:rPr>
                <w:b/>
                <w:sz w:val="20"/>
                <w:szCs w:val="20"/>
              </w:rPr>
              <w:t>P</w:t>
            </w:r>
            <w:r w:rsidR="00035B10" w:rsidRPr="00A935AA">
              <w:rPr>
                <w:b/>
                <w:sz w:val="20"/>
                <w:szCs w:val="20"/>
              </w:rPr>
              <w:t>.</w:t>
            </w:r>
            <w:r>
              <w:rPr>
                <w:b/>
                <w:sz w:val="20"/>
                <w:szCs w:val="20"/>
              </w:rPr>
              <w:t>E.I</w:t>
            </w:r>
            <w:r w:rsidR="00035B10" w:rsidRPr="00A935AA">
              <w:rPr>
                <w:b/>
                <w:sz w:val="20"/>
                <w:szCs w:val="20"/>
              </w:rPr>
              <w:t>.)</w:t>
            </w:r>
          </w:p>
          <w:p w:rsidR="00035B10" w:rsidRPr="00A935AA" w:rsidRDefault="00035B10" w:rsidP="009C7C08">
            <w:pPr>
              <w:tabs>
                <w:tab w:val="left" w:pos="-1440"/>
                <w:tab w:val="left" w:pos="-720"/>
              </w:tabs>
              <w:rPr>
                <w:sz w:val="20"/>
                <w:szCs w:val="20"/>
              </w:rPr>
            </w:pPr>
            <w:r w:rsidRPr="00A935AA">
              <w:rPr>
                <w:sz w:val="20"/>
                <w:szCs w:val="20"/>
              </w:rPr>
              <w:tab/>
            </w:r>
            <w:r w:rsidR="00CF6C0F">
              <w:rPr>
                <w:sz w:val="20"/>
                <w:szCs w:val="20"/>
              </w:rPr>
              <w:t>Gerald K. Quinn, Q.C.</w:t>
            </w:r>
          </w:p>
          <w:p w:rsidR="00035B10" w:rsidRPr="00A935AA" w:rsidRDefault="00035B10" w:rsidP="009C7C08">
            <w:pPr>
              <w:tabs>
                <w:tab w:val="left" w:pos="-1440"/>
                <w:tab w:val="left" w:pos="-720"/>
              </w:tabs>
              <w:rPr>
                <w:sz w:val="20"/>
                <w:szCs w:val="20"/>
              </w:rPr>
            </w:pPr>
            <w:r w:rsidRPr="00A935AA">
              <w:rPr>
                <w:sz w:val="20"/>
                <w:szCs w:val="20"/>
              </w:rPr>
              <w:tab/>
            </w:r>
            <w:r w:rsidR="00CF6C0F">
              <w:rPr>
                <w:sz w:val="20"/>
                <w:szCs w:val="20"/>
              </w:rPr>
              <w:t>A.G. of Prince Edward Island</w:t>
            </w:r>
          </w:p>
          <w:p w:rsidR="00035B10" w:rsidRPr="00A935AA" w:rsidRDefault="00035B10" w:rsidP="009C7C08">
            <w:pPr>
              <w:tabs>
                <w:tab w:val="left" w:pos="-1440"/>
                <w:tab w:val="left" w:pos="-720"/>
              </w:tabs>
              <w:rPr>
                <w:sz w:val="20"/>
                <w:szCs w:val="20"/>
              </w:rPr>
            </w:pPr>
          </w:p>
          <w:p w:rsidR="00035B10" w:rsidRPr="00A935AA" w:rsidRDefault="00035B10" w:rsidP="009C7C08">
            <w:pPr>
              <w:rPr>
                <w:sz w:val="20"/>
                <w:szCs w:val="20"/>
              </w:rPr>
            </w:pPr>
            <w:r w:rsidRPr="00A935AA">
              <w:rPr>
                <w:sz w:val="20"/>
                <w:szCs w:val="20"/>
              </w:rPr>
              <w:t xml:space="preserve">FILING DATE: </w:t>
            </w:r>
            <w:r w:rsidR="00CF6C0F">
              <w:rPr>
                <w:sz w:val="20"/>
                <w:szCs w:val="20"/>
              </w:rPr>
              <w:t>18</w:t>
            </w:r>
            <w:r w:rsidRPr="00A935AA">
              <w:rPr>
                <w:sz w:val="20"/>
                <w:szCs w:val="20"/>
              </w:rPr>
              <w:t>.</w:t>
            </w:r>
            <w:r w:rsidR="00CF6C0F">
              <w:rPr>
                <w:sz w:val="20"/>
                <w:szCs w:val="20"/>
              </w:rPr>
              <w:t>1</w:t>
            </w:r>
            <w:r w:rsidRPr="00A935AA">
              <w:rPr>
                <w:sz w:val="20"/>
                <w:szCs w:val="20"/>
              </w:rPr>
              <w:t>0.201</w:t>
            </w:r>
            <w:r>
              <w:rPr>
                <w:sz w:val="20"/>
                <w:szCs w:val="20"/>
              </w:rPr>
              <w:t>2</w:t>
            </w:r>
          </w:p>
          <w:p w:rsidR="00035B10" w:rsidRPr="00A935AA" w:rsidRDefault="002048ED" w:rsidP="009C7C08">
            <w:pPr>
              <w:rPr>
                <w:sz w:val="20"/>
                <w:szCs w:val="20"/>
              </w:rPr>
            </w:pPr>
            <w:r w:rsidRPr="002048E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p w:rsidR="00035B10" w:rsidRPr="00A935AA" w:rsidRDefault="00035B10" w:rsidP="00242AEE">
            <w:pPr>
              <w:jc w:val="center"/>
              <w:rPr>
                <w:sz w:val="20"/>
                <w:szCs w:val="20"/>
              </w:rPr>
            </w:pPr>
          </w:p>
        </w:tc>
        <w:tc>
          <w:tcPr>
            <w:tcW w:w="4320" w:type="dxa"/>
            <w:shd w:val="clear" w:color="auto" w:fill="auto"/>
          </w:tcPr>
          <w:p w:rsidR="00035B10" w:rsidRPr="00CF6C0F" w:rsidRDefault="00CF6C0F" w:rsidP="009C7C08">
            <w:pPr>
              <w:keepNext/>
              <w:keepLines/>
              <w:tabs>
                <w:tab w:val="left" w:pos="-1440"/>
                <w:tab w:val="left" w:pos="-720"/>
              </w:tabs>
              <w:rPr>
                <w:b/>
                <w:sz w:val="20"/>
                <w:szCs w:val="20"/>
                <w:lang w:val="fr-CA"/>
              </w:rPr>
            </w:pPr>
            <w:r w:rsidRPr="00CF6C0F">
              <w:rPr>
                <w:b/>
                <w:sz w:val="20"/>
                <w:szCs w:val="20"/>
                <w:lang w:val="fr-CA"/>
              </w:rPr>
              <w:t>Sandra Buschau et al.</w:t>
            </w:r>
          </w:p>
          <w:p w:rsidR="00035B10" w:rsidRPr="005571F9" w:rsidRDefault="00035B10" w:rsidP="009C7C08">
            <w:pPr>
              <w:keepNext/>
              <w:keepLines/>
              <w:tabs>
                <w:tab w:val="left" w:pos="-1440"/>
                <w:tab w:val="left" w:pos="-720"/>
              </w:tabs>
              <w:rPr>
                <w:sz w:val="20"/>
                <w:szCs w:val="20"/>
                <w:lang w:val="fr-CA"/>
              </w:rPr>
            </w:pPr>
            <w:r w:rsidRPr="00CF6C0F">
              <w:rPr>
                <w:sz w:val="20"/>
                <w:szCs w:val="20"/>
                <w:lang w:val="fr-CA"/>
              </w:rPr>
              <w:tab/>
            </w:r>
            <w:r w:rsidR="00CF6C0F" w:rsidRPr="005571F9">
              <w:rPr>
                <w:sz w:val="20"/>
                <w:szCs w:val="20"/>
                <w:lang w:val="fr-CA"/>
              </w:rPr>
              <w:t>John N. Laxton</w:t>
            </w:r>
            <w:r w:rsidR="0078080D" w:rsidRPr="005571F9">
              <w:rPr>
                <w:sz w:val="20"/>
                <w:szCs w:val="20"/>
                <w:lang w:val="fr-CA"/>
              </w:rPr>
              <w:t>, Q.C.</w:t>
            </w:r>
          </w:p>
          <w:p w:rsidR="00035B10" w:rsidRPr="00CF6C0F" w:rsidRDefault="00035B10" w:rsidP="009C7C08">
            <w:pPr>
              <w:keepNext/>
              <w:keepLines/>
              <w:tabs>
                <w:tab w:val="left" w:pos="-1440"/>
                <w:tab w:val="left" w:pos="-720"/>
              </w:tabs>
              <w:rPr>
                <w:sz w:val="20"/>
                <w:szCs w:val="20"/>
              </w:rPr>
            </w:pPr>
            <w:r w:rsidRPr="005571F9">
              <w:rPr>
                <w:sz w:val="20"/>
                <w:szCs w:val="20"/>
                <w:lang w:val="fr-CA"/>
              </w:rPr>
              <w:tab/>
            </w:r>
            <w:r w:rsidR="00CF6C0F" w:rsidRPr="00CF6C0F">
              <w:rPr>
                <w:sz w:val="20"/>
                <w:szCs w:val="20"/>
              </w:rPr>
              <w:t>Laxton, Gibbens &amp; Company</w:t>
            </w:r>
          </w:p>
          <w:p w:rsidR="00035B10" w:rsidRPr="00CF6C0F" w:rsidRDefault="00035B10" w:rsidP="009C7C08">
            <w:pPr>
              <w:keepNext/>
              <w:keepLines/>
              <w:tabs>
                <w:tab w:val="left" w:pos="-1440"/>
                <w:tab w:val="left" w:pos="-720"/>
              </w:tabs>
              <w:rPr>
                <w:sz w:val="20"/>
                <w:szCs w:val="20"/>
              </w:rPr>
            </w:pPr>
          </w:p>
          <w:p w:rsidR="00035B10" w:rsidRPr="00CF6C0F" w:rsidRDefault="00035B10" w:rsidP="009C7C08">
            <w:pPr>
              <w:keepNext/>
              <w:keepLines/>
              <w:tabs>
                <w:tab w:val="left" w:pos="-1440"/>
                <w:tab w:val="left" w:pos="-720"/>
              </w:tabs>
              <w:rPr>
                <w:sz w:val="20"/>
                <w:szCs w:val="20"/>
              </w:rPr>
            </w:pPr>
            <w:r w:rsidRPr="00CF6C0F">
              <w:rPr>
                <w:sz w:val="20"/>
                <w:szCs w:val="20"/>
              </w:rPr>
              <w:tab/>
              <w:t>v. (35</w:t>
            </w:r>
            <w:r w:rsidR="00CF6C0F" w:rsidRPr="00CF6C0F">
              <w:rPr>
                <w:sz w:val="20"/>
                <w:szCs w:val="20"/>
              </w:rPr>
              <w:t>042</w:t>
            </w:r>
            <w:r w:rsidRPr="00CF6C0F">
              <w:rPr>
                <w:sz w:val="20"/>
                <w:szCs w:val="20"/>
              </w:rPr>
              <w:t>)</w:t>
            </w:r>
          </w:p>
          <w:p w:rsidR="00035B10" w:rsidRPr="00CF6C0F" w:rsidRDefault="00035B10" w:rsidP="009C7C08">
            <w:pPr>
              <w:keepNext/>
              <w:keepLines/>
              <w:tabs>
                <w:tab w:val="left" w:pos="-1440"/>
                <w:tab w:val="left" w:pos="-720"/>
              </w:tabs>
              <w:rPr>
                <w:sz w:val="20"/>
                <w:szCs w:val="20"/>
              </w:rPr>
            </w:pPr>
          </w:p>
          <w:p w:rsidR="00035B10" w:rsidRPr="00CF6C0F" w:rsidRDefault="00CF6C0F" w:rsidP="009C7C08">
            <w:pPr>
              <w:keepNext/>
              <w:keepLines/>
              <w:tabs>
                <w:tab w:val="left" w:pos="-1440"/>
                <w:tab w:val="left" w:pos="-720"/>
              </w:tabs>
              <w:rPr>
                <w:b/>
                <w:sz w:val="20"/>
                <w:szCs w:val="20"/>
              </w:rPr>
            </w:pPr>
            <w:r w:rsidRPr="00CF6C0F">
              <w:rPr>
                <w:b/>
                <w:sz w:val="20"/>
                <w:szCs w:val="20"/>
              </w:rPr>
              <w:t>Rogers Communications Incorporated</w:t>
            </w:r>
            <w:r w:rsidR="00035B10" w:rsidRPr="00CF6C0F">
              <w:rPr>
                <w:b/>
                <w:sz w:val="20"/>
                <w:szCs w:val="20"/>
              </w:rPr>
              <w:t xml:space="preserve"> (</w:t>
            </w:r>
            <w:r w:rsidRPr="00CF6C0F">
              <w:rPr>
                <w:b/>
                <w:sz w:val="20"/>
                <w:szCs w:val="20"/>
              </w:rPr>
              <w:t>F</w:t>
            </w:r>
            <w:r w:rsidR="00035B10" w:rsidRPr="00CF6C0F">
              <w:rPr>
                <w:b/>
                <w:sz w:val="20"/>
                <w:szCs w:val="20"/>
              </w:rPr>
              <w:t>.</w:t>
            </w:r>
            <w:r w:rsidRPr="00CF6C0F">
              <w:rPr>
                <w:b/>
                <w:sz w:val="20"/>
                <w:szCs w:val="20"/>
              </w:rPr>
              <w:t>C.</w:t>
            </w:r>
            <w:r w:rsidR="00035B10" w:rsidRPr="00CF6C0F">
              <w:rPr>
                <w:b/>
                <w:sz w:val="20"/>
                <w:szCs w:val="20"/>
              </w:rPr>
              <w:t>)</w:t>
            </w:r>
          </w:p>
          <w:p w:rsidR="00035B10" w:rsidRPr="00CF6C0F" w:rsidRDefault="00035B10" w:rsidP="009C7C08">
            <w:pPr>
              <w:keepNext/>
              <w:keepLines/>
              <w:tabs>
                <w:tab w:val="left" w:pos="-1440"/>
                <w:tab w:val="left" w:pos="-720"/>
              </w:tabs>
              <w:rPr>
                <w:sz w:val="20"/>
                <w:szCs w:val="20"/>
              </w:rPr>
            </w:pPr>
            <w:r w:rsidRPr="00CF6C0F">
              <w:rPr>
                <w:sz w:val="20"/>
                <w:szCs w:val="20"/>
              </w:rPr>
              <w:tab/>
            </w:r>
            <w:r w:rsidR="00CF6C0F" w:rsidRPr="00CF6C0F">
              <w:rPr>
                <w:sz w:val="20"/>
                <w:szCs w:val="20"/>
              </w:rPr>
              <w:t xml:space="preserve">Stephen R. </w:t>
            </w:r>
            <w:r w:rsidR="00CF6C0F">
              <w:rPr>
                <w:sz w:val="20"/>
                <w:szCs w:val="20"/>
              </w:rPr>
              <w:t>Schachter</w:t>
            </w:r>
          </w:p>
          <w:p w:rsidR="00035B10" w:rsidRPr="00CF6C0F" w:rsidRDefault="00035B10" w:rsidP="009C7C08">
            <w:pPr>
              <w:keepNext/>
              <w:keepLines/>
              <w:tabs>
                <w:tab w:val="left" w:pos="-1440"/>
                <w:tab w:val="left" w:pos="-720"/>
              </w:tabs>
              <w:rPr>
                <w:sz w:val="20"/>
                <w:szCs w:val="20"/>
              </w:rPr>
            </w:pPr>
            <w:r w:rsidRPr="00CF6C0F">
              <w:rPr>
                <w:sz w:val="20"/>
                <w:szCs w:val="20"/>
              </w:rPr>
              <w:tab/>
            </w:r>
            <w:r w:rsidR="00CF6C0F">
              <w:rPr>
                <w:sz w:val="20"/>
                <w:szCs w:val="20"/>
              </w:rPr>
              <w:t>Nathanson</w:t>
            </w:r>
            <w:r w:rsidR="00CF6C0F" w:rsidRPr="00CF6C0F">
              <w:rPr>
                <w:sz w:val="20"/>
                <w:szCs w:val="20"/>
              </w:rPr>
              <w:t xml:space="preserve"> </w:t>
            </w:r>
            <w:r w:rsidR="00CF6C0F">
              <w:rPr>
                <w:sz w:val="20"/>
                <w:szCs w:val="20"/>
              </w:rPr>
              <w:t>Schachter &amp; Thompson</w:t>
            </w:r>
          </w:p>
          <w:p w:rsidR="00035B10" w:rsidRPr="00CF6C0F" w:rsidRDefault="00035B10" w:rsidP="009C7C08">
            <w:pPr>
              <w:keepNext/>
              <w:keepLines/>
              <w:tabs>
                <w:tab w:val="left" w:pos="-1440"/>
                <w:tab w:val="left" w:pos="-720"/>
              </w:tabs>
              <w:rPr>
                <w:sz w:val="20"/>
                <w:szCs w:val="20"/>
              </w:rPr>
            </w:pPr>
          </w:p>
          <w:p w:rsidR="00035B10" w:rsidRPr="00CF6C0F" w:rsidRDefault="00035B10" w:rsidP="00CF6C0F">
            <w:pPr>
              <w:rPr>
                <w:sz w:val="20"/>
                <w:szCs w:val="20"/>
              </w:rPr>
            </w:pPr>
            <w:r w:rsidRPr="00CF6C0F">
              <w:rPr>
                <w:sz w:val="20"/>
                <w:szCs w:val="20"/>
              </w:rPr>
              <w:t xml:space="preserve">FILING DATE: </w:t>
            </w:r>
            <w:r w:rsidR="00CF6C0F">
              <w:rPr>
                <w:sz w:val="20"/>
                <w:szCs w:val="20"/>
              </w:rPr>
              <w:t>1</w:t>
            </w:r>
            <w:r w:rsidRPr="00CF6C0F">
              <w:rPr>
                <w:sz w:val="20"/>
                <w:szCs w:val="20"/>
              </w:rPr>
              <w:t>8.09.2012</w:t>
            </w:r>
            <w:r w:rsidR="002048ED" w:rsidRPr="002048ED">
              <w:rPr>
                <w:sz w:val="20"/>
                <w:szCs w:val="20"/>
                <w:lang w:val="fr-CA"/>
              </w:rPr>
              <w:pict>
                <v:rect id="_x0000_i1036" style="width:108pt;height:1pt" o:hrpct="0" o:hralign="center" o:hrstd="t" o:hrnoshade="t" o:hr="t" fillcolor="black [3213]" stroked="f"/>
              </w:pict>
            </w:r>
          </w:p>
        </w:tc>
      </w:tr>
      <w:tr w:rsidR="00504D08" w:rsidRPr="00CF6C0F" w:rsidTr="003B3977">
        <w:trPr>
          <w:cantSplit/>
        </w:trPr>
        <w:tc>
          <w:tcPr>
            <w:tcW w:w="4320" w:type="dxa"/>
            <w:shd w:val="clear" w:color="auto" w:fill="auto"/>
          </w:tcPr>
          <w:p w:rsidR="00504D08" w:rsidRPr="00504D08" w:rsidRDefault="00504D08" w:rsidP="00504D08">
            <w:pPr>
              <w:rPr>
                <w:b/>
                <w:sz w:val="20"/>
                <w:szCs w:val="20"/>
              </w:rPr>
            </w:pPr>
            <w:r w:rsidRPr="00504D08">
              <w:rPr>
                <w:b/>
                <w:sz w:val="20"/>
                <w:szCs w:val="20"/>
              </w:rPr>
              <w:t xml:space="preserve">Communications, Energy &amp; Paperworkers’ Union of Canada, Local 298 </w:t>
            </w:r>
            <w:proofErr w:type="gramStart"/>
            <w:r w:rsidRPr="00504D08">
              <w:rPr>
                <w:b/>
                <w:sz w:val="20"/>
                <w:szCs w:val="20"/>
              </w:rPr>
              <w:t>et</w:t>
            </w:r>
            <w:proofErr w:type="gramEnd"/>
            <w:r w:rsidRPr="00504D08">
              <w:rPr>
                <w:b/>
                <w:sz w:val="20"/>
                <w:szCs w:val="20"/>
              </w:rPr>
              <w:t xml:space="preserve"> al.</w:t>
            </w:r>
          </w:p>
          <w:p w:rsidR="00504D08" w:rsidRPr="00504D08" w:rsidRDefault="00504D08" w:rsidP="00504D08">
            <w:pPr>
              <w:tabs>
                <w:tab w:val="left" w:pos="-1440"/>
                <w:tab w:val="left" w:pos="-720"/>
              </w:tabs>
              <w:rPr>
                <w:sz w:val="20"/>
                <w:szCs w:val="20"/>
              </w:rPr>
            </w:pPr>
            <w:r w:rsidRPr="00504D08">
              <w:rPr>
                <w:sz w:val="20"/>
                <w:szCs w:val="20"/>
              </w:rPr>
              <w:tab/>
            </w:r>
            <w:r>
              <w:rPr>
                <w:sz w:val="20"/>
                <w:szCs w:val="20"/>
              </w:rPr>
              <w:t>Daniel J. Rogers</w:t>
            </w:r>
          </w:p>
          <w:p w:rsidR="00504D08" w:rsidRPr="00504D08" w:rsidRDefault="00504D08" w:rsidP="00504D08">
            <w:pPr>
              <w:tabs>
                <w:tab w:val="left" w:pos="-1440"/>
                <w:tab w:val="left" w:pos="-720"/>
              </w:tabs>
              <w:rPr>
                <w:sz w:val="20"/>
                <w:szCs w:val="20"/>
              </w:rPr>
            </w:pPr>
            <w:r w:rsidRPr="00504D08">
              <w:rPr>
                <w:sz w:val="20"/>
                <w:szCs w:val="20"/>
              </w:rPr>
              <w:tab/>
            </w:r>
            <w:r>
              <w:rPr>
                <w:sz w:val="20"/>
                <w:szCs w:val="20"/>
              </w:rPr>
              <w:t>Rogers, Bobert &amp; Burton</w:t>
            </w:r>
            <w:r w:rsidR="00FC6B97">
              <w:rPr>
                <w:sz w:val="20"/>
                <w:szCs w:val="20"/>
              </w:rPr>
              <w:t>, Lawyers</w:t>
            </w:r>
          </w:p>
          <w:p w:rsidR="00504D08" w:rsidRPr="00504D08" w:rsidRDefault="00504D08" w:rsidP="00504D08">
            <w:pPr>
              <w:tabs>
                <w:tab w:val="left" w:pos="-1440"/>
                <w:tab w:val="left" w:pos="-720"/>
              </w:tabs>
              <w:rPr>
                <w:sz w:val="20"/>
                <w:szCs w:val="20"/>
              </w:rPr>
            </w:pPr>
          </w:p>
          <w:p w:rsidR="00504D08" w:rsidRPr="00A935AA" w:rsidRDefault="00504D08" w:rsidP="00504D08">
            <w:pPr>
              <w:tabs>
                <w:tab w:val="left" w:pos="-1440"/>
                <w:tab w:val="left" w:pos="-720"/>
              </w:tabs>
              <w:rPr>
                <w:sz w:val="20"/>
                <w:szCs w:val="20"/>
              </w:rPr>
            </w:pPr>
            <w:r w:rsidRPr="00504D08">
              <w:rPr>
                <w:sz w:val="20"/>
                <w:szCs w:val="20"/>
              </w:rPr>
              <w:tab/>
            </w:r>
            <w:r w:rsidRPr="00A935AA">
              <w:rPr>
                <w:sz w:val="20"/>
                <w:szCs w:val="20"/>
              </w:rPr>
              <w:t>v. (3</w:t>
            </w:r>
            <w:r>
              <w:rPr>
                <w:sz w:val="20"/>
                <w:szCs w:val="20"/>
              </w:rPr>
              <w:t>5029</w:t>
            </w:r>
            <w:r w:rsidRPr="00A935AA">
              <w:rPr>
                <w:sz w:val="20"/>
                <w:szCs w:val="20"/>
              </w:rPr>
              <w:t>)</w:t>
            </w:r>
          </w:p>
          <w:p w:rsidR="00504D08" w:rsidRPr="00A935AA" w:rsidRDefault="00504D08" w:rsidP="00504D08">
            <w:pPr>
              <w:tabs>
                <w:tab w:val="left" w:pos="-1440"/>
                <w:tab w:val="left" w:pos="-720"/>
              </w:tabs>
              <w:rPr>
                <w:sz w:val="20"/>
                <w:szCs w:val="20"/>
              </w:rPr>
            </w:pPr>
          </w:p>
          <w:p w:rsidR="00504D08" w:rsidRPr="00A935AA" w:rsidRDefault="00504D08" w:rsidP="00504D08">
            <w:pPr>
              <w:tabs>
                <w:tab w:val="left" w:pos="-1440"/>
                <w:tab w:val="left" w:pos="-720"/>
              </w:tabs>
              <w:rPr>
                <w:b/>
                <w:sz w:val="20"/>
                <w:szCs w:val="20"/>
              </w:rPr>
            </w:pPr>
            <w:r>
              <w:rPr>
                <w:b/>
                <w:sz w:val="20"/>
                <w:szCs w:val="20"/>
              </w:rPr>
              <w:t xml:space="preserve">Eurocan Pulp &amp; Paper Co. et al. </w:t>
            </w:r>
            <w:r w:rsidRPr="00A935AA">
              <w:rPr>
                <w:b/>
                <w:sz w:val="20"/>
                <w:szCs w:val="20"/>
              </w:rPr>
              <w:t>(</w:t>
            </w:r>
            <w:r>
              <w:rPr>
                <w:b/>
                <w:sz w:val="20"/>
                <w:szCs w:val="20"/>
              </w:rPr>
              <w:t>B.C</w:t>
            </w:r>
            <w:r w:rsidRPr="00A935AA">
              <w:rPr>
                <w:b/>
                <w:sz w:val="20"/>
                <w:szCs w:val="20"/>
              </w:rPr>
              <w:t>.)</w:t>
            </w:r>
          </w:p>
          <w:p w:rsidR="00504D08" w:rsidRPr="00A935AA" w:rsidRDefault="00504D08" w:rsidP="00504D08">
            <w:pPr>
              <w:tabs>
                <w:tab w:val="left" w:pos="-1440"/>
                <w:tab w:val="left" w:pos="-720"/>
              </w:tabs>
              <w:rPr>
                <w:sz w:val="20"/>
                <w:szCs w:val="20"/>
              </w:rPr>
            </w:pPr>
            <w:r w:rsidRPr="00A935AA">
              <w:rPr>
                <w:sz w:val="20"/>
                <w:szCs w:val="20"/>
              </w:rPr>
              <w:tab/>
            </w:r>
            <w:r>
              <w:rPr>
                <w:sz w:val="20"/>
                <w:szCs w:val="20"/>
              </w:rPr>
              <w:t>Donald J. Jordan, Q.C.</w:t>
            </w:r>
          </w:p>
          <w:p w:rsidR="00504D08" w:rsidRPr="00A935AA" w:rsidRDefault="00504D08" w:rsidP="00504D08">
            <w:pPr>
              <w:tabs>
                <w:tab w:val="left" w:pos="-1440"/>
                <w:tab w:val="left" w:pos="-720"/>
              </w:tabs>
              <w:rPr>
                <w:sz w:val="20"/>
                <w:szCs w:val="20"/>
              </w:rPr>
            </w:pPr>
            <w:r w:rsidRPr="00A935AA">
              <w:rPr>
                <w:sz w:val="20"/>
                <w:szCs w:val="20"/>
              </w:rPr>
              <w:tab/>
            </w:r>
            <w:r>
              <w:rPr>
                <w:sz w:val="20"/>
                <w:szCs w:val="20"/>
              </w:rPr>
              <w:t>Taylor Jordan Chafetz</w:t>
            </w:r>
          </w:p>
          <w:p w:rsidR="00504D08" w:rsidRPr="00A935AA" w:rsidRDefault="00504D08" w:rsidP="00504D08">
            <w:pPr>
              <w:tabs>
                <w:tab w:val="left" w:pos="-1440"/>
                <w:tab w:val="left" w:pos="-720"/>
              </w:tabs>
              <w:rPr>
                <w:sz w:val="20"/>
                <w:szCs w:val="20"/>
              </w:rPr>
            </w:pPr>
          </w:p>
          <w:p w:rsidR="00504D08" w:rsidRPr="00A935AA" w:rsidRDefault="00504D08" w:rsidP="00504D08">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w:t>
            </w:r>
            <w:r w:rsidRPr="00A935AA">
              <w:rPr>
                <w:sz w:val="20"/>
                <w:szCs w:val="20"/>
              </w:rPr>
              <w:t>0.201</w:t>
            </w:r>
            <w:r>
              <w:rPr>
                <w:sz w:val="20"/>
                <w:szCs w:val="20"/>
              </w:rPr>
              <w:t>2</w:t>
            </w:r>
          </w:p>
          <w:p w:rsidR="00504D08" w:rsidRPr="00A935AA" w:rsidRDefault="002048ED" w:rsidP="00504D08">
            <w:pPr>
              <w:rPr>
                <w:sz w:val="20"/>
                <w:szCs w:val="20"/>
              </w:rPr>
            </w:pPr>
            <w:r w:rsidRPr="002048ED">
              <w:rPr>
                <w:sz w:val="20"/>
                <w:szCs w:val="20"/>
                <w:lang w:val="fr-CA"/>
              </w:rPr>
              <w:pict>
                <v:rect id="_x0000_i1037" style="width:108pt;height:1pt" o:hrpct="0" o:hralign="center" o:hrstd="t" o:hrnoshade="t" o:hr="t" fillcolor="black [3213]" stroked="f"/>
              </w:pict>
            </w:r>
          </w:p>
        </w:tc>
        <w:tc>
          <w:tcPr>
            <w:tcW w:w="1181" w:type="dxa"/>
            <w:shd w:val="clear" w:color="auto" w:fill="auto"/>
          </w:tcPr>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Pr="00A935AA" w:rsidRDefault="00504D08" w:rsidP="00242AEE">
            <w:pPr>
              <w:jc w:val="center"/>
              <w:rPr>
                <w:sz w:val="20"/>
                <w:szCs w:val="20"/>
              </w:rPr>
            </w:pPr>
          </w:p>
        </w:tc>
        <w:tc>
          <w:tcPr>
            <w:tcW w:w="4320" w:type="dxa"/>
            <w:shd w:val="clear" w:color="auto" w:fill="auto"/>
          </w:tcPr>
          <w:p w:rsidR="00504D08" w:rsidRPr="00504D08" w:rsidRDefault="00504D08" w:rsidP="00504D08">
            <w:pPr>
              <w:rPr>
                <w:b/>
                <w:sz w:val="20"/>
                <w:szCs w:val="20"/>
              </w:rPr>
            </w:pPr>
          </w:p>
          <w:p w:rsidR="00504D08" w:rsidRPr="00504D08" w:rsidRDefault="00504D08" w:rsidP="00504D08">
            <w:pPr>
              <w:rPr>
                <w:b/>
                <w:sz w:val="20"/>
                <w:szCs w:val="20"/>
              </w:rPr>
            </w:pPr>
            <w:r>
              <w:rPr>
                <w:b/>
                <w:sz w:val="20"/>
                <w:szCs w:val="20"/>
              </w:rPr>
              <w:t>Seong Yun Ko</w:t>
            </w:r>
          </w:p>
          <w:p w:rsidR="00504D08" w:rsidRPr="00504D08" w:rsidRDefault="00504D08" w:rsidP="00504D08">
            <w:pPr>
              <w:tabs>
                <w:tab w:val="left" w:pos="-1440"/>
                <w:tab w:val="left" w:pos="-720"/>
              </w:tabs>
              <w:rPr>
                <w:sz w:val="20"/>
                <w:szCs w:val="20"/>
              </w:rPr>
            </w:pPr>
            <w:r w:rsidRPr="00504D08">
              <w:rPr>
                <w:sz w:val="20"/>
                <w:szCs w:val="20"/>
              </w:rPr>
              <w:tab/>
            </w:r>
            <w:r>
              <w:rPr>
                <w:sz w:val="20"/>
                <w:szCs w:val="20"/>
              </w:rPr>
              <w:t>Dan R. Peskett</w:t>
            </w:r>
          </w:p>
          <w:p w:rsidR="00504D08" w:rsidRPr="00504D08" w:rsidRDefault="00504D08" w:rsidP="00504D08">
            <w:pPr>
              <w:tabs>
                <w:tab w:val="left" w:pos="-1440"/>
                <w:tab w:val="left" w:pos="-720"/>
              </w:tabs>
              <w:rPr>
                <w:sz w:val="20"/>
                <w:szCs w:val="20"/>
              </w:rPr>
            </w:pPr>
            <w:r w:rsidRPr="00504D08">
              <w:rPr>
                <w:sz w:val="20"/>
                <w:szCs w:val="20"/>
              </w:rPr>
              <w:tab/>
            </w:r>
            <w:r>
              <w:rPr>
                <w:sz w:val="20"/>
                <w:szCs w:val="20"/>
              </w:rPr>
              <w:t>Brownlee LLP</w:t>
            </w:r>
          </w:p>
          <w:p w:rsidR="00504D08" w:rsidRPr="00504D08" w:rsidRDefault="00504D08" w:rsidP="00504D08">
            <w:pPr>
              <w:tabs>
                <w:tab w:val="left" w:pos="-1440"/>
                <w:tab w:val="left" w:pos="-720"/>
              </w:tabs>
              <w:rPr>
                <w:sz w:val="20"/>
                <w:szCs w:val="20"/>
              </w:rPr>
            </w:pPr>
          </w:p>
          <w:p w:rsidR="00504D08" w:rsidRPr="00A935AA" w:rsidRDefault="00504D08" w:rsidP="00504D08">
            <w:pPr>
              <w:tabs>
                <w:tab w:val="left" w:pos="-1440"/>
                <w:tab w:val="left" w:pos="-720"/>
              </w:tabs>
              <w:rPr>
                <w:sz w:val="20"/>
                <w:szCs w:val="20"/>
              </w:rPr>
            </w:pPr>
            <w:r w:rsidRPr="00504D08">
              <w:rPr>
                <w:sz w:val="20"/>
                <w:szCs w:val="20"/>
              </w:rPr>
              <w:tab/>
            </w:r>
            <w:r w:rsidRPr="00A935AA">
              <w:rPr>
                <w:sz w:val="20"/>
                <w:szCs w:val="20"/>
              </w:rPr>
              <w:t>v. (3</w:t>
            </w:r>
            <w:r>
              <w:rPr>
                <w:sz w:val="20"/>
                <w:szCs w:val="20"/>
              </w:rPr>
              <w:t>5040</w:t>
            </w:r>
            <w:r w:rsidRPr="00A935AA">
              <w:rPr>
                <w:sz w:val="20"/>
                <w:szCs w:val="20"/>
              </w:rPr>
              <w:t>)</w:t>
            </w:r>
          </w:p>
          <w:p w:rsidR="00504D08" w:rsidRPr="00A935AA" w:rsidRDefault="00504D08" w:rsidP="00504D08">
            <w:pPr>
              <w:tabs>
                <w:tab w:val="left" w:pos="-1440"/>
                <w:tab w:val="left" w:pos="-720"/>
              </w:tabs>
              <w:rPr>
                <w:sz w:val="20"/>
                <w:szCs w:val="20"/>
              </w:rPr>
            </w:pPr>
          </w:p>
          <w:p w:rsidR="00504D08" w:rsidRPr="00A935AA" w:rsidRDefault="00504D08" w:rsidP="00504D08">
            <w:pPr>
              <w:tabs>
                <w:tab w:val="left" w:pos="-1440"/>
                <w:tab w:val="left" w:pos="-720"/>
              </w:tabs>
              <w:rPr>
                <w:b/>
                <w:sz w:val="20"/>
                <w:szCs w:val="20"/>
              </w:rPr>
            </w:pPr>
            <w:r>
              <w:rPr>
                <w:b/>
                <w:sz w:val="20"/>
                <w:szCs w:val="20"/>
              </w:rPr>
              <w:t xml:space="preserve">Hillview Homes Ltd. </w:t>
            </w:r>
            <w:r w:rsidRPr="00A935AA">
              <w:rPr>
                <w:b/>
                <w:sz w:val="20"/>
                <w:szCs w:val="20"/>
              </w:rPr>
              <w:t>(</w:t>
            </w:r>
            <w:r>
              <w:rPr>
                <w:b/>
                <w:sz w:val="20"/>
                <w:szCs w:val="20"/>
              </w:rPr>
              <w:t>Alta</w:t>
            </w:r>
            <w:r w:rsidRPr="00A935AA">
              <w:rPr>
                <w:b/>
                <w:sz w:val="20"/>
                <w:szCs w:val="20"/>
              </w:rPr>
              <w:t>.)</w:t>
            </w:r>
          </w:p>
          <w:p w:rsidR="00504D08" w:rsidRPr="00A935AA" w:rsidRDefault="00504D08" w:rsidP="00504D08">
            <w:pPr>
              <w:tabs>
                <w:tab w:val="left" w:pos="-1440"/>
                <w:tab w:val="left" w:pos="-720"/>
              </w:tabs>
              <w:rPr>
                <w:sz w:val="20"/>
                <w:szCs w:val="20"/>
              </w:rPr>
            </w:pPr>
            <w:r w:rsidRPr="00A935AA">
              <w:rPr>
                <w:sz w:val="20"/>
                <w:szCs w:val="20"/>
              </w:rPr>
              <w:tab/>
            </w:r>
            <w:r>
              <w:rPr>
                <w:sz w:val="20"/>
                <w:szCs w:val="20"/>
              </w:rPr>
              <w:t>Rod J. Wasylyshyn</w:t>
            </w:r>
          </w:p>
          <w:p w:rsidR="00504D08" w:rsidRPr="00A935AA" w:rsidRDefault="00504D08" w:rsidP="00504D08">
            <w:pPr>
              <w:tabs>
                <w:tab w:val="left" w:pos="-1440"/>
                <w:tab w:val="left" w:pos="-720"/>
              </w:tabs>
              <w:rPr>
                <w:sz w:val="20"/>
                <w:szCs w:val="20"/>
              </w:rPr>
            </w:pPr>
            <w:r w:rsidRPr="00A935AA">
              <w:rPr>
                <w:sz w:val="20"/>
                <w:szCs w:val="20"/>
              </w:rPr>
              <w:tab/>
            </w:r>
            <w:r>
              <w:rPr>
                <w:sz w:val="20"/>
                <w:szCs w:val="20"/>
              </w:rPr>
              <w:t>Ogilvie LLP</w:t>
            </w:r>
          </w:p>
          <w:p w:rsidR="00504D08" w:rsidRPr="00A935AA" w:rsidRDefault="00504D08" w:rsidP="00504D08">
            <w:pPr>
              <w:tabs>
                <w:tab w:val="left" w:pos="-1440"/>
                <w:tab w:val="left" w:pos="-720"/>
              </w:tabs>
              <w:rPr>
                <w:sz w:val="20"/>
                <w:szCs w:val="20"/>
              </w:rPr>
            </w:pPr>
          </w:p>
          <w:p w:rsidR="00504D08" w:rsidRPr="00A935AA" w:rsidRDefault="00504D08" w:rsidP="00504D08">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w:t>
            </w:r>
            <w:r w:rsidRPr="00A935AA">
              <w:rPr>
                <w:sz w:val="20"/>
                <w:szCs w:val="20"/>
              </w:rPr>
              <w:t>0.201</w:t>
            </w:r>
            <w:r>
              <w:rPr>
                <w:sz w:val="20"/>
                <w:szCs w:val="20"/>
              </w:rPr>
              <w:t>2</w:t>
            </w:r>
          </w:p>
          <w:p w:rsidR="00504D08" w:rsidRPr="00A935AA" w:rsidRDefault="002048ED" w:rsidP="00504D08">
            <w:pPr>
              <w:rPr>
                <w:sz w:val="20"/>
                <w:szCs w:val="20"/>
              </w:rPr>
            </w:pPr>
            <w:r w:rsidRPr="002048ED">
              <w:rPr>
                <w:sz w:val="20"/>
                <w:szCs w:val="20"/>
                <w:lang w:val="fr-CA"/>
              </w:rPr>
              <w:pict>
                <v:rect id="_x0000_i1038" style="width:108pt;height:1pt" o:hrpct="0" o:hralign="center" o:hrstd="t" o:hrnoshade="t" o:hr="t" fillcolor="black [3213]" stroked="f"/>
              </w:pict>
            </w:r>
          </w:p>
        </w:tc>
      </w:tr>
      <w:tr w:rsidR="00504D08" w:rsidRPr="00CF6C0F" w:rsidTr="003B3977">
        <w:trPr>
          <w:cantSplit/>
        </w:trPr>
        <w:tc>
          <w:tcPr>
            <w:tcW w:w="4320" w:type="dxa"/>
            <w:shd w:val="clear" w:color="auto" w:fill="auto"/>
          </w:tcPr>
          <w:p w:rsidR="00504D08" w:rsidRPr="00504D08" w:rsidRDefault="00504D08" w:rsidP="00504D08">
            <w:pPr>
              <w:rPr>
                <w:b/>
                <w:sz w:val="20"/>
                <w:szCs w:val="20"/>
                <w:lang w:val="fr-CA"/>
              </w:rPr>
            </w:pPr>
            <w:r w:rsidRPr="00504D08">
              <w:rPr>
                <w:b/>
                <w:sz w:val="20"/>
                <w:szCs w:val="20"/>
                <w:lang w:val="fr-CA"/>
              </w:rPr>
              <w:t>Robert Allan Rudderham et al.</w:t>
            </w:r>
          </w:p>
          <w:p w:rsidR="00504D08" w:rsidRPr="00504D08" w:rsidRDefault="00504D08" w:rsidP="00504D08">
            <w:pPr>
              <w:tabs>
                <w:tab w:val="left" w:pos="-1440"/>
                <w:tab w:val="left" w:pos="-720"/>
              </w:tabs>
              <w:rPr>
                <w:sz w:val="20"/>
                <w:szCs w:val="20"/>
              </w:rPr>
            </w:pPr>
            <w:r w:rsidRPr="00504D08">
              <w:rPr>
                <w:sz w:val="20"/>
                <w:szCs w:val="20"/>
                <w:lang w:val="fr-CA"/>
              </w:rPr>
              <w:tab/>
            </w:r>
            <w:r w:rsidRPr="00504D08">
              <w:rPr>
                <w:sz w:val="20"/>
                <w:szCs w:val="20"/>
              </w:rPr>
              <w:t>Kevin Doan</w:t>
            </w:r>
          </w:p>
          <w:p w:rsidR="00504D08" w:rsidRPr="00504D08" w:rsidRDefault="00504D08" w:rsidP="00504D08">
            <w:pPr>
              <w:tabs>
                <w:tab w:val="left" w:pos="-1440"/>
                <w:tab w:val="left" w:pos="-720"/>
              </w:tabs>
              <w:rPr>
                <w:sz w:val="20"/>
                <w:szCs w:val="20"/>
              </w:rPr>
            </w:pPr>
            <w:r w:rsidRPr="00504D08">
              <w:rPr>
                <w:sz w:val="20"/>
                <w:szCs w:val="20"/>
              </w:rPr>
              <w:tab/>
              <w:t>Carranza LLP</w:t>
            </w:r>
          </w:p>
          <w:p w:rsidR="00504D08" w:rsidRPr="00504D08" w:rsidRDefault="00504D08" w:rsidP="00504D08">
            <w:pPr>
              <w:tabs>
                <w:tab w:val="left" w:pos="-1440"/>
                <w:tab w:val="left" w:pos="-720"/>
              </w:tabs>
              <w:rPr>
                <w:sz w:val="20"/>
                <w:szCs w:val="20"/>
              </w:rPr>
            </w:pPr>
          </w:p>
          <w:p w:rsidR="00504D08" w:rsidRPr="00A935AA" w:rsidRDefault="00504D08" w:rsidP="00504D08">
            <w:pPr>
              <w:tabs>
                <w:tab w:val="left" w:pos="-1440"/>
                <w:tab w:val="left" w:pos="-720"/>
              </w:tabs>
              <w:rPr>
                <w:sz w:val="20"/>
                <w:szCs w:val="20"/>
              </w:rPr>
            </w:pPr>
            <w:r w:rsidRPr="00504D08">
              <w:rPr>
                <w:sz w:val="20"/>
                <w:szCs w:val="20"/>
              </w:rPr>
              <w:tab/>
            </w:r>
            <w:r w:rsidRPr="00A935AA">
              <w:rPr>
                <w:sz w:val="20"/>
                <w:szCs w:val="20"/>
              </w:rPr>
              <w:t>v. (3</w:t>
            </w:r>
            <w:r>
              <w:rPr>
                <w:sz w:val="20"/>
                <w:szCs w:val="20"/>
              </w:rPr>
              <w:t>5041</w:t>
            </w:r>
            <w:r w:rsidRPr="00A935AA">
              <w:rPr>
                <w:sz w:val="20"/>
                <w:szCs w:val="20"/>
              </w:rPr>
              <w:t>)</w:t>
            </w:r>
          </w:p>
          <w:p w:rsidR="00504D08" w:rsidRPr="00A935AA" w:rsidRDefault="00504D08" w:rsidP="00504D08">
            <w:pPr>
              <w:tabs>
                <w:tab w:val="left" w:pos="-1440"/>
                <w:tab w:val="left" w:pos="-720"/>
              </w:tabs>
              <w:rPr>
                <w:sz w:val="20"/>
                <w:szCs w:val="20"/>
              </w:rPr>
            </w:pPr>
          </w:p>
          <w:p w:rsidR="00504D08" w:rsidRPr="00A935AA" w:rsidRDefault="00504D08" w:rsidP="00504D08">
            <w:pPr>
              <w:tabs>
                <w:tab w:val="left" w:pos="-1440"/>
                <w:tab w:val="left" w:pos="-720"/>
              </w:tabs>
              <w:rPr>
                <w:b/>
                <w:sz w:val="20"/>
                <w:szCs w:val="20"/>
              </w:rPr>
            </w:pPr>
            <w:r>
              <w:rPr>
                <w:b/>
                <w:sz w:val="20"/>
                <w:szCs w:val="20"/>
              </w:rPr>
              <w:t xml:space="preserve">1707508 Ontario Limited c.o.b. as TJ’s Grill &amp; Bar </w:t>
            </w:r>
            <w:r w:rsidRPr="00A935AA">
              <w:rPr>
                <w:b/>
                <w:sz w:val="20"/>
                <w:szCs w:val="20"/>
              </w:rPr>
              <w:t>(</w:t>
            </w:r>
            <w:r>
              <w:rPr>
                <w:b/>
                <w:sz w:val="20"/>
                <w:szCs w:val="20"/>
              </w:rPr>
              <w:t>Ont</w:t>
            </w:r>
            <w:r w:rsidRPr="00A935AA">
              <w:rPr>
                <w:b/>
                <w:sz w:val="20"/>
                <w:szCs w:val="20"/>
              </w:rPr>
              <w:t>.)</w:t>
            </w:r>
          </w:p>
          <w:p w:rsidR="00504D08" w:rsidRPr="00A935AA" w:rsidRDefault="00504D08" w:rsidP="00504D08">
            <w:pPr>
              <w:tabs>
                <w:tab w:val="left" w:pos="-1440"/>
                <w:tab w:val="left" w:pos="-720"/>
              </w:tabs>
              <w:rPr>
                <w:sz w:val="20"/>
                <w:szCs w:val="20"/>
              </w:rPr>
            </w:pPr>
            <w:r w:rsidRPr="00A935AA">
              <w:rPr>
                <w:sz w:val="20"/>
                <w:szCs w:val="20"/>
              </w:rPr>
              <w:tab/>
            </w:r>
            <w:r>
              <w:rPr>
                <w:sz w:val="20"/>
                <w:szCs w:val="20"/>
              </w:rPr>
              <w:t>Douglas O. Smith</w:t>
            </w:r>
          </w:p>
          <w:p w:rsidR="00504D08" w:rsidRPr="00A935AA" w:rsidRDefault="00504D08" w:rsidP="00504D08">
            <w:pPr>
              <w:tabs>
                <w:tab w:val="left" w:pos="-1440"/>
                <w:tab w:val="left" w:pos="-720"/>
              </w:tabs>
              <w:rPr>
                <w:sz w:val="20"/>
                <w:szCs w:val="20"/>
              </w:rPr>
            </w:pPr>
            <w:r w:rsidRPr="00A935AA">
              <w:rPr>
                <w:sz w:val="20"/>
                <w:szCs w:val="20"/>
              </w:rPr>
              <w:tab/>
            </w:r>
            <w:r>
              <w:rPr>
                <w:sz w:val="20"/>
                <w:szCs w:val="20"/>
              </w:rPr>
              <w:t>Borden Ladner Gervais LLP</w:t>
            </w:r>
          </w:p>
          <w:p w:rsidR="00504D08" w:rsidRPr="00A935AA" w:rsidRDefault="00504D08" w:rsidP="00504D08">
            <w:pPr>
              <w:tabs>
                <w:tab w:val="left" w:pos="-1440"/>
                <w:tab w:val="left" w:pos="-720"/>
              </w:tabs>
              <w:rPr>
                <w:sz w:val="20"/>
                <w:szCs w:val="20"/>
              </w:rPr>
            </w:pPr>
          </w:p>
          <w:p w:rsidR="00504D08" w:rsidRPr="00A935AA" w:rsidRDefault="00504D08" w:rsidP="00504D08">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w:t>
            </w:r>
            <w:r w:rsidRPr="00A935AA">
              <w:rPr>
                <w:sz w:val="20"/>
                <w:szCs w:val="20"/>
              </w:rPr>
              <w:t>0.201</w:t>
            </w:r>
            <w:r>
              <w:rPr>
                <w:sz w:val="20"/>
                <w:szCs w:val="20"/>
              </w:rPr>
              <w:t>2</w:t>
            </w:r>
          </w:p>
          <w:p w:rsidR="00504D08" w:rsidRPr="00A935AA" w:rsidRDefault="002048ED" w:rsidP="00504D08">
            <w:pPr>
              <w:rPr>
                <w:sz w:val="20"/>
                <w:szCs w:val="20"/>
              </w:rPr>
            </w:pPr>
            <w:r w:rsidRPr="002048ED">
              <w:rPr>
                <w:sz w:val="20"/>
                <w:szCs w:val="20"/>
                <w:lang w:val="fr-CA"/>
              </w:rPr>
              <w:pict>
                <v:rect id="_x0000_i1039" style="width:108pt;height:1pt" o:hrpct="0" o:hralign="center" o:hrstd="t" o:hrnoshade="t" o:hr="t" fillcolor="black [3213]" stroked="f"/>
              </w:pict>
            </w:r>
          </w:p>
        </w:tc>
        <w:tc>
          <w:tcPr>
            <w:tcW w:w="1181" w:type="dxa"/>
            <w:shd w:val="clear" w:color="auto" w:fill="auto"/>
          </w:tcPr>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Default="00504D08" w:rsidP="00242AEE">
            <w:pPr>
              <w:jc w:val="center"/>
              <w:rPr>
                <w:sz w:val="20"/>
                <w:szCs w:val="20"/>
              </w:rPr>
            </w:pPr>
          </w:p>
          <w:p w:rsidR="00504D08" w:rsidRPr="00A935AA" w:rsidRDefault="00504D08" w:rsidP="00242AEE">
            <w:pPr>
              <w:jc w:val="center"/>
              <w:rPr>
                <w:sz w:val="20"/>
                <w:szCs w:val="20"/>
              </w:rPr>
            </w:pPr>
          </w:p>
        </w:tc>
        <w:tc>
          <w:tcPr>
            <w:tcW w:w="4320" w:type="dxa"/>
            <w:shd w:val="clear" w:color="auto" w:fill="auto"/>
          </w:tcPr>
          <w:p w:rsidR="00504D08" w:rsidRPr="00504D08" w:rsidRDefault="00504D08" w:rsidP="00504D08">
            <w:pPr>
              <w:rPr>
                <w:b/>
                <w:sz w:val="20"/>
                <w:szCs w:val="20"/>
                <w:lang w:val="fr-CA"/>
              </w:rPr>
            </w:pPr>
            <w:r w:rsidRPr="00504D08">
              <w:rPr>
                <w:b/>
                <w:sz w:val="20"/>
                <w:szCs w:val="20"/>
                <w:lang w:val="fr-CA"/>
              </w:rPr>
              <w:t>Ville de Dorval et autre</w:t>
            </w:r>
          </w:p>
          <w:p w:rsidR="00504D08" w:rsidRPr="00504D08" w:rsidRDefault="00504D08" w:rsidP="00504D08">
            <w:pPr>
              <w:tabs>
                <w:tab w:val="left" w:pos="-1440"/>
                <w:tab w:val="left" w:pos="-720"/>
              </w:tabs>
              <w:rPr>
                <w:sz w:val="20"/>
                <w:szCs w:val="20"/>
                <w:lang w:val="fr-CA"/>
              </w:rPr>
            </w:pPr>
            <w:r w:rsidRPr="00504D08">
              <w:rPr>
                <w:sz w:val="20"/>
                <w:szCs w:val="20"/>
                <w:lang w:val="fr-CA"/>
              </w:rPr>
              <w:tab/>
              <w:t>Marc-André LeChasseur</w:t>
            </w:r>
          </w:p>
          <w:p w:rsidR="00504D08" w:rsidRPr="00504D08" w:rsidRDefault="00504D08" w:rsidP="00504D08">
            <w:pPr>
              <w:tabs>
                <w:tab w:val="left" w:pos="-1440"/>
                <w:tab w:val="left" w:pos="-720"/>
              </w:tabs>
              <w:rPr>
                <w:sz w:val="20"/>
                <w:szCs w:val="20"/>
                <w:lang w:val="fr-CA"/>
              </w:rPr>
            </w:pPr>
            <w:r w:rsidRPr="00504D08">
              <w:rPr>
                <w:sz w:val="20"/>
                <w:szCs w:val="20"/>
                <w:lang w:val="fr-CA"/>
              </w:rPr>
              <w:tab/>
            </w:r>
            <w:r>
              <w:rPr>
                <w:sz w:val="20"/>
                <w:szCs w:val="20"/>
                <w:lang w:val="fr-CA"/>
              </w:rPr>
              <w:t>LeChasseur</w:t>
            </w:r>
            <w:r w:rsidR="00AE7E7C">
              <w:rPr>
                <w:sz w:val="20"/>
                <w:szCs w:val="20"/>
                <w:lang w:val="fr-CA"/>
              </w:rPr>
              <w:t xml:space="preserve"> A</w:t>
            </w:r>
            <w:r>
              <w:rPr>
                <w:sz w:val="20"/>
                <w:szCs w:val="20"/>
                <w:lang w:val="fr-CA"/>
              </w:rPr>
              <w:t>vocats ltée</w:t>
            </w:r>
          </w:p>
          <w:p w:rsidR="00504D08" w:rsidRPr="00504D08" w:rsidRDefault="00504D08" w:rsidP="00504D08">
            <w:pPr>
              <w:tabs>
                <w:tab w:val="left" w:pos="-1440"/>
                <w:tab w:val="left" w:pos="-720"/>
              </w:tabs>
              <w:rPr>
                <w:sz w:val="20"/>
                <w:szCs w:val="20"/>
                <w:lang w:val="fr-CA"/>
              </w:rPr>
            </w:pPr>
          </w:p>
          <w:p w:rsidR="00504D08" w:rsidRPr="00504D08" w:rsidRDefault="00504D08" w:rsidP="00504D08">
            <w:pPr>
              <w:tabs>
                <w:tab w:val="left" w:pos="-1440"/>
                <w:tab w:val="left" w:pos="-720"/>
              </w:tabs>
              <w:rPr>
                <w:sz w:val="20"/>
                <w:szCs w:val="20"/>
                <w:lang w:val="fr-CA"/>
              </w:rPr>
            </w:pPr>
            <w:r w:rsidRPr="00504D08">
              <w:rPr>
                <w:sz w:val="20"/>
                <w:szCs w:val="20"/>
                <w:lang w:val="fr-CA"/>
              </w:rPr>
              <w:tab/>
            </w:r>
            <w:r>
              <w:rPr>
                <w:sz w:val="20"/>
                <w:szCs w:val="20"/>
                <w:lang w:val="fr-CA"/>
              </w:rPr>
              <w:t>c</w:t>
            </w:r>
            <w:r w:rsidRPr="00504D08">
              <w:rPr>
                <w:sz w:val="20"/>
                <w:szCs w:val="20"/>
                <w:lang w:val="fr-CA"/>
              </w:rPr>
              <w:t>. (35044)</w:t>
            </w:r>
          </w:p>
          <w:p w:rsidR="00504D08" w:rsidRPr="00504D08" w:rsidRDefault="00504D08" w:rsidP="00504D08">
            <w:pPr>
              <w:tabs>
                <w:tab w:val="left" w:pos="-1440"/>
                <w:tab w:val="left" w:pos="-720"/>
              </w:tabs>
              <w:rPr>
                <w:sz w:val="20"/>
                <w:szCs w:val="20"/>
                <w:lang w:val="fr-CA"/>
              </w:rPr>
            </w:pPr>
          </w:p>
          <w:p w:rsidR="00504D08" w:rsidRPr="00504D08" w:rsidRDefault="00504D08" w:rsidP="00504D08">
            <w:pPr>
              <w:tabs>
                <w:tab w:val="left" w:pos="-1440"/>
                <w:tab w:val="left" w:pos="-720"/>
              </w:tabs>
              <w:rPr>
                <w:b/>
                <w:sz w:val="20"/>
                <w:szCs w:val="20"/>
                <w:lang w:val="fr-CA"/>
              </w:rPr>
            </w:pPr>
            <w:r w:rsidRPr="00504D08">
              <w:rPr>
                <w:b/>
                <w:sz w:val="20"/>
                <w:szCs w:val="20"/>
                <w:lang w:val="fr-CA"/>
              </w:rPr>
              <w:t>Les centres de la jeunesse et de la famille Batshaw (Qc)</w:t>
            </w:r>
          </w:p>
          <w:p w:rsidR="00504D08" w:rsidRPr="00504D08" w:rsidRDefault="00504D08" w:rsidP="00504D08">
            <w:pPr>
              <w:tabs>
                <w:tab w:val="left" w:pos="-1440"/>
                <w:tab w:val="left" w:pos="-720"/>
              </w:tabs>
              <w:rPr>
                <w:sz w:val="20"/>
                <w:szCs w:val="20"/>
                <w:lang w:val="fr-CA"/>
              </w:rPr>
            </w:pPr>
            <w:r w:rsidRPr="00504D08">
              <w:rPr>
                <w:sz w:val="20"/>
                <w:szCs w:val="20"/>
                <w:lang w:val="fr-CA"/>
              </w:rPr>
              <w:tab/>
            </w:r>
            <w:r>
              <w:rPr>
                <w:sz w:val="20"/>
                <w:szCs w:val="20"/>
                <w:lang w:val="fr-CA"/>
              </w:rPr>
              <w:t>Louis Beauregard</w:t>
            </w:r>
          </w:p>
          <w:p w:rsidR="00504D08" w:rsidRPr="00504D08" w:rsidRDefault="00504D08" w:rsidP="00504D08">
            <w:pPr>
              <w:tabs>
                <w:tab w:val="left" w:pos="-1440"/>
                <w:tab w:val="left" w:pos="-720"/>
              </w:tabs>
              <w:rPr>
                <w:sz w:val="20"/>
                <w:szCs w:val="20"/>
                <w:lang w:val="fr-CA"/>
              </w:rPr>
            </w:pPr>
            <w:r w:rsidRPr="00504D08">
              <w:rPr>
                <w:sz w:val="20"/>
                <w:szCs w:val="20"/>
                <w:lang w:val="fr-CA"/>
              </w:rPr>
              <w:tab/>
            </w:r>
            <w:r w:rsidR="00AE7E7C">
              <w:rPr>
                <w:sz w:val="20"/>
                <w:szCs w:val="20"/>
                <w:lang w:val="fr-CA"/>
              </w:rPr>
              <w:t>Beauregard Avocats s.e.n.c.r.l.</w:t>
            </w:r>
          </w:p>
          <w:p w:rsidR="00504D08" w:rsidRPr="00504D08" w:rsidRDefault="00504D08" w:rsidP="00504D08">
            <w:pPr>
              <w:tabs>
                <w:tab w:val="left" w:pos="-1440"/>
                <w:tab w:val="left" w:pos="-720"/>
              </w:tabs>
              <w:rPr>
                <w:sz w:val="20"/>
                <w:szCs w:val="20"/>
                <w:lang w:val="fr-CA"/>
              </w:rPr>
            </w:pPr>
          </w:p>
          <w:p w:rsidR="00504D08" w:rsidRPr="00A935AA" w:rsidRDefault="00504D08" w:rsidP="00504D08">
            <w:pPr>
              <w:rPr>
                <w:sz w:val="20"/>
                <w:szCs w:val="20"/>
              </w:rPr>
            </w:pPr>
            <w:r w:rsidRPr="00A935AA">
              <w:rPr>
                <w:sz w:val="20"/>
                <w:szCs w:val="20"/>
              </w:rPr>
              <w:t>DATE</w:t>
            </w:r>
            <w:r>
              <w:rPr>
                <w:sz w:val="20"/>
                <w:szCs w:val="20"/>
              </w:rPr>
              <w:t xml:space="preserve"> DE PRODUCT</w:t>
            </w:r>
            <w:r w:rsidR="00AE7E7C">
              <w:rPr>
                <w:sz w:val="20"/>
                <w:szCs w:val="20"/>
              </w:rPr>
              <w:t>I</w:t>
            </w:r>
            <w:r>
              <w:rPr>
                <w:sz w:val="20"/>
                <w:szCs w:val="20"/>
              </w:rPr>
              <w:t xml:space="preserve">ON </w:t>
            </w:r>
            <w:r w:rsidRPr="00A935AA">
              <w:rPr>
                <w:sz w:val="20"/>
                <w:szCs w:val="20"/>
              </w:rPr>
              <w:t xml:space="preserve">: </w:t>
            </w:r>
            <w:r>
              <w:rPr>
                <w:sz w:val="20"/>
                <w:szCs w:val="20"/>
              </w:rPr>
              <w:t>19</w:t>
            </w:r>
            <w:r w:rsidRPr="00A935AA">
              <w:rPr>
                <w:sz w:val="20"/>
                <w:szCs w:val="20"/>
              </w:rPr>
              <w:t>.</w:t>
            </w:r>
            <w:r>
              <w:rPr>
                <w:sz w:val="20"/>
                <w:szCs w:val="20"/>
              </w:rPr>
              <w:t>1</w:t>
            </w:r>
            <w:r w:rsidRPr="00A935AA">
              <w:rPr>
                <w:sz w:val="20"/>
                <w:szCs w:val="20"/>
              </w:rPr>
              <w:t>0.201</w:t>
            </w:r>
            <w:r>
              <w:rPr>
                <w:sz w:val="20"/>
                <w:szCs w:val="20"/>
              </w:rPr>
              <w:t>2</w:t>
            </w:r>
          </w:p>
          <w:p w:rsidR="00504D08" w:rsidRPr="00A935AA" w:rsidRDefault="002048ED" w:rsidP="00504D08">
            <w:pPr>
              <w:rPr>
                <w:sz w:val="20"/>
                <w:szCs w:val="20"/>
              </w:rPr>
            </w:pPr>
            <w:r w:rsidRPr="002048ED">
              <w:rPr>
                <w:sz w:val="20"/>
                <w:szCs w:val="20"/>
                <w:lang w:val="fr-CA"/>
              </w:rPr>
              <w:pict>
                <v:rect id="_x0000_i1040" style="width:108pt;height:1pt" o:hrpct="0" o:hralign="center" o:hrstd="t" o:hrnoshade="t" o:hr="t" fillcolor="black [3213]" stroked="f"/>
              </w:pict>
            </w:r>
          </w:p>
        </w:tc>
      </w:tr>
    </w:tbl>
    <w:p w:rsidR="006C3F47" w:rsidRPr="00CF6C0F" w:rsidRDefault="006C3F47" w:rsidP="0095096B">
      <w:pPr>
        <w:tabs>
          <w:tab w:val="right" w:pos="9360"/>
        </w:tabs>
        <w:rPr>
          <w:sz w:val="20"/>
          <w:szCs w:val="20"/>
        </w:rPr>
      </w:pPr>
    </w:p>
    <w:p w:rsidR="00242AEE" w:rsidRPr="00CF6C0F" w:rsidRDefault="00242AEE" w:rsidP="0095096B">
      <w:pPr>
        <w:tabs>
          <w:tab w:val="right" w:pos="9360"/>
        </w:tabs>
        <w:rPr>
          <w:sz w:val="20"/>
          <w:szCs w:val="20"/>
        </w:rPr>
      </w:pPr>
    </w:p>
    <w:p w:rsidR="00242AEE" w:rsidRPr="00CF6C0F" w:rsidRDefault="00242AEE" w:rsidP="0095096B">
      <w:pPr>
        <w:tabs>
          <w:tab w:val="right" w:pos="9360"/>
        </w:tabs>
        <w:rPr>
          <w:sz w:val="20"/>
          <w:szCs w:val="20"/>
        </w:rPr>
        <w:sectPr w:rsidR="00242AEE" w:rsidRPr="00CF6C0F" w:rsidSect="009B1989">
          <w:headerReference w:type="default" r:id="rId17"/>
          <w:footerReference w:type="default" r:id="rId18"/>
          <w:headerReference w:type="first" r:id="rId19"/>
          <w:footerReference w:type="first" r:id="rId20"/>
          <w:pgSz w:w="12240" w:h="15840"/>
          <w:pgMar w:top="720" w:right="965" w:bottom="1080" w:left="1656" w:header="706" w:footer="706" w:gutter="0"/>
          <w:pgNumType w:start="161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571F9" w:rsidTr="00BA6468">
        <w:trPr>
          <w:trHeight w:val="900"/>
        </w:trPr>
        <w:tc>
          <w:tcPr>
            <w:tcW w:w="4200" w:type="dxa"/>
            <w:tcMar>
              <w:left w:w="0" w:type="dxa"/>
              <w:right w:w="0" w:type="dxa"/>
            </w:tcMar>
          </w:tcPr>
          <w:p w:rsidR="002E2327" w:rsidRPr="00CF6C0F" w:rsidRDefault="002E2327" w:rsidP="002E2327">
            <w:pPr>
              <w:keepNext/>
              <w:keepLines/>
              <w:widowControl w:val="0"/>
              <w:rPr>
                <w:b/>
                <w:szCs w:val="24"/>
              </w:rPr>
            </w:pPr>
            <w:r w:rsidRPr="00CF6C0F">
              <w:rPr>
                <w:b/>
                <w:szCs w:val="24"/>
              </w:rPr>
              <w:t>APPLICATIONS FOR LEAVE SUBMITTED TO COURT SINCE LAST ISSUE</w:t>
            </w:r>
          </w:p>
        </w:tc>
        <w:tc>
          <w:tcPr>
            <w:tcW w:w="1200" w:type="dxa"/>
            <w:tcMar>
              <w:left w:w="0" w:type="dxa"/>
              <w:right w:w="0" w:type="dxa"/>
            </w:tcMar>
          </w:tcPr>
          <w:p w:rsidR="002E2327" w:rsidRPr="00CF6C0F" w:rsidRDefault="002E2327" w:rsidP="002E2327">
            <w:pPr>
              <w:keepNext/>
              <w:keepLines/>
              <w:widowControl w:val="0"/>
              <w:jc w:val="center"/>
              <w:rPr>
                <w:b/>
                <w:szCs w:val="24"/>
              </w:rPr>
            </w:pPr>
          </w:p>
          <w:p w:rsidR="001D0D5F" w:rsidRPr="00CF6C0F" w:rsidRDefault="001D0D5F" w:rsidP="002E2327">
            <w:pPr>
              <w:keepNext/>
              <w:keepLines/>
              <w:widowControl w:val="0"/>
              <w:jc w:val="center"/>
              <w:rPr>
                <w:b/>
                <w:szCs w:val="24"/>
              </w:rPr>
            </w:pPr>
          </w:p>
          <w:p w:rsidR="001D0D5F" w:rsidRPr="00CF6C0F" w:rsidRDefault="001D0D5F" w:rsidP="002E2327">
            <w:pPr>
              <w:keepNext/>
              <w:keepLines/>
              <w:widowControl w:val="0"/>
              <w:jc w:val="center"/>
              <w:rPr>
                <w:b/>
                <w:szCs w:val="24"/>
              </w:rPr>
            </w:pPr>
          </w:p>
          <w:p w:rsidR="001D0D5F" w:rsidRPr="00CF6C0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B52DF7">
              <w:rPr>
                <w:b/>
                <w:szCs w:val="24"/>
                <w:lang w:val="fr-CA"/>
              </w:rPr>
              <w:t>DEMANDES SOUMISES À LA COUR DEPUIS LA DERNIÈRE PAR</w:t>
            </w:r>
            <w:r w:rsidRPr="001D0D5F">
              <w:rPr>
                <w:b/>
                <w:szCs w:val="24"/>
                <w:lang w:val="fr-CA"/>
              </w:rPr>
              <w:t>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O</w:t>
      </w:r>
      <w:r w:rsidR="004A7E84">
        <w:rPr>
          <w:b/>
          <w:sz w:val="20"/>
          <w:szCs w:val="20"/>
        </w:rPr>
        <w:t>CTO</w:t>
      </w:r>
      <w:r>
        <w:rPr>
          <w:b/>
          <w:sz w:val="20"/>
          <w:szCs w:val="20"/>
        </w:rPr>
        <w:t>BER</w:t>
      </w:r>
      <w:r w:rsidRPr="00C50A5C">
        <w:rPr>
          <w:b/>
          <w:sz w:val="20"/>
          <w:szCs w:val="20"/>
        </w:rPr>
        <w:t xml:space="preserve"> </w:t>
      </w:r>
      <w:r w:rsidR="004A7E84">
        <w:rPr>
          <w:b/>
          <w:sz w:val="20"/>
          <w:szCs w:val="20"/>
        </w:rPr>
        <w:t>29</w:t>
      </w:r>
      <w:r w:rsidRPr="00C50A5C">
        <w:rPr>
          <w:b/>
          <w:sz w:val="20"/>
          <w:szCs w:val="20"/>
        </w:rPr>
        <w:t>, 201</w:t>
      </w:r>
      <w:r w:rsidR="004A7E84">
        <w:rPr>
          <w:b/>
          <w:sz w:val="20"/>
          <w:szCs w:val="20"/>
        </w:rPr>
        <w:t>2</w:t>
      </w:r>
      <w:r w:rsidRPr="00C50A5C">
        <w:rPr>
          <w:b/>
          <w:sz w:val="20"/>
          <w:szCs w:val="20"/>
        </w:rPr>
        <w:t xml:space="preserve"> / LE </w:t>
      </w:r>
      <w:r w:rsidR="004A7E84">
        <w:rPr>
          <w:b/>
          <w:sz w:val="20"/>
          <w:szCs w:val="20"/>
        </w:rPr>
        <w:t xml:space="preserve">29 </w:t>
      </w:r>
      <w:r>
        <w:rPr>
          <w:b/>
          <w:sz w:val="20"/>
          <w:szCs w:val="20"/>
        </w:rPr>
        <w:t>O</w:t>
      </w:r>
      <w:r w:rsidR="004A7E84">
        <w:rPr>
          <w:b/>
          <w:sz w:val="20"/>
          <w:szCs w:val="20"/>
        </w:rPr>
        <w:t>CTO</w:t>
      </w:r>
      <w:r>
        <w:rPr>
          <w:b/>
          <w:sz w:val="20"/>
          <w:szCs w:val="20"/>
        </w:rPr>
        <w:t>BRE</w:t>
      </w:r>
      <w:r w:rsidRPr="00C50A5C">
        <w:rPr>
          <w:b/>
          <w:sz w:val="20"/>
          <w:szCs w:val="20"/>
        </w:rPr>
        <w:t xml:space="preserve"> 201</w:t>
      </w:r>
      <w:r w:rsidR="004A7E84">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4A5CFA">
        <w:rPr>
          <w:b/>
          <w:sz w:val="20"/>
          <w:szCs w:val="20"/>
        </w:rPr>
        <w:t>Abella</w:t>
      </w:r>
      <w:r w:rsidRPr="00C50A5C">
        <w:rPr>
          <w:b/>
          <w:sz w:val="20"/>
          <w:szCs w:val="20"/>
        </w:rPr>
        <w:t xml:space="preserve"> and </w:t>
      </w:r>
      <w:r w:rsidR="004A5CFA">
        <w:rPr>
          <w:b/>
          <w:sz w:val="20"/>
          <w:szCs w:val="20"/>
        </w:rPr>
        <w:t>Cromw</w:t>
      </w:r>
      <w:r>
        <w:rPr>
          <w:b/>
          <w:sz w:val="20"/>
          <w:szCs w:val="20"/>
        </w:rPr>
        <w:t>e</w:t>
      </w:r>
      <w:r w:rsidR="004A5CFA">
        <w:rPr>
          <w:b/>
          <w:sz w:val="20"/>
          <w:szCs w:val="20"/>
        </w:rPr>
        <w:t>ll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4A5CFA">
        <w:rPr>
          <w:b/>
          <w:sz w:val="20"/>
          <w:szCs w:val="20"/>
          <w:lang w:val="fr-CA"/>
        </w:rPr>
        <w:t>Abella</w:t>
      </w:r>
      <w:r w:rsidRPr="00C50A5C">
        <w:rPr>
          <w:b/>
          <w:sz w:val="20"/>
          <w:szCs w:val="20"/>
          <w:lang w:val="fr-CA"/>
        </w:rPr>
        <w:t xml:space="preserve"> et </w:t>
      </w:r>
      <w:r w:rsidR="004A5CFA">
        <w:rPr>
          <w:b/>
          <w:sz w:val="20"/>
          <w:szCs w:val="20"/>
          <w:lang w:val="fr-CA"/>
        </w:rPr>
        <w:t>Cr</w:t>
      </w:r>
      <w:r>
        <w:rPr>
          <w:b/>
          <w:sz w:val="20"/>
          <w:szCs w:val="20"/>
          <w:lang w:val="fr-CA"/>
        </w:rPr>
        <w:t>o</w:t>
      </w:r>
      <w:r w:rsidR="004A5CFA">
        <w:rPr>
          <w:b/>
          <w:sz w:val="20"/>
          <w:szCs w:val="20"/>
          <w:lang w:val="fr-CA"/>
        </w:rPr>
        <w:t>mw</w:t>
      </w:r>
      <w:r>
        <w:rPr>
          <w:b/>
          <w:sz w:val="20"/>
          <w:szCs w:val="20"/>
          <w:lang w:val="fr-CA"/>
        </w:rPr>
        <w:t>e</w:t>
      </w:r>
      <w:r w:rsidR="004A5CFA">
        <w:rPr>
          <w:b/>
          <w:sz w:val="20"/>
          <w:szCs w:val="20"/>
          <w:lang w:val="fr-CA"/>
        </w:rPr>
        <w:t>ll</w:t>
      </w:r>
    </w:p>
    <w:p w:rsidR="004B7F60" w:rsidRPr="00C50A5C" w:rsidRDefault="004B7F60" w:rsidP="004B7F60">
      <w:pPr>
        <w:widowControl w:val="0"/>
        <w:rPr>
          <w:sz w:val="20"/>
          <w:szCs w:val="20"/>
          <w:lang w:val="fr-CA"/>
        </w:rPr>
      </w:pPr>
    </w:p>
    <w:p w:rsidR="004B7F60" w:rsidRPr="00C50A5C" w:rsidRDefault="003A05A7" w:rsidP="004B7F60">
      <w:pPr>
        <w:pStyle w:val="ListParagraph"/>
        <w:widowControl w:val="0"/>
        <w:numPr>
          <w:ilvl w:val="0"/>
          <w:numId w:val="1"/>
        </w:numPr>
        <w:ind w:hanging="720"/>
        <w:jc w:val="both"/>
        <w:rPr>
          <w:sz w:val="20"/>
          <w:szCs w:val="20"/>
        </w:rPr>
      </w:pPr>
      <w:r w:rsidRPr="003A05A7">
        <w:rPr>
          <w:i/>
          <w:sz w:val="20"/>
          <w:szCs w:val="20"/>
        </w:rPr>
        <w:t>Andrew Evans v. Her Majesty the Queen</w:t>
      </w:r>
      <w:r w:rsidRPr="004A5CFA">
        <w:rPr>
          <w:sz w:val="20"/>
          <w:szCs w:val="20"/>
        </w:rPr>
        <w:t xml:space="preserve"> (B.C.) (Crim</w:t>
      </w:r>
      <w:r>
        <w:rPr>
          <w:sz w:val="20"/>
          <w:szCs w:val="20"/>
        </w:rPr>
        <w:t>.</w:t>
      </w:r>
      <w:r w:rsidRPr="004A5CFA">
        <w:rPr>
          <w:sz w:val="20"/>
          <w:szCs w:val="20"/>
        </w:rPr>
        <w:t>) (By Leave)</w:t>
      </w:r>
      <w:r w:rsidRPr="00C50A5C">
        <w:rPr>
          <w:sz w:val="20"/>
          <w:szCs w:val="20"/>
        </w:rPr>
        <w:t xml:space="preserve"> </w:t>
      </w:r>
      <w:r w:rsidR="004B7F60" w:rsidRPr="00C50A5C">
        <w:rPr>
          <w:sz w:val="20"/>
          <w:szCs w:val="20"/>
        </w:rPr>
        <w:t>(3</w:t>
      </w:r>
      <w:r>
        <w:rPr>
          <w:sz w:val="20"/>
          <w:szCs w:val="20"/>
        </w:rPr>
        <w:t>4926</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3A05A7" w:rsidP="004B7F60">
      <w:pPr>
        <w:pStyle w:val="ListParagraph"/>
        <w:widowControl w:val="0"/>
        <w:numPr>
          <w:ilvl w:val="0"/>
          <w:numId w:val="1"/>
        </w:numPr>
        <w:ind w:hanging="720"/>
        <w:jc w:val="both"/>
        <w:rPr>
          <w:sz w:val="20"/>
          <w:szCs w:val="20"/>
        </w:rPr>
      </w:pPr>
      <w:r w:rsidRPr="003A05A7">
        <w:rPr>
          <w:i/>
          <w:sz w:val="20"/>
          <w:szCs w:val="20"/>
        </w:rPr>
        <w:t>Canadian Solar Inc. et al. v. Tajdin Abdula</w:t>
      </w:r>
      <w:r w:rsidRPr="004A5CFA">
        <w:rPr>
          <w:sz w:val="20"/>
          <w:szCs w:val="20"/>
        </w:rPr>
        <w:t xml:space="preserve"> (Ont.) (Civil) (By Leave)</w:t>
      </w:r>
      <w:r w:rsidRPr="00C612D0">
        <w:rPr>
          <w:sz w:val="20"/>
          <w:szCs w:val="20"/>
        </w:rPr>
        <w:t xml:space="preserve"> </w:t>
      </w:r>
      <w:r w:rsidR="004B7F60" w:rsidRPr="00C612D0">
        <w:rPr>
          <w:sz w:val="20"/>
          <w:szCs w:val="20"/>
        </w:rPr>
        <w:t>(3</w:t>
      </w:r>
      <w:r>
        <w:rPr>
          <w:sz w:val="20"/>
          <w:szCs w:val="20"/>
        </w:rPr>
        <w:t>4849</w:t>
      </w:r>
      <w:r w:rsidR="004B7F60" w:rsidRPr="00C612D0">
        <w:rPr>
          <w:sz w:val="20"/>
          <w:szCs w:val="20"/>
        </w:rPr>
        <w:t>)</w:t>
      </w:r>
    </w:p>
    <w:p w:rsidR="004B7F60" w:rsidRDefault="004B7F60" w:rsidP="004B7F60">
      <w:pPr>
        <w:widowControl w:val="0"/>
        <w:jc w:val="both"/>
        <w:rPr>
          <w:sz w:val="20"/>
          <w:szCs w:val="20"/>
        </w:rPr>
      </w:pPr>
    </w:p>
    <w:p w:rsidR="004A5CFA" w:rsidRDefault="004A5CFA" w:rsidP="004B7F60">
      <w:pPr>
        <w:widowControl w:val="0"/>
        <w:jc w:val="both"/>
        <w:rPr>
          <w:sz w:val="20"/>
          <w:szCs w:val="20"/>
        </w:rPr>
      </w:pPr>
    </w:p>
    <w:p w:rsidR="004A5CFA" w:rsidRPr="00C50A5C" w:rsidRDefault="004A5CFA" w:rsidP="004A5CFA">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4A5CFA" w:rsidRPr="00C50A5C" w:rsidRDefault="004A5CFA" w:rsidP="004A5CFA">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Wagner</w:t>
      </w:r>
    </w:p>
    <w:p w:rsidR="004A5CFA" w:rsidRPr="004A5CFA" w:rsidRDefault="004A5CFA" w:rsidP="004B7F60">
      <w:pPr>
        <w:widowControl w:val="0"/>
        <w:jc w:val="both"/>
        <w:rPr>
          <w:sz w:val="20"/>
          <w:szCs w:val="20"/>
          <w:lang w:val="fr-CA"/>
        </w:rPr>
      </w:pPr>
    </w:p>
    <w:p w:rsidR="004B7F60" w:rsidRPr="003A05A7" w:rsidRDefault="003A05A7" w:rsidP="004B7F60">
      <w:pPr>
        <w:pStyle w:val="ListParagraph"/>
        <w:widowControl w:val="0"/>
        <w:numPr>
          <w:ilvl w:val="0"/>
          <w:numId w:val="1"/>
        </w:numPr>
        <w:ind w:hanging="720"/>
        <w:jc w:val="both"/>
        <w:rPr>
          <w:sz w:val="20"/>
          <w:szCs w:val="20"/>
          <w:lang w:val="fr-CA"/>
        </w:rPr>
      </w:pPr>
      <w:r w:rsidRPr="003A05A7">
        <w:rPr>
          <w:i/>
          <w:sz w:val="20"/>
          <w:szCs w:val="20"/>
          <w:lang w:val="fr-CA"/>
        </w:rPr>
        <w:t>Lam Srun Horng c. Réseau de transport de la capitale</w:t>
      </w:r>
      <w:r w:rsidRPr="004A5CFA">
        <w:rPr>
          <w:sz w:val="20"/>
          <w:szCs w:val="20"/>
          <w:lang w:val="fr-CA"/>
        </w:rPr>
        <w:t xml:space="preserve"> (Qc) (Civile) (Autorisation)</w:t>
      </w:r>
      <w:r w:rsidRPr="003A05A7">
        <w:rPr>
          <w:sz w:val="20"/>
          <w:szCs w:val="20"/>
          <w:lang w:val="fr-CA"/>
        </w:rPr>
        <w:t xml:space="preserve"> </w:t>
      </w:r>
      <w:r w:rsidR="004B7F60" w:rsidRPr="003A05A7">
        <w:rPr>
          <w:sz w:val="20"/>
          <w:szCs w:val="20"/>
          <w:lang w:val="fr-CA"/>
        </w:rPr>
        <w:t>(3</w:t>
      </w:r>
      <w:r w:rsidRPr="003A05A7">
        <w:rPr>
          <w:sz w:val="20"/>
          <w:szCs w:val="20"/>
          <w:lang w:val="fr-CA"/>
        </w:rPr>
        <w:t>4961</w:t>
      </w:r>
      <w:r w:rsidR="004B7F60" w:rsidRPr="003A05A7">
        <w:rPr>
          <w:sz w:val="20"/>
          <w:szCs w:val="20"/>
          <w:lang w:val="fr-CA"/>
        </w:rPr>
        <w:t>)</w:t>
      </w:r>
    </w:p>
    <w:p w:rsidR="004B7F60" w:rsidRPr="003A05A7" w:rsidRDefault="004B7F60" w:rsidP="004B7F60">
      <w:pPr>
        <w:widowControl w:val="0"/>
        <w:rPr>
          <w:sz w:val="20"/>
          <w:szCs w:val="20"/>
          <w:lang w:val="fr-CA"/>
        </w:rPr>
      </w:pPr>
    </w:p>
    <w:p w:rsidR="004B7F60" w:rsidRPr="003A05A7" w:rsidRDefault="003A05A7" w:rsidP="004B7F60">
      <w:pPr>
        <w:pStyle w:val="ListParagraph"/>
        <w:widowControl w:val="0"/>
        <w:numPr>
          <w:ilvl w:val="0"/>
          <w:numId w:val="1"/>
        </w:numPr>
        <w:ind w:hanging="720"/>
        <w:jc w:val="both"/>
        <w:rPr>
          <w:sz w:val="20"/>
          <w:szCs w:val="20"/>
          <w:lang w:val="fr-CA"/>
        </w:rPr>
      </w:pPr>
      <w:r w:rsidRPr="003A05A7">
        <w:rPr>
          <w:i/>
          <w:sz w:val="20"/>
          <w:szCs w:val="20"/>
          <w:lang w:val="fr-CA"/>
        </w:rPr>
        <w:t>Isabelle Martin c. Commission des relations du travail et autres</w:t>
      </w:r>
      <w:r w:rsidRPr="004A5CFA">
        <w:rPr>
          <w:sz w:val="20"/>
          <w:szCs w:val="20"/>
          <w:lang w:val="fr-CA"/>
        </w:rPr>
        <w:t xml:space="preserve"> (Qc) (Civile) (Autorisation)</w:t>
      </w:r>
      <w:r w:rsidRPr="003A05A7">
        <w:rPr>
          <w:sz w:val="20"/>
          <w:szCs w:val="20"/>
          <w:lang w:val="fr-CA"/>
        </w:rPr>
        <w:t xml:space="preserve"> </w:t>
      </w:r>
      <w:r w:rsidR="004B7F60" w:rsidRPr="003A05A7">
        <w:rPr>
          <w:sz w:val="20"/>
          <w:szCs w:val="20"/>
          <w:lang w:val="fr-CA"/>
        </w:rPr>
        <w:t>(3</w:t>
      </w:r>
      <w:r w:rsidRPr="003A05A7">
        <w:rPr>
          <w:sz w:val="20"/>
          <w:szCs w:val="20"/>
          <w:lang w:val="fr-CA"/>
        </w:rPr>
        <w:t>4983</w:t>
      </w:r>
      <w:r w:rsidR="004B7F60" w:rsidRPr="003A05A7">
        <w:rPr>
          <w:sz w:val="20"/>
          <w:szCs w:val="20"/>
          <w:lang w:val="fr-CA"/>
        </w:rPr>
        <w:t>)</w:t>
      </w:r>
    </w:p>
    <w:p w:rsidR="004B7F60" w:rsidRPr="00C16CB3" w:rsidRDefault="004B7F60" w:rsidP="004B7F60">
      <w:pPr>
        <w:widowControl w:val="0"/>
        <w:jc w:val="both"/>
        <w:rPr>
          <w:sz w:val="20"/>
          <w:szCs w:val="20"/>
          <w:lang w:val="fr-CA"/>
        </w:rPr>
      </w:pPr>
    </w:p>
    <w:p w:rsidR="004B7F60" w:rsidRPr="00C612D0" w:rsidRDefault="003A05A7" w:rsidP="004B7F60">
      <w:pPr>
        <w:pStyle w:val="ListParagraph"/>
        <w:widowControl w:val="0"/>
        <w:numPr>
          <w:ilvl w:val="0"/>
          <w:numId w:val="1"/>
        </w:numPr>
        <w:ind w:hanging="720"/>
        <w:jc w:val="both"/>
        <w:rPr>
          <w:sz w:val="20"/>
          <w:szCs w:val="20"/>
          <w:lang w:val="fr-CA"/>
        </w:rPr>
      </w:pPr>
      <w:r w:rsidRPr="003A05A7">
        <w:rPr>
          <w:i/>
          <w:sz w:val="20"/>
          <w:szCs w:val="20"/>
          <w:lang w:val="fr-CA"/>
        </w:rPr>
        <w:t>Carrefour Ste-Adèle inc. et autres c. Société des loteries vidéo du Québec inc.</w:t>
      </w:r>
      <w:r w:rsidRPr="004A5CFA">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Pr>
          <w:sz w:val="20"/>
          <w:szCs w:val="20"/>
          <w:lang w:val="fr-CA"/>
        </w:rPr>
        <w:t>4923</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3A05A7" w:rsidP="004B7F60">
      <w:pPr>
        <w:pStyle w:val="ListParagraph"/>
        <w:widowControl w:val="0"/>
        <w:numPr>
          <w:ilvl w:val="0"/>
          <w:numId w:val="1"/>
        </w:numPr>
        <w:ind w:hanging="720"/>
        <w:jc w:val="both"/>
        <w:rPr>
          <w:sz w:val="20"/>
          <w:szCs w:val="20"/>
          <w:lang w:val="fr-CA"/>
        </w:rPr>
      </w:pPr>
      <w:r w:rsidRPr="003A05A7">
        <w:rPr>
          <w:i/>
          <w:sz w:val="20"/>
          <w:szCs w:val="20"/>
          <w:lang w:val="fr-CA"/>
        </w:rPr>
        <w:t>Placements Sergakis inc. et autres. c. Société des loteries vidéo du Québec</w:t>
      </w:r>
      <w:r w:rsidRPr="004A5CFA">
        <w:rPr>
          <w:sz w:val="20"/>
          <w:szCs w:val="20"/>
          <w:lang w:val="fr-CA"/>
        </w:rPr>
        <w:t xml:space="preserve"> (Qc) (Civile) (Autorisation)</w:t>
      </w:r>
      <w:r>
        <w:rPr>
          <w:sz w:val="20"/>
          <w:szCs w:val="20"/>
          <w:lang w:val="fr-CA"/>
        </w:rPr>
        <w:t xml:space="preserve"> </w:t>
      </w:r>
      <w:r w:rsidR="004B7F60" w:rsidRPr="00115C9E">
        <w:rPr>
          <w:sz w:val="20"/>
          <w:szCs w:val="20"/>
          <w:lang w:val="fr-CA"/>
        </w:rPr>
        <w:t>(3</w:t>
      </w:r>
      <w:r>
        <w:rPr>
          <w:sz w:val="20"/>
          <w:szCs w:val="20"/>
          <w:lang w:val="fr-CA"/>
        </w:rPr>
        <w:t>4924</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3A05A7" w:rsidP="004B7F60">
      <w:pPr>
        <w:pStyle w:val="ListParagraph"/>
        <w:widowControl w:val="0"/>
        <w:numPr>
          <w:ilvl w:val="0"/>
          <w:numId w:val="1"/>
        </w:numPr>
        <w:ind w:hanging="720"/>
        <w:jc w:val="both"/>
        <w:rPr>
          <w:sz w:val="20"/>
          <w:szCs w:val="20"/>
          <w:lang w:val="fr-CA"/>
        </w:rPr>
      </w:pPr>
      <w:r w:rsidRPr="003A05A7">
        <w:rPr>
          <w:i/>
          <w:sz w:val="20"/>
          <w:szCs w:val="20"/>
        </w:rPr>
        <w:t>Furs by Leonard Gorski Inc. v. Global Furs Inc. et al.</w:t>
      </w:r>
      <w:r w:rsidRPr="004A5CFA">
        <w:rPr>
          <w:sz w:val="20"/>
          <w:szCs w:val="20"/>
        </w:rPr>
        <w:t xml:space="preserve"> (Que.) (Civil) (By Leave)</w:t>
      </w:r>
      <w:r w:rsidRPr="00115C9E">
        <w:rPr>
          <w:sz w:val="20"/>
          <w:szCs w:val="20"/>
          <w:lang w:val="fr-CA"/>
        </w:rPr>
        <w:t xml:space="preserve"> </w:t>
      </w:r>
      <w:r w:rsidR="004B7F60" w:rsidRPr="00115C9E">
        <w:rPr>
          <w:sz w:val="20"/>
          <w:szCs w:val="20"/>
          <w:lang w:val="fr-CA"/>
        </w:rPr>
        <w:t>(3</w:t>
      </w:r>
      <w:r>
        <w:rPr>
          <w:sz w:val="20"/>
          <w:szCs w:val="20"/>
          <w:lang w:val="fr-CA"/>
        </w:rPr>
        <w:t>49</w:t>
      </w:r>
      <w:r w:rsidR="004B7F60" w:rsidRPr="00115C9E">
        <w:rPr>
          <w:sz w:val="20"/>
          <w:szCs w:val="20"/>
          <w:lang w:val="fr-CA"/>
        </w:rPr>
        <w:t>5</w:t>
      </w:r>
      <w:r>
        <w:rPr>
          <w:sz w:val="20"/>
          <w:szCs w:val="20"/>
          <w:lang w:val="fr-CA"/>
        </w:rPr>
        <w:t>4</w:t>
      </w:r>
      <w:r w:rsidR="004B7F60" w:rsidRPr="00115C9E">
        <w:rPr>
          <w:sz w:val="20"/>
          <w:szCs w:val="20"/>
          <w:lang w:val="fr-CA"/>
        </w:rPr>
        <w:t>)</w:t>
      </w:r>
    </w:p>
    <w:p w:rsidR="004B7F60" w:rsidRDefault="004B7F60" w:rsidP="004B7F60">
      <w:pPr>
        <w:widowControl w:val="0"/>
        <w:jc w:val="both"/>
        <w:rPr>
          <w:sz w:val="20"/>
          <w:szCs w:val="20"/>
          <w:lang w:val="fr-CA"/>
        </w:rPr>
      </w:pPr>
    </w:p>
    <w:p w:rsidR="004A5CFA" w:rsidRDefault="004A5CFA" w:rsidP="004B7F60">
      <w:pPr>
        <w:widowControl w:val="0"/>
        <w:jc w:val="both"/>
        <w:rPr>
          <w:sz w:val="20"/>
          <w:szCs w:val="20"/>
          <w:lang w:val="fr-CA"/>
        </w:rPr>
      </w:pPr>
    </w:p>
    <w:p w:rsidR="004A5CFA" w:rsidRPr="00C50A5C" w:rsidRDefault="004A5CFA" w:rsidP="004A5CFA">
      <w:pPr>
        <w:widowControl w:val="0"/>
        <w:jc w:val="center"/>
        <w:rPr>
          <w:b/>
          <w:sz w:val="20"/>
          <w:szCs w:val="20"/>
        </w:rPr>
      </w:pPr>
      <w:r w:rsidRPr="00C50A5C">
        <w:rPr>
          <w:b/>
          <w:sz w:val="20"/>
          <w:szCs w:val="20"/>
        </w:rPr>
        <w:t xml:space="preserve">CORAM: </w:t>
      </w:r>
      <w:r>
        <w:rPr>
          <w:b/>
          <w:sz w:val="20"/>
          <w:szCs w:val="20"/>
        </w:rPr>
        <w:t>Fish, Rothstein</w:t>
      </w:r>
      <w:r w:rsidRPr="00C50A5C">
        <w:rPr>
          <w:b/>
          <w:sz w:val="20"/>
          <w:szCs w:val="20"/>
        </w:rPr>
        <w:t xml:space="preserve"> and </w:t>
      </w:r>
      <w:r>
        <w:rPr>
          <w:b/>
          <w:sz w:val="20"/>
          <w:szCs w:val="20"/>
        </w:rPr>
        <w:t>Moldaver</w:t>
      </w:r>
      <w:r w:rsidRPr="00C50A5C">
        <w:rPr>
          <w:b/>
          <w:sz w:val="20"/>
          <w:szCs w:val="20"/>
        </w:rPr>
        <w:t xml:space="preserve"> JJ.</w:t>
      </w:r>
    </w:p>
    <w:p w:rsidR="004A5CFA" w:rsidRPr="00C50A5C" w:rsidRDefault="004A5CFA" w:rsidP="004A5CFA">
      <w:pPr>
        <w:widowControl w:val="0"/>
        <w:jc w:val="center"/>
        <w:rPr>
          <w:b/>
          <w:sz w:val="20"/>
          <w:szCs w:val="20"/>
          <w:lang w:val="fr-CA"/>
        </w:rPr>
      </w:pPr>
      <w:r w:rsidRPr="00C50A5C">
        <w:rPr>
          <w:b/>
          <w:sz w:val="20"/>
          <w:szCs w:val="20"/>
          <w:lang w:val="fr-CA"/>
        </w:rPr>
        <w:t xml:space="preserve">Les juges </w:t>
      </w:r>
      <w:r>
        <w:rPr>
          <w:b/>
          <w:sz w:val="20"/>
          <w:szCs w:val="20"/>
          <w:lang w:val="fr-CA"/>
        </w:rPr>
        <w:t>Fish, Rothstein</w:t>
      </w:r>
      <w:r w:rsidRPr="00C50A5C">
        <w:rPr>
          <w:b/>
          <w:sz w:val="20"/>
          <w:szCs w:val="20"/>
          <w:lang w:val="fr-CA"/>
        </w:rPr>
        <w:t xml:space="preserve"> et </w:t>
      </w:r>
      <w:r>
        <w:rPr>
          <w:b/>
          <w:sz w:val="20"/>
          <w:szCs w:val="20"/>
          <w:lang w:val="fr-CA"/>
        </w:rPr>
        <w:t>Moldaver</w:t>
      </w:r>
    </w:p>
    <w:p w:rsidR="004A5CFA" w:rsidRPr="003A05A7" w:rsidRDefault="004A5CFA" w:rsidP="004B7F60">
      <w:pPr>
        <w:widowControl w:val="0"/>
        <w:jc w:val="both"/>
        <w:rPr>
          <w:i/>
          <w:sz w:val="20"/>
          <w:szCs w:val="20"/>
          <w:lang w:val="fr-CA"/>
        </w:rPr>
      </w:pPr>
    </w:p>
    <w:p w:rsidR="004B7F60" w:rsidRPr="003A05A7" w:rsidRDefault="003A05A7" w:rsidP="004B7F60">
      <w:pPr>
        <w:pStyle w:val="ListParagraph"/>
        <w:widowControl w:val="0"/>
        <w:numPr>
          <w:ilvl w:val="0"/>
          <w:numId w:val="1"/>
        </w:numPr>
        <w:ind w:hanging="720"/>
        <w:jc w:val="both"/>
        <w:rPr>
          <w:sz w:val="20"/>
          <w:szCs w:val="20"/>
        </w:rPr>
      </w:pPr>
      <w:r w:rsidRPr="003A05A7">
        <w:rPr>
          <w:i/>
          <w:sz w:val="20"/>
          <w:szCs w:val="20"/>
        </w:rPr>
        <w:t>Her Majesty the Queen v. Shaun Dennis Nodrick</w:t>
      </w:r>
      <w:r w:rsidRPr="004A5CFA">
        <w:rPr>
          <w:sz w:val="20"/>
          <w:szCs w:val="20"/>
        </w:rPr>
        <w:t xml:space="preserve"> (Man.) (Crim</w:t>
      </w:r>
      <w:r>
        <w:rPr>
          <w:sz w:val="20"/>
          <w:szCs w:val="20"/>
        </w:rPr>
        <w:t>.</w:t>
      </w:r>
      <w:r w:rsidRPr="004A5CFA">
        <w:rPr>
          <w:sz w:val="20"/>
          <w:szCs w:val="20"/>
        </w:rPr>
        <w:t>) (By Leave)</w:t>
      </w:r>
      <w:r w:rsidRPr="003A05A7">
        <w:rPr>
          <w:sz w:val="20"/>
          <w:szCs w:val="20"/>
        </w:rPr>
        <w:t xml:space="preserve"> </w:t>
      </w:r>
      <w:r w:rsidR="004B7F60" w:rsidRPr="003A05A7">
        <w:rPr>
          <w:sz w:val="20"/>
          <w:szCs w:val="20"/>
        </w:rPr>
        <w:t>(3</w:t>
      </w:r>
      <w:r w:rsidRPr="003A05A7">
        <w:rPr>
          <w:sz w:val="20"/>
          <w:szCs w:val="20"/>
        </w:rPr>
        <w:t>4947</w:t>
      </w:r>
      <w:r w:rsidR="004B7F60" w:rsidRPr="003A05A7">
        <w:rPr>
          <w:sz w:val="20"/>
          <w:szCs w:val="20"/>
        </w:rPr>
        <w:t>)</w:t>
      </w:r>
    </w:p>
    <w:p w:rsidR="004B7F60" w:rsidRPr="003A05A7" w:rsidRDefault="004B7F60" w:rsidP="004B7F60">
      <w:pPr>
        <w:widowControl w:val="0"/>
        <w:rPr>
          <w:sz w:val="20"/>
          <w:szCs w:val="20"/>
        </w:rPr>
      </w:pPr>
    </w:p>
    <w:p w:rsidR="004B7F60" w:rsidRPr="003A05A7" w:rsidRDefault="003A05A7" w:rsidP="004B7F60">
      <w:pPr>
        <w:pStyle w:val="ListParagraph"/>
        <w:widowControl w:val="0"/>
        <w:numPr>
          <w:ilvl w:val="0"/>
          <w:numId w:val="1"/>
        </w:numPr>
        <w:ind w:hanging="720"/>
        <w:jc w:val="both"/>
        <w:rPr>
          <w:sz w:val="20"/>
          <w:szCs w:val="20"/>
        </w:rPr>
      </w:pPr>
      <w:r w:rsidRPr="003A05A7">
        <w:rPr>
          <w:i/>
          <w:sz w:val="20"/>
          <w:szCs w:val="20"/>
        </w:rPr>
        <w:t>Norma Irene Jacques v. Canada Trust Company, Executor and Trustee of the Estate of Norman Otto Hipel, deceased</w:t>
      </w:r>
      <w:r w:rsidRPr="004A5CFA">
        <w:rPr>
          <w:sz w:val="20"/>
          <w:szCs w:val="20"/>
        </w:rPr>
        <w:t xml:space="preserve"> (Ont.) (Civil) (By Leave)</w:t>
      </w:r>
      <w:r>
        <w:rPr>
          <w:sz w:val="20"/>
          <w:szCs w:val="20"/>
        </w:rPr>
        <w:t xml:space="preserve"> </w:t>
      </w:r>
      <w:r w:rsidR="004B7F60" w:rsidRPr="003A05A7">
        <w:rPr>
          <w:sz w:val="20"/>
          <w:szCs w:val="20"/>
        </w:rPr>
        <w:t>(3</w:t>
      </w:r>
      <w:r w:rsidRPr="003A05A7">
        <w:rPr>
          <w:sz w:val="20"/>
          <w:szCs w:val="20"/>
        </w:rPr>
        <w:t>4939</w:t>
      </w:r>
      <w:r w:rsidR="004B7F60" w:rsidRPr="003A05A7">
        <w:rPr>
          <w:sz w:val="20"/>
          <w:szCs w:val="20"/>
        </w:rPr>
        <w:t>)</w:t>
      </w:r>
    </w:p>
    <w:p w:rsidR="004B7F60" w:rsidRPr="003A05A7" w:rsidRDefault="004B7F60" w:rsidP="004B7F60">
      <w:pPr>
        <w:widowControl w:val="0"/>
        <w:jc w:val="both"/>
        <w:rPr>
          <w:sz w:val="20"/>
          <w:szCs w:val="20"/>
        </w:rPr>
      </w:pPr>
    </w:p>
    <w:p w:rsidR="004B7F60" w:rsidRPr="00115C9E" w:rsidRDefault="003A05A7" w:rsidP="004B7F60">
      <w:pPr>
        <w:pStyle w:val="ListParagraph"/>
        <w:widowControl w:val="0"/>
        <w:numPr>
          <w:ilvl w:val="0"/>
          <w:numId w:val="1"/>
        </w:numPr>
        <w:ind w:hanging="720"/>
        <w:jc w:val="both"/>
        <w:rPr>
          <w:sz w:val="20"/>
          <w:szCs w:val="20"/>
        </w:rPr>
      </w:pPr>
      <w:r w:rsidRPr="003A05A7">
        <w:rPr>
          <w:i/>
          <w:sz w:val="20"/>
          <w:szCs w:val="20"/>
        </w:rPr>
        <w:t>Howard Galganov et al. v. Corporation of the Township of Russell</w:t>
      </w:r>
      <w:r w:rsidRPr="004A5CFA">
        <w:rPr>
          <w:sz w:val="20"/>
          <w:szCs w:val="20"/>
        </w:rPr>
        <w:t xml:space="preserve"> (Ont.) (Civil) (By Leave)</w:t>
      </w:r>
      <w:r w:rsidRPr="00115C9E">
        <w:rPr>
          <w:sz w:val="20"/>
          <w:szCs w:val="20"/>
        </w:rPr>
        <w:t xml:space="preserve"> </w:t>
      </w:r>
      <w:r w:rsidR="004B7F60" w:rsidRPr="00115C9E">
        <w:rPr>
          <w:sz w:val="20"/>
          <w:szCs w:val="20"/>
        </w:rPr>
        <w:t>(3</w:t>
      </w:r>
      <w:r>
        <w:rPr>
          <w:sz w:val="20"/>
          <w:szCs w:val="20"/>
        </w:rPr>
        <w:t>496</w:t>
      </w:r>
      <w:r w:rsidR="004A7E84">
        <w:rPr>
          <w:sz w:val="20"/>
          <w:szCs w:val="20"/>
        </w:rPr>
        <w:t>5</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3A05A7" w:rsidP="004B7F60">
      <w:pPr>
        <w:pStyle w:val="ListParagraph"/>
        <w:widowControl w:val="0"/>
        <w:numPr>
          <w:ilvl w:val="0"/>
          <w:numId w:val="1"/>
        </w:numPr>
        <w:ind w:hanging="720"/>
        <w:jc w:val="both"/>
        <w:rPr>
          <w:sz w:val="20"/>
          <w:szCs w:val="20"/>
        </w:rPr>
      </w:pPr>
      <w:r w:rsidRPr="003A05A7">
        <w:rPr>
          <w:i/>
          <w:sz w:val="20"/>
          <w:szCs w:val="20"/>
          <w:lang w:val="fr-CA"/>
        </w:rPr>
        <w:t>Richard Rex et al. v. Dish Network L.L.C. et al.</w:t>
      </w:r>
      <w:r w:rsidRPr="003A05A7">
        <w:rPr>
          <w:sz w:val="20"/>
          <w:szCs w:val="20"/>
          <w:lang w:val="fr-CA"/>
        </w:rPr>
        <w:t xml:space="preserve"> </w:t>
      </w:r>
      <w:r w:rsidRPr="004A5CFA">
        <w:rPr>
          <w:sz w:val="20"/>
          <w:szCs w:val="20"/>
        </w:rPr>
        <w:t>(B.C.) (Civil) (By Leave)</w:t>
      </w:r>
      <w:r w:rsidRPr="00115C9E">
        <w:rPr>
          <w:sz w:val="20"/>
          <w:szCs w:val="20"/>
        </w:rPr>
        <w:t xml:space="preserve"> </w:t>
      </w:r>
      <w:r w:rsidR="004B7F60" w:rsidRPr="00115C9E">
        <w:rPr>
          <w:sz w:val="20"/>
          <w:szCs w:val="20"/>
        </w:rPr>
        <w:t>(3</w:t>
      </w:r>
      <w:r>
        <w:rPr>
          <w:sz w:val="20"/>
          <w:szCs w:val="20"/>
        </w:rPr>
        <w:t>4878</w:t>
      </w:r>
      <w:r w:rsidR="004B7F60" w:rsidRPr="00115C9E">
        <w:rPr>
          <w:sz w:val="20"/>
          <w:szCs w:val="20"/>
        </w:rPr>
        <w:t>)</w:t>
      </w:r>
    </w:p>
    <w:p w:rsidR="004B7F60" w:rsidRPr="00115C9E" w:rsidRDefault="004B7F60" w:rsidP="004B7F60">
      <w:pPr>
        <w:widowControl w:val="0"/>
        <w:jc w:val="both"/>
        <w:rPr>
          <w:sz w:val="20"/>
          <w:szCs w:val="20"/>
        </w:rPr>
      </w:pPr>
    </w:p>
    <w:p w:rsidR="004B7F60" w:rsidRDefault="003A05A7" w:rsidP="004B7F60">
      <w:pPr>
        <w:pStyle w:val="ListParagraph"/>
        <w:widowControl w:val="0"/>
        <w:numPr>
          <w:ilvl w:val="0"/>
          <w:numId w:val="1"/>
        </w:numPr>
        <w:ind w:hanging="720"/>
        <w:jc w:val="both"/>
        <w:rPr>
          <w:sz w:val="20"/>
          <w:szCs w:val="20"/>
        </w:rPr>
      </w:pPr>
      <w:r w:rsidRPr="003A05A7">
        <w:rPr>
          <w:i/>
          <w:sz w:val="20"/>
          <w:szCs w:val="20"/>
        </w:rPr>
        <w:t>Bae-Newplan Group Limited v. Brian Dalton et al.</w:t>
      </w:r>
      <w:r w:rsidRPr="004A5CFA">
        <w:rPr>
          <w:sz w:val="20"/>
          <w:szCs w:val="20"/>
        </w:rPr>
        <w:t xml:space="preserve"> (N.L.) (Civil) (By Leave)</w:t>
      </w:r>
      <w:r w:rsidRPr="00C50A5C">
        <w:rPr>
          <w:sz w:val="20"/>
          <w:szCs w:val="20"/>
        </w:rPr>
        <w:t xml:space="preserve"> </w:t>
      </w:r>
      <w:r w:rsidR="004B7F60" w:rsidRPr="00C50A5C">
        <w:rPr>
          <w:sz w:val="20"/>
          <w:szCs w:val="20"/>
        </w:rPr>
        <w:t>(3</w:t>
      </w:r>
      <w:r>
        <w:rPr>
          <w:sz w:val="20"/>
          <w:szCs w:val="20"/>
        </w:rPr>
        <w:t>48</w:t>
      </w:r>
      <w:r w:rsidR="004A7E84">
        <w:rPr>
          <w:sz w:val="20"/>
          <w:szCs w:val="20"/>
        </w:rPr>
        <w:t>5</w:t>
      </w:r>
      <w:r>
        <w:rPr>
          <w:sz w:val="20"/>
          <w:szCs w:val="20"/>
        </w:rPr>
        <w:t>2</w:t>
      </w:r>
      <w:r w:rsidR="004B7F60" w:rsidRPr="00C50A5C">
        <w:rPr>
          <w:sz w:val="20"/>
          <w:szCs w:val="20"/>
        </w:rPr>
        <w:t>)</w:t>
      </w:r>
    </w:p>
    <w:p w:rsidR="004B7F60" w:rsidRDefault="004B7F60" w:rsidP="004B7F60">
      <w:pPr>
        <w:widowControl w:val="0"/>
        <w:rPr>
          <w:sz w:val="20"/>
          <w:szCs w:val="20"/>
        </w:rPr>
      </w:pPr>
    </w:p>
    <w:p w:rsidR="002E2327" w:rsidRPr="00C50A5C" w:rsidRDefault="002048ED" w:rsidP="002E2327">
      <w:pPr>
        <w:widowControl w:val="0"/>
        <w:rPr>
          <w:sz w:val="20"/>
          <w:szCs w:val="20"/>
        </w:rPr>
      </w:pPr>
      <w:r w:rsidRPr="002048ED">
        <w:rPr>
          <w:sz w:val="20"/>
          <w:szCs w:val="20"/>
        </w:rPr>
        <w:pict>
          <v:rect id="_x0000_i104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571F9"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A1074" w:rsidP="008D292F">
      <w:pPr>
        <w:rPr>
          <w:b/>
          <w:sz w:val="20"/>
          <w:szCs w:val="20"/>
        </w:rPr>
      </w:pPr>
      <w:r>
        <w:rPr>
          <w:b/>
          <w:sz w:val="20"/>
          <w:szCs w:val="20"/>
        </w:rPr>
        <w:t>NOVEMBE</w:t>
      </w:r>
      <w:r w:rsidR="008D292F" w:rsidRPr="00C50A5C">
        <w:rPr>
          <w:b/>
          <w:sz w:val="20"/>
          <w:szCs w:val="20"/>
        </w:rPr>
        <w:t xml:space="preserve">R </w:t>
      </w:r>
      <w:r>
        <w:rPr>
          <w:b/>
          <w:sz w:val="20"/>
          <w:szCs w:val="20"/>
        </w:rPr>
        <w:t>1</w:t>
      </w:r>
      <w:r w:rsidR="008D292F" w:rsidRPr="00C50A5C">
        <w:rPr>
          <w:b/>
          <w:sz w:val="20"/>
          <w:szCs w:val="20"/>
        </w:rPr>
        <w:t>, 201</w:t>
      </w:r>
      <w:r>
        <w:rPr>
          <w:b/>
          <w:sz w:val="20"/>
          <w:szCs w:val="20"/>
        </w:rPr>
        <w:t>2</w:t>
      </w:r>
      <w:r w:rsidR="008D292F" w:rsidRPr="00C50A5C">
        <w:rPr>
          <w:b/>
          <w:sz w:val="20"/>
          <w:szCs w:val="20"/>
        </w:rPr>
        <w:t xml:space="preserve"> / LE </w:t>
      </w:r>
      <w:r>
        <w:rPr>
          <w:b/>
          <w:sz w:val="20"/>
          <w:szCs w:val="20"/>
        </w:rPr>
        <w:t>1</w:t>
      </w:r>
      <w:r w:rsidRPr="00FA1074">
        <w:rPr>
          <w:b/>
          <w:sz w:val="20"/>
          <w:szCs w:val="20"/>
          <w:vertAlign w:val="superscript"/>
        </w:rPr>
        <w:t>er</w:t>
      </w:r>
      <w:r w:rsidR="008D292F" w:rsidRPr="00C50A5C">
        <w:rPr>
          <w:b/>
          <w:sz w:val="20"/>
          <w:szCs w:val="20"/>
        </w:rPr>
        <w:t xml:space="preserve"> </w:t>
      </w:r>
      <w:r>
        <w:rPr>
          <w:b/>
          <w:sz w:val="20"/>
          <w:szCs w:val="20"/>
        </w:rPr>
        <w:t>NOVEMB</w:t>
      </w:r>
      <w:r w:rsidR="006160A4">
        <w:rPr>
          <w:b/>
          <w:sz w:val="20"/>
          <w:szCs w:val="20"/>
        </w:rPr>
        <w:t>R</w:t>
      </w:r>
      <w:r>
        <w:rPr>
          <w:b/>
          <w:sz w:val="20"/>
          <w:szCs w:val="20"/>
        </w:rPr>
        <w:t>E</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52DF7" w:rsidRPr="004E07FE" w:rsidTr="00032CB5">
        <w:trPr>
          <w:cantSplit/>
        </w:trPr>
        <w:tc>
          <w:tcPr>
            <w:tcW w:w="1458" w:type="dxa"/>
          </w:tcPr>
          <w:p w:rsidR="00B52DF7" w:rsidRPr="004E07FE" w:rsidRDefault="00B52DF7" w:rsidP="00032CB5">
            <w:pPr>
              <w:rPr>
                <w:sz w:val="20"/>
                <w:szCs w:val="20"/>
              </w:rPr>
            </w:pPr>
            <w:r w:rsidRPr="004E07FE">
              <w:rPr>
                <w:rStyle w:val="SCCFileNumberChar"/>
                <w:sz w:val="20"/>
                <w:szCs w:val="20"/>
              </w:rPr>
              <w:t>34701</w:t>
            </w:r>
          </w:p>
          <w:p w:rsidR="00B52DF7" w:rsidRPr="004E07FE" w:rsidRDefault="00B52DF7" w:rsidP="00032CB5">
            <w:pPr>
              <w:rPr>
                <w:b/>
                <w:sz w:val="20"/>
                <w:szCs w:val="20"/>
                <w:lang w:val="fr-CA"/>
              </w:rPr>
            </w:pPr>
          </w:p>
        </w:tc>
        <w:tc>
          <w:tcPr>
            <w:tcW w:w="8118" w:type="dxa"/>
          </w:tcPr>
          <w:p w:rsidR="00B52DF7" w:rsidRPr="004E07FE" w:rsidRDefault="00B52DF7" w:rsidP="00032CB5">
            <w:pPr>
              <w:rPr>
                <w:sz w:val="20"/>
                <w:szCs w:val="20"/>
              </w:rPr>
            </w:pPr>
            <w:r w:rsidRPr="004E07FE">
              <w:rPr>
                <w:rStyle w:val="SCCLsocChar"/>
                <w:sz w:val="20"/>
                <w:szCs w:val="20"/>
                <w:lang w:val="en-CA"/>
              </w:rPr>
              <w:t>Albert Green v. Carmen Placzek</w:t>
            </w:r>
            <w:r w:rsidRPr="004E07FE">
              <w:rPr>
                <w:sz w:val="20"/>
                <w:szCs w:val="20"/>
              </w:rPr>
              <w:t xml:space="preserve"> (Ont.) (Civil) (By Leave)</w:t>
            </w:r>
          </w:p>
          <w:p w:rsidR="00B52DF7" w:rsidRPr="004E07FE" w:rsidRDefault="00B52DF7" w:rsidP="00032CB5">
            <w:pPr>
              <w:rPr>
                <w:sz w:val="20"/>
                <w:szCs w:val="20"/>
              </w:rPr>
            </w:pPr>
          </w:p>
        </w:tc>
      </w:tr>
      <w:tr w:rsidR="00B52DF7" w:rsidRPr="004E07FE" w:rsidTr="00032CB5">
        <w:trPr>
          <w:cantSplit/>
        </w:trPr>
        <w:tc>
          <w:tcPr>
            <w:tcW w:w="1458" w:type="dxa"/>
          </w:tcPr>
          <w:p w:rsidR="00B52DF7" w:rsidRPr="004E07FE" w:rsidRDefault="00B52DF7" w:rsidP="00032CB5">
            <w:pPr>
              <w:rPr>
                <w:sz w:val="20"/>
                <w:szCs w:val="20"/>
              </w:rPr>
            </w:pPr>
            <w:r w:rsidRPr="004E07FE">
              <w:rPr>
                <w:sz w:val="20"/>
                <w:szCs w:val="20"/>
              </w:rPr>
              <w:t>Coram :</w:t>
            </w:r>
          </w:p>
        </w:tc>
        <w:tc>
          <w:tcPr>
            <w:tcW w:w="8118" w:type="dxa"/>
          </w:tcPr>
          <w:p w:rsidR="00B52DF7" w:rsidRPr="004E07FE" w:rsidRDefault="00B52DF7" w:rsidP="00032CB5">
            <w:pPr>
              <w:rPr>
                <w:sz w:val="20"/>
                <w:szCs w:val="20"/>
              </w:rPr>
            </w:pPr>
            <w:r w:rsidRPr="004E07FE">
              <w:rPr>
                <w:rStyle w:val="SCCCoramChar"/>
                <w:sz w:val="20"/>
                <w:szCs w:val="20"/>
                <w:lang w:val="en-CA"/>
              </w:rPr>
              <w:t>Fish, Rothstein and Karakatsanis JJ.</w:t>
            </w:r>
          </w:p>
          <w:p w:rsidR="00B52DF7" w:rsidRPr="004E07FE" w:rsidRDefault="00B52DF7" w:rsidP="00032CB5">
            <w:pPr>
              <w:rPr>
                <w:sz w:val="20"/>
                <w:szCs w:val="20"/>
                <w:u w:val="single"/>
              </w:rPr>
            </w:pPr>
          </w:p>
        </w:tc>
      </w:tr>
      <w:tr w:rsidR="00B52DF7" w:rsidRPr="005571F9" w:rsidTr="00032CB5">
        <w:trPr>
          <w:cantSplit/>
        </w:trPr>
        <w:tc>
          <w:tcPr>
            <w:tcW w:w="9576" w:type="dxa"/>
            <w:gridSpan w:val="2"/>
          </w:tcPr>
          <w:p w:rsidR="00B52DF7" w:rsidRPr="004E07FE" w:rsidRDefault="00B52DF7" w:rsidP="00032CB5">
            <w:pPr>
              <w:pStyle w:val="SCCShortJudgment"/>
              <w:rPr>
                <w:szCs w:val="20"/>
              </w:rPr>
            </w:pPr>
            <w:r w:rsidRPr="004E07FE">
              <w:rPr>
                <w:szCs w:val="20"/>
              </w:rPr>
              <w:t>The application for leave to appeal from the judgment of the Court of Appeal for Ontario, Number C52959, 2012 ONCA 45, dated January 26, 2012, is dismissed with costs.</w:t>
            </w:r>
          </w:p>
          <w:p w:rsidR="00B52DF7" w:rsidRPr="004E07FE" w:rsidRDefault="00B52DF7" w:rsidP="00032CB5">
            <w:pPr>
              <w:pStyle w:val="SCCShortJudgment"/>
              <w:ind w:firstLine="0"/>
              <w:rPr>
                <w:szCs w:val="20"/>
              </w:rPr>
            </w:pPr>
          </w:p>
          <w:p w:rsidR="00B52DF7" w:rsidRPr="004E07FE" w:rsidRDefault="00B52DF7" w:rsidP="00032CB5">
            <w:pPr>
              <w:pStyle w:val="SCCShortJudgment"/>
              <w:rPr>
                <w:szCs w:val="20"/>
                <w:lang w:val="fr-CA"/>
              </w:rPr>
            </w:pPr>
            <w:r w:rsidRPr="004E07FE">
              <w:rPr>
                <w:szCs w:val="20"/>
                <w:lang w:val="fr-CA"/>
              </w:rPr>
              <w:t>La demande d’autorisation d’appel de l’arrêt de la Cour d’appel de l’Ontario, numéro C52959, 2012 ONCA 45, daté du 26 janvier 2012, est rejetée avec dépens.</w:t>
            </w:r>
          </w:p>
        </w:tc>
      </w:tr>
    </w:tbl>
    <w:p w:rsidR="00FA1074" w:rsidRPr="00B52DF7" w:rsidRDefault="00FA1074" w:rsidP="008D292F">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8D292F">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9D4997" w:rsidRPr="00554DB2" w:rsidTr="009C7C08">
        <w:tc>
          <w:tcPr>
            <w:tcW w:w="5000" w:type="pct"/>
            <w:gridSpan w:val="3"/>
          </w:tcPr>
          <w:p w:rsidR="009D4997" w:rsidRPr="00554DB2" w:rsidRDefault="009D4997" w:rsidP="009C7C08">
            <w:pPr>
              <w:jc w:val="both"/>
              <w:rPr>
                <w:rFonts w:eastAsia="Calibri"/>
                <w:sz w:val="20"/>
              </w:rPr>
            </w:pPr>
            <w:r w:rsidRPr="00554DB2">
              <w:rPr>
                <w:rFonts w:eastAsia="Calibri"/>
                <w:sz w:val="20"/>
              </w:rPr>
              <w:t>Civil procedure — Courts — Judges — Right to jury — Discharge of jury — Circumstances in which a trial judge can exercise discretion to strike jury notice and discharge jury — Factors to be considered by courts when determining whether a case’s complexity merits discharging jury and continuing before judge alone — Weight if any to attribute to the right to a jury trial in civil cases when determining whether to strike a jury notice on the ground of complexity.</w:t>
            </w:r>
          </w:p>
        </w:tc>
      </w:tr>
      <w:tr w:rsidR="009D4997" w:rsidRPr="00554DB2" w:rsidTr="009C7C08">
        <w:tc>
          <w:tcPr>
            <w:tcW w:w="5000" w:type="pct"/>
            <w:gridSpan w:val="3"/>
          </w:tcPr>
          <w:p w:rsidR="009D4997" w:rsidRPr="00554DB2" w:rsidRDefault="009D4997" w:rsidP="009C7C08">
            <w:pPr>
              <w:jc w:val="both"/>
              <w:rPr>
                <w:rFonts w:eastAsia="Calibri"/>
                <w:sz w:val="20"/>
              </w:rPr>
            </w:pPr>
          </w:p>
        </w:tc>
      </w:tr>
      <w:tr w:rsidR="009D4997" w:rsidRPr="00554DB2" w:rsidTr="009C7C08">
        <w:tc>
          <w:tcPr>
            <w:tcW w:w="5000" w:type="pct"/>
            <w:gridSpan w:val="3"/>
          </w:tcPr>
          <w:p w:rsidR="009D4997" w:rsidRPr="00554DB2" w:rsidRDefault="009D4997" w:rsidP="009C7C08">
            <w:pPr>
              <w:jc w:val="both"/>
              <w:rPr>
                <w:rFonts w:eastAsia="Calibri"/>
                <w:color w:val="000000"/>
                <w:sz w:val="20"/>
              </w:rPr>
            </w:pPr>
            <w:r w:rsidRPr="00554DB2">
              <w:rPr>
                <w:rFonts w:eastAsia="Calibri"/>
                <w:sz w:val="20"/>
              </w:rPr>
              <w:t xml:space="preserve">The respondent was a passenger in the front seat of her husband's vehicle when it was struck from behind by the applicant.  </w:t>
            </w:r>
            <w:r w:rsidRPr="00554DB2">
              <w:rPr>
                <w:rFonts w:eastAsia="Calibri"/>
                <w:color w:val="000000"/>
                <w:sz w:val="20"/>
              </w:rPr>
              <w:t>She suffered fibromyalgia before the accident.  Partially in issue was whether pre</w:t>
            </w:r>
            <w:r w:rsidRPr="00554DB2">
              <w:rPr>
                <w:rFonts w:eastAsia="Calibri"/>
                <w:color w:val="000000"/>
                <w:sz w:val="20"/>
              </w:rPr>
              <w:noBreakHyphen/>
              <w:t>existing medical conditions affected her post</w:t>
            </w:r>
            <w:r w:rsidRPr="00554DB2">
              <w:rPr>
                <w:rFonts w:eastAsia="Calibri"/>
                <w:color w:val="000000"/>
                <w:sz w:val="20"/>
              </w:rPr>
              <w:noBreakHyphen/>
              <w:t xml:space="preserve">accident medical condition.  The respondent was a real estate agent practicing in partnership with her husband and alleged that she could no longer work in her former capacity.  The evidence of her finances was complicated and experts diverged on accounting issues.  The applicant filed a jury notice and a jury was selected.  At the beginning of the trial, the respondent filed a motion to discharge the jury, arguing the case was too complex to be left to a jury. </w:t>
            </w:r>
          </w:p>
          <w:p w:rsidR="009D4997" w:rsidRPr="00554DB2" w:rsidRDefault="009D4997" w:rsidP="009C7C08">
            <w:pPr>
              <w:jc w:val="both"/>
              <w:rPr>
                <w:rFonts w:eastAsia="Calibri"/>
                <w:sz w:val="20"/>
              </w:rPr>
            </w:pPr>
          </w:p>
        </w:tc>
      </w:tr>
      <w:tr w:rsidR="009D4997" w:rsidRPr="00554DB2" w:rsidTr="009C7C08">
        <w:tblPrEx>
          <w:tblCellMar>
            <w:bottom w:w="0" w:type="dxa"/>
          </w:tblCellMar>
        </w:tblPrEx>
        <w:tc>
          <w:tcPr>
            <w:tcW w:w="2390" w:type="pct"/>
          </w:tcPr>
          <w:p w:rsidR="009D4997" w:rsidRPr="00554DB2" w:rsidRDefault="009D4997" w:rsidP="009C7C08">
            <w:pPr>
              <w:jc w:val="both"/>
              <w:rPr>
                <w:rFonts w:eastAsia="Calibri"/>
                <w:sz w:val="20"/>
              </w:rPr>
            </w:pPr>
            <w:r w:rsidRPr="00554DB2">
              <w:rPr>
                <w:rFonts w:eastAsia="Calibri"/>
                <w:sz w:val="20"/>
              </w:rPr>
              <w:t>April 7, 2010</w:t>
            </w:r>
          </w:p>
          <w:p w:rsidR="009D4997" w:rsidRPr="00554DB2" w:rsidRDefault="009D4997" w:rsidP="009C7C08">
            <w:pPr>
              <w:jc w:val="both"/>
              <w:rPr>
                <w:rFonts w:eastAsia="Calibri"/>
                <w:sz w:val="20"/>
              </w:rPr>
            </w:pPr>
            <w:r w:rsidRPr="00554DB2">
              <w:rPr>
                <w:rFonts w:eastAsia="Calibri"/>
                <w:sz w:val="20"/>
              </w:rPr>
              <w:t>Ontario Superior Court of Justice</w:t>
            </w:r>
          </w:p>
          <w:p w:rsidR="009D4997" w:rsidRPr="00554DB2" w:rsidRDefault="009D4997" w:rsidP="009C7C08">
            <w:pPr>
              <w:jc w:val="both"/>
              <w:rPr>
                <w:rFonts w:eastAsia="Calibri"/>
                <w:sz w:val="20"/>
              </w:rPr>
            </w:pPr>
            <w:r w:rsidRPr="00554DB2">
              <w:rPr>
                <w:rFonts w:eastAsia="Calibri"/>
                <w:sz w:val="20"/>
              </w:rPr>
              <w:t>(Rady J.)</w:t>
            </w:r>
          </w:p>
          <w:p w:rsidR="009D4997" w:rsidRPr="00554DB2" w:rsidRDefault="009D4997" w:rsidP="009C7C08">
            <w:pPr>
              <w:jc w:val="both"/>
              <w:rPr>
                <w:rFonts w:eastAsia="Calibri"/>
                <w:sz w:val="20"/>
              </w:rPr>
            </w:pPr>
            <w:r w:rsidRPr="00554DB2">
              <w:rPr>
                <w:rFonts w:eastAsia="Calibri"/>
                <w:sz w:val="20"/>
              </w:rPr>
              <w:t>2010 ONSC 1938</w:t>
            </w:r>
          </w:p>
          <w:p w:rsidR="009D4997" w:rsidRPr="00554DB2" w:rsidRDefault="009D4997" w:rsidP="009C7C08">
            <w:pPr>
              <w:jc w:val="both"/>
              <w:rPr>
                <w:rFonts w:eastAsia="Calibri"/>
                <w:sz w:val="20"/>
              </w:rPr>
            </w:pPr>
          </w:p>
        </w:tc>
        <w:tc>
          <w:tcPr>
            <w:tcW w:w="270" w:type="pct"/>
          </w:tcPr>
          <w:p w:rsidR="009D4997" w:rsidRPr="00554DB2" w:rsidRDefault="009D4997" w:rsidP="009C7C08">
            <w:pPr>
              <w:jc w:val="both"/>
              <w:rPr>
                <w:rFonts w:eastAsia="Calibri"/>
                <w:sz w:val="20"/>
              </w:rPr>
            </w:pPr>
          </w:p>
        </w:tc>
        <w:tc>
          <w:tcPr>
            <w:tcW w:w="2340" w:type="pct"/>
          </w:tcPr>
          <w:p w:rsidR="009D4997" w:rsidRPr="00554DB2" w:rsidRDefault="009D4997" w:rsidP="009C7C08">
            <w:pPr>
              <w:jc w:val="both"/>
              <w:rPr>
                <w:rFonts w:eastAsia="Calibri"/>
                <w:sz w:val="20"/>
              </w:rPr>
            </w:pPr>
            <w:r w:rsidRPr="00554DB2">
              <w:rPr>
                <w:rFonts w:eastAsia="Calibri"/>
                <w:sz w:val="20"/>
              </w:rPr>
              <w:t>Jury notice struck and jury dismissed</w:t>
            </w:r>
          </w:p>
          <w:p w:rsidR="009D4997" w:rsidRPr="00554DB2" w:rsidRDefault="009D4997" w:rsidP="009C7C08">
            <w:pPr>
              <w:jc w:val="both"/>
              <w:rPr>
                <w:rFonts w:eastAsia="Calibri"/>
                <w:sz w:val="20"/>
              </w:rPr>
            </w:pPr>
          </w:p>
        </w:tc>
      </w:tr>
      <w:tr w:rsidR="009D4997" w:rsidRPr="00554DB2" w:rsidTr="009C7C08">
        <w:tblPrEx>
          <w:tblCellMar>
            <w:bottom w:w="0" w:type="dxa"/>
          </w:tblCellMar>
        </w:tblPrEx>
        <w:tc>
          <w:tcPr>
            <w:tcW w:w="2390" w:type="pct"/>
          </w:tcPr>
          <w:p w:rsidR="009D4997" w:rsidRPr="00554DB2" w:rsidRDefault="009D4997" w:rsidP="009C7C08">
            <w:pPr>
              <w:jc w:val="both"/>
              <w:rPr>
                <w:rFonts w:eastAsia="Calibri"/>
                <w:sz w:val="20"/>
              </w:rPr>
            </w:pPr>
            <w:r w:rsidRPr="00554DB2">
              <w:rPr>
                <w:rFonts w:eastAsia="Calibri"/>
                <w:sz w:val="20"/>
              </w:rPr>
              <w:t>October 15, 2010</w:t>
            </w:r>
          </w:p>
          <w:p w:rsidR="009D4997" w:rsidRPr="00554DB2" w:rsidRDefault="009D4997" w:rsidP="009C7C08">
            <w:pPr>
              <w:jc w:val="both"/>
              <w:rPr>
                <w:rFonts w:eastAsia="Calibri"/>
                <w:sz w:val="20"/>
              </w:rPr>
            </w:pPr>
            <w:r w:rsidRPr="00554DB2">
              <w:rPr>
                <w:rFonts w:eastAsia="Calibri"/>
                <w:sz w:val="20"/>
              </w:rPr>
              <w:t>Ontario Superior Court of Justice</w:t>
            </w:r>
          </w:p>
          <w:p w:rsidR="009D4997" w:rsidRPr="00554DB2" w:rsidRDefault="009D4997" w:rsidP="009C7C08">
            <w:pPr>
              <w:jc w:val="both"/>
              <w:rPr>
                <w:rFonts w:eastAsia="Calibri"/>
                <w:sz w:val="20"/>
              </w:rPr>
            </w:pPr>
            <w:r w:rsidRPr="00554DB2">
              <w:rPr>
                <w:rFonts w:eastAsia="Calibri"/>
                <w:sz w:val="20"/>
              </w:rPr>
              <w:t xml:space="preserve">(Rady J.) </w:t>
            </w:r>
          </w:p>
          <w:p w:rsidR="009D4997" w:rsidRPr="00554DB2" w:rsidRDefault="009D4997" w:rsidP="009C7C08">
            <w:pPr>
              <w:jc w:val="both"/>
              <w:rPr>
                <w:rFonts w:eastAsia="Calibri"/>
                <w:sz w:val="20"/>
              </w:rPr>
            </w:pPr>
            <w:r w:rsidRPr="00554DB2">
              <w:rPr>
                <w:rFonts w:eastAsia="Calibri"/>
                <w:sz w:val="20"/>
              </w:rPr>
              <w:t>2010 ONSC 2952</w:t>
            </w:r>
          </w:p>
          <w:p w:rsidR="009D4997" w:rsidRPr="00554DB2" w:rsidRDefault="009D4997" w:rsidP="009C7C08">
            <w:pPr>
              <w:jc w:val="both"/>
              <w:rPr>
                <w:rFonts w:eastAsia="Calibri"/>
                <w:sz w:val="20"/>
              </w:rPr>
            </w:pPr>
          </w:p>
        </w:tc>
        <w:tc>
          <w:tcPr>
            <w:tcW w:w="270" w:type="pct"/>
          </w:tcPr>
          <w:p w:rsidR="009D4997" w:rsidRPr="00554DB2" w:rsidRDefault="009D4997" w:rsidP="009C7C08">
            <w:pPr>
              <w:jc w:val="both"/>
              <w:rPr>
                <w:rFonts w:eastAsia="Calibri"/>
                <w:sz w:val="20"/>
              </w:rPr>
            </w:pPr>
          </w:p>
        </w:tc>
        <w:tc>
          <w:tcPr>
            <w:tcW w:w="2340" w:type="pct"/>
          </w:tcPr>
          <w:p w:rsidR="009D4997" w:rsidRPr="00554DB2" w:rsidRDefault="009D4997" w:rsidP="009C7C08">
            <w:pPr>
              <w:jc w:val="both"/>
              <w:rPr>
                <w:rFonts w:eastAsia="Calibri"/>
                <w:sz w:val="20"/>
              </w:rPr>
            </w:pPr>
            <w:r w:rsidRPr="00554DB2">
              <w:rPr>
                <w:rFonts w:eastAsia="Calibri"/>
                <w:sz w:val="20"/>
              </w:rPr>
              <w:t xml:space="preserve">Applicant </w:t>
            </w:r>
            <w:r w:rsidRPr="00554DB2">
              <w:rPr>
                <w:rFonts w:eastAsia="Calibri"/>
                <w:color w:val="000000"/>
                <w:sz w:val="20"/>
              </w:rPr>
              <w:t>found liable and respondent awarded $919,237 in damages</w:t>
            </w:r>
          </w:p>
          <w:p w:rsidR="009D4997" w:rsidRPr="00554DB2" w:rsidRDefault="009D4997" w:rsidP="009C7C08">
            <w:pPr>
              <w:jc w:val="both"/>
              <w:rPr>
                <w:rFonts w:eastAsia="Calibri"/>
                <w:sz w:val="20"/>
              </w:rPr>
            </w:pPr>
          </w:p>
        </w:tc>
      </w:tr>
      <w:tr w:rsidR="009D4997" w:rsidRPr="00554DB2" w:rsidTr="009C7C08">
        <w:tblPrEx>
          <w:tblCellMar>
            <w:bottom w:w="0" w:type="dxa"/>
          </w:tblCellMar>
        </w:tblPrEx>
        <w:tc>
          <w:tcPr>
            <w:tcW w:w="2390" w:type="pct"/>
          </w:tcPr>
          <w:p w:rsidR="009D4997" w:rsidRPr="00554DB2" w:rsidRDefault="009D4997" w:rsidP="009C7C08">
            <w:pPr>
              <w:jc w:val="both"/>
              <w:rPr>
                <w:rFonts w:eastAsia="Calibri"/>
                <w:sz w:val="20"/>
              </w:rPr>
            </w:pPr>
            <w:r w:rsidRPr="00554DB2">
              <w:rPr>
                <w:rFonts w:eastAsia="Calibri"/>
                <w:sz w:val="20"/>
              </w:rPr>
              <w:t>January 26, 2012</w:t>
            </w:r>
          </w:p>
          <w:p w:rsidR="009D4997" w:rsidRPr="00554DB2" w:rsidRDefault="009D4997" w:rsidP="009C7C08">
            <w:pPr>
              <w:jc w:val="both"/>
              <w:rPr>
                <w:rFonts w:eastAsia="Calibri"/>
                <w:sz w:val="20"/>
              </w:rPr>
            </w:pPr>
            <w:r w:rsidRPr="00554DB2">
              <w:rPr>
                <w:rFonts w:eastAsia="Calibri"/>
                <w:sz w:val="20"/>
              </w:rPr>
              <w:t>Court of Appeal for Ontario</w:t>
            </w:r>
          </w:p>
          <w:p w:rsidR="009D4997" w:rsidRPr="00554DB2" w:rsidRDefault="009D4997" w:rsidP="009C7C08">
            <w:pPr>
              <w:jc w:val="both"/>
              <w:rPr>
                <w:rFonts w:eastAsia="Calibri"/>
                <w:sz w:val="20"/>
              </w:rPr>
            </w:pPr>
            <w:r w:rsidRPr="00554DB2">
              <w:rPr>
                <w:rFonts w:eastAsia="Calibri"/>
                <w:sz w:val="20"/>
              </w:rPr>
              <w:t>(Doherty, LaForme, Hoy JJ.A.)</w:t>
            </w:r>
          </w:p>
          <w:p w:rsidR="009D4997" w:rsidRPr="00554DB2" w:rsidRDefault="009D4997" w:rsidP="009C7C08">
            <w:pPr>
              <w:jc w:val="both"/>
              <w:rPr>
                <w:rFonts w:eastAsia="Calibri"/>
                <w:sz w:val="20"/>
              </w:rPr>
            </w:pPr>
            <w:r w:rsidRPr="00554DB2">
              <w:rPr>
                <w:rFonts w:eastAsia="Calibri"/>
                <w:sz w:val="20"/>
              </w:rPr>
              <w:t>2012 ONCA 45; C52959</w:t>
            </w:r>
          </w:p>
          <w:p w:rsidR="009D4997" w:rsidRPr="00554DB2" w:rsidRDefault="009D4997" w:rsidP="009C7C08">
            <w:pPr>
              <w:jc w:val="both"/>
              <w:rPr>
                <w:rFonts w:eastAsia="Calibri"/>
                <w:sz w:val="20"/>
              </w:rPr>
            </w:pPr>
          </w:p>
        </w:tc>
        <w:tc>
          <w:tcPr>
            <w:tcW w:w="270" w:type="pct"/>
          </w:tcPr>
          <w:p w:rsidR="009D4997" w:rsidRPr="00554DB2" w:rsidRDefault="009D4997" w:rsidP="009C7C08">
            <w:pPr>
              <w:jc w:val="both"/>
              <w:rPr>
                <w:rFonts w:eastAsia="Calibri"/>
                <w:sz w:val="20"/>
              </w:rPr>
            </w:pPr>
          </w:p>
        </w:tc>
        <w:tc>
          <w:tcPr>
            <w:tcW w:w="2340" w:type="pct"/>
          </w:tcPr>
          <w:p w:rsidR="009D4997" w:rsidRPr="00554DB2" w:rsidRDefault="009D4997" w:rsidP="009C7C08">
            <w:pPr>
              <w:jc w:val="both"/>
              <w:rPr>
                <w:rFonts w:eastAsia="Calibri"/>
                <w:sz w:val="20"/>
              </w:rPr>
            </w:pPr>
            <w:r w:rsidRPr="00554DB2">
              <w:rPr>
                <w:rFonts w:eastAsia="Calibri"/>
                <w:sz w:val="20"/>
              </w:rPr>
              <w:t>Appeal dismissed</w:t>
            </w:r>
          </w:p>
          <w:p w:rsidR="009D4997" w:rsidRPr="00554DB2" w:rsidRDefault="009D4997" w:rsidP="009C7C08">
            <w:pPr>
              <w:jc w:val="both"/>
              <w:rPr>
                <w:rFonts w:eastAsia="Calibri"/>
                <w:sz w:val="20"/>
              </w:rPr>
            </w:pPr>
          </w:p>
        </w:tc>
      </w:tr>
      <w:tr w:rsidR="009D4997" w:rsidRPr="00554DB2" w:rsidTr="009C7C08">
        <w:tblPrEx>
          <w:tblCellMar>
            <w:bottom w:w="0" w:type="dxa"/>
          </w:tblCellMar>
        </w:tblPrEx>
        <w:tc>
          <w:tcPr>
            <w:tcW w:w="2390" w:type="pct"/>
          </w:tcPr>
          <w:p w:rsidR="009D4997" w:rsidRPr="00554DB2" w:rsidRDefault="009D4997" w:rsidP="009C7C08">
            <w:pPr>
              <w:jc w:val="both"/>
              <w:rPr>
                <w:rFonts w:eastAsia="Calibri"/>
                <w:sz w:val="20"/>
              </w:rPr>
            </w:pPr>
            <w:r w:rsidRPr="00554DB2">
              <w:rPr>
                <w:rFonts w:eastAsia="Calibri"/>
                <w:sz w:val="20"/>
              </w:rPr>
              <w:t>March 7, 2012</w:t>
            </w:r>
          </w:p>
          <w:p w:rsidR="009D4997" w:rsidRPr="00554DB2" w:rsidRDefault="009D4997" w:rsidP="009C7C08">
            <w:pPr>
              <w:jc w:val="both"/>
              <w:rPr>
                <w:rFonts w:eastAsia="Calibri"/>
                <w:sz w:val="20"/>
              </w:rPr>
            </w:pPr>
            <w:r w:rsidRPr="00554DB2">
              <w:rPr>
                <w:rFonts w:eastAsia="Calibri"/>
                <w:sz w:val="20"/>
              </w:rPr>
              <w:t>Supreme Court of Canada</w:t>
            </w:r>
          </w:p>
        </w:tc>
        <w:tc>
          <w:tcPr>
            <w:tcW w:w="270" w:type="pct"/>
          </w:tcPr>
          <w:p w:rsidR="009D4997" w:rsidRPr="00554DB2" w:rsidRDefault="009D4997" w:rsidP="009C7C08">
            <w:pPr>
              <w:jc w:val="both"/>
              <w:rPr>
                <w:rFonts w:eastAsia="Calibri"/>
                <w:sz w:val="20"/>
              </w:rPr>
            </w:pPr>
          </w:p>
        </w:tc>
        <w:tc>
          <w:tcPr>
            <w:tcW w:w="2340" w:type="pct"/>
          </w:tcPr>
          <w:p w:rsidR="009D4997" w:rsidRPr="00554DB2" w:rsidRDefault="009D4997" w:rsidP="009C7C08">
            <w:pPr>
              <w:jc w:val="both"/>
              <w:rPr>
                <w:rFonts w:eastAsia="Calibri"/>
                <w:sz w:val="20"/>
              </w:rPr>
            </w:pPr>
            <w:r w:rsidRPr="00554DB2">
              <w:rPr>
                <w:rFonts w:eastAsia="Calibri"/>
                <w:sz w:val="20"/>
              </w:rPr>
              <w:t>Application for leave to appeal filed</w:t>
            </w:r>
          </w:p>
          <w:p w:rsidR="009D4997" w:rsidRPr="00554DB2" w:rsidRDefault="009D4997" w:rsidP="009C7C08">
            <w:pPr>
              <w:jc w:val="both"/>
              <w:rPr>
                <w:rFonts w:eastAsia="Calibri"/>
                <w:sz w:val="20"/>
              </w:rPr>
            </w:pPr>
          </w:p>
        </w:tc>
      </w:tr>
    </w:tbl>
    <w:p w:rsidR="00FA1074" w:rsidRDefault="00FA1074" w:rsidP="008D292F">
      <w:pPr>
        <w:rPr>
          <w:sz w:val="20"/>
          <w:szCs w:val="20"/>
        </w:rPr>
      </w:pPr>
    </w:p>
    <w:p w:rsidR="00FA1074" w:rsidRPr="00C50A5C" w:rsidRDefault="002048ED" w:rsidP="00FA1074">
      <w:pPr>
        <w:rPr>
          <w:sz w:val="20"/>
          <w:szCs w:val="20"/>
        </w:rPr>
      </w:pPr>
      <w:r w:rsidRPr="002048ED">
        <w:rPr>
          <w:sz w:val="20"/>
          <w:szCs w:val="20"/>
          <w:lang w:val="fr-CA"/>
        </w:rPr>
        <w:pict>
          <v:rect id="_x0000_i1046" style="width:2in;height:1pt" o:hrpct="0" o:hralign="center" o:hrstd="t" o:hrnoshade="t" o:hr="t" fillcolor="black [3213]" stroked="f"/>
        </w:pict>
      </w:r>
    </w:p>
    <w:p w:rsidR="00FA1074" w:rsidRDefault="00FA1074" w:rsidP="00FA1074">
      <w:pPr>
        <w:rPr>
          <w:sz w:val="20"/>
          <w:szCs w:val="20"/>
        </w:rPr>
      </w:pPr>
    </w:p>
    <w:p w:rsidR="00B52DF7" w:rsidRDefault="00B52DF7">
      <w:pPr>
        <w:rPr>
          <w:sz w:val="20"/>
          <w:szCs w:val="20"/>
          <w:u w:val="single"/>
          <w:lang w:val="fr-CA"/>
        </w:rPr>
      </w:pPr>
      <w:r>
        <w:rPr>
          <w:sz w:val="20"/>
          <w:szCs w:val="20"/>
          <w:u w:val="single"/>
          <w:lang w:val="fr-CA"/>
        </w:rPr>
        <w:br w:type="page"/>
      </w: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8D292F">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9D4997" w:rsidRPr="005571F9" w:rsidTr="009C7C08">
        <w:tc>
          <w:tcPr>
            <w:tcW w:w="5000" w:type="pct"/>
            <w:gridSpan w:val="3"/>
          </w:tcPr>
          <w:p w:rsidR="009D4997" w:rsidRPr="00554DB2" w:rsidRDefault="009D4997" w:rsidP="009C7C08">
            <w:pPr>
              <w:jc w:val="both"/>
              <w:rPr>
                <w:sz w:val="20"/>
                <w:lang w:val="fr-CA"/>
              </w:rPr>
            </w:pPr>
            <w:r w:rsidRPr="00554DB2">
              <w:rPr>
                <w:sz w:val="20"/>
                <w:lang w:val="fr-CA"/>
              </w:rPr>
              <w:t>Procédure civile — Tribunaux — Juges — Droit à un jury — Libération du jury — Circonstances dans lesquelles un juge du procès peut exercer le pouvoir discrétionnaire d’annuler la convocation du jury et de libérer le jury — Facteurs que doivent prendre en compte les tribunaux lorsqu'ils tranchent la question de savoir si la complexité d'une affaire justifie la libération du jury et la poursuite de l'instance devant juge seul — Importance à accorder, s'il en est, au droit à un procès devant jury dans les affaires civiles en tranchant la question de savoir s'il y a lieu d’annuler la convocation du jury en raison de la complexité de l'affaire.</w:t>
            </w:r>
          </w:p>
        </w:tc>
      </w:tr>
      <w:tr w:rsidR="009D4997" w:rsidRPr="005571F9" w:rsidTr="009C7C08">
        <w:tc>
          <w:tcPr>
            <w:tcW w:w="5000" w:type="pct"/>
            <w:gridSpan w:val="3"/>
          </w:tcPr>
          <w:p w:rsidR="009D4997" w:rsidRPr="00554DB2" w:rsidRDefault="009D4997" w:rsidP="009C7C08">
            <w:pPr>
              <w:jc w:val="both"/>
              <w:rPr>
                <w:sz w:val="20"/>
                <w:lang w:val="fr-CA"/>
              </w:rPr>
            </w:pPr>
          </w:p>
        </w:tc>
      </w:tr>
      <w:tr w:rsidR="009D4997" w:rsidRPr="005571F9" w:rsidTr="009C7C08">
        <w:tc>
          <w:tcPr>
            <w:tcW w:w="5000" w:type="pct"/>
            <w:gridSpan w:val="3"/>
          </w:tcPr>
          <w:p w:rsidR="009D4997" w:rsidRPr="00554DB2" w:rsidRDefault="009D4997" w:rsidP="009C7C08">
            <w:pPr>
              <w:jc w:val="both"/>
              <w:rPr>
                <w:color w:val="000000"/>
                <w:sz w:val="20"/>
                <w:lang w:val="fr-CA"/>
              </w:rPr>
            </w:pPr>
            <w:r w:rsidRPr="00554DB2">
              <w:rPr>
                <w:sz w:val="20"/>
                <w:lang w:val="fr-CA"/>
              </w:rPr>
              <w:t>L'intimée était passagère sur la banquette avant du véhicule de son époux lorsque celui</w:t>
            </w:r>
            <w:r w:rsidRPr="00554DB2">
              <w:rPr>
                <w:sz w:val="20"/>
                <w:lang w:val="fr-CA"/>
              </w:rPr>
              <w:noBreakHyphen/>
              <w:t>ci a été heurté par derrière par le demandeur.</w:t>
            </w:r>
            <w:r w:rsidRPr="00554DB2">
              <w:rPr>
                <w:color w:val="000000"/>
                <w:sz w:val="20"/>
                <w:lang w:val="fr-CA"/>
              </w:rPr>
              <w:t xml:space="preserve">  Elle souffrait de fibromyalgie avant l'accident.  L'une des questions en litige était de savoir si des conditions médicales préexistantes avaient une incidence sur sa condition médicale postérieure à l'accident.  L'intimée était agente d'immeubles qui exerçait ses activités en société avec son époux et elle a allégué qu'elle ne pouvait plus travailler à ce titre.  La preuve de sa situation financière était complexe et les experts ne s'entendaient pas sur des questions comptables.  Le demandeur </w:t>
            </w:r>
            <w:proofErr w:type="gramStart"/>
            <w:r w:rsidRPr="00554DB2">
              <w:rPr>
                <w:color w:val="000000"/>
                <w:sz w:val="20"/>
                <w:lang w:val="fr-CA"/>
              </w:rPr>
              <w:t>a</w:t>
            </w:r>
            <w:proofErr w:type="gramEnd"/>
            <w:r w:rsidRPr="00554DB2">
              <w:rPr>
                <w:color w:val="000000"/>
                <w:sz w:val="20"/>
                <w:lang w:val="fr-CA"/>
              </w:rPr>
              <w:t xml:space="preserve"> demandé la convocation d’un jury et un jury a été constitué.  Au début du procès, l'intimée a déposé une motion en libération du jury, plaidant que l'affaire était trop complexe pour être soumise à un jury. </w:t>
            </w:r>
          </w:p>
          <w:p w:rsidR="009D4997" w:rsidRPr="00554DB2" w:rsidRDefault="009D4997" w:rsidP="009C7C08">
            <w:pPr>
              <w:jc w:val="both"/>
              <w:rPr>
                <w:sz w:val="20"/>
                <w:lang w:val="fr-CA"/>
              </w:rPr>
            </w:pPr>
          </w:p>
        </w:tc>
      </w:tr>
      <w:tr w:rsidR="009D4997" w:rsidRPr="005571F9" w:rsidTr="009C7C08">
        <w:tblPrEx>
          <w:tblCellMar>
            <w:bottom w:w="0" w:type="dxa"/>
          </w:tblCellMar>
        </w:tblPrEx>
        <w:tc>
          <w:tcPr>
            <w:tcW w:w="2390" w:type="pct"/>
          </w:tcPr>
          <w:p w:rsidR="009D4997" w:rsidRPr="00554DB2" w:rsidRDefault="009D4997" w:rsidP="009C7C08">
            <w:pPr>
              <w:jc w:val="both"/>
              <w:rPr>
                <w:sz w:val="20"/>
                <w:lang w:val="fr-CA"/>
              </w:rPr>
            </w:pPr>
            <w:r w:rsidRPr="00554DB2">
              <w:rPr>
                <w:sz w:val="20"/>
                <w:lang w:val="fr-CA"/>
              </w:rPr>
              <w:t>7 avril 2010</w:t>
            </w:r>
          </w:p>
          <w:p w:rsidR="009D4997" w:rsidRPr="00554DB2" w:rsidRDefault="009D4997" w:rsidP="009C7C08">
            <w:pPr>
              <w:jc w:val="both"/>
              <w:rPr>
                <w:sz w:val="20"/>
                <w:lang w:val="fr-CA"/>
              </w:rPr>
            </w:pPr>
            <w:r w:rsidRPr="00554DB2">
              <w:rPr>
                <w:sz w:val="20"/>
                <w:lang w:val="fr-CA"/>
              </w:rPr>
              <w:t xml:space="preserve">Cour supérieure de justice de l'Ontario </w:t>
            </w:r>
          </w:p>
          <w:p w:rsidR="009D4997" w:rsidRPr="00554DB2" w:rsidRDefault="009D4997" w:rsidP="009C7C08">
            <w:pPr>
              <w:jc w:val="both"/>
              <w:rPr>
                <w:sz w:val="20"/>
                <w:lang w:val="fr-CA"/>
              </w:rPr>
            </w:pPr>
            <w:r w:rsidRPr="00554DB2">
              <w:rPr>
                <w:sz w:val="20"/>
                <w:lang w:val="fr-CA"/>
              </w:rPr>
              <w:t>(Juge Rady)</w:t>
            </w:r>
          </w:p>
          <w:p w:rsidR="009D4997" w:rsidRPr="00554DB2" w:rsidRDefault="009D4997" w:rsidP="009C7C08">
            <w:pPr>
              <w:jc w:val="both"/>
              <w:rPr>
                <w:sz w:val="20"/>
                <w:lang w:val="fr-CA"/>
              </w:rPr>
            </w:pPr>
            <w:r w:rsidRPr="00554DB2">
              <w:rPr>
                <w:sz w:val="20"/>
                <w:lang w:val="fr-CA"/>
              </w:rPr>
              <w:t>2010 ONSC 1938</w:t>
            </w:r>
          </w:p>
          <w:p w:rsidR="009D4997" w:rsidRPr="00554DB2" w:rsidRDefault="009D4997" w:rsidP="009C7C08">
            <w:pPr>
              <w:jc w:val="both"/>
              <w:rPr>
                <w:sz w:val="20"/>
                <w:lang w:val="fr-CA"/>
              </w:rPr>
            </w:pPr>
          </w:p>
        </w:tc>
        <w:tc>
          <w:tcPr>
            <w:tcW w:w="270" w:type="pct"/>
          </w:tcPr>
          <w:p w:rsidR="009D4997" w:rsidRPr="00554DB2" w:rsidRDefault="009D4997" w:rsidP="009C7C08">
            <w:pPr>
              <w:jc w:val="both"/>
              <w:rPr>
                <w:sz w:val="20"/>
                <w:lang w:val="fr-CA"/>
              </w:rPr>
            </w:pPr>
          </w:p>
        </w:tc>
        <w:tc>
          <w:tcPr>
            <w:tcW w:w="2340" w:type="pct"/>
          </w:tcPr>
          <w:p w:rsidR="009D4997" w:rsidRPr="00554DB2" w:rsidRDefault="009D4997" w:rsidP="009C7C08">
            <w:pPr>
              <w:jc w:val="both"/>
              <w:rPr>
                <w:sz w:val="20"/>
                <w:lang w:val="fr-CA"/>
              </w:rPr>
            </w:pPr>
            <w:r w:rsidRPr="00554DB2">
              <w:rPr>
                <w:sz w:val="20"/>
                <w:lang w:val="fr-CA"/>
              </w:rPr>
              <w:t>Convocation du jury annulée et jury libéré</w:t>
            </w:r>
          </w:p>
          <w:p w:rsidR="009D4997" w:rsidRPr="00554DB2" w:rsidRDefault="009D4997" w:rsidP="009C7C08">
            <w:pPr>
              <w:jc w:val="both"/>
              <w:rPr>
                <w:sz w:val="20"/>
                <w:lang w:val="fr-CA"/>
              </w:rPr>
            </w:pPr>
          </w:p>
        </w:tc>
      </w:tr>
      <w:tr w:rsidR="009D4997" w:rsidRPr="005571F9" w:rsidTr="009C7C08">
        <w:tblPrEx>
          <w:tblCellMar>
            <w:bottom w:w="0" w:type="dxa"/>
          </w:tblCellMar>
        </w:tblPrEx>
        <w:tc>
          <w:tcPr>
            <w:tcW w:w="2390" w:type="pct"/>
          </w:tcPr>
          <w:p w:rsidR="009D4997" w:rsidRPr="00554DB2" w:rsidRDefault="009D4997" w:rsidP="009C7C08">
            <w:pPr>
              <w:jc w:val="both"/>
              <w:rPr>
                <w:sz w:val="20"/>
                <w:lang w:val="fr-CA"/>
              </w:rPr>
            </w:pPr>
            <w:r w:rsidRPr="00554DB2">
              <w:rPr>
                <w:sz w:val="20"/>
                <w:lang w:val="fr-CA"/>
              </w:rPr>
              <w:t>15 octobre 2010</w:t>
            </w:r>
          </w:p>
          <w:p w:rsidR="009D4997" w:rsidRPr="00554DB2" w:rsidRDefault="009D4997" w:rsidP="009C7C08">
            <w:pPr>
              <w:jc w:val="both"/>
              <w:rPr>
                <w:sz w:val="20"/>
                <w:lang w:val="fr-CA"/>
              </w:rPr>
            </w:pPr>
            <w:r w:rsidRPr="00554DB2">
              <w:rPr>
                <w:sz w:val="20"/>
                <w:lang w:val="fr-CA"/>
              </w:rPr>
              <w:t xml:space="preserve">Cour supérieure de justice de l'Ontario </w:t>
            </w:r>
          </w:p>
          <w:p w:rsidR="009D4997" w:rsidRPr="00554DB2" w:rsidRDefault="009D4997" w:rsidP="009C7C08">
            <w:pPr>
              <w:jc w:val="both"/>
              <w:rPr>
                <w:sz w:val="20"/>
                <w:lang w:val="fr-CA"/>
              </w:rPr>
            </w:pPr>
            <w:r w:rsidRPr="00554DB2">
              <w:rPr>
                <w:sz w:val="20"/>
                <w:lang w:val="fr-CA"/>
              </w:rPr>
              <w:t xml:space="preserve">(Juge Rady) </w:t>
            </w:r>
          </w:p>
          <w:p w:rsidR="009D4997" w:rsidRPr="00554DB2" w:rsidRDefault="009D4997" w:rsidP="009C7C08">
            <w:pPr>
              <w:jc w:val="both"/>
              <w:rPr>
                <w:sz w:val="20"/>
                <w:lang w:val="fr-CA"/>
              </w:rPr>
            </w:pPr>
            <w:r w:rsidRPr="00554DB2">
              <w:rPr>
                <w:sz w:val="20"/>
                <w:lang w:val="fr-CA"/>
              </w:rPr>
              <w:t>2010 ONSC 2952</w:t>
            </w:r>
          </w:p>
          <w:p w:rsidR="009D4997" w:rsidRPr="00554DB2" w:rsidRDefault="009D4997" w:rsidP="009C7C08">
            <w:pPr>
              <w:jc w:val="both"/>
              <w:rPr>
                <w:sz w:val="20"/>
                <w:lang w:val="fr-CA"/>
              </w:rPr>
            </w:pPr>
          </w:p>
        </w:tc>
        <w:tc>
          <w:tcPr>
            <w:tcW w:w="270" w:type="pct"/>
          </w:tcPr>
          <w:p w:rsidR="009D4997" w:rsidRPr="00554DB2" w:rsidRDefault="009D4997" w:rsidP="009C7C08">
            <w:pPr>
              <w:jc w:val="both"/>
              <w:rPr>
                <w:sz w:val="20"/>
                <w:lang w:val="fr-CA"/>
              </w:rPr>
            </w:pPr>
          </w:p>
        </w:tc>
        <w:tc>
          <w:tcPr>
            <w:tcW w:w="2340" w:type="pct"/>
          </w:tcPr>
          <w:p w:rsidR="009D4997" w:rsidRPr="00554DB2" w:rsidRDefault="009D4997" w:rsidP="009C7C08">
            <w:pPr>
              <w:jc w:val="both"/>
              <w:rPr>
                <w:sz w:val="20"/>
                <w:lang w:val="fr-CA"/>
              </w:rPr>
            </w:pPr>
            <w:r w:rsidRPr="00554DB2">
              <w:rPr>
                <w:sz w:val="20"/>
                <w:lang w:val="fr-CA"/>
              </w:rPr>
              <w:t>Le demandeur est jugé responsable et condamné à payer à l'intimée la somme de 919 237 $ en dommages</w:t>
            </w:r>
            <w:r w:rsidRPr="00554DB2">
              <w:rPr>
                <w:sz w:val="20"/>
                <w:lang w:val="fr-CA"/>
              </w:rPr>
              <w:noBreakHyphen/>
              <w:t xml:space="preserve">intérêts </w:t>
            </w:r>
          </w:p>
          <w:p w:rsidR="009D4997" w:rsidRPr="00554DB2" w:rsidRDefault="009D4997" w:rsidP="009C7C08">
            <w:pPr>
              <w:jc w:val="both"/>
              <w:rPr>
                <w:sz w:val="20"/>
                <w:lang w:val="fr-CA"/>
              </w:rPr>
            </w:pPr>
          </w:p>
        </w:tc>
      </w:tr>
      <w:tr w:rsidR="009D4997" w:rsidRPr="00554DB2" w:rsidTr="009C7C08">
        <w:tblPrEx>
          <w:tblCellMar>
            <w:bottom w:w="0" w:type="dxa"/>
          </w:tblCellMar>
        </w:tblPrEx>
        <w:tc>
          <w:tcPr>
            <w:tcW w:w="2390" w:type="pct"/>
          </w:tcPr>
          <w:p w:rsidR="009D4997" w:rsidRPr="00554DB2" w:rsidRDefault="009D4997" w:rsidP="009C7C08">
            <w:pPr>
              <w:jc w:val="both"/>
              <w:rPr>
                <w:sz w:val="20"/>
                <w:lang w:val="fr-CA"/>
              </w:rPr>
            </w:pPr>
            <w:r w:rsidRPr="00554DB2">
              <w:rPr>
                <w:sz w:val="20"/>
                <w:lang w:val="fr-CA"/>
              </w:rPr>
              <w:t>26 janvier 2012</w:t>
            </w:r>
          </w:p>
          <w:p w:rsidR="009D4997" w:rsidRPr="00554DB2" w:rsidRDefault="009D4997" w:rsidP="009C7C08">
            <w:pPr>
              <w:jc w:val="both"/>
              <w:rPr>
                <w:sz w:val="20"/>
                <w:lang w:val="fr-CA"/>
              </w:rPr>
            </w:pPr>
            <w:r w:rsidRPr="00554DB2">
              <w:rPr>
                <w:sz w:val="20"/>
                <w:lang w:val="fr-CA"/>
              </w:rPr>
              <w:t xml:space="preserve">Cour d'appel de l'Ontario </w:t>
            </w:r>
          </w:p>
          <w:p w:rsidR="009D4997" w:rsidRPr="00554DB2" w:rsidRDefault="009D4997" w:rsidP="009C7C08">
            <w:pPr>
              <w:jc w:val="both"/>
              <w:rPr>
                <w:sz w:val="20"/>
                <w:lang w:val="fr-CA"/>
              </w:rPr>
            </w:pPr>
            <w:r w:rsidRPr="00554DB2">
              <w:rPr>
                <w:sz w:val="20"/>
                <w:lang w:val="fr-CA"/>
              </w:rPr>
              <w:t>(Juges Doherty, LaForme et Hoy)</w:t>
            </w:r>
          </w:p>
          <w:p w:rsidR="009D4997" w:rsidRPr="00554DB2" w:rsidRDefault="009D4997" w:rsidP="009C7C08">
            <w:pPr>
              <w:jc w:val="both"/>
              <w:rPr>
                <w:sz w:val="20"/>
                <w:lang w:val="fr-CA"/>
              </w:rPr>
            </w:pPr>
            <w:r w:rsidRPr="00554DB2">
              <w:rPr>
                <w:sz w:val="20"/>
                <w:lang w:val="fr-CA"/>
              </w:rPr>
              <w:t>2012 ONCA 45; C52959</w:t>
            </w:r>
          </w:p>
          <w:p w:rsidR="009D4997" w:rsidRPr="00554DB2" w:rsidRDefault="009D4997" w:rsidP="009C7C08">
            <w:pPr>
              <w:jc w:val="both"/>
              <w:rPr>
                <w:sz w:val="20"/>
                <w:lang w:val="fr-CA"/>
              </w:rPr>
            </w:pPr>
          </w:p>
        </w:tc>
        <w:tc>
          <w:tcPr>
            <w:tcW w:w="270" w:type="pct"/>
          </w:tcPr>
          <w:p w:rsidR="009D4997" w:rsidRPr="00554DB2" w:rsidRDefault="009D4997" w:rsidP="009C7C08">
            <w:pPr>
              <w:jc w:val="both"/>
              <w:rPr>
                <w:sz w:val="20"/>
                <w:lang w:val="fr-CA"/>
              </w:rPr>
            </w:pPr>
          </w:p>
        </w:tc>
        <w:tc>
          <w:tcPr>
            <w:tcW w:w="2340" w:type="pct"/>
          </w:tcPr>
          <w:p w:rsidR="009D4997" w:rsidRPr="00554DB2" w:rsidRDefault="009D4997" w:rsidP="009C7C08">
            <w:pPr>
              <w:jc w:val="both"/>
              <w:rPr>
                <w:sz w:val="20"/>
                <w:lang w:val="fr-CA"/>
              </w:rPr>
            </w:pPr>
            <w:r w:rsidRPr="00554DB2">
              <w:rPr>
                <w:sz w:val="20"/>
                <w:lang w:val="fr-CA"/>
              </w:rPr>
              <w:t>Appel rejeté</w:t>
            </w:r>
          </w:p>
          <w:p w:rsidR="009D4997" w:rsidRPr="00554DB2" w:rsidRDefault="009D4997" w:rsidP="009C7C08">
            <w:pPr>
              <w:jc w:val="both"/>
              <w:rPr>
                <w:sz w:val="20"/>
                <w:lang w:val="fr-CA"/>
              </w:rPr>
            </w:pPr>
          </w:p>
        </w:tc>
      </w:tr>
      <w:tr w:rsidR="009D4997" w:rsidRPr="00554DB2" w:rsidTr="009C7C08">
        <w:tblPrEx>
          <w:tblCellMar>
            <w:bottom w:w="0" w:type="dxa"/>
          </w:tblCellMar>
        </w:tblPrEx>
        <w:tc>
          <w:tcPr>
            <w:tcW w:w="2390" w:type="pct"/>
          </w:tcPr>
          <w:p w:rsidR="009D4997" w:rsidRPr="00554DB2" w:rsidRDefault="009D4997" w:rsidP="009C7C08">
            <w:pPr>
              <w:jc w:val="both"/>
              <w:rPr>
                <w:sz w:val="20"/>
                <w:lang w:val="fr-CA"/>
              </w:rPr>
            </w:pPr>
            <w:r w:rsidRPr="00554DB2">
              <w:rPr>
                <w:sz w:val="20"/>
                <w:lang w:val="fr-CA"/>
              </w:rPr>
              <w:t>7 mars 2012</w:t>
            </w:r>
          </w:p>
          <w:p w:rsidR="009D4997" w:rsidRPr="00554DB2" w:rsidRDefault="009D4997" w:rsidP="009C7C08">
            <w:pPr>
              <w:jc w:val="both"/>
              <w:rPr>
                <w:sz w:val="20"/>
                <w:lang w:val="fr-CA"/>
              </w:rPr>
            </w:pPr>
            <w:r w:rsidRPr="00554DB2">
              <w:rPr>
                <w:sz w:val="20"/>
                <w:lang w:val="fr-CA"/>
              </w:rPr>
              <w:t>Cour suprême du Canada</w:t>
            </w:r>
          </w:p>
        </w:tc>
        <w:tc>
          <w:tcPr>
            <w:tcW w:w="270" w:type="pct"/>
          </w:tcPr>
          <w:p w:rsidR="009D4997" w:rsidRPr="00554DB2" w:rsidRDefault="009D4997" w:rsidP="009C7C08">
            <w:pPr>
              <w:jc w:val="both"/>
              <w:rPr>
                <w:sz w:val="20"/>
                <w:lang w:val="fr-CA"/>
              </w:rPr>
            </w:pPr>
          </w:p>
        </w:tc>
        <w:tc>
          <w:tcPr>
            <w:tcW w:w="2340" w:type="pct"/>
          </w:tcPr>
          <w:p w:rsidR="009D4997" w:rsidRPr="00554DB2" w:rsidRDefault="009D4997" w:rsidP="009C7C08">
            <w:pPr>
              <w:jc w:val="both"/>
              <w:rPr>
                <w:sz w:val="20"/>
                <w:lang w:val="fr-CA"/>
              </w:rPr>
            </w:pPr>
            <w:r w:rsidRPr="00554DB2">
              <w:rPr>
                <w:sz w:val="20"/>
                <w:lang w:val="fr-CA"/>
              </w:rPr>
              <w:t>Demande d'autorisation d'appel, déposée</w:t>
            </w:r>
          </w:p>
          <w:p w:rsidR="009D4997" w:rsidRPr="00554DB2" w:rsidRDefault="009D4997" w:rsidP="009C7C08">
            <w:pPr>
              <w:jc w:val="both"/>
              <w:rPr>
                <w:sz w:val="20"/>
                <w:lang w:val="fr-CA"/>
              </w:rPr>
            </w:pPr>
          </w:p>
        </w:tc>
      </w:tr>
    </w:tbl>
    <w:p w:rsidR="00FA1074" w:rsidRDefault="00FA1074" w:rsidP="008D292F">
      <w:pPr>
        <w:rPr>
          <w:sz w:val="20"/>
          <w:szCs w:val="20"/>
        </w:rPr>
      </w:pPr>
    </w:p>
    <w:p w:rsidR="00FA1074" w:rsidRDefault="002048ED" w:rsidP="008D292F">
      <w:pPr>
        <w:rPr>
          <w:sz w:val="20"/>
          <w:szCs w:val="20"/>
        </w:rPr>
      </w:pPr>
      <w:r w:rsidRPr="002048ED">
        <w:rPr>
          <w:sz w:val="20"/>
          <w:szCs w:val="20"/>
          <w:lang w:val="fr-CA"/>
        </w:rPr>
        <w:pict>
          <v:rect id="_x0000_i1047" style="width:2in;height:1pt" o:hrpct="0" o:hralign="center" o:hrstd="t" o:hrnoshade="t" o:hr="t" fillcolor="black [3213]" stroked="f"/>
        </w:pict>
      </w:r>
    </w:p>
    <w:p w:rsidR="00FA1074" w:rsidRDefault="00FA1074"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52DF7" w:rsidRPr="005571F9" w:rsidTr="00032CB5">
        <w:trPr>
          <w:cantSplit/>
        </w:trPr>
        <w:tc>
          <w:tcPr>
            <w:tcW w:w="1458" w:type="dxa"/>
          </w:tcPr>
          <w:p w:rsidR="00B52DF7" w:rsidRPr="004E07FE" w:rsidRDefault="00B52DF7" w:rsidP="00032CB5">
            <w:pPr>
              <w:rPr>
                <w:sz w:val="20"/>
                <w:szCs w:val="20"/>
              </w:rPr>
            </w:pPr>
            <w:r w:rsidRPr="004E07FE">
              <w:rPr>
                <w:rStyle w:val="SCCFileNumberChar"/>
                <w:sz w:val="20"/>
                <w:szCs w:val="20"/>
              </w:rPr>
              <w:t>34733</w:t>
            </w:r>
          </w:p>
          <w:p w:rsidR="00B52DF7" w:rsidRPr="004E07FE" w:rsidRDefault="00B52DF7" w:rsidP="00032CB5">
            <w:pPr>
              <w:rPr>
                <w:b/>
                <w:sz w:val="20"/>
                <w:szCs w:val="20"/>
                <w:lang w:val="fr-CA"/>
              </w:rPr>
            </w:pPr>
          </w:p>
        </w:tc>
        <w:tc>
          <w:tcPr>
            <w:tcW w:w="8118" w:type="dxa"/>
          </w:tcPr>
          <w:p w:rsidR="00B52DF7" w:rsidRPr="004E07FE" w:rsidRDefault="00B52DF7" w:rsidP="00032CB5">
            <w:pPr>
              <w:jc w:val="both"/>
              <w:rPr>
                <w:sz w:val="20"/>
                <w:szCs w:val="20"/>
                <w:lang w:val="fr-CA"/>
              </w:rPr>
            </w:pPr>
            <w:r w:rsidRPr="004E07FE">
              <w:rPr>
                <w:rStyle w:val="SCCLsocChar"/>
                <w:sz w:val="20"/>
                <w:szCs w:val="20"/>
              </w:rPr>
              <w:t>Association canadienne contre l'impunité c. Anvil Mining Limited</w:t>
            </w:r>
            <w:r w:rsidRPr="004E07FE">
              <w:rPr>
                <w:sz w:val="20"/>
                <w:szCs w:val="20"/>
                <w:lang w:val="fr-CA"/>
              </w:rPr>
              <w:t xml:space="preserve"> (Qc) (Civile) (Autorisation)</w:t>
            </w:r>
          </w:p>
          <w:p w:rsidR="00B52DF7" w:rsidRPr="004E07FE" w:rsidRDefault="00B52DF7" w:rsidP="00032CB5">
            <w:pPr>
              <w:rPr>
                <w:sz w:val="20"/>
                <w:szCs w:val="20"/>
                <w:lang w:val="fr-CA"/>
              </w:rPr>
            </w:pPr>
          </w:p>
        </w:tc>
      </w:tr>
      <w:tr w:rsidR="00B52DF7" w:rsidRPr="005571F9" w:rsidTr="00032CB5">
        <w:trPr>
          <w:cantSplit/>
        </w:trPr>
        <w:tc>
          <w:tcPr>
            <w:tcW w:w="1458" w:type="dxa"/>
          </w:tcPr>
          <w:p w:rsidR="00B52DF7" w:rsidRPr="004E07FE" w:rsidRDefault="00B52DF7" w:rsidP="00032CB5">
            <w:pPr>
              <w:rPr>
                <w:sz w:val="20"/>
                <w:szCs w:val="20"/>
              </w:rPr>
            </w:pPr>
            <w:r w:rsidRPr="004E07FE">
              <w:rPr>
                <w:sz w:val="20"/>
                <w:szCs w:val="20"/>
              </w:rPr>
              <w:t>Coram :</w:t>
            </w:r>
          </w:p>
        </w:tc>
        <w:tc>
          <w:tcPr>
            <w:tcW w:w="8118" w:type="dxa"/>
          </w:tcPr>
          <w:p w:rsidR="00B52DF7" w:rsidRPr="004E07FE" w:rsidRDefault="00B52DF7" w:rsidP="00032CB5">
            <w:pPr>
              <w:rPr>
                <w:sz w:val="20"/>
                <w:szCs w:val="20"/>
                <w:lang w:val="fr-CA"/>
              </w:rPr>
            </w:pPr>
            <w:r w:rsidRPr="004E07FE">
              <w:rPr>
                <w:rStyle w:val="SCCCoramChar"/>
                <w:sz w:val="20"/>
                <w:szCs w:val="20"/>
              </w:rPr>
              <w:t>Les juges LeBel, Abella et Cromwell</w:t>
            </w:r>
          </w:p>
          <w:p w:rsidR="00B52DF7" w:rsidRPr="004E07FE" w:rsidRDefault="00B52DF7" w:rsidP="00032CB5">
            <w:pPr>
              <w:rPr>
                <w:sz w:val="20"/>
                <w:szCs w:val="20"/>
                <w:u w:val="single"/>
                <w:lang w:val="fr-CA"/>
              </w:rPr>
            </w:pPr>
          </w:p>
        </w:tc>
      </w:tr>
      <w:tr w:rsidR="00B52DF7" w:rsidRPr="004E07FE" w:rsidTr="00032CB5">
        <w:trPr>
          <w:cantSplit/>
        </w:trPr>
        <w:tc>
          <w:tcPr>
            <w:tcW w:w="9576" w:type="dxa"/>
            <w:gridSpan w:val="2"/>
          </w:tcPr>
          <w:p w:rsidR="00B52DF7" w:rsidRPr="004E07FE" w:rsidRDefault="00B52DF7" w:rsidP="00032CB5">
            <w:pPr>
              <w:pStyle w:val="SCCShortJudgment"/>
              <w:rPr>
                <w:szCs w:val="20"/>
                <w:lang w:val="fr-CA"/>
              </w:rPr>
            </w:pPr>
            <w:r w:rsidRPr="004E07FE">
              <w:rPr>
                <w:szCs w:val="20"/>
                <w:lang w:val="fr-CA"/>
              </w:rPr>
              <w:t>La requête pour permission d’intervenir d’Essex Business and Human Rights Project et Essex Human Rights Clinic est rejetée. La demande d’autorisation d’appel de l’arrêt de la Cour d’appel du Québec (Montréal), numéro 500-09-021701-115, 2012 QCCA 117, daté du 24 janvier 2012, est rejetée avec dépens.</w:t>
            </w:r>
          </w:p>
          <w:p w:rsidR="00B52DF7" w:rsidRPr="004E07FE" w:rsidRDefault="00B52DF7" w:rsidP="00032CB5">
            <w:pPr>
              <w:pStyle w:val="SCCShortJudgment"/>
              <w:ind w:firstLine="0"/>
              <w:rPr>
                <w:szCs w:val="20"/>
                <w:lang w:val="fr-CA"/>
              </w:rPr>
            </w:pPr>
          </w:p>
          <w:p w:rsidR="00B52DF7" w:rsidRPr="004E07FE" w:rsidRDefault="00B52DF7" w:rsidP="00032CB5">
            <w:pPr>
              <w:pStyle w:val="SCCShortJudgment"/>
              <w:rPr>
                <w:szCs w:val="20"/>
              </w:rPr>
            </w:pPr>
            <w:r w:rsidRPr="004E07FE">
              <w:rPr>
                <w:szCs w:val="20"/>
              </w:rPr>
              <w:t>The motion for leave to intervene of Essex Business and Human Rights Project and Essex Human Rights Clinic is dismissed. The application for leave to appeal from the judgment of the Court of Appeal of Quebec (Montréal), Number 500-09-021701-115, 2012 QCCA 117, dated January 24, 2012, is dismissed with costs.</w:t>
            </w:r>
          </w:p>
        </w:tc>
      </w:tr>
    </w:tbl>
    <w:p w:rsidR="00FA1074" w:rsidRDefault="00FA1074" w:rsidP="00FA1074">
      <w:pPr>
        <w:rPr>
          <w:sz w:val="20"/>
          <w:szCs w:val="20"/>
        </w:rPr>
      </w:pPr>
    </w:p>
    <w:p w:rsidR="00B52DF7" w:rsidRDefault="00B52DF7">
      <w:pPr>
        <w:rPr>
          <w:sz w:val="20"/>
          <w:szCs w:val="20"/>
          <w:u w:val="single"/>
        </w:rPr>
      </w:pPr>
      <w:r>
        <w:rPr>
          <w:sz w:val="20"/>
          <w:szCs w:val="20"/>
          <w:u w:val="single"/>
        </w:rPr>
        <w:br w:type="page"/>
      </w: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B41F3" w:rsidRPr="00554DB2" w:rsidTr="009C7C08">
        <w:tc>
          <w:tcPr>
            <w:tcW w:w="5000" w:type="pct"/>
            <w:gridSpan w:val="3"/>
          </w:tcPr>
          <w:p w:rsidR="00FB41F3" w:rsidRPr="00554DB2" w:rsidRDefault="00FB41F3" w:rsidP="009C7C08">
            <w:pPr>
              <w:jc w:val="both"/>
              <w:rPr>
                <w:rFonts w:eastAsia="Calibri"/>
                <w:sz w:val="20"/>
              </w:rPr>
            </w:pPr>
            <w:r w:rsidRPr="00554DB2">
              <w:rPr>
                <w:rFonts w:eastAsia="Calibri"/>
                <w:sz w:val="20"/>
              </w:rPr>
              <w:t xml:space="preserve">Private international law — Jurisdiction of Quebec court based on activities of defendant with office in Quebec — Forum of necessity — Rebellion put down by Congolese army in Kilwa in 2004 — Officers acquitted of war crimes and respondent acquitted of complicity in military proceeding in Congo — Victims unable to bring civil proceedings in Australia, where respondent  has head office — Motion to institute class action against respondent in Quebec, where it has had place of business since 2005 — Respondent raising declinatory exception on ground of lack of jurisdiction of Quebec court — For Quebec court to have jurisdiction, whether foreign legal person’s Quebec activities must exist at time when action instituted or at time when cause of action arose — Whether, in considering court’s jurisdiction, Court of Appeal erred in imposing burden on applicant to prove participation of Quebec office in alleged fault — If Quebec court has jurisdiction, whether it is nonetheless </w:t>
            </w:r>
            <w:r w:rsidRPr="00554DB2">
              <w:rPr>
                <w:rFonts w:eastAsia="Calibri"/>
                <w:i/>
                <w:sz w:val="20"/>
              </w:rPr>
              <w:t>forum non conveniens</w:t>
            </w:r>
            <w:r w:rsidRPr="00554DB2">
              <w:rPr>
                <w:rFonts w:eastAsia="Calibri"/>
                <w:sz w:val="20"/>
              </w:rPr>
              <w:t xml:space="preserve"> in this case — If Quebec court does not have jurisdiction, whether it is nonetheless forum of necessity in this case — </w:t>
            </w:r>
            <w:r w:rsidRPr="00554DB2">
              <w:rPr>
                <w:rFonts w:eastAsia="Calibri"/>
                <w:i/>
                <w:sz w:val="20"/>
              </w:rPr>
              <w:t>Civil Code of Québec</w:t>
            </w:r>
            <w:r w:rsidRPr="00554DB2">
              <w:rPr>
                <w:rFonts w:eastAsia="Calibri"/>
                <w:sz w:val="20"/>
              </w:rPr>
              <w:t>, S.Q. 1991, c. 64, arts. 3148(2), 3135 and 3136.</w:t>
            </w:r>
          </w:p>
        </w:tc>
      </w:tr>
      <w:tr w:rsidR="00FB41F3" w:rsidRPr="00554DB2" w:rsidTr="009C7C08">
        <w:tc>
          <w:tcPr>
            <w:tcW w:w="5000" w:type="pct"/>
            <w:gridSpan w:val="3"/>
          </w:tcPr>
          <w:p w:rsidR="00FB41F3" w:rsidRPr="00554DB2" w:rsidRDefault="00FB41F3" w:rsidP="009C7C08">
            <w:pPr>
              <w:jc w:val="both"/>
              <w:rPr>
                <w:rFonts w:eastAsia="Calibri"/>
                <w:sz w:val="20"/>
              </w:rPr>
            </w:pPr>
          </w:p>
        </w:tc>
      </w:tr>
      <w:tr w:rsidR="00FB41F3" w:rsidRPr="00554DB2" w:rsidTr="009C7C08">
        <w:tc>
          <w:tcPr>
            <w:tcW w:w="5000" w:type="pct"/>
            <w:gridSpan w:val="3"/>
          </w:tcPr>
          <w:p w:rsidR="00FB41F3" w:rsidRPr="00554DB2" w:rsidRDefault="00FB41F3" w:rsidP="009C7C08">
            <w:pPr>
              <w:jc w:val="both"/>
              <w:rPr>
                <w:rFonts w:eastAsia="Calibri"/>
                <w:sz w:val="20"/>
              </w:rPr>
            </w:pPr>
            <w:r w:rsidRPr="00554DB2">
              <w:rPr>
                <w:rFonts w:eastAsia="Calibri"/>
                <w:sz w:val="20"/>
              </w:rPr>
              <w:t>The Congolese army put down a rebellion in Kilwa in October 2004.  In 2006, nine officers were charged with war crimes; Anvil was charged with complicity.  On June 28, 2007, a Congolese military court exonerated the accused.  Since a civil action seemed to be barred in Congo as a result of the military judgment, which disposed of it incidentally, the applicant commenced a civil action in Australia, where Anvil has its head office, but could not continue the action because it had no counsel.  It is now seeking authorization for a class action in Quebec, since Anvil has had an office in Montréal since 2005.</w:t>
            </w:r>
          </w:p>
          <w:p w:rsidR="00FB41F3" w:rsidRPr="00554DB2" w:rsidRDefault="00FB41F3" w:rsidP="009C7C08">
            <w:pPr>
              <w:jc w:val="both"/>
              <w:rPr>
                <w:rFonts w:eastAsia="Calibri"/>
                <w:sz w:val="20"/>
              </w:rPr>
            </w:pPr>
          </w:p>
        </w:tc>
      </w:tr>
      <w:tr w:rsidR="00FB41F3" w:rsidRPr="00554DB2" w:rsidTr="009C7C08">
        <w:tc>
          <w:tcPr>
            <w:tcW w:w="2427" w:type="pct"/>
          </w:tcPr>
          <w:p w:rsidR="00FB41F3" w:rsidRPr="00554DB2" w:rsidRDefault="00FB41F3" w:rsidP="009C7C08">
            <w:pPr>
              <w:jc w:val="both"/>
              <w:rPr>
                <w:rFonts w:eastAsia="Calibri"/>
                <w:sz w:val="20"/>
              </w:rPr>
            </w:pPr>
            <w:r w:rsidRPr="00554DB2">
              <w:rPr>
                <w:rFonts w:eastAsia="Calibri"/>
                <w:sz w:val="20"/>
              </w:rPr>
              <w:t>April 27, 2011</w:t>
            </w:r>
          </w:p>
          <w:p w:rsidR="00FB41F3" w:rsidRPr="00554DB2" w:rsidRDefault="00FB41F3" w:rsidP="009C7C08">
            <w:pPr>
              <w:jc w:val="both"/>
              <w:rPr>
                <w:rFonts w:eastAsia="Calibri"/>
                <w:sz w:val="20"/>
              </w:rPr>
            </w:pPr>
            <w:r w:rsidRPr="00554DB2">
              <w:rPr>
                <w:rFonts w:eastAsia="Calibri"/>
                <w:sz w:val="20"/>
              </w:rPr>
              <w:t>Quebec Superior Court</w:t>
            </w:r>
          </w:p>
          <w:p w:rsidR="00FB41F3" w:rsidRPr="00554DB2" w:rsidRDefault="00FB41F3" w:rsidP="009C7C08">
            <w:pPr>
              <w:jc w:val="both"/>
              <w:rPr>
                <w:rFonts w:eastAsia="Calibri"/>
                <w:sz w:val="20"/>
              </w:rPr>
            </w:pPr>
            <w:r w:rsidRPr="00554DB2">
              <w:rPr>
                <w:rFonts w:eastAsia="Calibri"/>
                <w:sz w:val="20"/>
              </w:rPr>
              <w:t>(Émery J.)</w:t>
            </w:r>
          </w:p>
          <w:p w:rsidR="00FB41F3" w:rsidRPr="00554DB2" w:rsidRDefault="00FB41F3" w:rsidP="009C7C08">
            <w:pPr>
              <w:jc w:val="both"/>
              <w:rPr>
                <w:rFonts w:eastAsia="Calibri"/>
                <w:sz w:val="20"/>
              </w:rPr>
            </w:pPr>
            <w:r w:rsidRPr="00554DB2">
              <w:rPr>
                <w:rFonts w:eastAsia="Calibri"/>
                <w:sz w:val="20"/>
              </w:rPr>
              <w:t>2011 QCCS 1966</w:t>
            </w:r>
          </w:p>
          <w:p w:rsidR="00FB41F3" w:rsidRPr="00554DB2" w:rsidRDefault="00FB41F3" w:rsidP="009C7C08">
            <w:pPr>
              <w:jc w:val="both"/>
              <w:rPr>
                <w:rFonts w:eastAsia="Calibri"/>
                <w:sz w:val="20"/>
              </w:rPr>
            </w:pPr>
          </w:p>
        </w:tc>
        <w:tc>
          <w:tcPr>
            <w:tcW w:w="243" w:type="pct"/>
          </w:tcPr>
          <w:p w:rsidR="00FB41F3" w:rsidRPr="00554DB2" w:rsidRDefault="00FB41F3" w:rsidP="009C7C08">
            <w:pPr>
              <w:jc w:val="both"/>
              <w:rPr>
                <w:rFonts w:eastAsia="Calibri"/>
                <w:sz w:val="20"/>
              </w:rPr>
            </w:pPr>
          </w:p>
        </w:tc>
        <w:tc>
          <w:tcPr>
            <w:tcW w:w="2330" w:type="pct"/>
          </w:tcPr>
          <w:p w:rsidR="00FB41F3" w:rsidRPr="00554DB2" w:rsidRDefault="00FB41F3" w:rsidP="009C7C08">
            <w:pPr>
              <w:jc w:val="both"/>
              <w:rPr>
                <w:rFonts w:eastAsia="Calibri"/>
                <w:sz w:val="20"/>
              </w:rPr>
            </w:pPr>
            <w:r w:rsidRPr="00554DB2">
              <w:rPr>
                <w:rFonts w:eastAsia="Calibri"/>
                <w:sz w:val="20"/>
              </w:rPr>
              <w:t>Respondent’s declinatory exception dismissed; Quebec court declared to have jurisdiction</w:t>
            </w:r>
          </w:p>
        </w:tc>
      </w:tr>
      <w:tr w:rsidR="00FB41F3" w:rsidRPr="00554DB2" w:rsidTr="009C7C08">
        <w:tc>
          <w:tcPr>
            <w:tcW w:w="2427" w:type="pct"/>
          </w:tcPr>
          <w:p w:rsidR="00FB41F3" w:rsidRPr="00554DB2" w:rsidRDefault="00FB41F3" w:rsidP="009C7C08">
            <w:pPr>
              <w:jc w:val="both"/>
              <w:rPr>
                <w:rFonts w:eastAsia="Calibri"/>
                <w:sz w:val="20"/>
              </w:rPr>
            </w:pPr>
            <w:r w:rsidRPr="00554DB2">
              <w:rPr>
                <w:rFonts w:eastAsia="Calibri"/>
                <w:sz w:val="20"/>
              </w:rPr>
              <w:t>January 24, 2012</w:t>
            </w:r>
          </w:p>
          <w:p w:rsidR="00FB41F3" w:rsidRPr="00554DB2" w:rsidRDefault="00FB41F3" w:rsidP="009C7C08">
            <w:pPr>
              <w:jc w:val="both"/>
              <w:rPr>
                <w:rFonts w:eastAsia="Calibri"/>
                <w:sz w:val="20"/>
              </w:rPr>
            </w:pPr>
            <w:r w:rsidRPr="00554DB2">
              <w:rPr>
                <w:rFonts w:eastAsia="Calibri"/>
                <w:sz w:val="20"/>
              </w:rPr>
              <w:t>Quebec Court of Appeal (Montréal)</w:t>
            </w:r>
          </w:p>
          <w:p w:rsidR="00FB41F3" w:rsidRPr="00554DB2" w:rsidRDefault="00FB41F3" w:rsidP="009C7C08">
            <w:pPr>
              <w:jc w:val="both"/>
              <w:rPr>
                <w:rFonts w:eastAsia="Calibri"/>
                <w:sz w:val="20"/>
              </w:rPr>
            </w:pPr>
            <w:r w:rsidRPr="00554DB2">
              <w:rPr>
                <w:rFonts w:eastAsia="Calibri"/>
                <w:sz w:val="20"/>
              </w:rPr>
              <w:t>(Forget, Giroux and Wagner JJ.A.)</w:t>
            </w:r>
          </w:p>
          <w:p w:rsidR="00FB41F3" w:rsidRPr="00554DB2" w:rsidRDefault="00FB41F3" w:rsidP="009C7C08">
            <w:pPr>
              <w:jc w:val="both"/>
              <w:rPr>
                <w:rFonts w:eastAsia="Calibri"/>
                <w:sz w:val="20"/>
              </w:rPr>
            </w:pPr>
            <w:r w:rsidRPr="00554DB2">
              <w:rPr>
                <w:rFonts w:eastAsia="Calibri"/>
                <w:sz w:val="20"/>
              </w:rPr>
              <w:t>2012 QCCA 117</w:t>
            </w:r>
          </w:p>
          <w:p w:rsidR="00FB41F3" w:rsidRPr="00554DB2" w:rsidRDefault="00FB41F3" w:rsidP="009C7C08">
            <w:pPr>
              <w:jc w:val="both"/>
              <w:rPr>
                <w:rFonts w:eastAsia="Calibri"/>
                <w:sz w:val="20"/>
              </w:rPr>
            </w:pPr>
          </w:p>
        </w:tc>
        <w:tc>
          <w:tcPr>
            <w:tcW w:w="243" w:type="pct"/>
          </w:tcPr>
          <w:p w:rsidR="00FB41F3" w:rsidRPr="00554DB2" w:rsidRDefault="00FB41F3" w:rsidP="009C7C08">
            <w:pPr>
              <w:jc w:val="both"/>
              <w:rPr>
                <w:rFonts w:eastAsia="Calibri"/>
                <w:sz w:val="20"/>
              </w:rPr>
            </w:pPr>
          </w:p>
        </w:tc>
        <w:tc>
          <w:tcPr>
            <w:tcW w:w="2330" w:type="pct"/>
          </w:tcPr>
          <w:p w:rsidR="00FB41F3" w:rsidRPr="00554DB2" w:rsidRDefault="00FB41F3" w:rsidP="009C7C08">
            <w:pPr>
              <w:jc w:val="both"/>
              <w:rPr>
                <w:rFonts w:eastAsia="Calibri"/>
                <w:sz w:val="20"/>
              </w:rPr>
            </w:pPr>
            <w:r w:rsidRPr="00554DB2">
              <w:rPr>
                <w:rFonts w:eastAsia="Calibri"/>
                <w:sz w:val="20"/>
              </w:rPr>
              <w:t>Appeal allowed; Quebec court declared to have no jurisdiction</w:t>
            </w:r>
          </w:p>
          <w:p w:rsidR="00FB41F3" w:rsidRPr="00554DB2" w:rsidRDefault="00FB41F3" w:rsidP="009C7C08">
            <w:pPr>
              <w:jc w:val="both"/>
              <w:rPr>
                <w:rFonts w:eastAsia="Calibri"/>
                <w:sz w:val="20"/>
              </w:rPr>
            </w:pPr>
          </w:p>
        </w:tc>
      </w:tr>
      <w:tr w:rsidR="00FB41F3" w:rsidRPr="00554DB2" w:rsidTr="009C7C08">
        <w:tc>
          <w:tcPr>
            <w:tcW w:w="2427" w:type="pct"/>
          </w:tcPr>
          <w:p w:rsidR="00FB41F3" w:rsidRPr="00554DB2" w:rsidRDefault="00FB41F3" w:rsidP="009C7C08">
            <w:pPr>
              <w:jc w:val="both"/>
              <w:rPr>
                <w:rFonts w:eastAsia="Calibri"/>
                <w:sz w:val="20"/>
              </w:rPr>
            </w:pPr>
            <w:r w:rsidRPr="00554DB2">
              <w:rPr>
                <w:rFonts w:eastAsia="Calibri"/>
                <w:sz w:val="20"/>
              </w:rPr>
              <w:t>March 26, 2012</w:t>
            </w:r>
          </w:p>
          <w:p w:rsidR="00FB41F3" w:rsidRPr="00554DB2" w:rsidRDefault="00FB41F3" w:rsidP="009C7C08">
            <w:pPr>
              <w:jc w:val="both"/>
              <w:rPr>
                <w:rFonts w:eastAsia="Calibri"/>
                <w:sz w:val="20"/>
              </w:rPr>
            </w:pPr>
            <w:r w:rsidRPr="00554DB2">
              <w:rPr>
                <w:rFonts w:eastAsia="Calibri"/>
                <w:sz w:val="20"/>
              </w:rPr>
              <w:t>Supreme Court of Canada</w:t>
            </w:r>
          </w:p>
          <w:p w:rsidR="00FB41F3" w:rsidRPr="00554DB2" w:rsidRDefault="00FB41F3" w:rsidP="009C7C08">
            <w:pPr>
              <w:jc w:val="both"/>
              <w:rPr>
                <w:rFonts w:eastAsia="Calibri"/>
                <w:sz w:val="20"/>
              </w:rPr>
            </w:pPr>
          </w:p>
        </w:tc>
        <w:tc>
          <w:tcPr>
            <w:tcW w:w="243" w:type="pct"/>
          </w:tcPr>
          <w:p w:rsidR="00FB41F3" w:rsidRPr="00554DB2" w:rsidRDefault="00FB41F3" w:rsidP="009C7C08">
            <w:pPr>
              <w:jc w:val="both"/>
              <w:rPr>
                <w:rFonts w:eastAsia="Calibri"/>
                <w:sz w:val="20"/>
              </w:rPr>
            </w:pPr>
          </w:p>
        </w:tc>
        <w:tc>
          <w:tcPr>
            <w:tcW w:w="2330" w:type="pct"/>
          </w:tcPr>
          <w:p w:rsidR="00FB41F3" w:rsidRPr="00554DB2" w:rsidRDefault="00FB41F3" w:rsidP="009C7C08">
            <w:pPr>
              <w:jc w:val="both"/>
              <w:rPr>
                <w:rFonts w:eastAsia="Calibri"/>
                <w:sz w:val="20"/>
              </w:rPr>
            </w:pPr>
            <w:r w:rsidRPr="00554DB2">
              <w:rPr>
                <w:rFonts w:eastAsia="Calibri"/>
                <w:sz w:val="20"/>
              </w:rPr>
              <w:t>Application for leave to appeal filed</w:t>
            </w:r>
          </w:p>
          <w:p w:rsidR="00FB41F3" w:rsidRPr="00554DB2" w:rsidRDefault="00FB41F3" w:rsidP="009C7C08">
            <w:pPr>
              <w:jc w:val="both"/>
              <w:rPr>
                <w:rFonts w:eastAsia="Calibri"/>
                <w:sz w:val="20"/>
              </w:rPr>
            </w:pPr>
          </w:p>
        </w:tc>
      </w:tr>
      <w:tr w:rsidR="00FB41F3" w:rsidRPr="00554DB2" w:rsidTr="009C7C08">
        <w:tc>
          <w:tcPr>
            <w:tcW w:w="2427" w:type="pct"/>
          </w:tcPr>
          <w:p w:rsidR="00FB41F3" w:rsidRPr="00554DB2" w:rsidRDefault="00FB41F3" w:rsidP="009C7C08">
            <w:pPr>
              <w:jc w:val="both"/>
              <w:rPr>
                <w:rFonts w:eastAsia="Calibri"/>
                <w:sz w:val="20"/>
              </w:rPr>
            </w:pPr>
            <w:r w:rsidRPr="00554DB2">
              <w:rPr>
                <w:rFonts w:eastAsia="Calibri"/>
                <w:sz w:val="20"/>
              </w:rPr>
              <w:t>April 25, 2012</w:t>
            </w:r>
          </w:p>
          <w:p w:rsidR="00FB41F3" w:rsidRPr="00554DB2" w:rsidRDefault="00FB41F3" w:rsidP="00FB41F3">
            <w:pPr>
              <w:jc w:val="both"/>
              <w:rPr>
                <w:rFonts w:eastAsia="Calibri"/>
                <w:sz w:val="20"/>
              </w:rPr>
            </w:pPr>
            <w:r w:rsidRPr="00554DB2">
              <w:rPr>
                <w:rFonts w:eastAsia="Calibri"/>
                <w:sz w:val="20"/>
              </w:rPr>
              <w:t>Supreme Court of Canada</w:t>
            </w:r>
          </w:p>
        </w:tc>
        <w:tc>
          <w:tcPr>
            <w:tcW w:w="243" w:type="pct"/>
          </w:tcPr>
          <w:p w:rsidR="00FB41F3" w:rsidRPr="00554DB2" w:rsidRDefault="00FB41F3" w:rsidP="009C7C08">
            <w:pPr>
              <w:jc w:val="both"/>
              <w:rPr>
                <w:rFonts w:eastAsia="Calibri"/>
                <w:sz w:val="20"/>
              </w:rPr>
            </w:pPr>
          </w:p>
        </w:tc>
        <w:tc>
          <w:tcPr>
            <w:tcW w:w="2330" w:type="pct"/>
          </w:tcPr>
          <w:p w:rsidR="00FB41F3" w:rsidRPr="00554DB2" w:rsidRDefault="00FB41F3" w:rsidP="009C7C08">
            <w:pPr>
              <w:jc w:val="both"/>
              <w:rPr>
                <w:rFonts w:eastAsia="Calibri"/>
                <w:sz w:val="20"/>
              </w:rPr>
            </w:pPr>
            <w:r w:rsidRPr="00554DB2">
              <w:rPr>
                <w:rFonts w:eastAsia="Calibri"/>
                <w:sz w:val="20"/>
              </w:rPr>
              <w:t>Motion to intervene filed by Essex Business and Human Rights Project and Essex Human Rights Clinic</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48"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B41F3" w:rsidRPr="005571F9" w:rsidTr="009C7C08">
        <w:tc>
          <w:tcPr>
            <w:tcW w:w="5000" w:type="pct"/>
            <w:gridSpan w:val="3"/>
          </w:tcPr>
          <w:p w:rsidR="00FB41F3" w:rsidRPr="00554DB2" w:rsidRDefault="00FB41F3" w:rsidP="009C7C08">
            <w:pPr>
              <w:jc w:val="both"/>
              <w:rPr>
                <w:rFonts w:eastAsia="Calibri"/>
                <w:sz w:val="20"/>
                <w:lang w:val="fr-FR"/>
              </w:rPr>
            </w:pPr>
            <w:r w:rsidRPr="00554DB2">
              <w:rPr>
                <w:rFonts w:eastAsia="Calibri"/>
                <w:sz w:val="20"/>
                <w:lang w:val="fr-FR"/>
              </w:rPr>
              <w:t>Droit international privé — Compétence du tribunal québécois selon l’activité du défendeur ayant un bureau au Québec — For de nécessité — Rébellion écrasée par l’armée congolaise à Kilwa en 2004 — Acquittement d’officiers pour crimes de guerre et de l’intimée pour complicité à l’issue d’une procédure militaire au Congo — Incapacité des victimes de poursuivre au civil en Australie où l’intimée a son siège social — Requête pour exercer contre elle un recours collectif au Québec où elle a une place d’affaires depuis 2005 — Exception déclinatoire soulevée par l’intimée au motif d’absence de compétence du tribunal québécois — L’activité québécoise de la personne morale étrangère doit</w:t>
            </w:r>
            <w:r w:rsidRPr="00554DB2">
              <w:rPr>
                <w:rFonts w:eastAsia="Calibri"/>
                <w:sz w:val="20"/>
                <w:lang w:val="fr-FR"/>
              </w:rPr>
              <w:noBreakHyphen/>
              <w:t>elle exister au moment de l’introduction de l’action ou au moment des faits générateurs du litige pour que le tribunal québécois soit compétent? — La Cour d’appel a</w:t>
            </w:r>
            <w:r w:rsidRPr="00554DB2">
              <w:rPr>
                <w:rFonts w:eastAsia="Calibri"/>
                <w:sz w:val="20"/>
                <w:lang w:val="fr-FR"/>
              </w:rPr>
              <w:noBreakHyphen/>
              <w:t>t</w:t>
            </w:r>
            <w:r w:rsidRPr="00554DB2">
              <w:rPr>
                <w:rFonts w:eastAsia="Calibri"/>
                <w:sz w:val="20"/>
                <w:lang w:val="fr-FR"/>
              </w:rPr>
              <w:noBreakHyphen/>
              <w:t>elle erré en imposant à la partie demanderesse, dans le cadre de l’examen de la compétence du tribunal, le fardeau de démontrer une participation du bureau québécois à la faute alléguée? — Le tribunal québécois, s’il est compétent, est</w:t>
            </w:r>
            <w:r w:rsidRPr="00554DB2">
              <w:rPr>
                <w:rFonts w:eastAsia="Calibri"/>
                <w:sz w:val="20"/>
                <w:lang w:val="fr-FR"/>
              </w:rPr>
              <w:noBreakHyphen/>
              <w:t xml:space="preserve">il cependant </w:t>
            </w:r>
            <w:r w:rsidRPr="00554DB2">
              <w:rPr>
                <w:rFonts w:eastAsia="Calibri"/>
                <w:i/>
                <w:sz w:val="20"/>
                <w:lang w:val="fr-FR"/>
              </w:rPr>
              <w:t>forum non conveniens</w:t>
            </w:r>
            <w:r w:rsidRPr="00554DB2">
              <w:rPr>
                <w:rFonts w:eastAsia="Calibri"/>
                <w:sz w:val="20"/>
                <w:lang w:val="fr-FR"/>
              </w:rPr>
              <w:t xml:space="preserve"> en l’espèce? — Le tribunal québécois, s’il n’est pas compétent, est</w:t>
            </w:r>
            <w:r w:rsidRPr="00554DB2">
              <w:rPr>
                <w:rFonts w:eastAsia="Calibri"/>
                <w:sz w:val="20"/>
                <w:lang w:val="fr-FR"/>
              </w:rPr>
              <w:noBreakHyphen/>
              <w:t xml:space="preserve">il cependant for de nécessité en l’espèce? — </w:t>
            </w:r>
            <w:r w:rsidRPr="00554DB2">
              <w:rPr>
                <w:rFonts w:eastAsia="Calibri"/>
                <w:i/>
                <w:sz w:val="20"/>
                <w:lang w:val="fr-FR"/>
              </w:rPr>
              <w:t>Code civil du Québec</w:t>
            </w:r>
            <w:r w:rsidRPr="00554DB2">
              <w:rPr>
                <w:rFonts w:eastAsia="Calibri"/>
                <w:sz w:val="20"/>
                <w:lang w:val="fr-FR"/>
              </w:rPr>
              <w:t>, L.Q. 1991, ch. 64, par. 3148 (2), art. 3135 et 3136.</w:t>
            </w:r>
          </w:p>
        </w:tc>
      </w:tr>
      <w:tr w:rsidR="00FB41F3" w:rsidRPr="005571F9" w:rsidTr="009C7C08">
        <w:tc>
          <w:tcPr>
            <w:tcW w:w="5000" w:type="pct"/>
            <w:gridSpan w:val="3"/>
          </w:tcPr>
          <w:p w:rsidR="00FB41F3" w:rsidRPr="00554DB2" w:rsidRDefault="00FB41F3" w:rsidP="009C7C08">
            <w:pPr>
              <w:jc w:val="both"/>
              <w:rPr>
                <w:rFonts w:eastAsia="Calibri"/>
                <w:sz w:val="20"/>
                <w:lang w:val="fr-FR"/>
              </w:rPr>
            </w:pPr>
          </w:p>
        </w:tc>
      </w:tr>
      <w:tr w:rsidR="00FB41F3" w:rsidRPr="005571F9" w:rsidTr="009C7C08">
        <w:tc>
          <w:tcPr>
            <w:tcW w:w="5000" w:type="pct"/>
            <w:gridSpan w:val="3"/>
          </w:tcPr>
          <w:p w:rsidR="00FB41F3" w:rsidRPr="00554DB2" w:rsidRDefault="00FB41F3" w:rsidP="009C7C08">
            <w:pPr>
              <w:jc w:val="both"/>
              <w:rPr>
                <w:rFonts w:eastAsia="Calibri"/>
                <w:sz w:val="20"/>
                <w:lang w:val="fr-FR"/>
              </w:rPr>
            </w:pPr>
            <w:r w:rsidRPr="00554DB2">
              <w:rPr>
                <w:rFonts w:eastAsia="Calibri"/>
                <w:sz w:val="20"/>
                <w:lang w:val="fr-FR"/>
              </w:rPr>
              <w:t>L’armée congolaise écrase une rébellion à Kilwa en octobre 2004.  Des accusations de crimes de guerre sont portées en 2006 contre neuf officiers; Anvil est accusée de complicité.  Le 28 juin 2007, un tribunal militaire congolais blanchit les accusés.  Un recours civil semblant exclu au Congo par l’effet du jugement militaire qui en a disposé accessoirement, la demanderesse en entreprend un en Australie, où Anvil a son siège social, sans pouvoir le continuer, faute de procureur.  Elle tente maintenant d’obtenir une autorisation de recours collectif au Québec, Anvil ayant un bureau à Montréal depuis 2005.</w:t>
            </w:r>
          </w:p>
          <w:p w:rsidR="00FB41F3" w:rsidRPr="00554DB2" w:rsidRDefault="00FB41F3" w:rsidP="009C7C08">
            <w:pPr>
              <w:jc w:val="both"/>
              <w:rPr>
                <w:rFonts w:eastAsia="Calibri"/>
                <w:sz w:val="20"/>
                <w:lang w:val="fr-FR"/>
              </w:rPr>
            </w:pPr>
          </w:p>
        </w:tc>
      </w:tr>
      <w:tr w:rsidR="00FB41F3" w:rsidRPr="005571F9" w:rsidTr="009C7C08">
        <w:tc>
          <w:tcPr>
            <w:tcW w:w="2427" w:type="pct"/>
          </w:tcPr>
          <w:p w:rsidR="00FB41F3" w:rsidRPr="00554DB2" w:rsidRDefault="00FB41F3" w:rsidP="009C7C08">
            <w:pPr>
              <w:jc w:val="both"/>
              <w:rPr>
                <w:rFonts w:eastAsia="Calibri"/>
                <w:sz w:val="20"/>
                <w:lang w:val="fr-FR"/>
              </w:rPr>
            </w:pPr>
            <w:r w:rsidRPr="00554DB2">
              <w:rPr>
                <w:rFonts w:eastAsia="Calibri"/>
                <w:sz w:val="20"/>
                <w:lang w:val="fr-FR"/>
              </w:rPr>
              <w:t>Le 27 avril 2011</w:t>
            </w:r>
          </w:p>
          <w:p w:rsidR="00FB41F3" w:rsidRPr="00554DB2" w:rsidRDefault="00FB41F3" w:rsidP="009C7C08">
            <w:pPr>
              <w:jc w:val="both"/>
              <w:rPr>
                <w:rFonts w:eastAsia="Calibri"/>
                <w:sz w:val="20"/>
                <w:lang w:val="fr-FR"/>
              </w:rPr>
            </w:pPr>
            <w:r w:rsidRPr="00554DB2">
              <w:rPr>
                <w:rFonts w:eastAsia="Calibri"/>
                <w:sz w:val="20"/>
                <w:lang w:val="fr-FR"/>
              </w:rPr>
              <w:t>Cour supérieure du Québec</w:t>
            </w:r>
          </w:p>
          <w:p w:rsidR="00FB41F3" w:rsidRPr="00554DB2" w:rsidRDefault="00FB41F3" w:rsidP="009C7C08">
            <w:pPr>
              <w:jc w:val="both"/>
              <w:rPr>
                <w:rFonts w:eastAsia="Calibri"/>
                <w:sz w:val="20"/>
              </w:rPr>
            </w:pPr>
            <w:r w:rsidRPr="00554DB2">
              <w:rPr>
                <w:rFonts w:eastAsia="Calibri"/>
                <w:sz w:val="20"/>
              </w:rPr>
              <w:t>(Le juge Émery)</w:t>
            </w:r>
          </w:p>
          <w:p w:rsidR="00FB41F3" w:rsidRPr="00554DB2" w:rsidRDefault="00FB41F3" w:rsidP="009C7C08">
            <w:pPr>
              <w:jc w:val="both"/>
              <w:rPr>
                <w:rFonts w:eastAsia="Calibri"/>
                <w:sz w:val="20"/>
              </w:rPr>
            </w:pPr>
            <w:r w:rsidRPr="00554DB2">
              <w:rPr>
                <w:rFonts w:eastAsia="Calibri"/>
                <w:sz w:val="20"/>
              </w:rPr>
              <w:t>2011 QCCS 1966</w:t>
            </w:r>
          </w:p>
          <w:p w:rsidR="00FB41F3" w:rsidRPr="00554DB2" w:rsidRDefault="00FB41F3" w:rsidP="009C7C08">
            <w:pPr>
              <w:jc w:val="both"/>
              <w:rPr>
                <w:rFonts w:eastAsia="Calibri"/>
                <w:sz w:val="20"/>
              </w:rPr>
            </w:pPr>
          </w:p>
        </w:tc>
        <w:tc>
          <w:tcPr>
            <w:tcW w:w="243" w:type="pct"/>
          </w:tcPr>
          <w:p w:rsidR="00FB41F3" w:rsidRPr="00554DB2" w:rsidRDefault="00FB41F3" w:rsidP="009C7C08">
            <w:pPr>
              <w:jc w:val="both"/>
              <w:rPr>
                <w:rFonts w:eastAsia="Calibri"/>
                <w:sz w:val="20"/>
              </w:rPr>
            </w:pPr>
          </w:p>
        </w:tc>
        <w:tc>
          <w:tcPr>
            <w:tcW w:w="2330" w:type="pct"/>
          </w:tcPr>
          <w:p w:rsidR="00FB41F3" w:rsidRPr="00554DB2" w:rsidRDefault="00FB41F3" w:rsidP="009C7C08">
            <w:pPr>
              <w:jc w:val="both"/>
              <w:rPr>
                <w:rFonts w:eastAsia="Calibri"/>
                <w:sz w:val="20"/>
                <w:lang w:val="fr-FR"/>
              </w:rPr>
            </w:pPr>
            <w:r w:rsidRPr="00554DB2">
              <w:rPr>
                <w:rFonts w:eastAsia="Calibri"/>
                <w:sz w:val="20"/>
                <w:lang w:val="fr-FR"/>
              </w:rPr>
              <w:t>Exception déclinatoire de l’intimée rejetée ; tribunal québécois déclaré compétent.</w:t>
            </w:r>
          </w:p>
        </w:tc>
      </w:tr>
      <w:tr w:rsidR="00FB41F3" w:rsidRPr="005571F9" w:rsidTr="009C7C08">
        <w:tc>
          <w:tcPr>
            <w:tcW w:w="2427" w:type="pct"/>
          </w:tcPr>
          <w:p w:rsidR="00FB41F3" w:rsidRPr="00554DB2" w:rsidRDefault="00FB41F3" w:rsidP="009C7C08">
            <w:pPr>
              <w:jc w:val="both"/>
              <w:rPr>
                <w:rFonts w:eastAsia="Calibri"/>
                <w:sz w:val="20"/>
                <w:lang w:val="fr-FR"/>
              </w:rPr>
            </w:pPr>
            <w:r w:rsidRPr="00554DB2">
              <w:rPr>
                <w:rFonts w:eastAsia="Calibri"/>
                <w:sz w:val="20"/>
                <w:lang w:val="fr-FR"/>
              </w:rPr>
              <w:t>Le 24 janvier 2012</w:t>
            </w:r>
          </w:p>
          <w:p w:rsidR="00FB41F3" w:rsidRPr="00554DB2" w:rsidRDefault="00FB41F3" w:rsidP="009C7C08">
            <w:pPr>
              <w:jc w:val="both"/>
              <w:rPr>
                <w:rFonts w:eastAsia="Calibri"/>
                <w:sz w:val="20"/>
                <w:lang w:val="fr-FR"/>
              </w:rPr>
            </w:pPr>
            <w:r w:rsidRPr="00554DB2">
              <w:rPr>
                <w:rFonts w:eastAsia="Calibri"/>
                <w:sz w:val="20"/>
                <w:lang w:val="fr-FR"/>
              </w:rPr>
              <w:t>Cour d’appel du Québec (Montréal)</w:t>
            </w:r>
          </w:p>
          <w:p w:rsidR="00FB41F3" w:rsidRPr="00554DB2" w:rsidRDefault="00FB41F3" w:rsidP="009C7C08">
            <w:pPr>
              <w:jc w:val="both"/>
              <w:rPr>
                <w:rFonts w:eastAsia="Calibri"/>
                <w:sz w:val="20"/>
                <w:lang w:val="fr-FR"/>
              </w:rPr>
            </w:pPr>
            <w:r w:rsidRPr="00554DB2">
              <w:rPr>
                <w:rFonts w:eastAsia="Calibri"/>
                <w:sz w:val="20"/>
                <w:lang w:val="fr-FR"/>
              </w:rPr>
              <w:t>(Les juges Forget, Giroux et Wagner)</w:t>
            </w:r>
          </w:p>
          <w:p w:rsidR="00FB41F3" w:rsidRPr="00554DB2" w:rsidRDefault="00FB41F3" w:rsidP="009C7C08">
            <w:pPr>
              <w:jc w:val="both"/>
              <w:rPr>
                <w:rFonts w:eastAsia="Calibri"/>
                <w:sz w:val="20"/>
              </w:rPr>
            </w:pPr>
            <w:r w:rsidRPr="00554DB2">
              <w:rPr>
                <w:rFonts w:eastAsia="Calibri"/>
                <w:sz w:val="20"/>
              </w:rPr>
              <w:t>2012 QCCA 117</w:t>
            </w:r>
          </w:p>
          <w:p w:rsidR="00FB41F3" w:rsidRPr="00554DB2" w:rsidRDefault="00FB41F3" w:rsidP="009C7C08">
            <w:pPr>
              <w:jc w:val="both"/>
              <w:rPr>
                <w:rFonts w:eastAsia="Calibri"/>
                <w:sz w:val="20"/>
              </w:rPr>
            </w:pPr>
          </w:p>
        </w:tc>
        <w:tc>
          <w:tcPr>
            <w:tcW w:w="243" w:type="pct"/>
          </w:tcPr>
          <w:p w:rsidR="00FB41F3" w:rsidRPr="00554DB2" w:rsidRDefault="00FB41F3" w:rsidP="009C7C08">
            <w:pPr>
              <w:jc w:val="both"/>
              <w:rPr>
                <w:rFonts w:eastAsia="Calibri"/>
                <w:sz w:val="20"/>
              </w:rPr>
            </w:pPr>
          </w:p>
        </w:tc>
        <w:tc>
          <w:tcPr>
            <w:tcW w:w="2330" w:type="pct"/>
          </w:tcPr>
          <w:p w:rsidR="00FB41F3" w:rsidRPr="00554DB2" w:rsidRDefault="00FB41F3" w:rsidP="009C7C08">
            <w:pPr>
              <w:jc w:val="both"/>
              <w:rPr>
                <w:rFonts w:eastAsia="Calibri"/>
                <w:sz w:val="20"/>
                <w:lang w:val="fr-FR"/>
              </w:rPr>
            </w:pPr>
            <w:r w:rsidRPr="00554DB2">
              <w:rPr>
                <w:rFonts w:eastAsia="Calibri"/>
                <w:sz w:val="20"/>
                <w:lang w:val="fr-FR"/>
              </w:rPr>
              <w:t>Appel accueilli; tribunal québécois déclaré non compétent.</w:t>
            </w:r>
          </w:p>
          <w:p w:rsidR="00FB41F3" w:rsidRPr="00554DB2" w:rsidRDefault="00FB41F3" w:rsidP="009C7C08">
            <w:pPr>
              <w:jc w:val="both"/>
              <w:rPr>
                <w:rFonts w:eastAsia="Calibri"/>
                <w:sz w:val="20"/>
                <w:lang w:val="fr-FR"/>
              </w:rPr>
            </w:pPr>
          </w:p>
        </w:tc>
      </w:tr>
      <w:tr w:rsidR="00FB41F3" w:rsidRPr="00554DB2" w:rsidTr="009C7C08">
        <w:tc>
          <w:tcPr>
            <w:tcW w:w="2427" w:type="pct"/>
          </w:tcPr>
          <w:p w:rsidR="00FB41F3" w:rsidRPr="00554DB2" w:rsidRDefault="00FB41F3" w:rsidP="009C7C08">
            <w:pPr>
              <w:jc w:val="both"/>
              <w:rPr>
                <w:rFonts w:eastAsia="Calibri"/>
                <w:sz w:val="20"/>
                <w:lang w:val="fr-FR"/>
              </w:rPr>
            </w:pPr>
            <w:r w:rsidRPr="00554DB2">
              <w:rPr>
                <w:rFonts w:eastAsia="Calibri"/>
                <w:sz w:val="20"/>
                <w:lang w:val="fr-FR"/>
              </w:rPr>
              <w:t>Le 26 mars 2012</w:t>
            </w:r>
          </w:p>
          <w:p w:rsidR="00FB41F3" w:rsidRPr="00554DB2" w:rsidRDefault="00FB41F3" w:rsidP="009C7C08">
            <w:pPr>
              <w:jc w:val="both"/>
              <w:rPr>
                <w:rFonts w:eastAsia="Calibri"/>
                <w:sz w:val="20"/>
                <w:lang w:val="fr-FR"/>
              </w:rPr>
            </w:pPr>
            <w:r w:rsidRPr="00554DB2">
              <w:rPr>
                <w:rFonts w:eastAsia="Calibri"/>
                <w:sz w:val="20"/>
                <w:lang w:val="fr-FR"/>
              </w:rPr>
              <w:t>Cour suprême du Canada</w:t>
            </w:r>
          </w:p>
          <w:p w:rsidR="00FB41F3" w:rsidRPr="00554DB2" w:rsidRDefault="00FB41F3" w:rsidP="009C7C08">
            <w:pPr>
              <w:jc w:val="both"/>
              <w:rPr>
                <w:rFonts w:eastAsia="Calibri"/>
                <w:sz w:val="20"/>
                <w:lang w:val="fr-FR"/>
              </w:rPr>
            </w:pPr>
          </w:p>
        </w:tc>
        <w:tc>
          <w:tcPr>
            <w:tcW w:w="243" w:type="pct"/>
          </w:tcPr>
          <w:p w:rsidR="00FB41F3" w:rsidRPr="00554DB2" w:rsidRDefault="00FB41F3" w:rsidP="009C7C08">
            <w:pPr>
              <w:jc w:val="both"/>
              <w:rPr>
                <w:rFonts w:eastAsia="Calibri"/>
                <w:sz w:val="20"/>
                <w:lang w:val="fr-FR"/>
              </w:rPr>
            </w:pPr>
          </w:p>
        </w:tc>
        <w:tc>
          <w:tcPr>
            <w:tcW w:w="2330" w:type="pct"/>
          </w:tcPr>
          <w:p w:rsidR="00FB41F3" w:rsidRPr="00554DB2" w:rsidRDefault="00FB41F3" w:rsidP="009C7C08">
            <w:pPr>
              <w:jc w:val="both"/>
              <w:rPr>
                <w:rFonts w:eastAsia="Calibri"/>
                <w:sz w:val="20"/>
                <w:lang w:val="fr-FR"/>
              </w:rPr>
            </w:pPr>
            <w:r w:rsidRPr="00554DB2">
              <w:rPr>
                <w:rFonts w:eastAsia="Calibri"/>
                <w:sz w:val="20"/>
                <w:lang w:val="fr-FR"/>
              </w:rPr>
              <w:t>Demande d’autorisation d’appel déposée.</w:t>
            </w:r>
          </w:p>
          <w:p w:rsidR="00FB41F3" w:rsidRPr="00554DB2" w:rsidRDefault="00FB41F3" w:rsidP="009C7C08">
            <w:pPr>
              <w:jc w:val="both"/>
              <w:rPr>
                <w:rFonts w:eastAsia="Calibri"/>
                <w:sz w:val="20"/>
                <w:lang w:val="fr-FR"/>
              </w:rPr>
            </w:pPr>
          </w:p>
        </w:tc>
      </w:tr>
      <w:tr w:rsidR="00FB41F3" w:rsidRPr="00554DB2" w:rsidTr="009C7C08">
        <w:tc>
          <w:tcPr>
            <w:tcW w:w="2427" w:type="pct"/>
          </w:tcPr>
          <w:p w:rsidR="00FB41F3" w:rsidRPr="00554DB2" w:rsidRDefault="00FB41F3" w:rsidP="009C7C08">
            <w:pPr>
              <w:jc w:val="both"/>
              <w:rPr>
                <w:rFonts w:eastAsia="Calibri"/>
                <w:sz w:val="20"/>
                <w:lang w:val="fr-CA"/>
              </w:rPr>
            </w:pPr>
            <w:r w:rsidRPr="00554DB2">
              <w:rPr>
                <w:rFonts w:eastAsia="Calibri"/>
                <w:sz w:val="20"/>
                <w:lang w:val="fr-CA"/>
              </w:rPr>
              <w:t>Le 25 avril 2012</w:t>
            </w:r>
          </w:p>
          <w:p w:rsidR="00FB41F3" w:rsidRPr="00554DB2" w:rsidRDefault="00FB41F3" w:rsidP="009C7C08">
            <w:pPr>
              <w:jc w:val="both"/>
              <w:rPr>
                <w:rFonts w:eastAsia="Calibri"/>
                <w:sz w:val="20"/>
                <w:lang w:val="fr-FR"/>
              </w:rPr>
            </w:pPr>
            <w:r w:rsidRPr="00554DB2">
              <w:rPr>
                <w:rFonts w:eastAsia="Calibri"/>
                <w:sz w:val="20"/>
                <w:lang w:val="fr-CA"/>
              </w:rPr>
              <w:t>Cour suprême du Canada</w:t>
            </w:r>
          </w:p>
          <w:p w:rsidR="00FB41F3" w:rsidRPr="00554DB2" w:rsidRDefault="00FB41F3" w:rsidP="009C7C08">
            <w:pPr>
              <w:jc w:val="both"/>
              <w:rPr>
                <w:rFonts w:eastAsia="Calibri"/>
                <w:sz w:val="20"/>
                <w:lang w:val="fr-FR"/>
              </w:rPr>
            </w:pPr>
          </w:p>
        </w:tc>
        <w:tc>
          <w:tcPr>
            <w:tcW w:w="243" w:type="pct"/>
          </w:tcPr>
          <w:p w:rsidR="00FB41F3" w:rsidRPr="00554DB2" w:rsidRDefault="00FB41F3" w:rsidP="009C7C08">
            <w:pPr>
              <w:jc w:val="both"/>
              <w:rPr>
                <w:rFonts w:eastAsia="Calibri"/>
                <w:sz w:val="20"/>
                <w:lang w:val="fr-FR"/>
              </w:rPr>
            </w:pPr>
          </w:p>
        </w:tc>
        <w:tc>
          <w:tcPr>
            <w:tcW w:w="2330" w:type="pct"/>
          </w:tcPr>
          <w:p w:rsidR="00FB41F3" w:rsidRPr="00554DB2" w:rsidRDefault="00FB41F3" w:rsidP="009C7C08">
            <w:pPr>
              <w:jc w:val="both"/>
              <w:rPr>
                <w:rFonts w:eastAsia="Calibri"/>
                <w:sz w:val="20"/>
                <w:lang w:val="fr-FR"/>
              </w:rPr>
            </w:pPr>
            <w:r w:rsidRPr="00554DB2">
              <w:rPr>
                <w:rFonts w:eastAsia="Calibri"/>
                <w:sz w:val="20"/>
                <w:lang w:val="fr-CA"/>
              </w:rPr>
              <w:t xml:space="preserve">Requête en intervention déposée par </w:t>
            </w:r>
            <w:r w:rsidRPr="00554DB2">
              <w:rPr>
                <w:rFonts w:eastAsia="Calibri"/>
                <w:sz w:val="20"/>
                <w:lang w:val="fr-FR"/>
              </w:rPr>
              <w:t xml:space="preserve">Essex Business and </w:t>
            </w:r>
            <w:r w:rsidRPr="00183369">
              <w:rPr>
                <w:rFonts w:eastAsia="Calibri"/>
                <w:sz w:val="20"/>
                <w:lang w:val="fr-CA"/>
              </w:rPr>
              <w:t>Human Rights</w:t>
            </w:r>
            <w:r w:rsidRPr="00554DB2">
              <w:rPr>
                <w:rFonts w:eastAsia="Calibri"/>
                <w:sz w:val="20"/>
                <w:lang w:val="fr-FR"/>
              </w:rPr>
              <w:t xml:space="preserve"> Project et Essex </w:t>
            </w:r>
            <w:r w:rsidRPr="00183369">
              <w:rPr>
                <w:rFonts w:eastAsia="Calibri"/>
                <w:sz w:val="20"/>
                <w:lang w:val="fr-CA"/>
              </w:rPr>
              <w:t>Human Rights Clinic</w:t>
            </w:r>
            <w:r w:rsidRPr="00554DB2">
              <w:rPr>
                <w:rFonts w:eastAsia="Calibri"/>
                <w:sz w:val="20"/>
                <w:lang w:val="fr-FR"/>
              </w:rPr>
              <w:t>.</w:t>
            </w: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49"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52DF7" w:rsidRPr="004E07FE" w:rsidTr="00032CB5">
        <w:trPr>
          <w:cantSplit/>
        </w:trPr>
        <w:tc>
          <w:tcPr>
            <w:tcW w:w="1458" w:type="dxa"/>
          </w:tcPr>
          <w:p w:rsidR="00B52DF7" w:rsidRPr="004E07FE" w:rsidRDefault="00B52DF7" w:rsidP="00032CB5">
            <w:pPr>
              <w:rPr>
                <w:sz w:val="20"/>
                <w:szCs w:val="20"/>
              </w:rPr>
            </w:pPr>
            <w:r w:rsidRPr="004E07FE">
              <w:rPr>
                <w:rStyle w:val="SCCFileNumberChar"/>
                <w:sz w:val="20"/>
                <w:szCs w:val="20"/>
              </w:rPr>
              <w:t>34835</w:t>
            </w:r>
          </w:p>
          <w:p w:rsidR="00B52DF7" w:rsidRPr="004E07FE" w:rsidRDefault="00B52DF7" w:rsidP="00032CB5">
            <w:pPr>
              <w:rPr>
                <w:b/>
                <w:sz w:val="20"/>
                <w:szCs w:val="20"/>
                <w:lang w:val="fr-CA"/>
              </w:rPr>
            </w:pPr>
          </w:p>
        </w:tc>
        <w:tc>
          <w:tcPr>
            <w:tcW w:w="8118" w:type="dxa"/>
          </w:tcPr>
          <w:p w:rsidR="00B52DF7" w:rsidRPr="004E07FE" w:rsidRDefault="00B52DF7" w:rsidP="00032CB5">
            <w:pPr>
              <w:rPr>
                <w:sz w:val="20"/>
                <w:szCs w:val="20"/>
              </w:rPr>
            </w:pPr>
            <w:r w:rsidRPr="004E07FE">
              <w:rPr>
                <w:rStyle w:val="SCCLsocChar"/>
                <w:sz w:val="20"/>
                <w:szCs w:val="20"/>
                <w:lang w:val="en-CA"/>
              </w:rPr>
              <w:t>Reggie Lee Harris v. Her Majesty the Queen</w:t>
            </w:r>
            <w:r w:rsidRPr="004E07FE">
              <w:rPr>
                <w:sz w:val="20"/>
                <w:szCs w:val="20"/>
              </w:rPr>
              <w:t xml:space="preserve"> (Sask.) (Criminal) (By Leave)</w:t>
            </w:r>
          </w:p>
          <w:p w:rsidR="00B52DF7" w:rsidRPr="004E07FE" w:rsidRDefault="00B52DF7" w:rsidP="00032CB5">
            <w:pPr>
              <w:rPr>
                <w:sz w:val="20"/>
                <w:szCs w:val="20"/>
              </w:rPr>
            </w:pPr>
          </w:p>
        </w:tc>
      </w:tr>
      <w:tr w:rsidR="00B52DF7" w:rsidRPr="004E07FE" w:rsidTr="00032CB5">
        <w:trPr>
          <w:cantSplit/>
        </w:trPr>
        <w:tc>
          <w:tcPr>
            <w:tcW w:w="1458" w:type="dxa"/>
          </w:tcPr>
          <w:p w:rsidR="00B52DF7" w:rsidRPr="004E07FE" w:rsidRDefault="00B52DF7" w:rsidP="00032CB5">
            <w:pPr>
              <w:rPr>
                <w:sz w:val="20"/>
                <w:szCs w:val="20"/>
              </w:rPr>
            </w:pPr>
            <w:r w:rsidRPr="004E07FE">
              <w:rPr>
                <w:sz w:val="20"/>
                <w:szCs w:val="20"/>
              </w:rPr>
              <w:t>Coram :</w:t>
            </w:r>
          </w:p>
        </w:tc>
        <w:tc>
          <w:tcPr>
            <w:tcW w:w="8118" w:type="dxa"/>
          </w:tcPr>
          <w:p w:rsidR="00B52DF7" w:rsidRPr="004E07FE" w:rsidRDefault="00B52DF7" w:rsidP="00032CB5">
            <w:pPr>
              <w:rPr>
                <w:sz w:val="20"/>
                <w:szCs w:val="20"/>
              </w:rPr>
            </w:pPr>
            <w:r w:rsidRPr="004E07FE">
              <w:rPr>
                <w:rStyle w:val="SCCCoramChar"/>
                <w:sz w:val="20"/>
                <w:szCs w:val="20"/>
                <w:lang w:val="en-CA"/>
              </w:rPr>
              <w:t>Fish, Rothstein and Karakatsanis JJ.</w:t>
            </w:r>
          </w:p>
          <w:p w:rsidR="00B52DF7" w:rsidRPr="004E07FE" w:rsidRDefault="00B52DF7" w:rsidP="00032CB5">
            <w:pPr>
              <w:rPr>
                <w:sz w:val="20"/>
                <w:szCs w:val="20"/>
                <w:u w:val="single"/>
              </w:rPr>
            </w:pPr>
          </w:p>
        </w:tc>
      </w:tr>
      <w:tr w:rsidR="00B52DF7" w:rsidRPr="005571F9" w:rsidTr="00032CB5">
        <w:trPr>
          <w:cantSplit/>
        </w:trPr>
        <w:tc>
          <w:tcPr>
            <w:tcW w:w="9576" w:type="dxa"/>
            <w:gridSpan w:val="2"/>
          </w:tcPr>
          <w:p w:rsidR="00B52DF7" w:rsidRPr="004E07FE" w:rsidRDefault="00B52DF7" w:rsidP="00032CB5">
            <w:pPr>
              <w:pStyle w:val="SCCShortJudgment"/>
              <w:rPr>
                <w:szCs w:val="20"/>
              </w:rPr>
            </w:pPr>
            <w:r w:rsidRPr="004E07FE">
              <w:rPr>
                <w:szCs w:val="20"/>
              </w:rPr>
              <w:t>The motion to appoint counsel and the application for leave to appeal from the judgment of the Court of Appeal for Saskatchewan, Number CACR2054, 2012 SKCA 43, dated March 29, 2012, are dismissed without costs.</w:t>
            </w:r>
          </w:p>
          <w:p w:rsidR="00B52DF7" w:rsidRPr="004E07FE" w:rsidRDefault="00B52DF7" w:rsidP="00032CB5">
            <w:pPr>
              <w:pStyle w:val="SCCShortJudgment"/>
              <w:ind w:firstLine="0"/>
              <w:rPr>
                <w:szCs w:val="20"/>
              </w:rPr>
            </w:pPr>
          </w:p>
          <w:p w:rsidR="00B52DF7" w:rsidRPr="004E07FE" w:rsidRDefault="00B52DF7" w:rsidP="00032CB5">
            <w:pPr>
              <w:pStyle w:val="SCCShortJudgment"/>
              <w:rPr>
                <w:szCs w:val="20"/>
                <w:lang w:val="fr-CA"/>
              </w:rPr>
            </w:pPr>
            <w:r w:rsidRPr="004E07FE">
              <w:rPr>
                <w:szCs w:val="20"/>
                <w:lang w:val="fr-CA"/>
              </w:rPr>
              <w:t>La requête pour nomination d’un avocat et la demande d’autorisation d’appel de l’arrêt de la Cour d’appel de la Saskatchewan, numéro CACR2054, 2012 SKCA 43, daté du 29 mars 2012, sont rejetées sans dépens.</w:t>
            </w:r>
          </w:p>
        </w:tc>
      </w:tr>
    </w:tbl>
    <w:p w:rsidR="00FA1074" w:rsidRPr="00B52DF7"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5204A" w:rsidRPr="00554DB2" w:rsidTr="009C7C08">
        <w:tc>
          <w:tcPr>
            <w:tcW w:w="5000" w:type="pct"/>
            <w:gridSpan w:val="3"/>
          </w:tcPr>
          <w:p w:rsidR="0095204A" w:rsidRPr="00554DB2" w:rsidRDefault="0095204A" w:rsidP="009C7C08">
            <w:pPr>
              <w:jc w:val="both"/>
              <w:rPr>
                <w:rFonts w:eastAsia="Calibri"/>
                <w:sz w:val="20"/>
              </w:rPr>
            </w:pPr>
            <w:r w:rsidRPr="00554DB2">
              <w:rPr>
                <w:rFonts w:eastAsia="Calibri"/>
                <w:sz w:val="20"/>
              </w:rPr>
              <w:t>Criminal law — Dangerous offender — Whether the burden of proof has been inadvertently shifted on to the accused — Whether the trial judge adequately applied the evidence he had accepted to the principle of proof beyond a reasonable doubt — Whether the deference given to the trial judge by the appeal court outweighed the facts of the case — Whether the verdict is unreasonable.</w:t>
            </w:r>
          </w:p>
        </w:tc>
      </w:tr>
      <w:tr w:rsidR="0095204A" w:rsidRPr="00554DB2" w:rsidTr="009C7C08">
        <w:tc>
          <w:tcPr>
            <w:tcW w:w="5000" w:type="pct"/>
            <w:gridSpan w:val="3"/>
          </w:tcPr>
          <w:p w:rsidR="0095204A" w:rsidRPr="00554DB2" w:rsidRDefault="0095204A" w:rsidP="009C7C08">
            <w:pPr>
              <w:jc w:val="both"/>
              <w:rPr>
                <w:rFonts w:eastAsia="Calibri"/>
                <w:sz w:val="20"/>
              </w:rPr>
            </w:pPr>
          </w:p>
        </w:tc>
      </w:tr>
      <w:tr w:rsidR="0095204A" w:rsidRPr="00554DB2" w:rsidTr="009C7C08">
        <w:tc>
          <w:tcPr>
            <w:tcW w:w="5000" w:type="pct"/>
            <w:gridSpan w:val="3"/>
          </w:tcPr>
          <w:p w:rsidR="0095204A" w:rsidRPr="00554DB2" w:rsidRDefault="0095204A" w:rsidP="009C7C08">
            <w:pPr>
              <w:jc w:val="both"/>
              <w:rPr>
                <w:rFonts w:eastAsia="Calibri"/>
                <w:sz w:val="20"/>
              </w:rPr>
            </w:pPr>
            <w:r w:rsidRPr="00554DB2">
              <w:rPr>
                <w:rFonts w:eastAsia="Calibri"/>
                <w:sz w:val="20"/>
              </w:rPr>
              <w:t xml:space="preserve">Mr. Harris was convicted of seven offences and designated a dangerous offender.  He was given a sentence of five and a half years, with credit for the 17 months spent on remand, to be followed by a ten year supervision order, a lifetime firearms order and a DNA order for breaking and entering and assault causing bodily harm.  The other offences attracted sentences from three to six months concurrent to the sentence on the predicate offence.  Mr. Harris appealed the conviction on the predicate offence and uttering a threat, as well as the designation as a dangerous offender, the sentence for the predicate offence and the length of the supervision order.  The appeal court allowed the appeal in part, in that the Crown had no objection to the appeal being allowed with respect to the count of uttering a threat and the period of supervision following the expiration of the sentence was reduced from ten to five years.  </w:t>
            </w:r>
          </w:p>
          <w:p w:rsidR="0095204A" w:rsidRPr="00554DB2" w:rsidRDefault="0095204A" w:rsidP="009C7C08">
            <w:pPr>
              <w:jc w:val="both"/>
              <w:rPr>
                <w:rFonts w:eastAsia="Calibri"/>
                <w:sz w:val="20"/>
              </w:rPr>
            </w:pPr>
          </w:p>
        </w:tc>
      </w:tr>
      <w:tr w:rsidR="0095204A" w:rsidRPr="00554DB2" w:rsidTr="009C7C08">
        <w:tc>
          <w:tcPr>
            <w:tcW w:w="2427" w:type="pct"/>
          </w:tcPr>
          <w:p w:rsidR="0095204A" w:rsidRPr="00554DB2" w:rsidRDefault="0095204A" w:rsidP="009C7C08">
            <w:pPr>
              <w:jc w:val="both"/>
              <w:rPr>
                <w:rFonts w:eastAsia="Calibri"/>
                <w:sz w:val="20"/>
              </w:rPr>
            </w:pPr>
            <w:r w:rsidRPr="00554DB2">
              <w:rPr>
                <w:rFonts w:eastAsia="Calibri"/>
                <w:sz w:val="20"/>
              </w:rPr>
              <w:t>November 14, 2011</w:t>
            </w:r>
          </w:p>
          <w:p w:rsidR="0095204A" w:rsidRPr="00554DB2" w:rsidRDefault="0095204A" w:rsidP="009C7C08">
            <w:pPr>
              <w:jc w:val="both"/>
              <w:rPr>
                <w:rFonts w:eastAsia="Calibri"/>
                <w:sz w:val="20"/>
              </w:rPr>
            </w:pPr>
            <w:r w:rsidRPr="00554DB2">
              <w:rPr>
                <w:rFonts w:eastAsia="Calibri"/>
                <w:sz w:val="20"/>
              </w:rPr>
              <w:t>Provincial Court of Saskatchewan</w:t>
            </w:r>
          </w:p>
          <w:p w:rsidR="0095204A" w:rsidRPr="00554DB2" w:rsidRDefault="0095204A" w:rsidP="009C7C08">
            <w:pPr>
              <w:jc w:val="both"/>
              <w:rPr>
                <w:rFonts w:eastAsia="Calibri"/>
                <w:sz w:val="20"/>
              </w:rPr>
            </w:pPr>
            <w:r w:rsidRPr="00554DB2">
              <w:rPr>
                <w:rFonts w:eastAsia="Calibri"/>
                <w:sz w:val="20"/>
              </w:rPr>
              <w:t>(Hinds J.)</w:t>
            </w:r>
          </w:p>
          <w:p w:rsidR="0095204A" w:rsidRPr="00554DB2" w:rsidRDefault="0095204A" w:rsidP="009C7C08">
            <w:pPr>
              <w:jc w:val="both"/>
              <w:rPr>
                <w:rFonts w:eastAsia="Calibri"/>
                <w:sz w:val="20"/>
              </w:rPr>
            </w:pPr>
            <w:r w:rsidRPr="00554DB2">
              <w:rPr>
                <w:rFonts w:eastAsia="Calibri"/>
                <w:sz w:val="20"/>
              </w:rPr>
              <w:t>2011 SKPC 176</w:t>
            </w:r>
          </w:p>
          <w:p w:rsidR="0095204A" w:rsidRPr="00554DB2" w:rsidRDefault="0095204A" w:rsidP="009C7C08">
            <w:pPr>
              <w:jc w:val="both"/>
              <w:rPr>
                <w:rFonts w:eastAsia="Calibri"/>
                <w:sz w:val="20"/>
              </w:rPr>
            </w:pP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Applicant convicted of seven offences; designated a dangerous offender</w:t>
            </w:r>
          </w:p>
          <w:p w:rsidR="0095204A" w:rsidRPr="00554DB2" w:rsidRDefault="0095204A" w:rsidP="009C7C08">
            <w:pPr>
              <w:jc w:val="both"/>
              <w:rPr>
                <w:rFonts w:eastAsia="Calibri"/>
                <w:sz w:val="20"/>
              </w:rPr>
            </w:pPr>
          </w:p>
        </w:tc>
      </w:tr>
      <w:tr w:rsidR="0095204A" w:rsidRPr="00554DB2" w:rsidTr="009C7C08">
        <w:tc>
          <w:tcPr>
            <w:tcW w:w="2427" w:type="pct"/>
          </w:tcPr>
          <w:p w:rsidR="0095204A" w:rsidRPr="00554DB2" w:rsidRDefault="0095204A" w:rsidP="009C7C08">
            <w:pPr>
              <w:jc w:val="both"/>
              <w:rPr>
                <w:rFonts w:eastAsia="Calibri"/>
                <w:sz w:val="20"/>
              </w:rPr>
            </w:pPr>
            <w:r w:rsidRPr="00554DB2">
              <w:rPr>
                <w:rFonts w:eastAsia="Calibri"/>
                <w:sz w:val="20"/>
              </w:rPr>
              <w:t>March 29, 2012</w:t>
            </w:r>
          </w:p>
          <w:p w:rsidR="0095204A" w:rsidRPr="00554DB2" w:rsidRDefault="0095204A" w:rsidP="009C7C08">
            <w:pPr>
              <w:jc w:val="both"/>
              <w:rPr>
                <w:rFonts w:eastAsia="Calibri"/>
                <w:sz w:val="20"/>
              </w:rPr>
            </w:pPr>
            <w:r w:rsidRPr="00554DB2">
              <w:rPr>
                <w:rFonts w:eastAsia="Calibri"/>
                <w:sz w:val="20"/>
              </w:rPr>
              <w:t>Court of Appeal for Saskatchewan</w:t>
            </w:r>
          </w:p>
          <w:p w:rsidR="0095204A" w:rsidRPr="00554DB2" w:rsidRDefault="0095204A" w:rsidP="009C7C08">
            <w:pPr>
              <w:jc w:val="both"/>
              <w:rPr>
                <w:rFonts w:eastAsia="Calibri"/>
                <w:sz w:val="20"/>
              </w:rPr>
            </w:pPr>
            <w:r w:rsidRPr="00554DB2">
              <w:rPr>
                <w:rFonts w:eastAsia="Calibri"/>
                <w:sz w:val="20"/>
              </w:rPr>
              <w:t>(Cameron, Gerwing and Jackson JJ.A.)</w:t>
            </w:r>
          </w:p>
          <w:p w:rsidR="0095204A" w:rsidRPr="00554DB2" w:rsidRDefault="0095204A" w:rsidP="009C7C08">
            <w:pPr>
              <w:jc w:val="both"/>
              <w:rPr>
                <w:rFonts w:eastAsia="Calibri"/>
                <w:sz w:val="20"/>
              </w:rPr>
            </w:pPr>
            <w:r w:rsidRPr="00554DB2">
              <w:rPr>
                <w:rFonts w:eastAsia="Calibri"/>
                <w:sz w:val="20"/>
              </w:rPr>
              <w:t>2012  SKCA 43; CACR2054</w:t>
            </w:r>
          </w:p>
          <w:p w:rsidR="0095204A" w:rsidRPr="00554DB2" w:rsidRDefault="0095204A" w:rsidP="009C7C08">
            <w:pPr>
              <w:jc w:val="both"/>
              <w:rPr>
                <w:rFonts w:eastAsia="Calibri"/>
                <w:sz w:val="20"/>
              </w:rPr>
            </w:pP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Appeal allowed in part</w:t>
            </w:r>
          </w:p>
          <w:p w:rsidR="0095204A" w:rsidRPr="00554DB2" w:rsidRDefault="0095204A" w:rsidP="009C7C08">
            <w:pPr>
              <w:jc w:val="both"/>
              <w:rPr>
                <w:rFonts w:eastAsia="Calibri"/>
                <w:sz w:val="20"/>
              </w:rPr>
            </w:pPr>
          </w:p>
        </w:tc>
      </w:tr>
      <w:tr w:rsidR="0095204A" w:rsidRPr="00554DB2" w:rsidTr="009C7C08">
        <w:tc>
          <w:tcPr>
            <w:tcW w:w="2427" w:type="pct"/>
          </w:tcPr>
          <w:p w:rsidR="0095204A" w:rsidRPr="00554DB2" w:rsidRDefault="0095204A" w:rsidP="009C7C08">
            <w:pPr>
              <w:jc w:val="both"/>
              <w:rPr>
                <w:rFonts w:eastAsia="Calibri"/>
                <w:sz w:val="20"/>
              </w:rPr>
            </w:pPr>
            <w:r w:rsidRPr="00554DB2">
              <w:rPr>
                <w:rFonts w:eastAsia="Calibri"/>
                <w:sz w:val="20"/>
              </w:rPr>
              <w:t>May 18, 2012</w:t>
            </w:r>
          </w:p>
          <w:p w:rsidR="0095204A" w:rsidRPr="00554DB2" w:rsidRDefault="0095204A" w:rsidP="009C7C08">
            <w:pPr>
              <w:jc w:val="both"/>
              <w:rPr>
                <w:rFonts w:eastAsia="Calibri"/>
                <w:sz w:val="20"/>
              </w:rPr>
            </w:pPr>
            <w:r w:rsidRPr="00554DB2">
              <w:rPr>
                <w:rFonts w:eastAsia="Calibri"/>
                <w:sz w:val="20"/>
              </w:rPr>
              <w:t>Supreme Court of Canada</w:t>
            </w: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Application for leave to appeal filed</w:t>
            </w:r>
          </w:p>
          <w:p w:rsidR="0095204A" w:rsidRPr="00554DB2" w:rsidRDefault="0095204A"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50"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5204A" w:rsidRPr="005571F9" w:rsidTr="009C7C08">
        <w:tc>
          <w:tcPr>
            <w:tcW w:w="5000" w:type="pct"/>
            <w:gridSpan w:val="3"/>
          </w:tcPr>
          <w:p w:rsidR="0095204A" w:rsidRPr="00554DB2" w:rsidRDefault="0095204A" w:rsidP="009C7C08">
            <w:pPr>
              <w:jc w:val="both"/>
              <w:rPr>
                <w:rFonts w:eastAsia="Calibri"/>
                <w:sz w:val="20"/>
                <w:lang w:val="fr-CA"/>
              </w:rPr>
            </w:pPr>
            <w:r w:rsidRPr="00554DB2">
              <w:rPr>
                <w:rFonts w:eastAsia="Calibri"/>
                <w:sz w:val="20"/>
                <w:lang w:val="fr-CA"/>
              </w:rPr>
              <w:t>Droit criminel — Délinquant dangereux — Le fardeau de la preuve a</w:t>
            </w:r>
            <w:r w:rsidRPr="00554DB2">
              <w:rPr>
                <w:rFonts w:eastAsia="Calibri"/>
                <w:sz w:val="20"/>
                <w:lang w:val="fr-CA"/>
              </w:rPr>
              <w:noBreakHyphen/>
              <w:t>t</w:t>
            </w:r>
            <w:r w:rsidRPr="00554DB2">
              <w:rPr>
                <w:rFonts w:eastAsia="Calibri"/>
                <w:sz w:val="20"/>
                <w:lang w:val="fr-CA"/>
              </w:rPr>
              <w:noBreakHyphen/>
              <w:t>il été déplacé par inadvertance pour qu’il incombe à l’accusé? — Le juge du procès a</w:t>
            </w:r>
            <w:r w:rsidRPr="00554DB2">
              <w:rPr>
                <w:rFonts w:eastAsia="Calibri"/>
                <w:sz w:val="20"/>
                <w:lang w:val="fr-CA"/>
              </w:rPr>
              <w:noBreakHyphen/>
              <w:t>t</w:t>
            </w:r>
            <w:r w:rsidRPr="00554DB2">
              <w:rPr>
                <w:rFonts w:eastAsia="Calibri"/>
                <w:sz w:val="20"/>
                <w:lang w:val="fr-CA"/>
              </w:rPr>
              <w:noBreakHyphen/>
              <w:t>il adéquatement appliqué la preuve qu’il avait acceptée au principe de la preuve hors de tout doute raisonnable? — La déférence accordée par la Cour d’appel au juge du procès l’a</w:t>
            </w:r>
            <w:r w:rsidRPr="00554DB2">
              <w:rPr>
                <w:rFonts w:eastAsia="Calibri"/>
                <w:sz w:val="20"/>
                <w:lang w:val="fr-CA"/>
              </w:rPr>
              <w:noBreakHyphen/>
              <w:t>t</w:t>
            </w:r>
            <w:r w:rsidRPr="00554DB2">
              <w:rPr>
                <w:rFonts w:eastAsia="Calibri"/>
                <w:sz w:val="20"/>
                <w:lang w:val="fr-CA"/>
              </w:rPr>
              <w:noBreakHyphen/>
              <w:t>elle emporté sur les faits en l’espèce? — Le verdict est</w:t>
            </w:r>
            <w:r w:rsidRPr="00554DB2">
              <w:rPr>
                <w:rFonts w:eastAsia="Calibri"/>
                <w:sz w:val="20"/>
                <w:lang w:val="fr-CA"/>
              </w:rPr>
              <w:noBreakHyphen/>
              <w:t>il déraisonnable?</w:t>
            </w:r>
          </w:p>
          <w:p w:rsidR="0095204A" w:rsidRPr="00554DB2" w:rsidRDefault="0095204A" w:rsidP="009C7C08">
            <w:pPr>
              <w:jc w:val="both"/>
              <w:rPr>
                <w:rFonts w:eastAsia="Calibri"/>
                <w:sz w:val="20"/>
                <w:lang w:val="fr-CA"/>
              </w:rPr>
            </w:pPr>
          </w:p>
        </w:tc>
      </w:tr>
      <w:tr w:rsidR="0095204A" w:rsidRPr="005571F9" w:rsidTr="009C7C08">
        <w:tc>
          <w:tcPr>
            <w:tcW w:w="5000" w:type="pct"/>
            <w:gridSpan w:val="3"/>
          </w:tcPr>
          <w:p w:rsidR="0095204A" w:rsidRPr="00554DB2" w:rsidRDefault="0095204A" w:rsidP="009C7C08">
            <w:pPr>
              <w:jc w:val="both"/>
              <w:rPr>
                <w:rFonts w:eastAsia="Calibri"/>
                <w:sz w:val="20"/>
                <w:lang w:val="fr-CA"/>
              </w:rPr>
            </w:pPr>
            <w:r w:rsidRPr="00554DB2">
              <w:rPr>
                <w:rFonts w:eastAsia="Calibri"/>
                <w:sz w:val="20"/>
                <w:lang w:val="fr-CA"/>
              </w:rPr>
              <w:t>Monsieur Harris a été déclaré coupable de sept infractions et déclaré délinquant dangereux.  Il a été condamné à une peine de cinq and et demie, avec une réduction pour tenir compte des 17 mois de détention préventive, à être suivie d’une période de surveillance de dix ans, une interdiction à vie d’avoir des armes à feu en sa possession et d’une ordonnance de prélèvement d’ADN pour introduction par effraction et voies de faits causant des lésions corporelles.  Les autres infractions lui ont valu des peines de trois à six mois, concurrentes à la peine imposée pour l’infraction sous</w:t>
            </w:r>
            <w:r w:rsidRPr="00554DB2">
              <w:rPr>
                <w:rFonts w:eastAsia="Calibri"/>
                <w:sz w:val="20"/>
                <w:lang w:val="fr-CA"/>
              </w:rPr>
              <w:noBreakHyphen/>
              <w:t>jacente.  Monsieur Harris a interjeté appel de la déclaration de culpabilité de l’infraction sous</w:t>
            </w:r>
            <w:r w:rsidRPr="00554DB2">
              <w:rPr>
                <w:rFonts w:eastAsia="Calibri"/>
                <w:sz w:val="20"/>
                <w:lang w:val="fr-CA"/>
              </w:rPr>
              <w:noBreakHyphen/>
              <w:t>jacente et celle d’avoir proféré une menace, la déclaration de délinquant dangereux, la peine imposée pour l’infraction sous</w:t>
            </w:r>
            <w:r w:rsidRPr="00554DB2">
              <w:rPr>
                <w:rFonts w:eastAsia="Calibri"/>
                <w:sz w:val="20"/>
                <w:lang w:val="fr-CA"/>
              </w:rPr>
              <w:noBreakHyphen/>
              <w:t xml:space="preserve">jacente et la durée de la période de surveillance.  La Cour d’appel a accueilli l’appel en partie, vu que le ministère public n’avait aucune objection à ce que l’appel soit accueilli relativement à l’accusation de menace et la période de surveillance suivant l’expiration de la peine a été réduite de dix à cinq ans.  </w:t>
            </w:r>
          </w:p>
          <w:p w:rsidR="0095204A" w:rsidRPr="00554DB2" w:rsidRDefault="0095204A" w:rsidP="009C7C08">
            <w:pPr>
              <w:jc w:val="both"/>
              <w:rPr>
                <w:rFonts w:eastAsia="Calibri"/>
                <w:sz w:val="20"/>
                <w:lang w:val="fr-CA"/>
              </w:rPr>
            </w:pPr>
          </w:p>
        </w:tc>
      </w:tr>
      <w:tr w:rsidR="0095204A" w:rsidRPr="005571F9" w:rsidTr="009C7C08">
        <w:tc>
          <w:tcPr>
            <w:tcW w:w="2427" w:type="pct"/>
          </w:tcPr>
          <w:p w:rsidR="0095204A" w:rsidRPr="00554DB2" w:rsidRDefault="0095204A" w:rsidP="009C7C08">
            <w:pPr>
              <w:jc w:val="both"/>
              <w:rPr>
                <w:rFonts w:eastAsia="Calibri"/>
                <w:sz w:val="20"/>
                <w:lang w:val="fr-CA"/>
              </w:rPr>
            </w:pPr>
            <w:r w:rsidRPr="00554DB2">
              <w:rPr>
                <w:rFonts w:eastAsia="Calibri"/>
                <w:sz w:val="20"/>
                <w:lang w:val="fr-CA"/>
              </w:rPr>
              <w:t>14 novembre 2011</w:t>
            </w:r>
          </w:p>
          <w:p w:rsidR="0095204A" w:rsidRPr="00554DB2" w:rsidRDefault="0095204A" w:rsidP="009C7C08">
            <w:pPr>
              <w:jc w:val="both"/>
              <w:rPr>
                <w:rFonts w:eastAsia="Calibri"/>
                <w:sz w:val="20"/>
                <w:lang w:val="fr-CA"/>
              </w:rPr>
            </w:pPr>
            <w:r w:rsidRPr="00554DB2">
              <w:rPr>
                <w:rFonts w:eastAsia="Calibri"/>
                <w:sz w:val="20"/>
                <w:lang w:val="fr-CA"/>
              </w:rPr>
              <w:t>Cour provinciale de la Saskatchewan</w:t>
            </w:r>
          </w:p>
          <w:p w:rsidR="0095204A" w:rsidRPr="00554DB2" w:rsidRDefault="0095204A" w:rsidP="009C7C08">
            <w:pPr>
              <w:jc w:val="both"/>
              <w:rPr>
                <w:rFonts w:eastAsia="Calibri"/>
                <w:sz w:val="20"/>
                <w:lang w:val="fr-CA"/>
              </w:rPr>
            </w:pPr>
            <w:r w:rsidRPr="00554DB2">
              <w:rPr>
                <w:rFonts w:eastAsia="Calibri"/>
                <w:sz w:val="20"/>
                <w:lang w:val="fr-CA"/>
              </w:rPr>
              <w:t>(Juge Hinds)</w:t>
            </w:r>
          </w:p>
          <w:p w:rsidR="0095204A" w:rsidRPr="00554DB2" w:rsidRDefault="0095204A" w:rsidP="009C7C08">
            <w:pPr>
              <w:jc w:val="both"/>
              <w:rPr>
                <w:rFonts w:eastAsia="Calibri"/>
                <w:sz w:val="20"/>
                <w:lang w:val="fr-CA"/>
              </w:rPr>
            </w:pPr>
            <w:r w:rsidRPr="00554DB2">
              <w:rPr>
                <w:rFonts w:eastAsia="Calibri"/>
                <w:sz w:val="20"/>
                <w:lang w:val="fr-CA"/>
              </w:rPr>
              <w:t>2011 SKPC 176</w:t>
            </w:r>
          </w:p>
          <w:p w:rsidR="0095204A" w:rsidRPr="00554DB2" w:rsidRDefault="0095204A" w:rsidP="009C7C08">
            <w:pPr>
              <w:jc w:val="both"/>
              <w:rPr>
                <w:rFonts w:eastAsia="Calibri"/>
                <w:sz w:val="20"/>
                <w:lang w:val="fr-CA"/>
              </w:rPr>
            </w:pP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Demandeur déclaré coupable de sept infractions : déclaré délinquant dangereux</w:t>
            </w:r>
          </w:p>
          <w:p w:rsidR="0095204A" w:rsidRPr="00554DB2" w:rsidRDefault="0095204A" w:rsidP="009C7C08">
            <w:pPr>
              <w:jc w:val="both"/>
              <w:rPr>
                <w:rFonts w:eastAsia="Calibri"/>
                <w:sz w:val="20"/>
                <w:lang w:val="fr-CA"/>
              </w:rPr>
            </w:pPr>
          </w:p>
        </w:tc>
      </w:tr>
      <w:tr w:rsidR="0095204A" w:rsidRPr="00554DB2" w:rsidTr="009C7C08">
        <w:tc>
          <w:tcPr>
            <w:tcW w:w="2427" w:type="pct"/>
          </w:tcPr>
          <w:p w:rsidR="0095204A" w:rsidRPr="00554DB2" w:rsidRDefault="0095204A" w:rsidP="009C7C08">
            <w:pPr>
              <w:jc w:val="both"/>
              <w:rPr>
                <w:rFonts w:eastAsia="Calibri"/>
                <w:sz w:val="20"/>
                <w:lang w:val="fr-CA"/>
              </w:rPr>
            </w:pPr>
            <w:r w:rsidRPr="00554DB2">
              <w:rPr>
                <w:rFonts w:eastAsia="Calibri"/>
                <w:sz w:val="20"/>
                <w:lang w:val="fr-CA"/>
              </w:rPr>
              <w:t>29 mars 2012</w:t>
            </w:r>
          </w:p>
          <w:p w:rsidR="0095204A" w:rsidRPr="00554DB2" w:rsidRDefault="0095204A" w:rsidP="009C7C08">
            <w:pPr>
              <w:jc w:val="both"/>
              <w:rPr>
                <w:rFonts w:eastAsia="Calibri"/>
                <w:sz w:val="20"/>
                <w:lang w:val="fr-CA"/>
              </w:rPr>
            </w:pPr>
            <w:r w:rsidRPr="00554DB2">
              <w:rPr>
                <w:rFonts w:eastAsia="Calibri"/>
                <w:sz w:val="20"/>
                <w:lang w:val="fr-CA"/>
              </w:rPr>
              <w:t>Cour d’appel de la Saskatchewan</w:t>
            </w:r>
          </w:p>
          <w:p w:rsidR="0095204A" w:rsidRPr="00554DB2" w:rsidRDefault="0095204A" w:rsidP="009C7C08">
            <w:pPr>
              <w:jc w:val="both"/>
              <w:rPr>
                <w:rFonts w:eastAsia="Calibri"/>
                <w:sz w:val="20"/>
                <w:lang w:val="fr-CA"/>
              </w:rPr>
            </w:pPr>
            <w:r w:rsidRPr="00554DB2">
              <w:rPr>
                <w:rFonts w:eastAsia="Calibri"/>
                <w:sz w:val="20"/>
                <w:lang w:val="fr-CA"/>
              </w:rPr>
              <w:t>(Juges Cameron, Gerwing et Jackson)</w:t>
            </w:r>
          </w:p>
          <w:p w:rsidR="0095204A" w:rsidRPr="00554DB2" w:rsidRDefault="0095204A" w:rsidP="009C7C08">
            <w:pPr>
              <w:jc w:val="both"/>
              <w:rPr>
                <w:rFonts w:eastAsia="Calibri"/>
                <w:sz w:val="20"/>
                <w:lang w:val="fr-CA"/>
              </w:rPr>
            </w:pPr>
            <w:r w:rsidRPr="00554DB2">
              <w:rPr>
                <w:rFonts w:eastAsia="Calibri"/>
                <w:sz w:val="20"/>
                <w:lang w:val="fr-CA"/>
              </w:rPr>
              <w:t>2012  SKCA 43; CACR2054</w:t>
            </w:r>
          </w:p>
          <w:p w:rsidR="0095204A" w:rsidRPr="00554DB2" w:rsidRDefault="0095204A" w:rsidP="009C7C08">
            <w:pPr>
              <w:jc w:val="both"/>
              <w:rPr>
                <w:rFonts w:eastAsia="Calibri"/>
                <w:sz w:val="20"/>
                <w:lang w:val="fr-CA"/>
              </w:rPr>
            </w:pP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Appel accueilli en partie</w:t>
            </w:r>
          </w:p>
          <w:p w:rsidR="0095204A" w:rsidRPr="00554DB2" w:rsidRDefault="0095204A" w:rsidP="009C7C08">
            <w:pPr>
              <w:jc w:val="both"/>
              <w:rPr>
                <w:rFonts w:eastAsia="Calibri"/>
                <w:sz w:val="20"/>
                <w:lang w:val="fr-CA"/>
              </w:rPr>
            </w:pPr>
          </w:p>
        </w:tc>
      </w:tr>
      <w:tr w:rsidR="0095204A" w:rsidRPr="00554DB2" w:rsidTr="00395866">
        <w:trPr>
          <w:cantSplit/>
        </w:trPr>
        <w:tc>
          <w:tcPr>
            <w:tcW w:w="2427" w:type="pct"/>
          </w:tcPr>
          <w:p w:rsidR="0095204A" w:rsidRPr="00554DB2" w:rsidRDefault="0095204A" w:rsidP="009C7C08">
            <w:pPr>
              <w:jc w:val="both"/>
              <w:rPr>
                <w:rFonts w:eastAsia="Calibri"/>
                <w:sz w:val="20"/>
                <w:lang w:val="fr-CA"/>
              </w:rPr>
            </w:pPr>
            <w:r w:rsidRPr="00554DB2">
              <w:rPr>
                <w:rFonts w:eastAsia="Calibri"/>
                <w:sz w:val="20"/>
                <w:lang w:val="fr-CA"/>
              </w:rPr>
              <w:t>18 mai 2012</w:t>
            </w:r>
          </w:p>
          <w:p w:rsidR="0095204A" w:rsidRPr="00554DB2" w:rsidRDefault="0095204A" w:rsidP="009C7C08">
            <w:pPr>
              <w:jc w:val="both"/>
              <w:rPr>
                <w:rFonts w:eastAsia="Calibri"/>
                <w:sz w:val="20"/>
                <w:lang w:val="fr-CA"/>
              </w:rPr>
            </w:pPr>
            <w:r w:rsidRPr="00554DB2">
              <w:rPr>
                <w:rFonts w:eastAsia="Calibri"/>
                <w:sz w:val="20"/>
                <w:lang w:val="fr-CA"/>
              </w:rPr>
              <w:t>Cour suprême du Canada</w:t>
            </w: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Demande d’autorisation d’appel, déposée</w:t>
            </w:r>
          </w:p>
          <w:p w:rsidR="0095204A" w:rsidRPr="00554DB2" w:rsidRDefault="0095204A"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51"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95866" w:rsidRPr="005571F9" w:rsidTr="00032CB5">
        <w:trPr>
          <w:cantSplit/>
        </w:trPr>
        <w:tc>
          <w:tcPr>
            <w:tcW w:w="1458" w:type="dxa"/>
          </w:tcPr>
          <w:p w:rsidR="00395866" w:rsidRPr="004E07FE" w:rsidRDefault="00395866" w:rsidP="00032CB5">
            <w:pPr>
              <w:rPr>
                <w:sz w:val="20"/>
                <w:szCs w:val="20"/>
              </w:rPr>
            </w:pPr>
            <w:r w:rsidRPr="004E07FE">
              <w:rPr>
                <w:rStyle w:val="SCCFileNumberChar"/>
                <w:sz w:val="20"/>
                <w:szCs w:val="20"/>
              </w:rPr>
              <w:t>34836</w:t>
            </w:r>
          </w:p>
          <w:p w:rsidR="00395866" w:rsidRPr="004E07FE" w:rsidRDefault="00395866" w:rsidP="00032CB5">
            <w:pPr>
              <w:rPr>
                <w:b/>
                <w:sz w:val="20"/>
                <w:szCs w:val="20"/>
                <w:lang w:val="fr-CA"/>
              </w:rPr>
            </w:pPr>
          </w:p>
        </w:tc>
        <w:tc>
          <w:tcPr>
            <w:tcW w:w="8118" w:type="dxa"/>
          </w:tcPr>
          <w:p w:rsidR="00395866" w:rsidRPr="004E07FE" w:rsidRDefault="00395866" w:rsidP="00032CB5">
            <w:pPr>
              <w:rPr>
                <w:sz w:val="20"/>
                <w:szCs w:val="20"/>
                <w:lang w:val="fr-CA"/>
              </w:rPr>
            </w:pPr>
            <w:r w:rsidRPr="004E07FE">
              <w:rPr>
                <w:rStyle w:val="SCCLsocChar"/>
                <w:sz w:val="20"/>
                <w:szCs w:val="20"/>
              </w:rPr>
              <w:t>Christian Reinales c. Ministre de la Justice du Canada</w:t>
            </w:r>
            <w:r w:rsidRPr="004E07FE">
              <w:rPr>
                <w:sz w:val="20"/>
                <w:szCs w:val="20"/>
                <w:lang w:val="fr-CA"/>
              </w:rPr>
              <w:t xml:space="preserve"> (Qc) (Criminelle) (Autorisation)</w:t>
            </w:r>
          </w:p>
          <w:p w:rsidR="00395866" w:rsidRPr="004E07FE" w:rsidRDefault="00395866" w:rsidP="00032CB5">
            <w:pPr>
              <w:rPr>
                <w:sz w:val="20"/>
                <w:szCs w:val="20"/>
                <w:lang w:val="fr-CA"/>
              </w:rPr>
            </w:pPr>
          </w:p>
        </w:tc>
      </w:tr>
      <w:tr w:rsidR="00395866" w:rsidRPr="005571F9" w:rsidTr="00032CB5">
        <w:trPr>
          <w:cantSplit/>
        </w:trPr>
        <w:tc>
          <w:tcPr>
            <w:tcW w:w="1458" w:type="dxa"/>
          </w:tcPr>
          <w:p w:rsidR="00395866" w:rsidRPr="004E07FE" w:rsidRDefault="00395866" w:rsidP="00032CB5">
            <w:pPr>
              <w:rPr>
                <w:sz w:val="20"/>
                <w:szCs w:val="20"/>
              </w:rPr>
            </w:pPr>
            <w:r w:rsidRPr="004E07FE">
              <w:rPr>
                <w:sz w:val="20"/>
                <w:szCs w:val="20"/>
              </w:rPr>
              <w:t>Coram :</w:t>
            </w:r>
          </w:p>
        </w:tc>
        <w:tc>
          <w:tcPr>
            <w:tcW w:w="8118" w:type="dxa"/>
          </w:tcPr>
          <w:p w:rsidR="00395866" w:rsidRPr="004E07FE" w:rsidRDefault="00395866" w:rsidP="00032CB5">
            <w:pPr>
              <w:rPr>
                <w:sz w:val="20"/>
                <w:szCs w:val="20"/>
                <w:lang w:val="fr-CA"/>
              </w:rPr>
            </w:pPr>
            <w:r w:rsidRPr="004E07FE">
              <w:rPr>
                <w:rStyle w:val="SCCCoramChar"/>
                <w:sz w:val="20"/>
                <w:szCs w:val="20"/>
              </w:rPr>
              <w:t>Les juges Fish, Abella et Karakatsanis</w:t>
            </w:r>
          </w:p>
          <w:p w:rsidR="00395866" w:rsidRPr="004E07FE" w:rsidRDefault="00395866" w:rsidP="00032CB5">
            <w:pPr>
              <w:rPr>
                <w:sz w:val="20"/>
                <w:szCs w:val="20"/>
                <w:u w:val="single"/>
                <w:lang w:val="fr-CA"/>
              </w:rPr>
            </w:pPr>
          </w:p>
        </w:tc>
      </w:tr>
      <w:tr w:rsidR="00395866" w:rsidRPr="004E07FE" w:rsidTr="00032CB5">
        <w:trPr>
          <w:cantSplit/>
        </w:trPr>
        <w:tc>
          <w:tcPr>
            <w:tcW w:w="9576" w:type="dxa"/>
            <w:gridSpan w:val="2"/>
          </w:tcPr>
          <w:p w:rsidR="00395866" w:rsidRPr="004E07FE" w:rsidRDefault="00395866" w:rsidP="00032CB5">
            <w:pPr>
              <w:pStyle w:val="SCCShortJudgment"/>
              <w:rPr>
                <w:szCs w:val="20"/>
                <w:lang w:val="fr-CA"/>
              </w:rPr>
            </w:pPr>
            <w:r w:rsidRPr="004E07FE">
              <w:rPr>
                <w:szCs w:val="20"/>
                <w:lang w:val="fr-CA"/>
              </w:rPr>
              <w:t>La demande d’autorisation d’appel de l’arrêt de la Cour d’appel du Québec (Montréal), numéro 500-10-004978-118, 2012 QCCA 836, daté du 8 mai 2012, est rejetée sans dépens.</w:t>
            </w:r>
          </w:p>
          <w:p w:rsidR="00395866" w:rsidRPr="004E07FE" w:rsidRDefault="00395866" w:rsidP="00032CB5">
            <w:pPr>
              <w:pStyle w:val="SCCShortJudgment"/>
              <w:ind w:firstLine="0"/>
              <w:rPr>
                <w:szCs w:val="20"/>
                <w:lang w:val="fr-CA"/>
              </w:rPr>
            </w:pPr>
          </w:p>
          <w:p w:rsidR="00395866" w:rsidRPr="004E07FE" w:rsidRDefault="00395866" w:rsidP="00032CB5">
            <w:pPr>
              <w:pStyle w:val="SCCShortJudgment"/>
              <w:rPr>
                <w:szCs w:val="20"/>
              </w:rPr>
            </w:pPr>
            <w:r w:rsidRPr="004E07FE">
              <w:rPr>
                <w:szCs w:val="20"/>
              </w:rPr>
              <w:t>The application for leave to appeal from the judgment of the Court of Appeal of Quebec (Montréal), Number 500-10-004978-118, 2012 QCCA 836, dated May 8, 2012, is dismissed without costs.</w:t>
            </w:r>
          </w:p>
        </w:tc>
      </w:tr>
    </w:tbl>
    <w:p w:rsidR="00FA1074" w:rsidRDefault="00FA1074" w:rsidP="00FA1074">
      <w:pPr>
        <w:rPr>
          <w:sz w:val="20"/>
          <w:szCs w:val="20"/>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5204A" w:rsidRPr="00554DB2" w:rsidTr="009C7C08">
        <w:tc>
          <w:tcPr>
            <w:tcW w:w="5000" w:type="pct"/>
            <w:gridSpan w:val="3"/>
          </w:tcPr>
          <w:p w:rsidR="0095204A" w:rsidRPr="00554DB2" w:rsidRDefault="0095204A" w:rsidP="009C7C08">
            <w:pPr>
              <w:jc w:val="both"/>
              <w:rPr>
                <w:rFonts w:eastAsia="Calibri"/>
                <w:sz w:val="20"/>
              </w:rPr>
            </w:pPr>
            <w:r w:rsidRPr="00554DB2">
              <w:rPr>
                <w:rFonts w:eastAsia="Calibri"/>
                <w:sz w:val="20"/>
                <w:lang w:eastAsia="fr-CA"/>
              </w:rPr>
              <w:t xml:space="preserve">Criminal law — Extradition — Risk of mistreatment and torture of applicant and of his being denied full and fair trial in United States because of his Hispanic roots and because he not U.S. citizen — Level of proof required to satisfy Minister that risk specific to applicant — Evidence to be submitted to Minister to convince him that risk specific to applicant and not general — Whether Minister of </w:t>
            </w:r>
            <w:r w:rsidRPr="00554DB2">
              <w:rPr>
                <w:rFonts w:eastAsia="Calibri"/>
                <w:sz w:val="20"/>
              </w:rPr>
              <w:t xml:space="preserve">Justice has power to amend reasons for decision without amending surrender order under s. 42 of </w:t>
            </w:r>
            <w:r w:rsidRPr="00554DB2">
              <w:rPr>
                <w:rFonts w:eastAsia="Calibri"/>
                <w:i/>
                <w:sz w:val="20"/>
              </w:rPr>
              <w:t>Extradition Act</w:t>
            </w:r>
            <w:r w:rsidRPr="00554DB2">
              <w:rPr>
                <w:rFonts w:eastAsia="Calibri"/>
                <w:sz w:val="20"/>
              </w:rPr>
              <w:t>, S.C. 1999, c. 18.</w:t>
            </w:r>
          </w:p>
        </w:tc>
      </w:tr>
      <w:tr w:rsidR="0095204A" w:rsidRPr="00554DB2" w:rsidTr="009C7C08">
        <w:tc>
          <w:tcPr>
            <w:tcW w:w="5000" w:type="pct"/>
            <w:gridSpan w:val="3"/>
          </w:tcPr>
          <w:p w:rsidR="0095204A" w:rsidRPr="00554DB2" w:rsidRDefault="0095204A" w:rsidP="009C7C08">
            <w:pPr>
              <w:jc w:val="both"/>
              <w:rPr>
                <w:rFonts w:eastAsia="Calibri"/>
                <w:sz w:val="20"/>
              </w:rPr>
            </w:pPr>
          </w:p>
        </w:tc>
      </w:tr>
      <w:tr w:rsidR="0095204A" w:rsidRPr="00554DB2" w:rsidTr="009C7C08">
        <w:tc>
          <w:tcPr>
            <w:tcW w:w="5000" w:type="pct"/>
            <w:gridSpan w:val="3"/>
          </w:tcPr>
          <w:p w:rsidR="0095204A" w:rsidRPr="00554DB2" w:rsidRDefault="0095204A" w:rsidP="009C7C08">
            <w:pPr>
              <w:jc w:val="both"/>
              <w:rPr>
                <w:rFonts w:eastAsia="Calibri"/>
                <w:sz w:val="20"/>
              </w:rPr>
            </w:pPr>
            <w:r w:rsidRPr="00554DB2">
              <w:rPr>
                <w:rFonts w:eastAsia="Calibri"/>
                <w:sz w:val="20"/>
              </w:rPr>
              <w:t xml:space="preserve">The applicant is a Canadian citizen of Latin American origin who has been ordered to be extradited to the United States to stand trial on charges of conspiracy and drug trafficking.  In response to the surrender order, the applicant maintained that he faced a risk of mistreatment and torture and of being denied a full and fair trial in the United States because of his Hispanic roots and because he is not a U.S. citizen.  The applicant also argued that his extradition would be unjust and oppressive in the circumstances, and contrary to the principles of fundamental justice provided for in s. 7 of the </w:t>
            </w:r>
            <w:r w:rsidRPr="00554DB2">
              <w:rPr>
                <w:rFonts w:eastAsia="Calibri"/>
                <w:i/>
                <w:sz w:val="20"/>
              </w:rPr>
              <w:t>Canadian Charter of Rights and Freedoms</w:t>
            </w:r>
            <w:r w:rsidRPr="00554DB2">
              <w:rPr>
                <w:rFonts w:eastAsia="Calibri"/>
                <w:sz w:val="20"/>
              </w:rPr>
              <w:t xml:space="preserve">, in addition to being contrary to s. 6(1) of the </w:t>
            </w:r>
            <w:r w:rsidRPr="00554DB2">
              <w:rPr>
                <w:rFonts w:eastAsia="Calibri"/>
                <w:i/>
                <w:sz w:val="20"/>
              </w:rPr>
              <w:t>Canadian Charter of Rights and Freedoms</w:t>
            </w:r>
            <w:r w:rsidRPr="00554DB2">
              <w:rPr>
                <w:rFonts w:eastAsia="Calibri"/>
                <w:sz w:val="20"/>
              </w:rPr>
              <w:t xml:space="preserve"> given that the acts on which the extradition request was based were alleged to have been committed in Canada.</w:t>
            </w:r>
          </w:p>
          <w:p w:rsidR="0095204A" w:rsidRPr="00554DB2" w:rsidRDefault="0095204A" w:rsidP="009C7C08">
            <w:pPr>
              <w:jc w:val="both"/>
              <w:rPr>
                <w:rFonts w:eastAsia="Calibri"/>
                <w:sz w:val="20"/>
              </w:rPr>
            </w:pPr>
          </w:p>
        </w:tc>
      </w:tr>
      <w:tr w:rsidR="0095204A" w:rsidRPr="00554DB2" w:rsidTr="009C7C08">
        <w:tc>
          <w:tcPr>
            <w:tcW w:w="2427" w:type="pct"/>
          </w:tcPr>
          <w:p w:rsidR="0095204A" w:rsidRPr="00554DB2" w:rsidRDefault="0095204A" w:rsidP="009C7C08">
            <w:pPr>
              <w:spacing w:line="240" w:lineRule="atLeast"/>
              <w:rPr>
                <w:sz w:val="20"/>
                <w:lang w:eastAsia="fr-CA"/>
              </w:rPr>
            </w:pPr>
            <w:r w:rsidRPr="00554DB2">
              <w:rPr>
                <w:sz w:val="20"/>
                <w:lang w:eastAsia="fr-CA"/>
              </w:rPr>
              <w:t>December 9, 2010</w:t>
            </w:r>
          </w:p>
          <w:p w:rsidR="0095204A" w:rsidRPr="00554DB2" w:rsidRDefault="0095204A" w:rsidP="009C7C08">
            <w:pPr>
              <w:spacing w:line="240" w:lineRule="atLeast"/>
              <w:rPr>
                <w:sz w:val="20"/>
                <w:lang w:eastAsia="fr-CA"/>
              </w:rPr>
            </w:pPr>
            <w:r w:rsidRPr="00554DB2">
              <w:rPr>
                <w:sz w:val="20"/>
                <w:lang w:eastAsia="fr-CA"/>
              </w:rPr>
              <w:t>Quebec Superior Court</w:t>
            </w:r>
          </w:p>
          <w:p w:rsidR="0095204A" w:rsidRPr="00554DB2" w:rsidRDefault="0095204A" w:rsidP="009C7C08">
            <w:pPr>
              <w:spacing w:line="240" w:lineRule="atLeast"/>
              <w:rPr>
                <w:sz w:val="20"/>
                <w:lang w:eastAsia="fr-CA"/>
              </w:rPr>
            </w:pPr>
            <w:r w:rsidRPr="00554DB2">
              <w:rPr>
                <w:sz w:val="20"/>
                <w:lang w:eastAsia="fr-CA"/>
              </w:rPr>
              <w:t>(Castonguay J.)</w:t>
            </w:r>
          </w:p>
          <w:p w:rsidR="0095204A" w:rsidRPr="00554DB2" w:rsidRDefault="0095204A" w:rsidP="009C7C08">
            <w:pPr>
              <w:spacing w:line="240" w:lineRule="atLeast"/>
              <w:rPr>
                <w:sz w:val="20"/>
                <w:lang w:eastAsia="fr-CA"/>
              </w:rPr>
            </w:pP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Order for committal of applicant</w:t>
            </w:r>
          </w:p>
        </w:tc>
      </w:tr>
      <w:tr w:rsidR="0095204A" w:rsidRPr="00554DB2" w:rsidTr="009C7C08">
        <w:tc>
          <w:tcPr>
            <w:tcW w:w="2427" w:type="pct"/>
          </w:tcPr>
          <w:p w:rsidR="0095204A" w:rsidRPr="00554DB2" w:rsidRDefault="0095204A" w:rsidP="009C7C08">
            <w:pPr>
              <w:spacing w:line="240" w:lineRule="atLeast"/>
              <w:rPr>
                <w:sz w:val="20"/>
                <w:lang w:eastAsia="fr-CA"/>
              </w:rPr>
            </w:pPr>
            <w:r w:rsidRPr="00554DB2">
              <w:rPr>
                <w:sz w:val="20"/>
                <w:lang w:eastAsia="fr-CA"/>
              </w:rPr>
              <w:t>June 24, 2011</w:t>
            </w:r>
          </w:p>
          <w:p w:rsidR="0095204A" w:rsidRPr="00554DB2" w:rsidRDefault="0095204A" w:rsidP="009C7C08">
            <w:pPr>
              <w:spacing w:line="240" w:lineRule="atLeast"/>
              <w:rPr>
                <w:sz w:val="20"/>
                <w:lang w:eastAsia="fr-CA"/>
              </w:rPr>
            </w:pPr>
            <w:r w:rsidRPr="00554DB2">
              <w:rPr>
                <w:sz w:val="20"/>
                <w:lang w:eastAsia="fr-CA"/>
              </w:rPr>
              <w:t>Department of Justice of Canada</w:t>
            </w:r>
          </w:p>
          <w:p w:rsidR="0095204A" w:rsidRPr="00554DB2" w:rsidRDefault="0095204A" w:rsidP="009C7C08">
            <w:pPr>
              <w:spacing w:line="240" w:lineRule="atLeast"/>
              <w:rPr>
                <w:sz w:val="20"/>
                <w:lang w:eastAsia="fr-CA"/>
              </w:rPr>
            </w:pPr>
            <w:r w:rsidRPr="00554DB2">
              <w:rPr>
                <w:sz w:val="20"/>
                <w:lang w:eastAsia="fr-CA"/>
              </w:rPr>
              <w:t>(Minister Nicholson)</w:t>
            </w: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Order that applicant be extradited to United States to stand trial on charges of conspiracy and drug trafficking</w:t>
            </w:r>
          </w:p>
          <w:p w:rsidR="0095204A" w:rsidRPr="00554DB2" w:rsidRDefault="0095204A" w:rsidP="009C7C08">
            <w:pPr>
              <w:jc w:val="both"/>
              <w:rPr>
                <w:rFonts w:eastAsia="Calibri"/>
                <w:sz w:val="20"/>
              </w:rPr>
            </w:pPr>
          </w:p>
        </w:tc>
      </w:tr>
      <w:tr w:rsidR="0095204A" w:rsidRPr="00554DB2" w:rsidTr="009C7C08">
        <w:tc>
          <w:tcPr>
            <w:tcW w:w="2427" w:type="pct"/>
          </w:tcPr>
          <w:p w:rsidR="0095204A" w:rsidRPr="00554DB2" w:rsidRDefault="0095204A" w:rsidP="009C7C08">
            <w:pPr>
              <w:spacing w:line="240" w:lineRule="atLeast"/>
              <w:rPr>
                <w:sz w:val="20"/>
                <w:lang w:eastAsia="fr-CA"/>
              </w:rPr>
            </w:pPr>
            <w:r w:rsidRPr="00554DB2">
              <w:rPr>
                <w:sz w:val="20"/>
                <w:lang w:eastAsia="fr-CA"/>
              </w:rPr>
              <w:t>December 14, 2011</w:t>
            </w:r>
          </w:p>
          <w:p w:rsidR="0095204A" w:rsidRPr="00554DB2" w:rsidRDefault="0095204A" w:rsidP="009C7C08">
            <w:pPr>
              <w:spacing w:line="240" w:lineRule="atLeast"/>
              <w:rPr>
                <w:sz w:val="20"/>
                <w:lang w:eastAsia="fr-CA"/>
              </w:rPr>
            </w:pPr>
            <w:r w:rsidRPr="00554DB2">
              <w:rPr>
                <w:sz w:val="20"/>
                <w:lang w:eastAsia="fr-CA"/>
              </w:rPr>
              <w:t>Department of Justice of Canada</w:t>
            </w:r>
          </w:p>
          <w:p w:rsidR="0095204A" w:rsidRPr="00554DB2" w:rsidRDefault="0095204A" w:rsidP="009C7C08">
            <w:pPr>
              <w:spacing w:line="240" w:lineRule="atLeast"/>
              <w:rPr>
                <w:sz w:val="20"/>
                <w:lang w:eastAsia="fr-CA"/>
              </w:rPr>
            </w:pPr>
            <w:r w:rsidRPr="00554DB2">
              <w:rPr>
                <w:sz w:val="20"/>
                <w:lang w:eastAsia="fr-CA"/>
              </w:rPr>
              <w:t>(Minister Nicholson)</w:t>
            </w:r>
          </w:p>
          <w:p w:rsidR="0095204A" w:rsidRPr="00554DB2" w:rsidRDefault="0095204A" w:rsidP="009C7C08">
            <w:pPr>
              <w:spacing w:line="240" w:lineRule="atLeast"/>
              <w:rPr>
                <w:sz w:val="20"/>
                <w:lang w:eastAsia="fr-CA"/>
              </w:rPr>
            </w:pP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Confirmation of surrender order</w:t>
            </w:r>
          </w:p>
        </w:tc>
      </w:tr>
      <w:tr w:rsidR="0095204A" w:rsidRPr="00554DB2" w:rsidTr="009C7C08">
        <w:tc>
          <w:tcPr>
            <w:tcW w:w="2427" w:type="pct"/>
          </w:tcPr>
          <w:p w:rsidR="0095204A" w:rsidRPr="00554DB2" w:rsidRDefault="0095204A" w:rsidP="009C7C08">
            <w:pPr>
              <w:spacing w:line="240" w:lineRule="atLeast"/>
              <w:rPr>
                <w:sz w:val="20"/>
                <w:lang w:eastAsia="fr-CA"/>
              </w:rPr>
            </w:pPr>
            <w:r w:rsidRPr="00554DB2">
              <w:rPr>
                <w:sz w:val="20"/>
                <w:lang w:eastAsia="fr-CA"/>
              </w:rPr>
              <w:t>May 8, 2012</w:t>
            </w:r>
          </w:p>
          <w:p w:rsidR="0095204A" w:rsidRPr="00554DB2" w:rsidRDefault="0095204A" w:rsidP="009C7C08">
            <w:pPr>
              <w:spacing w:line="240" w:lineRule="atLeast"/>
              <w:rPr>
                <w:sz w:val="20"/>
                <w:lang w:eastAsia="fr-CA"/>
              </w:rPr>
            </w:pPr>
            <w:r w:rsidRPr="00554DB2">
              <w:rPr>
                <w:sz w:val="20"/>
                <w:lang w:eastAsia="fr-CA"/>
              </w:rPr>
              <w:t>Quebec Court of Appeal (Montréal)</w:t>
            </w:r>
          </w:p>
          <w:p w:rsidR="0095204A" w:rsidRPr="00554DB2" w:rsidRDefault="0095204A" w:rsidP="009C7C08">
            <w:pPr>
              <w:spacing w:line="240" w:lineRule="atLeast"/>
              <w:rPr>
                <w:sz w:val="20"/>
                <w:lang w:eastAsia="fr-CA"/>
              </w:rPr>
            </w:pPr>
            <w:r w:rsidRPr="00554DB2">
              <w:rPr>
                <w:sz w:val="20"/>
                <w:lang w:eastAsia="fr-CA"/>
              </w:rPr>
              <w:t>(Rochon, Dalphond and Kasirer JJ.A.)</w:t>
            </w:r>
          </w:p>
          <w:p w:rsidR="0095204A" w:rsidRPr="00554DB2" w:rsidRDefault="0095204A" w:rsidP="009C7C08">
            <w:pPr>
              <w:spacing w:line="240" w:lineRule="atLeast"/>
              <w:rPr>
                <w:sz w:val="20"/>
                <w:lang w:eastAsia="fr-CA"/>
              </w:rPr>
            </w:pPr>
            <w:r w:rsidRPr="00554DB2">
              <w:rPr>
                <w:sz w:val="20"/>
                <w:lang w:eastAsia="fr-CA"/>
              </w:rPr>
              <w:t>2012 QCCA 836; 500-10-004978-118</w:t>
            </w:r>
          </w:p>
          <w:p w:rsidR="0095204A" w:rsidRPr="00554DB2" w:rsidRDefault="0095204A" w:rsidP="009C7C08">
            <w:pPr>
              <w:spacing w:line="240" w:lineRule="atLeast"/>
              <w:rPr>
                <w:sz w:val="20"/>
                <w:lang w:eastAsia="fr-CA"/>
              </w:rPr>
            </w:pP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Application for judicial review dismissed</w:t>
            </w:r>
          </w:p>
          <w:p w:rsidR="0095204A" w:rsidRPr="00554DB2" w:rsidRDefault="0095204A" w:rsidP="009C7C08">
            <w:pPr>
              <w:jc w:val="both"/>
              <w:rPr>
                <w:rFonts w:eastAsia="Calibri"/>
                <w:sz w:val="20"/>
              </w:rPr>
            </w:pPr>
          </w:p>
        </w:tc>
      </w:tr>
      <w:tr w:rsidR="0095204A" w:rsidRPr="00554DB2" w:rsidTr="009C7C08">
        <w:tc>
          <w:tcPr>
            <w:tcW w:w="2427" w:type="pct"/>
          </w:tcPr>
          <w:p w:rsidR="0095204A" w:rsidRPr="00554DB2" w:rsidRDefault="0095204A" w:rsidP="009C7C08">
            <w:pPr>
              <w:jc w:val="both"/>
              <w:rPr>
                <w:rFonts w:eastAsia="Calibri"/>
                <w:sz w:val="20"/>
              </w:rPr>
            </w:pPr>
            <w:r w:rsidRPr="00554DB2">
              <w:rPr>
                <w:rFonts w:eastAsia="Calibri"/>
                <w:sz w:val="20"/>
              </w:rPr>
              <w:t>July 4, 2012</w:t>
            </w:r>
          </w:p>
          <w:p w:rsidR="0095204A" w:rsidRPr="00554DB2" w:rsidRDefault="0095204A" w:rsidP="009C7C08">
            <w:pPr>
              <w:jc w:val="both"/>
              <w:rPr>
                <w:rFonts w:eastAsia="Calibri"/>
                <w:sz w:val="20"/>
              </w:rPr>
            </w:pPr>
            <w:r w:rsidRPr="00554DB2">
              <w:rPr>
                <w:rFonts w:eastAsia="Calibri"/>
                <w:sz w:val="20"/>
              </w:rPr>
              <w:t>Supreme Court of Canada</w:t>
            </w:r>
          </w:p>
        </w:tc>
        <w:tc>
          <w:tcPr>
            <w:tcW w:w="243" w:type="pct"/>
          </w:tcPr>
          <w:p w:rsidR="0095204A" w:rsidRPr="00554DB2" w:rsidRDefault="0095204A" w:rsidP="009C7C08">
            <w:pPr>
              <w:jc w:val="both"/>
              <w:rPr>
                <w:rFonts w:eastAsia="Calibri"/>
                <w:sz w:val="20"/>
              </w:rPr>
            </w:pPr>
          </w:p>
        </w:tc>
        <w:tc>
          <w:tcPr>
            <w:tcW w:w="2330" w:type="pct"/>
          </w:tcPr>
          <w:p w:rsidR="0095204A" w:rsidRPr="00554DB2" w:rsidRDefault="0095204A" w:rsidP="009C7C08">
            <w:pPr>
              <w:jc w:val="both"/>
              <w:rPr>
                <w:rFonts w:eastAsia="Calibri"/>
                <w:sz w:val="20"/>
              </w:rPr>
            </w:pPr>
            <w:r w:rsidRPr="00554DB2">
              <w:rPr>
                <w:rFonts w:eastAsia="Calibri"/>
                <w:sz w:val="20"/>
              </w:rPr>
              <w:t>Application for leave to appeal filed</w:t>
            </w:r>
          </w:p>
          <w:p w:rsidR="0095204A" w:rsidRPr="00554DB2" w:rsidRDefault="0095204A"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52"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5204A" w:rsidRPr="005571F9" w:rsidTr="009C7C08">
        <w:tc>
          <w:tcPr>
            <w:tcW w:w="5000" w:type="pct"/>
            <w:gridSpan w:val="3"/>
          </w:tcPr>
          <w:p w:rsidR="0095204A" w:rsidRPr="00554DB2" w:rsidRDefault="0095204A" w:rsidP="009C7C08">
            <w:pPr>
              <w:jc w:val="both"/>
              <w:rPr>
                <w:rFonts w:eastAsia="Calibri"/>
                <w:sz w:val="20"/>
                <w:lang w:val="fr-CA"/>
              </w:rPr>
            </w:pPr>
            <w:r w:rsidRPr="00554DB2">
              <w:rPr>
                <w:rFonts w:eastAsia="Calibri"/>
                <w:sz w:val="20"/>
                <w:lang w:val="fr-CA" w:eastAsia="fr-CA"/>
              </w:rPr>
              <w:t>Droit criminel — Extradition — Risque de subir de mauvais traitements, d’être torturé et de ne pas pouvoir bénéficier d’un procès juste et équitable aux États</w:t>
            </w:r>
            <w:r w:rsidRPr="00554DB2">
              <w:rPr>
                <w:rFonts w:eastAsia="Calibri"/>
                <w:sz w:val="20"/>
                <w:lang w:val="fr-CA" w:eastAsia="fr-CA"/>
              </w:rPr>
              <w:noBreakHyphen/>
              <w:t xml:space="preserve">Unis compte tenu des origines hispaniques du demandeur et du fait qu’il n’est pas citoyen américain — </w:t>
            </w:r>
            <w:r w:rsidRPr="00554DB2">
              <w:rPr>
                <w:rFonts w:eastAsia="Calibri"/>
                <w:sz w:val="20"/>
                <w:lang w:val="fr-CA"/>
              </w:rPr>
              <w:t xml:space="preserve">Quel niveau de preuve doit être atteint afin de satisfaire le Ministre que le risque du demandeur est personnalisé? </w:t>
            </w:r>
            <w:r w:rsidRPr="00554DB2">
              <w:rPr>
                <w:rFonts w:eastAsia="Calibri"/>
                <w:sz w:val="20"/>
                <w:lang w:val="fr-CA" w:eastAsia="fr-CA"/>
              </w:rPr>
              <w:t xml:space="preserve">— </w:t>
            </w:r>
            <w:r w:rsidRPr="00554DB2">
              <w:rPr>
                <w:rFonts w:eastAsia="Calibri"/>
                <w:sz w:val="20"/>
                <w:lang w:val="fr-CA"/>
              </w:rPr>
              <w:t>Quelle preuve doit être soumise au Ministre afin de le convaincre que le risque est personnalisé et non généralisé?</w:t>
            </w:r>
            <w:r w:rsidRPr="00554DB2">
              <w:rPr>
                <w:rFonts w:eastAsia="Calibri"/>
                <w:sz w:val="20"/>
                <w:lang w:val="fr-CA" w:eastAsia="fr-CA"/>
              </w:rPr>
              <w:t xml:space="preserve"> — </w:t>
            </w:r>
            <w:r w:rsidRPr="00554DB2">
              <w:rPr>
                <w:rFonts w:eastAsia="Calibri"/>
                <w:sz w:val="20"/>
                <w:lang w:val="fr-CA"/>
              </w:rPr>
              <w:t>Le Ministre de la Justice a</w:t>
            </w:r>
            <w:r w:rsidRPr="00554DB2">
              <w:rPr>
                <w:rFonts w:eastAsia="Calibri"/>
                <w:sz w:val="20"/>
                <w:lang w:val="fr-CA"/>
              </w:rPr>
              <w:noBreakHyphen/>
              <w:t>t</w:t>
            </w:r>
            <w:r w:rsidRPr="00554DB2">
              <w:rPr>
                <w:rFonts w:eastAsia="Calibri"/>
                <w:sz w:val="20"/>
                <w:lang w:val="fr-CA"/>
              </w:rPr>
              <w:noBreakHyphen/>
              <w:t xml:space="preserve">il le pouvoir de modifier les motifs de sa décision sans modifier l’arrêté d’extradition conformément au paragraphe 42 de la </w:t>
            </w:r>
            <w:r w:rsidRPr="00554DB2">
              <w:rPr>
                <w:rFonts w:eastAsia="Calibri"/>
                <w:i/>
                <w:sz w:val="20"/>
                <w:lang w:val="fr-CA"/>
              </w:rPr>
              <w:t>Loi sur l’extradition</w:t>
            </w:r>
            <w:r w:rsidRPr="00554DB2">
              <w:rPr>
                <w:rFonts w:eastAsia="Calibri"/>
                <w:sz w:val="20"/>
                <w:lang w:val="fr-CA"/>
              </w:rPr>
              <w:t>, L.C. 1999, ch. 18?</w:t>
            </w:r>
          </w:p>
        </w:tc>
      </w:tr>
      <w:tr w:rsidR="0095204A" w:rsidRPr="005571F9" w:rsidTr="009C7C08">
        <w:tc>
          <w:tcPr>
            <w:tcW w:w="5000" w:type="pct"/>
            <w:gridSpan w:val="3"/>
          </w:tcPr>
          <w:p w:rsidR="0095204A" w:rsidRPr="00554DB2" w:rsidRDefault="0095204A" w:rsidP="009C7C08">
            <w:pPr>
              <w:jc w:val="both"/>
              <w:rPr>
                <w:rFonts w:eastAsia="Calibri"/>
                <w:sz w:val="20"/>
                <w:lang w:val="fr-CA"/>
              </w:rPr>
            </w:pPr>
          </w:p>
        </w:tc>
      </w:tr>
      <w:tr w:rsidR="0095204A" w:rsidRPr="005571F9" w:rsidTr="009C7C08">
        <w:tc>
          <w:tcPr>
            <w:tcW w:w="5000" w:type="pct"/>
            <w:gridSpan w:val="3"/>
          </w:tcPr>
          <w:p w:rsidR="0095204A" w:rsidRPr="00554DB2" w:rsidRDefault="0095204A" w:rsidP="009C7C08">
            <w:pPr>
              <w:jc w:val="both"/>
              <w:rPr>
                <w:rFonts w:eastAsia="Calibri"/>
                <w:sz w:val="20"/>
                <w:lang w:val="fr-CA"/>
              </w:rPr>
            </w:pPr>
            <w:r w:rsidRPr="00554DB2">
              <w:rPr>
                <w:rFonts w:eastAsia="Calibri"/>
                <w:sz w:val="20"/>
                <w:lang w:val="fr-CA"/>
              </w:rPr>
              <w:t>Le demandeur est un citoyen canadien d’origine latino</w:t>
            </w:r>
            <w:r w:rsidRPr="00554DB2">
              <w:rPr>
                <w:rFonts w:eastAsia="Calibri"/>
                <w:sz w:val="20"/>
                <w:lang w:val="fr-CA"/>
              </w:rPr>
              <w:noBreakHyphen/>
              <w:t>américaine qui fait l’objet d’une ordonnance d’extradition vers les États</w:t>
            </w:r>
            <w:r w:rsidRPr="00554DB2">
              <w:rPr>
                <w:rFonts w:eastAsia="Calibri"/>
                <w:sz w:val="20"/>
                <w:lang w:val="fr-CA"/>
              </w:rPr>
              <w:noBreakHyphen/>
              <w:t>Unis afin qu’il y subisse un procès eu égard à des accusations de complot et de trafic de stupéfiants.  À l’encontre de son extradition, le demandeur a soutenu qu’il risque de subir de mauvais traitements, d’être torturé et de ne pas pouvoir bénéficier d’un procès juste et équitable aux États</w:t>
            </w:r>
            <w:r w:rsidRPr="00554DB2">
              <w:rPr>
                <w:rFonts w:eastAsia="Calibri"/>
                <w:sz w:val="20"/>
                <w:lang w:val="fr-CA"/>
              </w:rPr>
              <w:noBreakHyphen/>
              <w:t xml:space="preserve">Unis compte tenu de ses origines hispaniques et du fait qu’il n’est pas citoyen américain.  Le demandeur a également soutenu que son extradition serait injuste et tyrannique dans les circonstances et contraire aux principes de justice fondamentale prévus à l’article 7 de la </w:t>
            </w:r>
            <w:r w:rsidRPr="00554DB2">
              <w:rPr>
                <w:rFonts w:eastAsia="Calibri"/>
                <w:i/>
                <w:sz w:val="20"/>
                <w:lang w:val="fr-CA"/>
              </w:rPr>
              <w:t>Charte canadienne des droits et libertés</w:t>
            </w:r>
            <w:r w:rsidRPr="00554DB2">
              <w:rPr>
                <w:rFonts w:eastAsia="Calibri"/>
                <w:sz w:val="20"/>
                <w:lang w:val="fr-CA"/>
              </w:rPr>
              <w:t xml:space="preserve"> et que, de plus, elle serait contraire à l’article 6(1) de la </w:t>
            </w:r>
            <w:r w:rsidRPr="00554DB2">
              <w:rPr>
                <w:rFonts w:eastAsia="Calibri"/>
                <w:i/>
                <w:sz w:val="20"/>
                <w:lang w:val="fr-CA"/>
              </w:rPr>
              <w:t>Charte canadienne des droits et libertés</w:t>
            </w:r>
            <w:r w:rsidRPr="00554DB2">
              <w:rPr>
                <w:rFonts w:eastAsia="Calibri"/>
                <w:sz w:val="20"/>
                <w:lang w:val="fr-CA"/>
              </w:rPr>
              <w:t xml:space="preserve"> vu que les actes à l’origine de la demande d’extradition auraient été commis au Canada.</w:t>
            </w:r>
          </w:p>
          <w:p w:rsidR="0095204A" w:rsidRPr="00554DB2" w:rsidRDefault="0095204A" w:rsidP="009C7C08">
            <w:pPr>
              <w:jc w:val="both"/>
              <w:rPr>
                <w:rFonts w:eastAsia="Calibri"/>
                <w:sz w:val="20"/>
                <w:lang w:val="fr-CA"/>
              </w:rPr>
            </w:pPr>
          </w:p>
        </w:tc>
      </w:tr>
      <w:tr w:rsidR="0095204A" w:rsidRPr="00554DB2" w:rsidTr="009C7C08">
        <w:tc>
          <w:tcPr>
            <w:tcW w:w="2427" w:type="pct"/>
          </w:tcPr>
          <w:p w:rsidR="0095204A" w:rsidRPr="00554DB2" w:rsidRDefault="0095204A" w:rsidP="009C7C08">
            <w:pPr>
              <w:spacing w:line="240" w:lineRule="atLeast"/>
              <w:rPr>
                <w:sz w:val="20"/>
                <w:lang w:val="fr-CA" w:eastAsia="fr-CA"/>
              </w:rPr>
            </w:pPr>
            <w:r w:rsidRPr="00554DB2">
              <w:rPr>
                <w:sz w:val="20"/>
                <w:lang w:val="fr-CA" w:eastAsia="fr-CA"/>
              </w:rPr>
              <w:t>Le 9 décembre 2010</w:t>
            </w:r>
          </w:p>
          <w:p w:rsidR="0095204A" w:rsidRPr="00554DB2" w:rsidRDefault="0095204A" w:rsidP="009C7C08">
            <w:pPr>
              <w:spacing w:line="240" w:lineRule="atLeast"/>
              <w:rPr>
                <w:sz w:val="20"/>
                <w:lang w:val="fr-CA" w:eastAsia="fr-CA"/>
              </w:rPr>
            </w:pPr>
            <w:r w:rsidRPr="00554DB2">
              <w:rPr>
                <w:sz w:val="20"/>
                <w:lang w:val="fr-CA" w:eastAsia="fr-CA"/>
              </w:rPr>
              <w:t>Cour supérieure du  Québec</w:t>
            </w:r>
          </w:p>
          <w:p w:rsidR="0095204A" w:rsidRPr="00554DB2" w:rsidRDefault="0095204A" w:rsidP="009C7C08">
            <w:pPr>
              <w:spacing w:line="240" w:lineRule="atLeast"/>
              <w:rPr>
                <w:sz w:val="20"/>
                <w:lang w:val="fr-CA" w:eastAsia="fr-CA"/>
              </w:rPr>
            </w:pPr>
            <w:r w:rsidRPr="00554DB2">
              <w:rPr>
                <w:sz w:val="20"/>
                <w:lang w:val="fr-CA" w:eastAsia="fr-CA"/>
              </w:rPr>
              <w:t>(Le juge Castonguay)</w:t>
            </w:r>
          </w:p>
          <w:p w:rsidR="0095204A" w:rsidRPr="00554DB2" w:rsidRDefault="0095204A" w:rsidP="009C7C08">
            <w:pPr>
              <w:spacing w:line="240" w:lineRule="atLeast"/>
              <w:rPr>
                <w:sz w:val="20"/>
                <w:lang w:val="fr-CA" w:eastAsia="fr-CA"/>
              </w:rPr>
            </w:pP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Ordonnance d’incarcération du demandeur.</w:t>
            </w:r>
          </w:p>
        </w:tc>
      </w:tr>
      <w:tr w:rsidR="0095204A" w:rsidRPr="005571F9" w:rsidTr="009C7C08">
        <w:tc>
          <w:tcPr>
            <w:tcW w:w="2427" w:type="pct"/>
          </w:tcPr>
          <w:p w:rsidR="0095204A" w:rsidRPr="00554DB2" w:rsidRDefault="0095204A" w:rsidP="009C7C08">
            <w:pPr>
              <w:spacing w:line="240" w:lineRule="atLeast"/>
              <w:rPr>
                <w:sz w:val="20"/>
                <w:lang w:val="fr-CA" w:eastAsia="fr-CA"/>
              </w:rPr>
            </w:pPr>
            <w:r w:rsidRPr="00554DB2">
              <w:rPr>
                <w:sz w:val="20"/>
                <w:lang w:val="fr-CA" w:eastAsia="fr-CA"/>
              </w:rPr>
              <w:t>Le 24 juin 2011</w:t>
            </w:r>
          </w:p>
          <w:p w:rsidR="0095204A" w:rsidRPr="00554DB2" w:rsidRDefault="0095204A" w:rsidP="009C7C08">
            <w:pPr>
              <w:spacing w:line="240" w:lineRule="atLeast"/>
              <w:rPr>
                <w:sz w:val="20"/>
                <w:lang w:val="fr-CA" w:eastAsia="fr-CA"/>
              </w:rPr>
            </w:pPr>
            <w:r w:rsidRPr="00554DB2">
              <w:rPr>
                <w:sz w:val="20"/>
                <w:lang w:val="fr-CA" w:eastAsia="fr-CA"/>
              </w:rPr>
              <w:t>Ministère de la Justice du Canada</w:t>
            </w:r>
          </w:p>
          <w:p w:rsidR="0095204A" w:rsidRPr="00554DB2" w:rsidRDefault="0095204A" w:rsidP="009C7C08">
            <w:pPr>
              <w:spacing w:line="240" w:lineRule="atLeast"/>
              <w:rPr>
                <w:sz w:val="20"/>
                <w:lang w:val="fr-CA" w:eastAsia="fr-CA"/>
              </w:rPr>
            </w:pPr>
            <w:r w:rsidRPr="00554DB2">
              <w:rPr>
                <w:sz w:val="20"/>
                <w:lang w:val="fr-CA" w:eastAsia="fr-CA"/>
              </w:rPr>
              <w:t>(Le ministre Nicholson)</w:t>
            </w: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Ordonnance d’extradition du demandeur vers les États</w:t>
            </w:r>
            <w:r w:rsidRPr="00554DB2">
              <w:rPr>
                <w:rFonts w:eastAsia="Calibri"/>
                <w:sz w:val="20"/>
                <w:lang w:val="fr-CA"/>
              </w:rPr>
              <w:noBreakHyphen/>
              <w:t>Unis afin qu’il y subisse un procès pour des accusations de complot et de trafic de stupéfiants.</w:t>
            </w:r>
          </w:p>
          <w:p w:rsidR="0095204A" w:rsidRPr="00554DB2" w:rsidRDefault="0095204A" w:rsidP="009C7C08">
            <w:pPr>
              <w:jc w:val="both"/>
              <w:rPr>
                <w:rFonts w:eastAsia="Calibri"/>
                <w:sz w:val="20"/>
                <w:lang w:val="fr-CA"/>
              </w:rPr>
            </w:pPr>
          </w:p>
        </w:tc>
      </w:tr>
      <w:tr w:rsidR="0095204A" w:rsidRPr="00554DB2" w:rsidTr="009C7C08">
        <w:tc>
          <w:tcPr>
            <w:tcW w:w="2427" w:type="pct"/>
          </w:tcPr>
          <w:p w:rsidR="0095204A" w:rsidRPr="00554DB2" w:rsidRDefault="0095204A" w:rsidP="009C7C08">
            <w:pPr>
              <w:spacing w:line="240" w:lineRule="atLeast"/>
              <w:rPr>
                <w:sz w:val="20"/>
                <w:lang w:val="fr-CA" w:eastAsia="fr-CA"/>
              </w:rPr>
            </w:pPr>
            <w:r w:rsidRPr="00554DB2">
              <w:rPr>
                <w:sz w:val="20"/>
                <w:lang w:val="fr-CA" w:eastAsia="fr-CA"/>
              </w:rPr>
              <w:t>Le 14 décembre 2011</w:t>
            </w:r>
          </w:p>
          <w:p w:rsidR="0095204A" w:rsidRPr="00554DB2" w:rsidRDefault="0095204A" w:rsidP="009C7C08">
            <w:pPr>
              <w:spacing w:line="240" w:lineRule="atLeast"/>
              <w:rPr>
                <w:sz w:val="20"/>
                <w:lang w:val="fr-CA" w:eastAsia="fr-CA"/>
              </w:rPr>
            </w:pPr>
            <w:r w:rsidRPr="00554DB2">
              <w:rPr>
                <w:sz w:val="20"/>
                <w:lang w:val="fr-CA" w:eastAsia="fr-CA"/>
              </w:rPr>
              <w:t>Ministère de la Justice du Canada</w:t>
            </w:r>
          </w:p>
          <w:p w:rsidR="0095204A" w:rsidRPr="00554DB2" w:rsidRDefault="0095204A" w:rsidP="009C7C08">
            <w:pPr>
              <w:spacing w:line="240" w:lineRule="atLeast"/>
              <w:rPr>
                <w:sz w:val="20"/>
                <w:lang w:val="fr-CA" w:eastAsia="fr-CA"/>
              </w:rPr>
            </w:pPr>
            <w:r w:rsidRPr="00554DB2">
              <w:rPr>
                <w:sz w:val="20"/>
                <w:lang w:val="fr-CA" w:eastAsia="fr-CA"/>
              </w:rPr>
              <w:t>(Le ministre Nicholson)</w:t>
            </w:r>
          </w:p>
          <w:p w:rsidR="0095204A" w:rsidRPr="00554DB2" w:rsidRDefault="0095204A" w:rsidP="009C7C08">
            <w:pPr>
              <w:spacing w:line="240" w:lineRule="atLeast"/>
              <w:rPr>
                <w:sz w:val="20"/>
                <w:lang w:val="fr-CA" w:eastAsia="fr-CA"/>
              </w:rPr>
            </w:pP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Confirmation de l’ordonnance d’extradition.</w:t>
            </w:r>
          </w:p>
        </w:tc>
      </w:tr>
      <w:tr w:rsidR="0095204A" w:rsidRPr="005571F9" w:rsidTr="009C7C08">
        <w:tc>
          <w:tcPr>
            <w:tcW w:w="2427" w:type="pct"/>
          </w:tcPr>
          <w:p w:rsidR="0095204A" w:rsidRPr="00554DB2" w:rsidRDefault="0095204A" w:rsidP="009C7C08">
            <w:pPr>
              <w:spacing w:line="240" w:lineRule="atLeast"/>
              <w:rPr>
                <w:sz w:val="20"/>
                <w:lang w:val="fr-CA" w:eastAsia="fr-CA"/>
              </w:rPr>
            </w:pPr>
            <w:r w:rsidRPr="00554DB2">
              <w:rPr>
                <w:sz w:val="20"/>
                <w:lang w:val="fr-CA" w:eastAsia="fr-CA"/>
              </w:rPr>
              <w:t>Le 8 mai 2012</w:t>
            </w:r>
          </w:p>
          <w:p w:rsidR="0095204A" w:rsidRPr="00554DB2" w:rsidRDefault="0095204A" w:rsidP="009C7C08">
            <w:pPr>
              <w:spacing w:line="240" w:lineRule="atLeast"/>
              <w:rPr>
                <w:sz w:val="20"/>
                <w:lang w:val="fr-CA" w:eastAsia="fr-CA"/>
              </w:rPr>
            </w:pPr>
            <w:r w:rsidRPr="00554DB2">
              <w:rPr>
                <w:sz w:val="20"/>
                <w:lang w:val="fr-CA" w:eastAsia="fr-CA"/>
              </w:rPr>
              <w:t>Cour d’appel du Québec (Montréal)</w:t>
            </w:r>
          </w:p>
          <w:p w:rsidR="0095204A" w:rsidRPr="00554DB2" w:rsidRDefault="0095204A" w:rsidP="009C7C08">
            <w:pPr>
              <w:spacing w:line="240" w:lineRule="atLeast"/>
              <w:rPr>
                <w:sz w:val="20"/>
                <w:lang w:val="fr-CA" w:eastAsia="fr-CA"/>
              </w:rPr>
            </w:pPr>
            <w:r w:rsidRPr="00554DB2">
              <w:rPr>
                <w:sz w:val="20"/>
                <w:lang w:val="fr-CA" w:eastAsia="fr-CA"/>
              </w:rPr>
              <w:t>(Les juges Rochon, Dalphond et Kasirer)</w:t>
            </w:r>
          </w:p>
          <w:p w:rsidR="0095204A" w:rsidRPr="00554DB2" w:rsidRDefault="0095204A" w:rsidP="009C7C08">
            <w:pPr>
              <w:spacing w:line="240" w:lineRule="atLeast"/>
              <w:rPr>
                <w:sz w:val="20"/>
                <w:lang w:val="fr-CA" w:eastAsia="fr-CA"/>
              </w:rPr>
            </w:pPr>
            <w:r w:rsidRPr="00554DB2">
              <w:rPr>
                <w:sz w:val="20"/>
                <w:lang w:val="fr-CA" w:eastAsia="fr-CA"/>
              </w:rPr>
              <w:t>2012 QCCA 836; 500</w:t>
            </w:r>
            <w:r w:rsidRPr="00554DB2">
              <w:rPr>
                <w:sz w:val="20"/>
                <w:lang w:val="fr-CA" w:eastAsia="fr-CA"/>
              </w:rPr>
              <w:noBreakHyphen/>
              <w:t>10</w:t>
            </w:r>
            <w:r w:rsidRPr="00554DB2">
              <w:rPr>
                <w:sz w:val="20"/>
                <w:lang w:val="fr-CA" w:eastAsia="fr-CA"/>
              </w:rPr>
              <w:noBreakHyphen/>
              <w:t>004978</w:t>
            </w:r>
            <w:r w:rsidRPr="00554DB2">
              <w:rPr>
                <w:sz w:val="20"/>
                <w:lang w:val="fr-CA" w:eastAsia="fr-CA"/>
              </w:rPr>
              <w:noBreakHyphen/>
              <w:t>118</w:t>
            </w:r>
          </w:p>
          <w:p w:rsidR="0095204A" w:rsidRPr="00554DB2" w:rsidRDefault="0095204A" w:rsidP="009C7C08">
            <w:pPr>
              <w:spacing w:line="240" w:lineRule="atLeast"/>
              <w:rPr>
                <w:sz w:val="20"/>
                <w:lang w:val="fr-CA" w:eastAsia="fr-CA"/>
              </w:rPr>
            </w:pP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Demande en révision judiciaire rejetée.</w:t>
            </w:r>
          </w:p>
          <w:p w:rsidR="0095204A" w:rsidRPr="00554DB2" w:rsidRDefault="0095204A" w:rsidP="009C7C08">
            <w:pPr>
              <w:jc w:val="both"/>
              <w:rPr>
                <w:rFonts w:eastAsia="Calibri"/>
                <w:sz w:val="20"/>
                <w:lang w:val="fr-CA"/>
              </w:rPr>
            </w:pPr>
          </w:p>
        </w:tc>
      </w:tr>
      <w:tr w:rsidR="0095204A" w:rsidRPr="00554DB2" w:rsidTr="009C7C08">
        <w:tc>
          <w:tcPr>
            <w:tcW w:w="2427" w:type="pct"/>
          </w:tcPr>
          <w:p w:rsidR="0095204A" w:rsidRPr="00554DB2" w:rsidRDefault="0095204A" w:rsidP="009C7C08">
            <w:pPr>
              <w:jc w:val="both"/>
              <w:rPr>
                <w:rFonts w:eastAsia="Calibri"/>
                <w:sz w:val="20"/>
                <w:lang w:val="fr-CA"/>
              </w:rPr>
            </w:pPr>
            <w:r w:rsidRPr="00554DB2">
              <w:rPr>
                <w:rFonts w:eastAsia="Calibri"/>
                <w:sz w:val="20"/>
                <w:lang w:val="fr-CA"/>
              </w:rPr>
              <w:t>Le 4 juillet 2012</w:t>
            </w:r>
          </w:p>
          <w:p w:rsidR="0095204A" w:rsidRPr="00554DB2" w:rsidRDefault="0095204A" w:rsidP="009C7C08">
            <w:pPr>
              <w:jc w:val="both"/>
              <w:rPr>
                <w:rFonts w:eastAsia="Calibri"/>
                <w:sz w:val="20"/>
                <w:lang w:val="fr-CA"/>
              </w:rPr>
            </w:pPr>
            <w:r w:rsidRPr="00554DB2">
              <w:rPr>
                <w:rFonts w:eastAsia="Calibri"/>
                <w:sz w:val="20"/>
                <w:lang w:val="fr-CA"/>
              </w:rPr>
              <w:t>Cour suprême du Canada</w:t>
            </w:r>
          </w:p>
        </w:tc>
        <w:tc>
          <w:tcPr>
            <w:tcW w:w="243" w:type="pct"/>
          </w:tcPr>
          <w:p w:rsidR="0095204A" w:rsidRPr="00554DB2" w:rsidRDefault="0095204A" w:rsidP="009C7C08">
            <w:pPr>
              <w:jc w:val="both"/>
              <w:rPr>
                <w:rFonts w:eastAsia="Calibri"/>
                <w:sz w:val="20"/>
                <w:lang w:val="fr-CA"/>
              </w:rPr>
            </w:pPr>
          </w:p>
        </w:tc>
        <w:tc>
          <w:tcPr>
            <w:tcW w:w="2330" w:type="pct"/>
          </w:tcPr>
          <w:p w:rsidR="0095204A" w:rsidRPr="00554DB2" w:rsidRDefault="0095204A" w:rsidP="009C7C08">
            <w:pPr>
              <w:jc w:val="both"/>
              <w:rPr>
                <w:rFonts w:eastAsia="Calibri"/>
                <w:sz w:val="20"/>
                <w:lang w:val="fr-CA"/>
              </w:rPr>
            </w:pPr>
            <w:r w:rsidRPr="00554DB2">
              <w:rPr>
                <w:rFonts w:eastAsia="Calibri"/>
                <w:sz w:val="20"/>
                <w:lang w:val="fr-CA"/>
              </w:rPr>
              <w:t>Demande d'autorisation d'appel déposée</w:t>
            </w:r>
          </w:p>
          <w:p w:rsidR="0095204A" w:rsidRPr="00554DB2" w:rsidRDefault="0095204A"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53" style="width:2in;height:1pt" o:hrpct="0" o:hralign="center" o:hrstd="t" o:hrnoshade="t" o:hr="t" fillcolor="black [3213]" stroked="f"/>
        </w:pict>
      </w:r>
    </w:p>
    <w:p w:rsidR="00FA1074" w:rsidRDefault="00FA1074" w:rsidP="00FA1074">
      <w:pPr>
        <w:rPr>
          <w:sz w:val="20"/>
          <w:szCs w:val="20"/>
        </w:rPr>
      </w:pPr>
    </w:p>
    <w:p w:rsidR="00395866" w:rsidRDefault="00395866">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95866" w:rsidRPr="005571F9" w:rsidTr="00032CB5">
        <w:trPr>
          <w:cantSplit/>
        </w:trPr>
        <w:tc>
          <w:tcPr>
            <w:tcW w:w="1458" w:type="dxa"/>
          </w:tcPr>
          <w:p w:rsidR="00395866" w:rsidRPr="004E07FE" w:rsidRDefault="00395866" w:rsidP="00032CB5">
            <w:pPr>
              <w:rPr>
                <w:sz w:val="20"/>
                <w:szCs w:val="20"/>
              </w:rPr>
            </w:pPr>
            <w:r w:rsidRPr="004E07FE">
              <w:rPr>
                <w:rStyle w:val="SCCFileNumberChar"/>
                <w:sz w:val="20"/>
                <w:szCs w:val="20"/>
              </w:rPr>
              <w:t>34837</w:t>
            </w:r>
          </w:p>
          <w:p w:rsidR="00395866" w:rsidRPr="004E07FE" w:rsidRDefault="00395866" w:rsidP="00032CB5">
            <w:pPr>
              <w:rPr>
                <w:b/>
                <w:sz w:val="20"/>
                <w:szCs w:val="20"/>
                <w:lang w:val="fr-CA"/>
              </w:rPr>
            </w:pPr>
          </w:p>
        </w:tc>
        <w:tc>
          <w:tcPr>
            <w:tcW w:w="8118" w:type="dxa"/>
          </w:tcPr>
          <w:p w:rsidR="00395866" w:rsidRPr="004E07FE" w:rsidRDefault="00395866" w:rsidP="00032CB5">
            <w:pPr>
              <w:jc w:val="both"/>
              <w:rPr>
                <w:sz w:val="20"/>
                <w:szCs w:val="20"/>
                <w:lang w:val="fr-CA"/>
              </w:rPr>
            </w:pPr>
            <w:r w:rsidRPr="004E07FE">
              <w:rPr>
                <w:rStyle w:val="SCCLsocChar"/>
                <w:sz w:val="20"/>
                <w:szCs w:val="20"/>
              </w:rPr>
              <w:t>Auberge des Glycines inc., faisant affaire sous la raison sociale Auberge le Pomerol inc. c. Ville de Montréal</w:t>
            </w:r>
            <w:r w:rsidRPr="004E07FE">
              <w:rPr>
                <w:sz w:val="20"/>
                <w:szCs w:val="20"/>
                <w:lang w:val="fr-CA"/>
              </w:rPr>
              <w:t xml:space="preserve"> (Qc) (Civile) (Autorisation)</w:t>
            </w:r>
          </w:p>
          <w:p w:rsidR="00395866" w:rsidRPr="004E07FE" w:rsidRDefault="00395866" w:rsidP="00032CB5">
            <w:pPr>
              <w:rPr>
                <w:sz w:val="20"/>
                <w:szCs w:val="20"/>
                <w:lang w:val="fr-CA"/>
              </w:rPr>
            </w:pPr>
          </w:p>
        </w:tc>
      </w:tr>
      <w:tr w:rsidR="00395866" w:rsidRPr="005571F9" w:rsidTr="00032CB5">
        <w:trPr>
          <w:cantSplit/>
        </w:trPr>
        <w:tc>
          <w:tcPr>
            <w:tcW w:w="1458" w:type="dxa"/>
          </w:tcPr>
          <w:p w:rsidR="00395866" w:rsidRPr="004E07FE" w:rsidRDefault="00395866" w:rsidP="00032CB5">
            <w:pPr>
              <w:rPr>
                <w:sz w:val="20"/>
                <w:szCs w:val="20"/>
              </w:rPr>
            </w:pPr>
            <w:r w:rsidRPr="004E07FE">
              <w:rPr>
                <w:sz w:val="20"/>
                <w:szCs w:val="20"/>
              </w:rPr>
              <w:t>Coram :</w:t>
            </w:r>
          </w:p>
        </w:tc>
        <w:tc>
          <w:tcPr>
            <w:tcW w:w="8118" w:type="dxa"/>
          </w:tcPr>
          <w:p w:rsidR="00395866" w:rsidRPr="004E07FE" w:rsidRDefault="00395866" w:rsidP="00032CB5">
            <w:pPr>
              <w:rPr>
                <w:sz w:val="20"/>
                <w:szCs w:val="20"/>
                <w:lang w:val="fr-CA"/>
              </w:rPr>
            </w:pPr>
            <w:r w:rsidRPr="004E07FE">
              <w:rPr>
                <w:rStyle w:val="SCCCoramChar"/>
                <w:sz w:val="20"/>
                <w:szCs w:val="20"/>
              </w:rPr>
              <w:t>Les juges LeBel, Abella et Cromwell</w:t>
            </w:r>
          </w:p>
          <w:p w:rsidR="00395866" w:rsidRPr="004E07FE" w:rsidRDefault="00395866" w:rsidP="00032CB5">
            <w:pPr>
              <w:rPr>
                <w:sz w:val="20"/>
                <w:szCs w:val="20"/>
                <w:u w:val="single"/>
                <w:lang w:val="fr-CA"/>
              </w:rPr>
            </w:pPr>
          </w:p>
        </w:tc>
      </w:tr>
      <w:tr w:rsidR="00395866" w:rsidRPr="004E07FE" w:rsidTr="00032CB5">
        <w:trPr>
          <w:cantSplit/>
        </w:trPr>
        <w:tc>
          <w:tcPr>
            <w:tcW w:w="9576" w:type="dxa"/>
            <w:gridSpan w:val="2"/>
          </w:tcPr>
          <w:p w:rsidR="00395866" w:rsidRPr="004E07FE" w:rsidRDefault="00395866" w:rsidP="00032CB5">
            <w:pPr>
              <w:pStyle w:val="SCCShortJudgment"/>
              <w:rPr>
                <w:szCs w:val="20"/>
                <w:lang w:val="fr-CA"/>
              </w:rPr>
            </w:pPr>
            <w:r w:rsidRPr="004E07FE">
              <w:rPr>
                <w:szCs w:val="20"/>
                <w:lang w:val="fr-CA"/>
              </w:rPr>
              <w:t>La demande d’autorisation d’appel de l’arrêt de la Cour d’appel du Québec (Montréal), numéro 500-09-020178-091, 2012 QCCA 556, daté du 23 mars 2012, est rejetée avec dépens.</w:t>
            </w:r>
          </w:p>
          <w:p w:rsidR="00395866" w:rsidRPr="004E07FE" w:rsidRDefault="00395866" w:rsidP="00032CB5">
            <w:pPr>
              <w:pStyle w:val="SCCShortJudgment"/>
              <w:ind w:firstLine="0"/>
              <w:rPr>
                <w:szCs w:val="20"/>
                <w:lang w:val="fr-CA"/>
              </w:rPr>
            </w:pPr>
          </w:p>
          <w:p w:rsidR="00395866" w:rsidRPr="004E07FE" w:rsidRDefault="00395866" w:rsidP="00032CB5">
            <w:pPr>
              <w:pStyle w:val="SCCShortJudgment"/>
              <w:rPr>
                <w:szCs w:val="20"/>
              </w:rPr>
            </w:pPr>
            <w:r w:rsidRPr="004E07FE">
              <w:rPr>
                <w:szCs w:val="20"/>
              </w:rPr>
              <w:t>The application for leave to appeal from the judgment of the Court of Appeal of Quebec (Montréal), Number 500-09-020178-091, 2012 QCCA 556, dated March 23, 2012, is dismissed with costs.</w:t>
            </w:r>
          </w:p>
        </w:tc>
      </w:tr>
    </w:tbl>
    <w:p w:rsidR="00FA1074" w:rsidRDefault="00FA1074" w:rsidP="00FA1074">
      <w:pPr>
        <w:rPr>
          <w:sz w:val="20"/>
          <w:szCs w:val="20"/>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CE0" w:rsidRPr="00554DB2" w:rsidTr="009C7C08">
        <w:tc>
          <w:tcPr>
            <w:tcW w:w="5000" w:type="pct"/>
            <w:gridSpan w:val="3"/>
          </w:tcPr>
          <w:p w:rsidR="00283CE0" w:rsidRPr="00554DB2" w:rsidRDefault="00283CE0" w:rsidP="009C7C08">
            <w:pPr>
              <w:jc w:val="both"/>
              <w:rPr>
                <w:rFonts w:eastAsia="Calibri"/>
                <w:sz w:val="20"/>
              </w:rPr>
            </w:pPr>
            <w:r w:rsidRPr="00554DB2">
              <w:rPr>
                <w:rFonts w:eastAsia="Calibri"/>
                <w:sz w:val="20"/>
              </w:rPr>
              <w:t>Municipal law — Zoning — By</w:t>
            </w:r>
            <w:r w:rsidRPr="00554DB2">
              <w:rPr>
                <w:rFonts w:eastAsia="Calibri"/>
                <w:sz w:val="20"/>
              </w:rPr>
              <w:noBreakHyphen/>
              <w:t>laws — Interpretation — Acquired rights — Vacant lot leased by corporate owner as parking lot — Whether right to such use transmitted to inn that became owner — Whether subsequent authorization granted to new owner — Main use or accessory use permitted — Whether business has acquired rights to commercial leasing if it was permitted by initial by</w:t>
            </w:r>
            <w:r w:rsidRPr="00554DB2">
              <w:rPr>
                <w:rFonts w:eastAsia="Calibri"/>
                <w:sz w:val="20"/>
              </w:rPr>
              <w:noBreakHyphen/>
              <w:t>law and administrative conditions formerly in effect — Whether initial by</w:t>
            </w:r>
            <w:r w:rsidRPr="00554DB2">
              <w:rPr>
                <w:rFonts w:eastAsia="Calibri"/>
                <w:sz w:val="20"/>
              </w:rPr>
              <w:noBreakHyphen/>
              <w:t>law and administrative conditions formerly in effect permitted it in this case — Whether fact that use not specifically mentioned among uses permitted by zoning by</w:t>
            </w:r>
            <w:r w:rsidRPr="00554DB2">
              <w:rPr>
                <w:rFonts w:eastAsia="Calibri"/>
                <w:sz w:val="20"/>
              </w:rPr>
              <w:noBreakHyphen/>
              <w:t xml:space="preserve">law necessarily means it is prohibited — Whether Court of Appeal made dual error of law by interfering with assessment of past facts giving rise to acquired rights and present facts justifying exercise of discretion conferred by law on trial judge — </w:t>
            </w:r>
            <w:r w:rsidRPr="00554DB2">
              <w:rPr>
                <w:rFonts w:eastAsia="Calibri"/>
                <w:i/>
                <w:sz w:val="20"/>
              </w:rPr>
              <w:t>By</w:t>
            </w:r>
            <w:r w:rsidRPr="00554DB2">
              <w:rPr>
                <w:rFonts w:eastAsia="Calibri"/>
                <w:i/>
                <w:sz w:val="20"/>
              </w:rPr>
              <w:noBreakHyphen/>
              <w:t>law concerning the erection and occupancy of buildings in St. James Ward</w:t>
            </w:r>
            <w:r w:rsidRPr="00554DB2">
              <w:rPr>
                <w:rFonts w:eastAsia="Calibri"/>
                <w:sz w:val="20"/>
              </w:rPr>
              <w:t xml:space="preserve">, Montréal No. 1376  (1935 </w:t>
            </w:r>
            <w:r w:rsidRPr="00554DB2">
              <w:rPr>
                <w:rFonts w:eastAsia="Calibri"/>
                <w:sz w:val="20"/>
              </w:rPr>
              <w:noBreakHyphen/>
              <w:t xml:space="preserve"> 1973), art. 9 — </w:t>
            </w:r>
            <w:r w:rsidRPr="00554DB2">
              <w:rPr>
                <w:rFonts w:eastAsia="Calibri"/>
                <w:i/>
                <w:sz w:val="20"/>
              </w:rPr>
              <w:t>Act respecting land use planning and development</w:t>
            </w:r>
            <w:r w:rsidRPr="00554DB2">
              <w:rPr>
                <w:rFonts w:eastAsia="Calibri"/>
                <w:sz w:val="20"/>
              </w:rPr>
              <w:t>, R.S.Q. c. A</w:t>
            </w:r>
            <w:r w:rsidRPr="00554DB2">
              <w:rPr>
                <w:rFonts w:eastAsia="Calibri"/>
                <w:sz w:val="20"/>
              </w:rPr>
              <w:noBreakHyphen/>
              <w:t>19.1, s. 227.</w:t>
            </w:r>
          </w:p>
        </w:tc>
      </w:tr>
      <w:tr w:rsidR="00283CE0" w:rsidRPr="00554DB2" w:rsidTr="009C7C08">
        <w:tc>
          <w:tcPr>
            <w:tcW w:w="5000" w:type="pct"/>
            <w:gridSpan w:val="3"/>
          </w:tcPr>
          <w:p w:rsidR="00283CE0" w:rsidRPr="00554DB2" w:rsidRDefault="00283CE0" w:rsidP="009C7C08">
            <w:pPr>
              <w:jc w:val="both"/>
              <w:rPr>
                <w:rFonts w:eastAsia="Calibri"/>
                <w:sz w:val="20"/>
              </w:rPr>
            </w:pPr>
          </w:p>
        </w:tc>
      </w:tr>
      <w:tr w:rsidR="00283CE0" w:rsidRPr="00554DB2" w:rsidTr="009C7C08">
        <w:tc>
          <w:tcPr>
            <w:tcW w:w="5000" w:type="pct"/>
            <w:gridSpan w:val="3"/>
          </w:tcPr>
          <w:p w:rsidR="00283CE0" w:rsidRPr="00554DB2" w:rsidRDefault="00283CE0" w:rsidP="009C7C08">
            <w:pPr>
              <w:jc w:val="both"/>
              <w:rPr>
                <w:rFonts w:eastAsia="Calibri"/>
                <w:sz w:val="20"/>
              </w:rPr>
            </w:pPr>
            <w:r w:rsidRPr="00554DB2">
              <w:rPr>
                <w:rFonts w:eastAsia="Calibri"/>
                <w:sz w:val="20"/>
              </w:rPr>
              <w:t>The Auberge owned an immovable on De Maisonneuve Boulevard in Montréal; part of the immovable was occupied by a restaurant operated by a lessee.  There was a bookstore in the neighbouring immovable on the west side and another restaurant in the neighbouring immovable on the east side.  The Auberge also owned the vacant lot adjacent to those four commercial establishments.  It provided its customers with parking spots on that lot or leased the spots to customers of the neighbouring businesses and even to the public.  In 2007, Montréal began issuing statements of offence to the Auberge on the ground that it was not authorized to operate a commercial parking lot in that place.  The Auberge challenged the statements in the Municipal Court of Montréal.  The City applied to the Superior Court for an order to cease operating the parking lot.</w:t>
            </w: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October 28, 2009</w:t>
            </w:r>
          </w:p>
          <w:p w:rsidR="00283CE0" w:rsidRPr="00554DB2" w:rsidRDefault="00283CE0" w:rsidP="009C7C08">
            <w:pPr>
              <w:jc w:val="both"/>
              <w:rPr>
                <w:rFonts w:eastAsia="Calibri"/>
                <w:sz w:val="20"/>
              </w:rPr>
            </w:pPr>
            <w:r w:rsidRPr="00554DB2">
              <w:rPr>
                <w:rFonts w:eastAsia="Calibri"/>
                <w:sz w:val="20"/>
              </w:rPr>
              <w:t>Quebec Superior Court</w:t>
            </w:r>
          </w:p>
          <w:p w:rsidR="00283CE0" w:rsidRPr="00554DB2" w:rsidRDefault="00283CE0" w:rsidP="009C7C08">
            <w:pPr>
              <w:jc w:val="both"/>
              <w:rPr>
                <w:rFonts w:eastAsia="Calibri"/>
                <w:sz w:val="20"/>
              </w:rPr>
            </w:pPr>
            <w:r w:rsidRPr="00554DB2">
              <w:rPr>
                <w:rFonts w:eastAsia="Calibri"/>
                <w:sz w:val="20"/>
              </w:rPr>
              <w:t>(Lefèbvre J.)</w:t>
            </w:r>
          </w:p>
          <w:p w:rsidR="00283CE0" w:rsidRPr="00554DB2" w:rsidRDefault="00283CE0" w:rsidP="009C7C08">
            <w:pPr>
              <w:jc w:val="both"/>
              <w:rPr>
                <w:rFonts w:eastAsia="Calibri"/>
                <w:sz w:val="20"/>
              </w:rPr>
            </w:pPr>
            <w:r w:rsidRPr="00554DB2">
              <w:rPr>
                <w:rFonts w:eastAsia="Calibri"/>
                <w:sz w:val="20"/>
              </w:rPr>
              <w:t>2009 QCCS 4919</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Motion by City for order for cessation of commercial leasing other than leasing accessory to respondent’s business dismissed</w:t>
            </w: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March 23, 2012</w:t>
            </w:r>
          </w:p>
          <w:p w:rsidR="00283CE0" w:rsidRPr="00554DB2" w:rsidRDefault="00283CE0" w:rsidP="009C7C08">
            <w:pPr>
              <w:jc w:val="both"/>
              <w:rPr>
                <w:rFonts w:eastAsia="Calibri"/>
                <w:sz w:val="20"/>
              </w:rPr>
            </w:pPr>
            <w:r w:rsidRPr="00554DB2">
              <w:rPr>
                <w:rFonts w:eastAsia="Calibri"/>
                <w:sz w:val="20"/>
              </w:rPr>
              <w:t>Quebec Court of Appeal (Montréal)</w:t>
            </w:r>
          </w:p>
          <w:p w:rsidR="00283CE0" w:rsidRPr="00554DB2" w:rsidRDefault="00283CE0" w:rsidP="009C7C08">
            <w:pPr>
              <w:jc w:val="both"/>
              <w:rPr>
                <w:rFonts w:eastAsia="Calibri"/>
                <w:sz w:val="20"/>
              </w:rPr>
            </w:pPr>
            <w:r w:rsidRPr="00554DB2">
              <w:rPr>
                <w:rFonts w:eastAsia="Calibri"/>
                <w:sz w:val="20"/>
              </w:rPr>
              <w:t>(Vézina, Giroux and Wagner JJ.A.)</w:t>
            </w:r>
          </w:p>
          <w:p w:rsidR="00283CE0" w:rsidRPr="00554DB2" w:rsidRDefault="00283CE0" w:rsidP="009C7C08">
            <w:pPr>
              <w:jc w:val="both"/>
              <w:rPr>
                <w:rFonts w:eastAsia="Calibri"/>
                <w:sz w:val="20"/>
              </w:rPr>
            </w:pPr>
            <w:r w:rsidRPr="00554DB2">
              <w:rPr>
                <w:rFonts w:eastAsia="Calibri"/>
                <w:sz w:val="20"/>
              </w:rPr>
              <w:t>2012 QCCA 556</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Appeal allowed; City’s motion allowed</w:t>
            </w: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May 18, 2012</w:t>
            </w:r>
          </w:p>
          <w:p w:rsidR="00283CE0" w:rsidRPr="00554DB2" w:rsidRDefault="00283CE0" w:rsidP="009C7C08">
            <w:pPr>
              <w:jc w:val="both"/>
              <w:rPr>
                <w:rFonts w:eastAsia="Calibri"/>
                <w:sz w:val="20"/>
              </w:rPr>
            </w:pPr>
            <w:r w:rsidRPr="00554DB2">
              <w:rPr>
                <w:rFonts w:eastAsia="Calibri"/>
                <w:sz w:val="20"/>
              </w:rPr>
              <w:t>Supreme Court of Canada</w:t>
            </w: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Application for leave to appeal filed</w:t>
            </w:r>
          </w:p>
          <w:p w:rsidR="00283CE0" w:rsidRPr="00554DB2" w:rsidRDefault="00283CE0"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54" style="width:2in;height:1pt" o:hrpct="0" o:hralign="center" o:hrstd="t" o:hrnoshade="t" o:hr="t" fillcolor="black [3213]" stroked="f"/>
        </w:pict>
      </w:r>
    </w:p>
    <w:p w:rsidR="00FA1074" w:rsidRDefault="00FA1074" w:rsidP="00FA1074">
      <w:pPr>
        <w:rPr>
          <w:sz w:val="20"/>
          <w:szCs w:val="20"/>
        </w:rPr>
      </w:pPr>
    </w:p>
    <w:p w:rsidR="00395866" w:rsidRDefault="00395866">
      <w:pPr>
        <w:rPr>
          <w:sz w:val="20"/>
          <w:szCs w:val="20"/>
          <w:u w:val="single"/>
          <w:lang w:val="fr-CA"/>
        </w:rPr>
      </w:pPr>
      <w:r>
        <w:rPr>
          <w:sz w:val="20"/>
          <w:szCs w:val="20"/>
          <w:u w:val="single"/>
          <w:lang w:val="fr-CA"/>
        </w:rPr>
        <w:br w:type="page"/>
      </w: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CE0" w:rsidRPr="00FA4E35" w:rsidTr="009C7C08">
        <w:tc>
          <w:tcPr>
            <w:tcW w:w="5000" w:type="pct"/>
            <w:gridSpan w:val="3"/>
          </w:tcPr>
          <w:p w:rsidR="00283CE0" w:rsidRPr="00554DB2" w:rsidRDefault="00283CE0" w:rsidP="009C7C08">
            <w:pPr>
              <w:jc w:val="both"/>
              <w:rPr>
                <w:rFonts w:eastAsia="Calibri"/>
                <w:sz w:val="20"/>
                <w:lang w:val="fr-CA"/>
              </w:rPr>
            </w:pPr>
            <w:r w:rsidRPr="00554DB2">
              <w:rPr>
                <w:rFonts w:eastAsia="Calibri"/>
                <w:sz w:val="20"/>
                <w:lang w:val="fr-CA"/>
              </w:rPr>
              <w:t>Droit municipal — Zonage — Réglementation — Interprétation — Droits acquis — Location d’un terrain vacant à titre de stationnement par un propriétaire corporatif — Transmission ou non à l’auberge devenue propriétaire du droit à cet usage — Autorisation ultérieure donnée ou non au nouveau propriétaire — Usage principal ou usage accessoire permis — Une entreprise a</w:t>
            </w:r>
            <w:r w:rsidRPr="00554DB2">
              <w:rPr>
                <w:rFonts w:eastAsia="Calibri"/>
                <w:sz w:val="20"/>
                <w:lang w:val="fr-CA"/>
              </w:rPr>
              <w:noBreakHyphen/>
              <w:t>t</w:t>
            </w:r>
            <w:r w:rsidRPr="00554DB2">
              <w:rPr>
                <w:rFonts w:eastAsia="Calibri"/>
                <w:sz w:val="20"/>
                <w:lang w:val="fr-CA"/>
              </w:rPr>
              <w:noBreakHyphen/>
              <w:t>elle des droits acquis à la location commerciale si le règlement initial et les conditions administratives anciennement en vigueur l’ont permis? — Le règlement initial et les conditions administratives anciennement en vigueur le permettaient</w:t>
            </w:r>
            <w:r w:rsidRPr="00554DB2">
              <w:rPr>
                <w:rFonts w:eastAsia="Calibri"/>
                <w:sz w:val="20"/>
                <w:lang w:val="fr-CA"/>
              </w:rPr>
              <w:noBreakHyphen/>
              <w:t>ils en l’espèce? — L’absence de mention expresse d’un usage parmi les usages permis par un règlement de zonage entraîne</w:t>
            </w:r>
            <w:r w:rsidRPr="00554DB2">
              <w:rPr>
                <w:rFonts w:eastAsia="Calibri"/>
                <w:sz w:val="20"/>
                <w:lang w:val="fr-CA"/>
              </w:rPr>
              <w:noBreakHyphen/>
              <w:t>t</w:t>
            </w:r>
            <w:r w:rsidRPr="00554DB2">
              <w:rPr>
                <w:rFonts w:eastAsia="Calibri"/>
                <w:sz w:val="20"/>
                <w:lang w:val="fr-CA"/>
              </w:rPr>
              <w:noBreakHyphen/>
              <w:t>elle nécessairement son interdiction? — La Cour d’appel a</w:t>
            </w:r>
            <w:r w:rsidRPr="00554DB2">
              <w:rPr>
                <w:rFonts w:eastAsia="Calibri"/>
                <w:sz w:val="20"/>
                <w:lang w:val="fr-CA"/>
              </w:rPr>
              <w:noBreakHyphen/>
              <w:t>t</w:t>
            </w:r>
            <w:r w:rsidRPr="00554DB2">
              <w:rPr>
                <w:rFonts w:eastAsia="Calibri"/>
                <w:sz w:val="20"/>
                <w:lang w:val="fr-CA"/>
              </w:rPr>
              <w:noBreakHyphen/>
              <w:t xml:space="preserve">elle commis une double erreur de droit en intervenant dans l’appréciation des faits passés générateurs de droits acquis et des faits présents ayant justifié l’exercice de la discrétion conférée au premier juge par la loi? — </w:t>
            </w:r>
            <w:r w:rsidRPr="00554DB2">
              <w:rPr>
                <w:rFonts w:eastAsia="Calibri"/>
                <w:i/>
                <w:sz w:val="20"/>
                <w:lang w:val="fr-CA"/>
              </w:rPr>
              <w:t>Règlement concernant l’érection et l’occupation des bâtiments dans le quartier St</w:t>
            </w:r>
            <w:r w:rsidRPr="00554DB2">
              <w:rPr>
                <w:rFonts w:eastAsia="Calibri"/>
                <w:i/>
                <w:sz w:val="20"/>
                <w:lang w:val="fr-CA"/>
              </w:rPr>
              <w:noBreakHyphen/>
              <w:t>Jacques</w:t>
            </w:r>
            <w:r w:rsidRPr="00554DB2">
              <w:rPr>
                <w:rFonts w:eastAsia="Calibri"/>
                <w:sz w:val="20"/>
                <w:lang w:val="fr-CA"/>
              </w:rPr>
              <w:t xml:space="preserve">, Montréal no 1376 (1935 </w:t>
            </w:r>
            <w:r w:rsidRPr="00554DB2">
              <w:rPr>
                <w:rFonts w:eastAsia="Calibri"/>
                <w:sz w:val="20"/>
                <w:lang w:val="fr-CA"/>
              </w:rPr>
              <w:noBreakHyphen/>
              <w:t xml:space="preserve"> 1973), art. 9 — </w:t>
            </w:r>
            <w:r w:rsidRPr="00554DB2">
              <w:rPr>
                <w:rFonts w:eastAsia="Calibri"/>
                <w:i/>
                <w:sz w:val="20"/>
                <w:lang w:val="fr-CA"/>
              </w:rPr>
              <w:t>Loi sur l’aménagement et l’urbanisme</w:t>
            </w:r>
            <w:r w:rsidRPr="00554DB2">
              <w:rPr>
                <w:rFonts w:eastAsia="Calibri"/>
                <w:sz w:val="20"/>
                <w:lang w:val="fr-CA"/>
              </w:rPr>
              <w:t>, L.R.Q. ch. A</w:t>
            </w:r>
            <w:r w:rsidRPr="00554DB2">
              <w:rPr>
                <w:rFonts w:eastAsia="Calibri"/>
                <w:sz w:val="20"/>
                <w:lang w:val="fr-CA"/>
              </w:rPr>
              <w:noBreakHyphen/>
              <w:t>19.1, art. 227.</w:t>
            </w:r>
          </w:p>
        </w:tc>
      </w:tr>
      <w:tr w:rsidR="00283CE0" w:rsidRPr="00FA4E35" w:rsidTr="009C7C08">
        <w:tc>
          <w:tcPr>
            <w:tcW w:w="5000" w:type="pct"/>
            <w:gridSpan w:val="3"/>
          </w:tcPr>
          <w:p w:rsidR="00283CE0" w:rsidRPr="00554DB2" w:rsidRDefault="00283CE0" w:rsidP="009C7C08">
            <w:pPr>
              <w:jc w:val="both"/>
              <w:rPr>
                <w:rFonts w:eastAsia="Calibri"/>
                <w:sz w:val="20"/>
                <w:lang w:val="fr-CA"/>
              </w:rPr>
            </w:pPr>
          </w:p>
        </w:tc>
      </w:tr>
      <w:tr w:rsidR="00283CE0" w:rsidRPr="005571F9" w:rsidTr="009C7C08">
        <w:tc>
          <w:tcPr>
            <w:tcW w:w="5000" w:type="pct"/>
            <w:gridSpan w:val="3"/>
          </w:tcPr>
          <w:p w:rsidR="00283CE0" w:rsidRPr="00554DB2" w:rsidRDefault="00283CE0" w:rsidP="009C7C08">
            <w:pPr>
              <w:jc w:val="both"/>
              <w:rPr>
                <w:rFonts w:eastAsia="Calibri"/>
                <w:sz w:val="20"/>
                <w:lang w:val="fr-CA"/>
              </w:rPr>
            </w:pPr>
            <w:r w:rsidRPr="00554DB2">
              <w:rPr>
                <w:rFonts w:eastAsia="Calibri"/>
                <w:sz w:val="20"/>
                <w:lang w:val="fr-CA"/>
              </w:rPr>
              <w:t>L'Auberge est propriétaire d'un immeuble sur le boulevard De Maisonneuve à Montréal; une partie de l’immeuble est occupée par un restaurant, opéré par un locataire.  L’immeuble voisin du côté ouest abrite une librairie et celui du côté est, un autre restaurant.  L'Auberge est aussi propriétaire du terrain vacant adjacent à ces quatre établissements commerciaux. Elle y offre des places de stationnement à ses clients ou les loue à ceux des commerces voisins et même au public.  Depuis 2007, Montréal décerne des constats d'infraction à l'Auberge au motif qu'elle n'est pas autorisée à exploiter un stationnement commercial à cet endroit.  Les constats sont contestés par l'Auberge devant la Cour municipale de Montréal. La ville s’adresse à la Cour supérieure pour demander une ordonnance de cesser d’exploiter le stationnement.</w:t>
            </w:r>
          </w:p>
          <w:p w:rsidR="00283CE0" w:rsidRPr="00554DB2" w:rsidRDefault="00283CE0" w:rsidP="009C7C08">
            <w:pPr>
              <w:jc w:val="both"/>
              <w:rPr>
                <w:rFonts w:eastAsia="Calibri"/>
                <w:sz w:val="20"/>
                <w:lang w:val="fr-CA"/>
              </w:rPr>
            </w:pPr>
          </w:p>
        </w:tc>
      </w:tr>
      <w:tr w:rsidR="00283CE0" w:rsidRPr="005571F9"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Le 28 octobre 2009</w:t>
            </w:r>
          </w:p>
          <w:p w:rsidR="00283CE0" w:rsidRPr="00554DB2" w:rsidRDefault="00283CE0" w:rsidP="009C7C08">
            <w:pPr>
              <w:jc w:val="both"/>
              <w:rPr>
                <w:rFonts w:eastAsia="Calibri"/>
                <w:sz w:val="20"/>
                <w:lang w:val="fr-CA"/>
              </w:rPr>
            </w:pPr>
            <w:r w:rsidRPr="00554DB2">
              <w:rPr>
                <w:rFonts w:eastAsia="Calibri"/>
                <w:sz w:val="20"/>
                <w:lang w:val="fr-CA"/>
              </w:rPr>
              <w:t>Cour supérieure du Québec</w:t>
            </w:r>
          </w:p>
          <w:p w:rsidR="00283CE0" w:rsidRPr="00554DB2" w:rsidRDefault="00283CE0" w:rsidP="009C7C08">
            <w:pPr>
              <w:jc w:val="both"/>
              <w:rPr>
                <w:rFonts w:eastAsia="Calibri"/>
                <w:sz w:val="20"/>
                <w:lang w:val="fr-CA"/>
              </w:rPr>
            </w:pPr>
            <w:r w:rsidRPr="00554DB2">
              <w:rPr>
                <w:rFonts w:eastAsia="Calibri"/>
                <w:sz w:val="20"/>
                <w:lang w:val="fr-CA"/>
              </w:rPr>
              <w:t>(Le juge Lefèbvre)</w:t>
            </w:r>
          </w:p>
          <w:p w:rsidR="00283CE0" w:rsidRPr="00554DB2" w:rsidRDefault="00283CE0" w:rsidP="009C7C08">
            <w:pPr>
              <w:jc w:val="both"/>
              <w:rPr>
                <w:rFonts w:eastAsia="Calibri"/>
                <w:sz w:val="20"/>
                <w:lang w:val="fr-CA"/>
              </w:rPr>
            </w:pPr>
            <w:r w:rsidRPr="00554DB2">
              <w:rPr>
                <w:rFonts w:eastAsia="Calibri"/>
                <w:sz w:val="20"/>
                <w:lang w:val="fr-CA"/>
              </w:rPr>
              <w:t>2009 QCCS 4919</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Rejet de la requête de la Ville en ordonnance de faire cesser la location commerciale autre qu’accessoire au commerce de l’intimée.</w:t>
            </w:r>
          </w:p>
        </w:tc>
      </w:tr>
      <w:tr w:rsidR="00283CE0" w:rsidRPr="005571F9"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Le 23 mars 2012</w:t>
            </w:r>
          </w:p>
          <w:p w:rsidR="00283CE0" w:rsidRPr="00554DB2" w:rsidRDefault="00283CE0" w:rsidP="009C7C08">
            <w:pPr>
              <w:jc w:val="both"/>
              <w:rPr>
                <w:rFonts w:eastAsia="Calibri"/>
                <w:sz w:val="20"/>
                <w:lang w:val="fr-CA"/>
              </w:rPr>
            </w:pPr>
            <w:r w:rsidRPr="00554DB2">
              <w:rPr>
                <w:rFonts w:eastAsia="Calibri"/>
                <w:sz w:val="20"/>
                <w:lang w:val="fr-CA"/>
              </w:rPr>
              <w:t>Cour d’appel du Québec (Montréal)</w:t>
            </w:r>
          </w:p>
          <w:p w:rsidR="00283CE0" w:rsidRPr="00554DB2" w:rsidRDefault="00283CE0" w:rsidP="009C7C08">
            <w:pPr>
              <w:jc w:val="both"/>
              <w:rPr>
                <w:rFonts w:eastAsia="Calibri"/>
                <w:sz w:val="20"/>
                <w:lang w:val="fr-CA"/>
              </w:rPr>
            </w:pPr>
            <w:r w:rsidRPr="00554DB2">
              <w:rPr>
                <w:rFonts w:eastAsia="Calibri"/>
                <w:sz w:val="20"/>
                <w:lang w:val="fr-CA"/>
              </w:rPr>
              <w:t>(Les juges Vézina, Giroux et Wagner)</w:t>
            </w:r>
          </w:p>
          <w:p w:rsidR="00283CE0" w:rsidRPr="00554DB2" w:rsidRDefault="00283CE0" w:rsidP="009C7C08">
            <w:pPr>
              <w:jc w:val="both"/>
              <w:rPr>
                <w:rFonts w:eastAsia="Calibri"/>
                <w:sz w:val="20"/>
                <w:lang w:val="fr-CA"/>
              </w:rPr>
            </w:pPr>
            <w:r w:rsidRPr="00554DB2">
              <w:rPr>
                <w:rFonts w:eastAsia="Calibri"/>
                <w:sz w:val="20"/>
                <w:lang w:val="fr-CA"/>
              </w:rPr>
              <w:t>2012 QCCA 556</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Appel accueilli; requête de la ville accordée.</w:t>
            </w:r>
          </w:p>
        </w:tc>
      </w:tr>
      <w:tr w:rsidR="00283CE0" w:rsidRPr="00554DB2"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Le 18 mai 2012</w:t>
            </w:r>
          </w:p>
          <w:p w:rsidR="00283CE0" w:rsidRPr="00554DB2" w:rsidRDefault="00283CE0" w:rsidP="009C7C08">
            <w:pPr>
              <w:jc w:val="both"/>
              <w:rPr>
                <w:rFonts w:eastAsia="Calibri"/>
                <w:sz w:val="20"/>
                <w:lang w:val="fr-FR"/>
              </w:rPr>
            </w:pPr>
            <w:r w:rsidRPr="00554DB2">
              <w:rPr>
                <w:rFonts w:eastAsia="Calibri"/>
                <w:sz w:val="20"/>
                <w:lang w:val="fr-CA"/>
              </w:rPr>
              <w:t>Cour suprême du Canada</w:t>
            </w:r>
          </w:p>
        </w:tc>
        <w:tc>
          <w:tcPr>
            <w:tcW w:w="243" w:type="pct"/>
          </w:tcPr>
          <w:p w:rsidR="00283CE0" w:rsidRPr="00554DB2" w:rsidRDefault="00283CE0" w:rsidP="009C7C08">
            <w:pPr>
              <w:jc w:val="both"/>
              <w:rPr>
                <w:rFonts w:eastAsia="Calibri"/>
                <w:sz w:val="20"/>
                <w:lang w:val="fr-FR"/>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Demande d'autorisation d'appel déposée.</w:t>
            </w:r>
          </w:p>
          <w:p w:rsidR="00283CE0" w:rsidRPr="00554DB2" w:rsidRDefault="00283CE0"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55"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95866" w:rsidRPr="004E07FE" w:rsidTr="00032CB5">
        <w:trPr>
          <w:cantSplit/>
        </w:trPr>
        <w:tc>
          <w:tcPr>
            <w:tcW w:w="1458" w:type="dxa"/>
          </w:tcPr>
          <w:p w:rsidR="00395866" w:rsidRPr="004E07FE" w:rsidRDefault="00395866" w:rsidP="00032CB5">
            <w:pPr>
              <w:rPr>
                <w:sz w:val="20"/>
                <w:szCs w:val="20"/>
              </w:rPr>
            </w:pPr>
            <w:r w:rsidRPr="004E07FE">
              <w:rPr>
                <w:rStyle w:val="SCCFileNumberChar"/>
                <w:sz w:val="20"/>
                <w:szCs w:val="20"/>
              </w:rPr>
              <w:t>34838</w:t>
            </w:r>
          </w:p>
          <w:p w:rsidR="00395866" w:rsidRPr="004E07FE" w:rsidRDefault="00395866" w:rsidP="00032CB5">
            <w:pPr>
              <w:rPr>
                <w:b/>
                <w:sz w:val="20"/>
                <w:szCs w:val="20"/>
                <w:lang w:val="fr-CA"/>
              </w:rPr>
            </w:pPr>
          </w:p>
        </w:tc>
        <w:tc>
          <w:tcPr>
            <w:tcW w:w="8118" w:type="dxa"/>
          </w:tcPr>
          <w:p w:rsidR="00395866" w:rsidRPr="004E07FE" w:rsidRDefault="00395866" w:rsidP="00032CB5">
            <w:pPr>
              <w:rPr>
                <w:sz w:val="20"/>
                <w:szCs w:val="20"/>
              </w:rPr>
            </w:pPr>
            <w:r w:rsidRPr="004E07FE">
              <w:rPr>
                <w:rStyle w:val="SCCLsocChar"/>
                <w:sz w:val="20"/>
                <w:szCs w:val="20"/>
                <w:lang w:val="en-CA"/>
              </w:rPr>
              <w:t>City of Calgary v. Zahmol Properties Ltd.</w:t>
            </w:r>
            <w:r w:rsidRPr="004E07FE">
              <w:rPr>
                <w:sz w:val="20"/>
                <w:szCs w:val="20"/>
              </w:rPr>
              <w:t xml:space="preserve"> (Alta.) (Civil) (By Leave)</w:t>
            </w:r>
          </w:p>
          <w:p w:rsidR="00395866" w:rsidRPr="004E07FE" w:rsidRDefault="00395866" w:rsidP="00032CB5">
            <w:pPr>
              <w:rPr>
                <w:sz w:val="20"/>
                <w:szCs w:val="20"/>
              </w:rPr>
            </w:pPr>
          </w:p>
        </w:tc>
      </w:tr>
      <w:tr w:rsidR="00395866" w:rsidRPr="004E07FE" w:rsidTr="00032CB5">
        <w:trPr>
          <w:cantSplit/>
        </w:trPr>
        <w:tc>
          <w:tcPr>
            <w:tcW w:w="1458" w:type="dxa"/>
          </w:tcPr>
          <w:p w:rsidR="00395866" w:rsidRPr="004E07FE" w:rsidRDefault="00395866" w:rsidP="00032CB5">
            <w:pPr>
              <w:rPr>
                <w:sz w:val="20"/>
                <w:szCs w:val="20"/>
              </w:rPr>
            </w:pPr>
            <w:r w:rsidRPr="004E07FE">
              <w:rPr>
                <w:sz w:val="20"/>
                <w:szCs w:val="20"/>
              </w:rPr>
              <w:t>Coram :</w:t>
            </w:r>
          </w:p>
        </w:tc>
        <w:tc>
          <w:tcPr>
            <w:tcW w:w="8118" w:type="dxa"/>
          </w:tcPr>
          <w:p w:rsidR="00395866" w:rsidRPr="004E07FE" w:rsidRDefault="00395866" w:rsidP="00032CB5">
            <w:pPr>
              <w:rPr>
                <w:sz w:val="20"/>
                <w:szCs w:val="20"/>
              </w:rPr>
            </w:pPr>
            <w:r w:rsidRPr="004E07FE">
              <w:rPr>
                <w:rStyle w:val="SCCCoramChar"/>
                <w:sz w:val="20"/>
                <w:szCs w:val="20"/>
                <w:lang w:val="en-CA"/>
              </w:rPr>
              <w:t>McLachlin C.J. and Rothstein and Moldaver JJ.</w:t>
            </w:r>
          </w:p>
          <w:p w:rsidR="00395866" w:rsidRPr="004E07FE" w:rsidRDefault="00395866" w:rsidP="00032CB5">
            <w:pPr>
              <w:rPr>
                <w:sz w:val="20"/>
                <w:szCs w:val="20"/>
                <w:u w:val="single"/>
              </w:rPr>
            </w:pPr>
          </w:p>
        </w:tc>
      </w:tr>
      <w:tr w:rsidR="00395866" w:rsidRPr="005571F9" w:rsidTr="00032CB5">
        <w:trPr>
          <w:cantSplit/>
        </w:trPr>
        <w:tc>
          <w:tcPr>
            <w:tcW w:w="9576" w:type="dxa"/>
            <w:gridSpan w:val="2"/>
          </w:tcPr>
          <w:p w:rsidR="00395866" w:rsidRPr="004E07FE" w:rsidRDefault="00395866" w:rsidP="00032CB5">
            <w:pPr>
              <w:pStyle w:val="SCCShortJudgment"/>
              <w:rPr>
                <w:szCs w:val="20"/>
              </w:rPr>
            </w:pPr>
            <w:r w:rsidRPr="004E07FE">
              <w:rPr>
                <w:szCs w:val="20"/>
              </w:rPr>
              <w:t>The application for leave to appeal from the judgment of the Court of Appeal of Alberta (Calgary), Number 1101-0088-AC, 2012 ABCA 89, dated March 20, 2012, is dismissed with costs.</w:t>
            </w:r>
          </w:p>
          <w:p w:rsidR="00395866" w:rsidRPr="004E07FE" w:rsidRDefault="00395866" w:rsidP="00032CB5">
            <w:pPr>
              <w:pStyle w:val="SCCShortJudgment"/>
              <w:ind w:firstLine="0"/>
              <w:rPr>
                <w:szCs w:val="20"/>
              </w:rPr>
            </w:pPr>
          </w:p>
          <w:p w:rsidR="00395866" w:rsidRPr="004E07FE" w:rsidRDefault="00395866" w:rsidP="00032CB5">
            <w:pPr>
              <w:pStyle w:val="SCCShortJudgment"/>
              <w:rPr>
                <w:szCs w:val="20"/>
                <w:lang w:val="fr-CA"/>
              </w:rPr>
            </w:pPr>
            <w:r w:rsidRPr="004E07FE">
              <w:rPr>
                <w:szCs w:val="20"/>
                <w:lang w:val="fr-CA"/>
              </w:rPr>
              <w:t>La demande d’autorisation d’appel de l’arrêt de la Cour d'appel de l’Alberta (Calgary), numéro 1101-0088-AC, 2012 ABCA 89, daté du 20 mars 2012, est rejetée avec dépens.</w:t>
            </w:r>
          </w:p>
        </w:tc>
      </w:tr>
    </w:tbl>
    <w:p w:rsidR="00FA1074" w:rsidRPr="00395866" w:rsidRDefault="00FA1074" w:rsidP="00FA1074">
      <w:pPr>
        <w:rPr>
          <w:sz w:val="20"/>
          <w:szCs w:val="20"/>
          <w:lang w:val="fr-CA"/>
        </w:rPr>
      </w:pPr>
    </w:p>
    <w:p w:rsidR="00395866" w:rsidRPr="0078080D" w:rsidRDefault="00395866">
      <w:pPr>
        <w:rPr>
          <w:sz w:val="20"/>
          <w:szCs w:val="20"/>
          <w:u w:val="single"/>
          <w:lang w:val="fr-CA"/>
        </w:rPr>
      </w:pPr>
      <w:r w:rsidRPr="0078080D">
        <w:rPr>
          <w:sz w:val="20"/>
          <w:szCs w:val="20"/>
          <w:u w:val="single"/>
          <w:lang w:val="fr-CA"/>
        </w:rPr>
        <w:br w:type="page"/>
      </w: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CE0" w:rsidRPr="00554DB2" w:rsidTr="009C7C08">
        <w:tc>
          <w:tcPr>
            <w:tcW w:w="5000" w:type="pct"/>
            <w:gridSpan w:val="3"/>
          </w:tcPr>
          <w:p w:rsidR="00283CE0" w:rsidRPr="00554DB2" w:rsidRDefault="00283CE0" w:rsidP="009C7C08">
            <w:pPr>
              <w:jc w:val="both"/>
              <w:rPr>
                <w:rFonts w:eastAsia="Calibri"/>
                <w:sz w:val="20"/>
              </w:rPr>
            </w:pPr>
            <w:r w:rsidRPr="00554DB2">
              <w:rPr>
                <w:rFonts w:eastAsia="Calibri"/>
                <w:sz w:val="20"/>
              </w:rPr>
              <w:t xml:space="preserve">Expropriation — Judicial review —Timeliness of claim — Statutes — Interpretation — Can appellate courts use the curative powers in a regulation to expand or abridge a limitation period set out in a statute? — Can appellate courts direct boards and tribunals as to the proper interpretation and application of highly discretionary provisions found in their governing regulations? — </w:t>
            </w:r>
            <w:r w:rsidRPr="00554DB2">
              <w:rPr>
                <w:rFonts w:eastAsia="Calibri"/>
                <w:i/>
                <w:sz w:val="20"/>
              </w:rPr>
              <w:t>Expropriation Act</w:t>
            </w:r>
            <w:r w:rsidRPr="00554DB2">
              <w:rPr>
                <w:rFonts w:eastAsia="Calibri"/>
                <w:sz w:val="20"/>
              </w:rPr>
              <w:t>, R.S.A. 2000, c. E</w:t>
            </w:r>
            <w:r w:rsidRPr="00554DB2">
              <w:rPr>
                <w:rFonts w:eastAsia="Calibri"/>
                <w:sz w:val="20"/>
              </w:rPr>
              <w:noBreakHyphen/>
              <w:t xml:space="preserve">13, s. 36(2) — </w:t>
            </w:r>
            <w:r w:rsidRPr="00554DB2">
              <w:rPr>
                <w:rFonts w:eastAsia="Calibri"/>
                <w:i/>
                <w:color w:val="000000"/>
                <w:sz w:val="20"/>
              </w:rPr>
              <w:t>Expropriation Act Rules of Procedure and Practice</w:t>
            </w:r>
            <w:r w:rsidRPr="00554DB2">
              <w:rPr>
                <w:rFonts w:eastAsia="Calibri"/>
                <w:color w:val="000000"/>
                <w:sz w:val="20"/>
              </w:rPr>
              <w:t>, Alberta Regulation 187/2001, r. 2, 11 and 13.</w:t>
            </w:r>
          </w:p>
        </w:tc>
      </w:tr>
      <w:tr w:rsidR="00283CE0" w:rsidRPr="00554DB2" w:rsidTr="009C7C08">
        <w:tc>
          <w:tcPr>
            <w:tcW w:w="5000" w:type="pct"/>
            <w:gridSpan w:val="3"/>
          </w:tcPr>
          <w:p w:rsidR="00283CE0" w:rsidRPr="00554DB2" w:rsidRDefault="00283CE0" w:rsidP="009C7C08">
            <w:pPr>
              <w:jc w:val="both"/>
              <w:rPr>
                <w:rFonts w:eastAsia="Calibri"/>
                <w:sz w:val="20"/>
              </w:rPr>
            </w:pPr>
          </w:p>
        </w:tc>
      </w:tr>
      <w:tr w:rsidR="00283CE0" w:rsidRPr="00554DB2" w:rsidTr="009C7C08">
        <w:tc>
          <w:tcPr>
            <w:tcW w:w="5000" w:type="pct"/>
            <w:gridSpan w:val="3"/>
          </w:tcPr>
          <w:p w:rsidR="00283CE0" w:rsidRPr="00554DB2" w:rsidRDefault="00283CE0" w:rsidP="009C7C08">
            <w:pPr>
              <w:jc w:val="both"/>
              <w:rPr>
                <w:rFonts w:eastAsia="Calibri"/>
                <w:sz w:val="20"/>
              </w:rPr>
            </w:pPr>
            <w:r w:rsidRPr="00554DB2">
              <w:rPr>
                <w:rFonts w:eastAsia="Calibri"/>
                <w:sz w:val="20"/>
              </w:rPr>
              <w:t>The Applicant expropriated land owned by the Respondent.  On February 28, 2006, the Applicant served the Respondent with a notice setting out the amount of compensation it proposed to pay for the land.  The Respondent did not agree with the proposed amount of compensation and, on December 4, 2006, it sent an Application for Determination of Compensation (“ADC”) to the Alberta Land Compensation Board (the “Board”).  The ADC was not served on the Applicant.</w:t>
            </w:r>
          </w:p>
          <w:p w:rsidR="00283CE0" w:rsidRPr="00554DB2" w:rsidRDefault="00283CE0" w:rsidP="009C7C08">
            <w:pPr>
              <w:jc w:val="both"/>
              <w:rPr>
                <w:rFonts w:eastAsia="Calibri"/>
                <w:sz w:val="20"/>
              </w:rPr>
            </w:pPr>
          </w:p>
          <w:p w:rsidR="00283CE0" w:rsidRPr="00554DB2" w:rsidRDefault="00283CE0" w:rsidP="009C7C08">
            <w:pPr>
              <w:jc w:val="both"/>
              <w:rPr>
                <w:rFonts w:eastAsia="Calibri"/>
                <w:sz w:val="20"/>
              </w:rPr>
            </w:pPr>
            <w:r w:rsidRPr="00554DB2">
              <w:rPr>
                <w:rFonts w:eastAsia="Calibri"/>
                <w:sz w:val="20"/>
              </w:rPr>
              <w:t>On January 3, 2007, the Board acknowledged receipt of the ADC and stated that it expected to receive proof of service of the ADC on the Applicant, as well as proof of further particulars in an Amended ADC, which was also to be served on the City.  The Board’s letter was copied to the Applicant and received by the Applicant on January 8, 2007.</w:t>
            </w:r>
          </w:p>
          <w:p w:rsidR="00283CE0" w:rsidRPr="00554DB2" w:rsidRDefault="00283CE0" w:rsidP="009C7C08">
            <w:pPr>
              <w:jc w:val="both"/>
              <w:rPr>
                <w:rFonts w:eastAsia="Calibri"/>
                <w:sz w:val="20"/>
              </w:rPr>
            </w:pPr>
          </w:p>
          <w:p w:rsidR="00283CE0" w:rsidRPr="00554DB2" w:rsidRDefault="00283CE0" w:rsidP="009C7C08">
            <w:pPr>
              <w:jc w:val="both"/>
              <w:rPr>
                <w:rFonts w:eastAsia="Calibri"/>
                <w:sz w:val="20"/>
              </w:rPr>
            </w:pPr>
            <w:r w:rsidRPr="00554DB2">
              <w:rPr>
                <w:rFonts w:eastAsia="Calibri"/>
                <w:sz w:val="20"/>
              </w:rPr>
              <w:t>The Respondent subsequently filed its Amended ADC and served it on the Applicant on May 9, 2007.  On May 15, 2007, the Applicant advised the Respondent that it considered the service of the Amended ADC to have been made beyond the one</w:t>
            </w:r>
            <w:r w:rsidRPr="00554DB2">
              <w:rPr>
                <w:rFonts w:eastAsia="Calibri"/>
                <w:sz w:val="20"/>
              </w:rPr>
              <w:noBreakHyphen/>
              <w:t xml:space="preserve">year time limit in section 36(2) of the </w:t>
            </w:r>
            <w:r w:rsidRPr="00554DB2">
              <w:rPr>
                <w:rFonts w:eastAsia="Calibri"/>
                <w:i/>
                <w:sz w:val="20"/>
              </w:rPr>
              <w:t>Expropriation Act</w:t>
            </w:r>
            <w:r w:rsidRPr="00554DB2">
              <w:rPr>
                <w:rFonts w:eastAsia="Calibri"/>
                <w:sz w:val="20"/>
              </w:rPr>
              <w:t>, R.S.A. 2000, c. E</w:t>
            </w:r>
            <w:r w:rsidRPr="00554DB2">
              <w:rPr>
                <w:rFonts w:eastAsia="Calibri"/>
                <w:sz w:val="20"/>
              </w:rPr>
              <w:noBreakHyphen/>
              <w:t>13.  In response, the Respondent brought an application before the Board regarding the admissibility of its claim in the circumstances.</w:t>
            </w: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July 24, 2008</w:t>
            </w:r>
          </w:p>
          <w:p w:rsidR="00283CE0" w:rsidRPr="00554DB2" w:rsidRDefault="00283CE0" w:rsidP="009C7C08">
            <w:pPr>
              <w:jc w:val="both"/>
              <w:rPr>
                <w:rFonts w:eastAsia="Calibri"/>
                <w:sz w:val="20"/>
              </w:rPr>
            </w:pPr>
            <w:r w:rsidRPr="00554DB2">
              <w:rPr>
                <w:rFonts w:eastAsia="Calibri"/>
                <w:sz w:val="20"/>
              </w:rPr>
              <w:t>Land Compensation Board for the Province of Alberta</w:t>
            </w:r>
          </w:p>
          <w:p w:rsidR="00283CE0" w:rsidRPr="00554DB2" w:rsidRDefault="00283CE0" w:rsidP="009C7C08">
            <w:pPr>
              <w:jc w:val="both"/>
              <w:rPr>
                <w:rFonts w:eastAsia="Calibri"/>
                <w:sz w:val="20"/>
              </w:rPr>
            </w:pPr>
            <w:r w:rsidRPr="00554DB2">
              <w:rPr>
                <w:rFonts w:eastAsia="Calibri"/>
                <w:sz w:val="20"/>
              </w:rPr>
              <w:t>11015.1</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Respondent’s preliminary motion regarding admissibility of its claim granted on ground that it was made in timely manner.</w:t>
            </w: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March 20, 2009</w:t>
            </w:r>
          </w:p>
          <w:p w:rsidR="00283CE0" w:rsidRPr="00554DB2" w:rsidRDefault="00283CE0" w:rsidP="009C7C08">
            <w:pPr>
              <w:jc w:val="both"/>
              <w:rPr>
                <w:rFonts w:eastAsia="Calibri"/>
                <w:sz w:val="20"/>
              </w:rPr>
            </w:pPr>
            <w:r w:rsidRPr="00554DB2">
              <w:rPr>
                <w:rFonts w:eastAsia="Calibri"/>
                <w:sz w:val="20"/>
              </w:rPr>
              <w:t>Court of Appeal of Alberta (Calgary)</w:t>
            </w:r>
          </w:p>
          <w:p w:rsidR="00283CE0" w:rsidRPr="00554DB2" w:rsidRDefault="00283CE0" w:rsidP="009C7C08">
            <w:pPr>
              <w:jc w:val="both"/>
              <w:rPr>
                <w:rFonts w:eastAsia="Calibri"/>
                <w:sz w:val="20"/>
              </w:rPr>
            </w:pPr>
            <w:r w:rsidRPr="00554DB2">
              <w:rPr>
                <w:rFonts w:eastAsia="Calibri"/>
                <w:sz w:val="20"/>
              </w:rPr>
              <w:t>(Fraser, Picard and Slatter JJ.A.)</w:t>
            </w:r>
          </w:p>
          <w:p w:rsidR="00283CE0" w:rsidRPr="00554DB2" w:rsidRDefault="00283CE0" w:rsidP="009C7C08">
            <w:pPr>
              <w:jc w:val="both"/>
              <w:rPr>
                <w:rFonts w:eastAsia="Calibri"/>
                <w:sz w:val="20"/>
              </w:rPr>
            </w:pPr>
            <w:r w:rsidRPr="00554DB2">
              <w:rPr>
                <w:rFonts w:eastAsia="Calibri"/>
                <w:sz w:val="20"/>
              </w:rPr>
              <w:t>File No.: 0801</w:t>
            </w:r>
            <w:r w:rsidRPr="00554DB2">
              <w:rPr>
                <w:rFonts w:eastAsia="Calibri"/>
                <w:sz w:val="20"/>
              </w:rPr>
              <w:noBreakHyphen/>
              <w:t>0236</w:t>
            </w:r>
            <w:r w:rsidRPr="00554DB2">
              <w:rPr>
                <w:rFonts w:eastAsia="Calibri"/>
                <w:sz w:val="20"/>
              </w:rPr>
              <w:noBreakHyphen/>
              <w:t>AC</w:t>
            </w:r>
          </w:p>
          <w:p w:rsidR="00283CE0" w:rsidRPr="00554DB2" w:rsidRDefault="00283CE0" w:rsidP="009C7C08">
            <w:pPr>
              <w:jc w:val="both"/>
              <w:rPr>
                <w:rFonts w:eastAsia="Calibri"/>
                <w:sz w:val="20"/>
              </w:rPr>
            </w:pPr>
            <w:r w:rsidRPr="00554DB2">
              <w:rPr>
                <w:rFonts w:eastAsia="Calibri"/>
                <w:sz w:val="20"/>
              </w:rPr>
              <w:t>2009 ABCA 97</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Appeal allowed and matter remitted to the Board for reconsideration.</w:t>
            </w: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February 9, 2011</w:t>
            </w:r>
          </w:p>
          <w:p w:rsidR="00283CE0" w:rsidRPr="00554DB2" w:rsidRDefault="00283CE0" w:rsidP="009C7C08">
            <w:pPr>
              <w:jc w:val="both"/>
              <w:rPr>
                <w:rFonts w:eastAsia="Calibri"/>
                <w:sz w:val="20"/>
              </w:rPr>
            </w:pPr>
            <w:r w:rsidRPr="00554DB2">
              <w:rPr>
                <w:rFonts w:eastAsia="Calibri"/>
                <w:sz w:val="20"/>
              </w:rPr>
              <w:t>Land Compensation Board for the Province of Alberta</w:t>
            </w:r>
          </w:p>
          <w:p w:rsidR="00283CE0" w:rsidRPr="00554DB2" w:rsidRDefault="00283CE0" w:rsidP="009C7C08">
            <w:pPr>
              <w:jc w:val="both"/>
              <w:rPr>
                <w:rFonts w:eastAsia="Calibri"/>
                <w:sz w:val="20"/>
              </w:rPr>
            </w:pPr>
            <w:r w:rsidRPr="00554DB2">
              <w:rPr>
                <w:rFonts w:eastAsia="Calibri"/>
                <w:sz w:val="20"/>
              </w:rPr>
              <w:t>NM2009.0002</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Respondent’s motion for a determination that its claim was not statute barred dismissed.</w:t>
            </w: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March 20, 2012</w:t>
            </w:r>
          </w:p>
          <w:p w:rsidR="00283CE0" w:rsidRPr="00554DB2" w:rsidRDefault="00283CE0" w:rsidP="009C7C08">
            <w:pPr>
              <w:jc w:val="both"/>
              <w:rPr>
                <w:rFonts w:eastAsia="Calibri"/>
                <w:sz w:val="20"/>
              </w:rPr>
            </w:pPr>
            <w:r w:rsidRPr="00554DB2">
              <w:rPr>
                <w:rFonts w:eastAsia="Calibri"/>
                <w:sz w:val="20"/>
              </w:rPr>
              <w:t>Court of Appeal of Alberta (Calgary)</w:t>
            </w:r>
          </w:p>
          <w:p w:rsidR="00283CE0" w:rsidRPr="00554DB2" w:rsidRDefault="00283CE0" w:rsidP="009C7C08">
            <w:pPr>
              <w:jc w:val="both"/>
              <w:rPr>
                <w:rFonts w:eastAsia="Calibri"/>
                <w:sz w:val="20"/>
              </w:rPr>
            </w:pPr>
            <w:r w:rsidRPr="00554DB2">
              <w:rPr>
                <w:rFonts w:eastAsia="Calibri"/>
                <w:sz w:val="20"/>
              </w:rPr>
              <w:t>(Slatter, O’Ferrall and Park JJ.A.)</w:t>
            </w:r>
          </w:p>
          <w:p w:rsidR="00283CE0" w:rsidRPr="00554DB2" w:rsidRDefault="00283CE0" w:rsidP="009C7C08">
            <w:pPr>
              <w:jc w:val="both"/>
              <w:rPr>
                <w:rFonts w:eastAsia="Calibri"/>
                <w:sz w:val="20"/>
              </w:rPr>
            </w:pPr>
            <w:r w:rsidRPr="00554DB2">
              <w:rPr>
                <w:rFonts w:eastAsia="Calibri"/>
                <w:sz w:val="20"/>
              </w:rPr>
              <w:t>1101</w:t>
            </w:r>
            <w:r w:rsidRPr="00554DB2">
              <w:rPr>
                <w:rFonts w:eastAsia="Calibri"/>
                <w:sz w:val="20"/>
              </w:rPr>
              <w:noBreakHyphen/>
              <w:t>0088</w:t>
            </w:r>
            <w:r w:rsidRPr="00554DB2">
              <w:rPr>
                <w:rFonts w:eastAsia="Calibri"/>
                <w:sz w:val="20"/>
              </w:rPr>
              <w:noBreakHyphen/>
              <w:t>AC</w:t>
            </w:r>
          </w:p>
          <w:p w:rsidR="00283CE0" w:rsidRPr="00554DB2" w:rsidRDefault="00283CE0" w:rsidP="009C7C08">
            <w:pPr>
              <w:jc w:val="both"/>
              <w:rPr>
                <w:rFonts w:eastAsia="Calibri"/>
                <w:sz w:val="20"/>
              </w:rPr>
            </w:pPr>
            <w:r w:rsidRPr="00554DB2">
              <w:rPr>
                <w:rFonts w:eastAsia="Calibri"/>
                <w:sz w:val="20"/>
              </w:rPr>
              <w:t>2012 ABCA 89</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Appeal allowed.</w:t>
            </w: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May 22, 2012</w:t>
            </w:r>
          </w:p>
          <w:p w:rsidR="00283CE0" w:rsidRPr="00554DB2" w:rsidRDefault="00283CE0" w:rsidP="009C7C08">
            <w:pPr>
              <w:jc w:val="both"/>
              <w:rPr>
                <w:rFonts w:eastAsia="Calibri"/>
                <w:sz w:val="20"/>
              </w:rPr>
            </w:pPr>
            <w:r w:rsidRPr="00554DB2">
              <w:rPr>
                <w:rFonts w:eastAsia="Calibri"/>
                <w:sz w:val="20"/>
              </w:rPr>
              <w:t>Supreme Court of Canada</w:t>
            </w: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Application for leave to appeal filed.</w:t>
            </w:r>
          </w:p>
          <w:p w:rsidR="00283CE0" w:rsidRPr="00554DB2" w:rsidRDefault="00283CE0"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56" style="width:2in;height:1pt" o:hrpct="0" o:hralign="center" o:hrstd="t" o:hrnoshade="t" o:hr="t" fillcolor="black [3213]" stroked="f"/>
        </w:pict>
      </w:r>
    </w:p>
    <w:p w:rsidR="00FA1074" w:rsidRDefault="00FA1074" w:rsidP="00FA1074">
      <w:pPr>
        <w:rPr>
          <w:sz w:val="20"/>
          <w:szCs w:val="20"/>
        </w:rPr>
      </w:pPr>
    </w:p>
    <w:p w:rsidR="00BD080E" w:rsidRDefault="00BD080E">
      <w:pPr>
        <w:rPr>
          <w:sz w:val="20"/>
          <w:szCs w:val="20"/>
          <w:u w:val="single"/>
          <w:lang w:val="fr-CA"/>
        </w:rPr>
      </w:pPr>
      <w:r>
        <w:rPr>
          <w:sz w:val="20"/>
          <w:szCs w:val="20"/>
          <w:u w:val="single"/>
          <w:lang w:val="fr-CA"/>
        </w:rPr>
        <w:br w:type="page"/>
      </w: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CE0" w:rsidRPr="00554DB2" w:rsidTr="009C7C08">
        <w:tc>
          <w:tcPr>
            <w:tcW w:w="5000" w:type="pct"/>
            <w:gridSpan w:val="3"/>
          </w:tcPr>
          <w:p w:rsidR="00283CE0" w:rsidRPr="00554DB2" w:rsidRDefault="00283CE0" w:rsidP="009C7C08">
            <w:pPr>
              <w:jc w:val="both"/>
              <w:rPr>
                <w:rFonts w:eastAsia="Calibri"/>
                <w:sz w:val="20"/>
              </w:rPr>
            </w:pPr>
            <w:r w:rsidRPr="00554DB2">
              <w:rPr>
                <w:rFonts w:eastAsia="Calibri"/>
                <w:sz w:val="20"/>
                <w:lang w:val="fr-CA"/>
              </w:rPr>
              <w:t xml:space="preserve">Expropriation — Contrôle judiciaire — Dépôt en temps opportun de la demande — Lois — Interprétation — Les tribunaux d’appel peuvent-ils utiliser les pouvoirs réparateurs dans un règlement pour proroger ou abréger un délai énoncé dans une loi? — Les tribunaux d’appel peuvent-ils donner des directives aux organismes et tribunaux administratifs quant à l’interprétation et l’application qu’il convient de faire de dispositions hautement discrétionnaires figurant dans les règlements qui les régissent? — </w:t>
            </w:r>
            <w:r w:rsidRPr="00554DB2">
              <w:rPr>
                <w:rFonts w:eastAsia="Calibri"/>
                <w:i/>
                <w:sz w:val="20"/>
                <w:lang w:val="fr-CA"/>
              </w:rPr>
              <w:t>Expropriation Act</w:t>
            </w:r>
            <w:r w:rsidRPr="00554DB2">
              <w:rPr>
                <w:rFonts w:eastAsia="Calibri"/>
                <w:sz w:val="20"/>
                <w:lang w:val="fr-CA"/>
              </w:rPr>
              <w:t>, R.S.A. 2000, ch. </w:t>
            </w:r>
            <w:r w:rsidRPr="00554DB2">
              <w:rPr>
                <w:rFonts w:eastAsia="Calibri"/>
                <w:sz w:val="20"/>
              </w:rPr>
              <w:t xml:space="preserve">E-13, par. 36(2) — </w:t>
            </w:r>
            <w:r w:rsidRPr="00554DB2">
              <w:rPr>
                <w:rFonts w:eastAsia="Calibri"/>
                <w:i/>
                <w:color w:val="000000"/>
                <w:sz w:val="20"/>
              </w:rPr>
              <w:t>Expropriation Act Rules of Procedure and Practice</w:t>
            </w:r>
            <w:r w:rsidRPr="00554DB2">
              <w:rPr>
                <w:rFonts w:eastAsia="Calibri"/>
                <w:color w:val="000000"/>
                <w:sz w:val="20"/>
              </w:rPr>
              <w:t>, Alberta Regulation 187/2001, r. 2, 11 et 13</w:t>
            </w:r>
            <w:r w:rsidRPr="00554DB2">
              <w:rPr>
                <w:rFonts w:eastAsia="Calibri"/>
                <w:sz w:val="20"/>
              </w:rPr>
              <w:t>.</w:t>
            </w:r>
          </w:p>
        </w:tc>
      </w:tr>
      <w:tr w:rsidR="00283CE0" w:rsidRPr="00554DB2" w:rsidTr="009C7C08">
        <w:tc>
          <w:tcPr>
            <w:tcW w:w="5000" w:type="pct"/>
            <w:gridSpan w:val="3"/>
          </w:tcPr>
          <w:p w:rsidR="00283CE0" w:rsidRPr="00554DB2" w:rsidRDefault="00283CE0" w:rsidP="009C7C08">
            <w:pPr>
              <w:jc w:val="both"/>
              <w:rPr>
                <w:rFonts w:eastAsia="Calibri"/>
                <w:sz w:val="20"/>
              </w:rPr>
            </w:pPr>
          </w:p>
        </w:tc>
      </w:tr>
      <w:tr w:rsidR="00283CE0" w:rsidRPr="005571F9" w:rsidTr="009C7C08">
        <w:tc>
          <w:tcPr>
            <w:tcW w:w="5000" w:type="pct"/>
            <w:gridSpan w:val="3"/>
          </w:tcPr>
          <w:p w:rsidR="00283CE0" w:rsidRPr="00554DB2" w:rsidRDefault="00283CE0" w:rsidP="009C7C08">
            <w:pPr>
              <w:jc w:val="both"/>
              <w:rPr>
                <w:rFonts w:eastAsia="Calibri"/>
                <w:sz w:val="20"/>
                <w:lang w:val="fr-CA"/>
              </w:rPr>
            </w:pPr>
            <w:r w:rsidRPr="00554DB2">
              <w:rPr>
                <w:rFonts w:eastAsia="Calibri"/>
                <w:sz w:val="20"/>
                <w:lang w:val="fr-CA"/>
              </w:rPr>
              <w:t>La demanderesse a exproprié un terrain appartenant à l’intimée.  Le 28 février 2006, la demanderesse a signifié à l’intimée un avis indiquant le montant de l’indemnité qu’elle proposait de payer pour le terrain.  L’intimée n’était pas d’accord avec le montant d’indemnité proposé et, le 4 décembre 2006, elle a envoyé une demande de détermination d’indemnité (« DDI ») à l’Alberta Land Compensation Board (la « Commission »).  La DDI n’a pas été signifiée à la demanderesse.</w:t>
            </w:r>
          </w:p>
          <w:p w:rsidR="00283CE0" w:rsidRPr="00554DB2" w:rsidRDefault="00283CE0" w:rsidP="009C7C08">
            <w:pPr>
              <w:jc w:val="both"/>
              <w:rPr>
                <w:rFonts w:eastAsia="Calibri"/>
                <w:sz w:val="20"/>
                <w:lang w:val="fr-CA"/>
              </w:rPr>
            </w:pPr>
          </w:p>
          <w:p w:rsidR="00283CE0" w:rsidRPr="00554DB2" w:rsidRDefault="00283CE0" w:rsidP="009C7C08">
            <w:pPr>
              <w:jc w:val="both"/>
              <w:rPr>
                <w:rFonts w:eastAsia="Calibri"/>
                <w:sz w:val="20"/>
                <w:lang w:val="fr-CA"/>
              </w:rPr>
            </w:pPr>
            <w:r w:rsidRPr="00554DB2">
              <w:rPr>
                <w:rFonts w:eastAsia="Calibri"/>
                <w:sz w:val="20"/>
                <w:lang w:val="fr-CA"/>
              </w:rPr>
              <w:t>Le 3 janvier 2007, la Commission a accusé réception de la DDI et a affirmé qu’elle s’attendait à recevoir une preuve de signification de la DDI à la demanderesse, de même qu’une preuve de précisions additionnelles dans une DDI amendée, qui devrait elle aussi être signifiée à la Ville.  La Commission a envoyé une copie conforme de sa lettre à la demanderesse, qui l’a reçue le 8 janvier 2007.</w:t>
            </w:r>
          </w:p>
          <w:p w:rsidR="00283CE0" w:rsidRPr="00554DB2" w:rsidRDefault="00283CE0" w:rsidP="009C7C08">
            <w:pPr>
              <w:jc w:val="both"/>
              <w:rPr>
                <w:rFonts w:eastAsia="Calibri"/>
                <w:sz w:val="20"/>
                <w:lang w:val="fr-CA"/>
              </w:rPr>
            </w:pPr>
          </w:p>
          <w:p w:rsidR="00283CE0" w:rsidRPr="00554DB2" w:rsidRDefault="00283CE0" w:rsidP="009C7C08">
            <w:pPr>
              <w:jc w:val="both"/>
              <w:rPr>
                <w:rFonts w:eastAsia="Calibri"/>
                <w:sz w:val="20"/>
                <w:lang w:val="fr-CA"/>
              </w:rPr>
            </w:pPr>
            <w:r w:rsidRPr="00554DB2">
              <w:rPr>
                <w:rFonts w:eastAsia="Calibri"/>
                <w:sz w:val="20"/>
                <w:lang w:val="fr-CA"/>
              </w:rPr>
              <w:t>L’intimée a par la suite déposé sa DDI amendée et l’a signifiée à la demanderesse le 9 mai 2007.  Le 15 mai 2007, la demanderesse a avisé l’intimée qu’elle considérait que la signification de la DDI amendée avait été faite au-delà du délai d’un an prévu au paragraphe 36(2) de l’</w:t>
            </w:r>
            <w:r w:rsidRPr="00554DB2">
              <w:rPr>
                <w:rFonts w:eastAsia="Calibri"/>
                <w:i/>
                <w:sz w:val="20"/>
                <w:lang w:val="fr-CA"/>
              </w:rPr>
              <w:t>Expropriation Act</w:t>
            </w:r>
            <w:r w:rsidRPr="00554DB2">
              <w:rPr>
                <w:rFonts w:eastAsia="Calibri"/>
                <w:sz w:val="20"/>
                <w:lang w:val="fr-CA"/>
              </w:rPr>
              <w:t>, R.S.A. 2000, ch. E-13.  En réponse, l’intimée a déposé une demande devant la Commission concernant l’admissibilité de sa DDI dans les circonstances.</w:t>
            </w:r>
          </w:p>
          <w:p w:rsidR="00283CE0" w:rsidRPr="00554DB2" w:rsidRDefault="00283CE0" w:rsidP="009C7C08">
            <w:pPr>
              <w:jc w:val="both"/>
              <w:rPr>
                <w:rFonts w:eastAsia="Calibri"/>
                <w:sz w:val="20"/>
                <w:lang w:val="fr-CA"/>
              </w:rPr>
            </w:pPr>
          </w:p>
        </w:tc>
      </w:tr>
      <w:tr w:rsidR="00283CE0" w:rsidRPr="005571F9" w:rsidTr="009C7C08">
        <w:tc>
          <w:tcPr>
            <w:tcW w:w="2427" w:type="pct"/>
          </w:tcPr>
          <w:p w:rsidR="00283CE0" w:rsidRPr="00554DB2" w:rsidRDefault="00283CE0" w:rsidP="009C7C08">
            <w:pPr>
              <w:jc w:val="both"/>
              <w:rPr>
                <w:rFonts w:eastAsia="Calibri"/>
                <w:sz w:val="20"/>
              </w:rPr>
            </w:pPr>
            <w:r w:rsidRPr="00554DB2">
              <w:rPr>
                <w:rFonts w:eastAsia="Calibri"/>
                <w:sz w:val="20"/>
              </w:rPr>
              <w:t>24 juillet 2008</w:t>
            </w:r>
          </w:p>
          <w:p w:rsidR="00283CE0" w:rsidRPr="00554DB2" w:rsidRDefault="00283CE0" w:rsidP="009C7C08">
            <w:pPr>
              <w:jc w:val="both"/>
              <w:rPr>
                <w:rFonts w:eastAsia="Calibri"/>
                <w:sz w:val="20"/>
              </w:rPr>
            </w:pPr>
            <w:r w:rsidRPr="00554DB2">
              <w:rPr>
                <w:rFonts w:eastAsia="Calibri"/>
                <w:sz w:val="20"/>
              </w:rPr>
              <w:t>Land Compensation Board de l’Alberta</w:t>
            </w:r>
          </w:p>
          <w:p w:rsidR="00283CE0" w:rsidRPr="00554DB2" w:rsidRDefault="00283CE0" w:rsidP="009C7C08">
            <w:pPr>
              <w:jc w:val="both"/>
              <w:rPr>
                <w:rFonts w:eastAsia="Calibri"/>
                <w:sz w:val="20"/>
              </w:rPr>
            </w:pPr>
            <w:r w:rsidRPr="00554DB2">
              <w:rPr>
                <w:rFonts w:eastAsia="Calibri"/>
                <w:sz w:val="20"/>
              </w:rPr>
              <w:t>11015.1</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Requête préliminaire de l’intimée concernant l’admissibilité de sa demande accueillie au motif que la demande avait été déposée en temps opportun.</w:t>
            </w:r>
          </w:p>
          <w:p w:rsidR="00283CE0" w:rsidRPr="00554DB2" w:rsidRDefault="00283CE0" w:rsidP="009C7C08">
            <w:pPr>
              <w:jc w:val="both"/>
              <w:rPr>
                <w:rFonts w:eastAsia="Calibri"/>
                <w:sz w:val="20"/>
                <w:lang w:val="fr-CA"/>
              </w:rPr>
            </w:pPr>
          </w:p>
        </w:tc>
      </w:tr>
      <w:tr w:rsidR="00283CE0" w:rsidRPr="005571F9"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20 mars 2009</w:t>
            </w:r>
          </w:p>
          <w:p w:rsidR="00283CE0" w:rsidRPr="00554DB2" w:rsidRDefault="00283CE0" w:rsidP="009C7C08">
            <w:pPr>
              <w:jc w:val="both"/>
              <w:rPr>
                <w:rFonts w:eastAsia="Calibri"/>
                <w:sz w:val="20"/>
                <w:lang w:val="fr-CA"/>
              </w:rPr>
            </w:pPr>
            <w:r w:rsidRPr="00554DB2">
              <w:rPr>
                <w:rFonts w:eastAsia="Calibri"/>
                <w:sz w:val="20"/>
                <w:lang w:val="fr-CA"/>
              </w:rPr>
              <w:t>Cour d’appel de l’Alberta (Calgary)</w:t>
            </w:r>
          </w:p>
          <w:p w:rsidR="00283CE0" w:rsidRPr="00554DB2" w:rsidRDefault="00283CE0" w:rsidP="009C7C08">
            <w:pPr>
              <w:jc w:val="both"/>
              <w:rPr>
                <w:rFonts w:eastAsia="Calibri"/>
                <w:sz w:val="20"/>
                <w:lang w:val="fr-CA"/>
              </w:rPr>
            </w:pPr>
            <w:r w:rsidRPr="00554DB2">
              <w:rPr>
                <w:rFonts w:eastAsia="Calibri"/>
                <w:sz w:val="20"/>
                <w:lang w:val="fr-CA"/>
              </w:rPr>
              <w:t>(Juges Fraser, Picard et Slatter)</w:t>
            </w:r>
          </w:p>
          <w:p w:rsidR="00283CE0" w:rsidRPr="00554DB2" w:rsidRDefault="00283CE0" w:rsidP="009C7C08">
            <w:pPr>
              <w:jc w:val="both"/>
              <w:rPr>
                <w:rFonts w:eastAsia="Calibri"/>
                <w:sz w:val="20"/>
                <w:lang w:val="fr-CA"/>
              </w:rPr>
            </w:pPr>
            <w:r w:rsidRPr="00554DB2">
              <w:rPr>
                <w:rFonts w:eastAsia="Calibri"/>
                <w:sz w:val="20"/>
                <w:lang w:val="fr-CA"/>
              </w:rPr>
              <w:t>N</w:t>
            </w:r>
            <w:r w:rsidRPr="00554DB2">
              <w:rPr>
                <w:rFonts w:eastAsia="Calibri"/>
                <w:sz w:val="20"/>
                <w:vertAlign w:val="superscript"/>
                <w:lang w:val="fr-CA"/>
              </w:rPr>
              <w:t>o</w:t>
            </w:r>
            <w:r w:rsidRPr="00554DB2">
              <w:rPr>
                <w:rFonts w:eastAsia="Calibri"/>
                <w:sz w:val="20"/>
                <w:lang w:val="fr-CA"/>
              </w:rPr>
              <w:t xml:space="preserve"> de dossier : 0801-0236-AC</w:t>
            </w:r>
          </w:p>
          <w:p w:rsidR="00283CE0" w:rsidRPr="00554DB2" w:rsidRDefault="00283CE0" w:rsidP="009C7C08">
            <w:pPr>
              <w:jc w:val="both"/>
              <w:rPr>
                <w:rFonts w:eastAsia="Calibri"/>
                <w:sz w:val="20"/>
                <w:lang w:val="fr-CA"/>
              </w:rPr>
            </w:pPr>
            <w:r w:rsidRPr="00554DB2">
              <w:rPr>
                <w:rFonts w:eastAsia="Calibri"/>
                <w:sz w:val="20"/>
                <w:lang w:val="fr-CA"/>
              </w:rPr>
              <w:t>2009 ABCA 97</w:t>
            </w:r>
          </w:p>
          <w:p w:rsidR="00283CE0" w:rsidRPr="00554DB2" w:rsidRDefault="00283CE0" w:rsidP="009C7C08">
            <w:pPr>
              <w:jc w:val="both"/>
              <w:rPr>
                <w:rFonts w:eastAsia="Calibri"/>
                <w:sz w:val="20"/>
                <w:lang w:val="fr-CA"/>
              </w:rPr>
            </w:pPr>
          </w:p>
        </w:tc>
        <w:tc>
          <w:tcPr>
            <w:tcW w:w="243" w:type="pct"/>
          </w:tcPr>
          <w:p w:rsidR="00283CE0" w:rsidRPr="00554DB2" w:rsidRDefault="00283CE0" w:rsidP="009C7C08">
            <w:pPr>
              <w:jc w:val="both"/>
              <w:rPr>
                <w:rFonts w:eastAsia="Calibri"/>
                <w:sz w:val="20"/>
                <w:lang w:val="fr-CA"/>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Appel accueilli et affaire renvoyée à la Commission pour nouvel examen.</w:t>
            </w:r>
          </w:p>
          <w:p w:rsidR="00283CE0" w:rsidRPr="00554DB2" w:rsidRDefault="00283CE0" w:rsidP="009C7C08">
            <w:pPr>
              <w:jc w:val="both"/>
              <w:rPr>
                <w:rFonts w:eastAsia="Calibri"/>
                <w:sz w:val="20"/>
                <w:lang w:val="fr-CA"/>
              </w:rPr>
            </w:pPr>
          </w:p>
        </w:tc>
      </w:tr>
      <w:tr w:rsidR="00283CE0" w:rsidRPr="005571F9"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9 février 2011</w:t>
            </w:r>
          </w:p>
          <w:p w:rsidR="00283CE0" w:rsidRPr="00554DB2" w:rsidRDefault="00283CE0" w:rsidP="009C7C08">
            <w:pPr>
              <w:jc w:val="both"/>
              <w:rPr>
                <w:rFonts w:eastAsia="Calibri"/>
                <w:sz w:val="20"/>
                <w:lang w:val="fr-CA"/>
              </w:rPr>
            </w:pPr>
            <w:r w:rsidRPr="00554DB2">
              <w:rPr>
                <w:rFonts w:eastAsia="Calibri"/>
                <w:sz w:val="20"/>
                <w:lang w:val="fr-CA"/>
              </w:rPr>
              <w:t>Land Compensation Board de l’Alberta</w:t>
            </w:r>
          </w:p>
          <w:p w:rsidR="00283CE0" w:rsidRPr="00554DB2" w:rsidRDefault="00283CE0" w:rsidP="009C7C08">
            <w:pPr>
              <w:jc w:val="both"/>
              <w:rPr>
                <w:rFonts w:eastAsia="Calibri"/>
                <w:sz w:val="20"/>
              </w:rPr>
            </w:pPr>
            <w:r w:rsidRPr="00554DB2">
              <w:rPr>
                <w:rFonts w:eastAsia="Calibri"/>
                <w:sz w:val="20"/>
              </w:rPr>
              <w:t>NM2009.0002</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Requête de l’intimée visant à faire statuer que sa demande n’était pas prescrite rejetée.</w:t>
            </w:r>
          </w:p>
        </w:tc>
      </w:tr>
      <w:tr w:rsidR="00283CE0" w:rsidRPr="00554DB2"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20 mars 2012</w:t>
            </w:r>
          </w:p>
          <w:p w:rsidR="00283CE0" w:rsidRPr="00554DB2" w:rsidRDefault="00283CE0" w:rsidP="009C7C08">
            <w:pPr>
              <w:jc w:val="both"/>
              <w:rPr>
                <w:rFonts w:eastAsia="Calibri"/>
                <w:sz w:val="20"/>
                <w:lang w:val="fr-CA"/>
              </w:rPr>
            </w:pPr>
            <w:r w:rsidRPr="00554DB2">
              <w:rPr>
                <w:rFonts w:eastAsia="Calibri"/>
                <w:sz w:val="20"/>
                <w:lang w:val="fr-CA"/>
              </w:rPr>
              <w:t>Cour d’appel de l’Alberta (Calgary)</w:t>
            </w:r>
          </w:p>
          <w:p w:rsidR="00283CE0" w:rsidRPr="00554DB2" w:rsidRDefault="00283CE0" w:rsidP="009C7C08">
            <w:pPr>
              <w:jc w:val="both"/>
              <w:rPr>
                <w:rFonts w:eastAsia="Calibri"/>
                <w:sz w:val="20"/>
                <w:lang w:val="fr-CA"/>
              </w:rPr>
            </w:pPr>
            <w:r w:rsidRPr="00554DB2">
              <w:rPr>
                <w:rFonts w:eastAsia="Calibri"/>
                <w:sz w:val="20"/>
                <w:lang w:val="fr-CA"/>
              </w:rPr>
              <w:t>(Juges Slatter, O’Ferrall et Park)</w:t>
            </w:r>
          </w:p>
          <w:p w:rsidR="00283CE0" w:rsidRPr="00554DB2" w:rsidRDefault="00283CE0" w:rsidP="009C7C08">
            <w:pPr>
              <w:jc w:val="both"/>
              <w:rPr>
                <w:rFonts w:eastAsia="Calibri"/>
                <w:sz w:val="20"/>
              </w:rPr>
            </w:pPr>
            <w:r w:rsidRPr="00554DB2">
              <w:rPr>
                <w:rFonts w:eastAsia="Calibri"/>
                <w:sz w:val="20"/>
              </w:rPr>
              <w:t>1101-0088-AC</w:t>
            </w:r>
          </w:p>
          <w:p w:rsidR="00283CE0" w:rsidRPr="00554DB2" w:rsidRDefault="00283CE0" w:rsidP="009C7C08">
            <w:pPr>
              <w:jc w:val="both"/>
              <w:rPr>
                <w:rFonts w:eastAsia="Calibri"/>
                <w:sz w:val="20"/>
              </w:rPr>
            </w:pPr>
            <w:r w:rsidRPr="00554DB2">
              <w:rPr>
                <w:rFonts w:eastAsia="Calibri"/>
                <w:sz w:val="20"/>
              </w:rPr>
              <w:t>2012 ABCA 89</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C330A0" w:rsidRDefault="00283CE0" w:rsidP="009C7C08">
            <w:pPr>
              <w:jc w:val="both"/>
              <w:rPr>
                <w:rFonts w:eastAsia="Calibri"/>
                <w:sz w:val="20"/>
                <w:lang w:val="fr-CA"/>
              </w:rPr>
            </w:pPr>
            <w:r w:rsidRPr="00C330A0">
              <w:rPr>
                <w:rFonts w:eastAsia="Calibri"/>
                <w:sz w:val="20"/>
                <w:lang w:val="fr-CA"/>
              </w:rPr>
              <w:t>Appel accueilli.</w:t>
            </w:r>
          </w:p>
          <w:p w:rsidR="00283CE0" w:rsidRPr="00554DB2" w:rsidRDefault="00283CE0" w:rsidP="009C7C08">
            <w:pPr>
              <w:jc w:val="both"/>
              <w:rPr>
                <w:rFonts w:eastAsia="Calibri"/>
                <w:sz w:val="20"/>
              </w:rPr>
            </w:pPr>
          </w:p>
        </w:tc>
      </w:tr>
      <w:tr w:rsidR="00283CE0" w:rsidRPr="00554DB2" w:rsidTr="009C7C08">
        <w:tc>
          <w:tcPr>
            <w:tcW w:w="2427" w:type="pct"/>
          </w:tcPr>
          <w:p w:rsidR="00283CE0" w:rsidRPr="00DB37CA" w:rsidRDefault="00283CE0" w:rsidP="009C7C08">
            <w:pPr>
              <w:jc w:val="both"/>
              <w:rPr>
                <w:rFonts w:eastAsia="Calibri"/>
                <w:sz w:val="20"/>
                <w:lang w:val="fr-CA"/>
              </w:rPr>
            </w:pPr>
            <w:r w:rsidRPr="00DB37CA">
              <w:rPr>
                <w:rFonts w:eastAsia="Calibri"/>
                <w:sz w:val="20"/>
                <w:lang w:val="fr-CA"/>
              </w:rPr>
              <w:t>22 mai 2012</w:t>
            </w:r>
          </w:p>
          <w:p w:rsidR="00283CE0" w:rsidRPr="00DB37CA" w:rsidRDefault="00283CE0" w:rsidP="009C7C08">
            <w:pPr>
              <w:jc w:val="both"/>
              <w:rPr>
                <w:rFonts w:eastAsia="Calibri"/>
                <w:sz w:val="20"/>
                <w:lang w:val="fr-CA"/>
              </w:rPr>
            </w:pPr>
            <w:r w:rsidRPr="00DB37CA">
              <w:rPr>
                <w:rFonts w:eastAsia="Calibri"/>
                <w:sz w:val="20"/>
                <w:lang w:val="fr-CA"/>
              </w:rPr>
              <w:t>Cour suprême du Canada</w:t>
            </w:r>
          </w:p>
        </w:tc>
        <w:tc>
          <w:tcPr>
            <w:tcW w:w="243" w:type="pct"/>
          </w:tcPr>
          <w:p w:rsidR="00283CE0" w:rsidRPr="00DB37CA" w:rsidRDefault="00283CE0" w:rsidP="009C7C08">
            <w:pPr>
              <w:jc w:val="both"/>
              <w:rPr>
                <w:rFonts w:eastAsia="Calibri"/>
                <w:sz w:val="20"/>
                <w:lang w:val="fr-CA"/>
              </w:rPr>
            </w:pPr>
          </w:p>
        </w:tc>
        <w:tc>
          <w:tcPr>
            <w:tcW w:w="2330" w:type="pct"/>
          </w:tcPr>
          <w:p w:rsidR="00283CE0" w:rsidRPr="00C330A0" w:rsidRDefault="00283CE0" w:rsidP="009C7C08">
            <w:pPr>
              <w:jc w:val="both"/>
              <w:rPr>
                <w:rFonts w:eastAsia="Calibri"/>
                <w:sz w:val="20"/>
                <w:lang w:val="fr-CA"/>
              </w:rPr>
            </w:pPr>
            <w:r w:rsidRPr="00C330A0">
              <w:rPr>
                <w:rFonts w:eastAsia="Calibri"/>
                <w:sz w:val="20"/>
                <w:lang w:val="fr-CA"/>
              </w:rPr>
              <w:t>Demande d’autorisation d’appel</w:t>
            </w:r>
            <w:r w:rsidR="00C330A0">
              <w:rPr>
                <w:rFonts w:eastAsia="Calibri"/>
                <w:sz w:val="20"/>
                <w:lang w:val="fr-CA"/>
              </w:rPr>
              <w:t>,</w:t>
            </w:r>
            <w:r w:rsidRPr="00C330A0">
              <w:rPr>
                <w:rFonts w:eastAsia="Calibri"/>
                <w:sz w:val="20"/>
                <w:lang w:val="fr-CA"/>
              </w:rPr>
              <w:t xml:space="preserve"> d</w:t>
            </w:r>
            <w:r w:rsidR="00C330A0">
              <w:rPr>
                <w:rFonts w:eastAsia="Calibri"/>
                <w:sz w:val="20"/>
                <w:lang w:val="fr-CA"/>
              </w:rPr>
              <w:t>é</w:t>
            </w:r>
            <w:r w:rsidRPr="00C330A0">
              <w:rPr>
                <w:rFonts w:eastAsia="Calibri"/>
                <w:sz w:val="20"/>
                <w:lang w:val="fr-CA"/>
              </w:rPr>
              <w:t>pos</w:t>
            </w:r>
            <w:r w:rsidR="00C330A0">
              <w:rPr>
                <w:rFonts w:eastAsia="Calibri"/>
                <w:sz w:val="20"/>
                <w:lang w:val="fr-CA"/>
              </w:rPr>
              <w:t>é</w:t>
            </w:r>
            <w:r w:rsidRPr="00C330A0">
              <w:rPr>
                <w:rFonts w:eastAsia="Calibri"/>
                <w:sz w:val="20"/>
                <w:lang w:val="fr-CA"/>
              </w:rPr>
              <w:t>e.</w:t>
            </w:r>
          </w:p>
          <w:p w:rsidR="00283CE0" w:rsidRPr="00554DB2" w:rsidRDefault="00283CE0" w:rsidP="009C7C08">
            <w:pPr>
              <w:jc w:val="both"/>
              <w:rPr>
                <w:rFonts w:eastAsia="Calibri"/>
                <w:sz w:val="20"/>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57"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D080E" w:rsidRPr="004E07FE" w:rsidTr="00032CB5">
        <w:trPr>
          <w:cantSplit/>
        </w:trPr>
        <w:tc>
          <w:tcPr>
            <w:tcW w:w="1458" w:type="dxa"/>
          </w:tcPr>
          <w:p w:rsidR="00BD080E" w:rsidRPr="004E07FE" w:rsidRDefault="00BD080E" w:rsidP="00032CB5">
            <w:pPr>
              <w:rPr>
                <w:sz w:val="20"/>
                <w:szCs w:val="20"/>
              </w:rPr>
            </w:pPr>
            <w:r w:rsidRPr="004E07FE">
              <w:rPr>
                <w:rStyle w:val="SCCFileNumberChar"/>
                <w:sz w:val="20"/>
                <w:szCs w:val="20"/>
              </w:rPr>
              <w:t>34839</w:t>
            </w:r>
          </w:p>
          <w:p w:rsidR="00BD080E" w:rsidRPr="004E07FE" w:rsidRDefault="00BD080E" w:rsidP="00032CB5">
            <w:pPr>
              <w:rPr>
                <w:b/>
                <w:sz w:val="20"/>
                <w:szCs w:val="20"/>
                <w:lang w:val="fr-CA"/>
              </w:rPr>
            </w:pPr>
          </w:p>
        </w:tc>
        <w:tc>
          <w:tcPr>
            <w:tcW w:w="8118" w:type="dxa"/>
          </w:tcPr>
          <w:p w:rsidR="00BD080E" w:rsidRPr="004E07FE" w:rsidRDefault="00BD080E" w:rsidP="00032CB5">
            <w:pPr>
              <w:jc w:val="both"/>
              <w:rPr>
                <w:sz w:val="20"/>
                <w:szCs w:val="20"/>
              </w:rPr>
            </w:pPr>
            <w:r w:rsidRPr="004E07FE">
              <w:rPr>
                <w:rStyle w:val="SCCLsocChar"/>
                <w:sz w:val="20"/>
                <w:szCs w:val="20"/>
                <w:lang w:val="en-CA"/>
              </w:rPr>
              <w:t>Zurich Canada, Zurich Insurance Company</w:t>
            </w:r>
            <w:r>
              <w:rPr>
                <w:rStyle w:val="SCCLsocChar"/>
                <w:sz w:val="20"/>
                <w:szCs w:val="20"/>
                <w:lang w:val="en-CA"/>
              </w:rPr>
              <w:t xml:space="preserve"> and</w:t>
            </w:r>
            <w:r w:rsidRPr="004E07FE">
              <w:rPr>
                <w:rStyle w:val="SCCLsocChar"/>
                <w:sz w:val="20"/>
                <w:szCs w:val="20"/>
                <w:lang w:val="en-CA"/>
              </w:rPr>
              <w:t xml:space="preserve"> Zurich Insurance Company of Canada v. Joyce Maebell Dundas, Christopher Howard Dundas, Pamela Joyce Cake, Roger Garnet Dundas, Karin Edith Thomas, Lisa Ella Marie Roach, Barbara Elizabeth Dundas, Irene Hickson, Robert Hickson, William Hickson, Geraldine Willan, Joan Gerard, May Hickson, Josephine Hines</w:t>
            </w:r>
            <w:r>
              <w:rPr>
                <w:rStyle w:val="SCCLsocChar"/>
                <w:sz w:val="20"/>
                <w:szCs w:val="20"/>
                <w:lang w:val="en-CA"/>
              </w:rPr>
              <w:t xml:space="preserve"> and</w:t>
            </w:r>
            <w:r w:rsidRPr="004E07FE">
              <w:rPr>
                <w:rStyle w:val="SCCLsocChar"/>
                <w:sz w:val="20"/>
                <w:szCs w:val="20"/>
                <w:lang w:val="en-CA"/>
              </w:rPr>
              <w:t xml:space="preserve"> Candace Hickson, a Minor, by her Litigation Guardian, William Hickson</w:t>
            </w:r>
            <w:r w:rsidRPr="004E07FE">
              <w:rPr>
                <w:sz w:val="20"/>
                <w:szCs w:val="20"/>
              </w:rPr>
              <w:t xml:space="preserve"> (Ont.) (Civil) (By Leave)</w:t>
            </w:r>
          </w:p>
          <w:p w:rsidR="00BD080E" w:rsidRPr="004E07FE" w:rsidRDefault="00BD080E" w:rsidP="00032CB5">
            <w:pPr>
              <w:rPr>
                <w:sz w:val="20"/>
                <w:szCs w:val="20"/>
              </w:rPr>
            </w:pPr>
          </w:p>
        </w:tc>
      </w:tr>
      <w:tr w:rsidR="00BD080E" w:rsidRPr="004E07FE" w:rsidTr="00032CB5">
        <w:trPr>
          <w:cantSplit/>
        </w:trPr>
        <w:tc>
          <w:tcPr>
            <w:tcW w:w="1458" w:type="dxa"/>
          </w:tcPr>
          <w:p w:rsidR="00BD080E" w:rsidRPr="004E07FE" w:rsidRDefault="00BD080E" w:rsidP="00032CB5">
            <w:pPr>
              <w:rPr>
                <w:sz w:val="20"/>
                <w:szCs w:val="20"/>
              </w:rPr>
            </w:pPr>
            <w:r w:rsidRPr="004E07FE">
              <w:rPr>
                <w:sz w:val="20"/>
                <w:szCs w:val="20"/>
              </w:rPr>
              <w:t>Coram :</w:t>
            </w:r>
          </w:p>
        </w:tc>
        <w:tc>
          <w:tcPr>
            <w:tcW w:w="8118" w:type="dxa"/>
          </w:tcPr>
          <w:p w:rsidR="00BD080E" w:rsidRPr="004E07FE" w:rsidRDefault="00BD080E" w:rsidP="00032CB5">
            <w:pPr>
              <w:rPr>
                <w:sz w:val="20"/>
                <w:szCs w:val="20"/>
              </w:rPr>
            </w:pPr>
            <w:r w:rsidRPr="004E07FE">
              <w:rPr>
                <w:rStyle w:val="SCCCoramChar"/>
                <w:sz w:val="20"/>
                <w:szCs w:val="20"/>
                <w:lang w:val="en-CA"/>
              </w:rPr>
              <w:t>Fish, Abella and Karakatsanis JJ.</w:t>
            </w:r>
          </w:p>
          <w:p w:rsidR="00BD080E" w:rsidRPr="004E07FE" w:rsidRDefault="00BD080E" w:rsidP="00032CB5">
            <w:pPr>
              <w:rPr>
                <w:sz w:val="20"/>
                <w:szCs w:val="20"/>
                <w:u w:val="single"/>
              </w:rPr>
            </w:pPr>
          </w:p>
        </w:tc>
      </w:tr>
      <w:tr w:rsidR="00BD080E" w:rsidRPr="005571F9" w:rsidTr="00032CB5">
        <w:trPr>
          <w:cantSplit/>
        </w:trPr>
        <w:tc>
          <w:tcPr>
            <w:tcW w:w="9576" w:type="dxa"/>
            <w:gridSpan w:val="2"/>
          </w:tcPr>
          <w:p w:rsidR="00BD080E" w:rsidRPr="004E07FE" w:rsidRDefault="00BD080E" w:rsidP="00032CB5">
            <w:pPr>
              <w:pStyle w:val="SCCShortJudgment"/>
              <w:rPr>
                <w:szCs w:val="20"/>
              </w:rPr>
            </w:pPr>
            <w:r w:rsidRPr="004E07FE">
              <w:rPr>
                <w:szCs w:val="20"/>
              </w:rPr>
              <w:t>The application for leave to appeal from the judgment of the Court of Appeal for Ontario, Number C53291, 2012 ONCA 181, dated March 22, 2012, is dismissed with costs.</w:t>
            </w:r>
          </w:p>
          <w:p w:rsidR="00BD080E" w:rsidRPr="004E07FE" w:rsidRDefault="00BD080E" w:rsidP="00032CB5">
            <w:pPr>
              <w:pStyle w:val="SCCShortJudgment"/>
              <w:ind w:firstLine="0"/>
              <w:rPr>
                <w:szCs w:val="20"/>
              </w:rPr>
            </w:pPr>
          </w:p>
          <w:p w:rsidR="00BD080E" w:rsidRPr="004E07FE" w:rsidRDefault="00BD080E" w:rsidP="00032CB5">
            <w:pPr>
              <w:pStyle w:val="SCCShortJudgment"/>
              <w:rPr>
                <w:szCs w:val="20"/>
                <w:lang w:val="fr-CA"/>
              </w:rPr>
            </w:pPr>
            <w:r w:rsidRPr="004E07FE">
              <w:rPr>
                <w:szCs w:val="20"/>
                <w:lang w:val="fr-CA"/>
              </w:rPr>
              <w:t>La demande d’autorisation d’appel de l’arrêt de la Cour d’appel de l’Ontario, numéro C53291, 2012 ONCA 181, daté du 22 mars 2012, est rejetée avec dépens.</w:t>
            </w:r>
          </w:p>
        </w:tc>
      </w:tr>
    </w:tbl>
    <w:p w:rsidR="00FA1074" w:rsidRPr="00BD080E"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CE0" w:rsidRPr="00554DB2" w:rsidTr="009C7C08">
        <w:trPr>
          <w:trHeight w:val="20"/>
        </w:trPr>
        <w:tc>
          <w:tcPr>
            <w:tcW w:w="5000" w:type="pct"/>
            <w:gridSpan w:val="3"/>
          </w:tcPr>
          <w:p w:rsidR="00283CE0" w:rsidRPr="00554DB2" w:rsidRDefault="00283CE0" w:rsidP="009C7C08">
            <w:pPr>
              <w:jc w:val="both"/>
              <w:rPr>
                <w:rFonts w:eastAsia="Calibri"/>
                <w:sz w:val="20"/>
              </w:rPr>
            </w:pPr>
            <w:r w:rsidRPr="00554DB2">
              <w:rPr>
                <w:rFonts w:eastAsia="Calibri"/>
                <w:sz w:val="20"/>
              </w:rPr>
              <w:t xml:space="preserve">Limitation of actions — Insurance — Automobile insurance — Third party action against insurer of motor vehicle — Is a claim from breach of the insurer’s duty of good faith “under” the insurance contract, or is it a claim that arises entirely apart from the contract? — Do statutory conditions related to motor vehicle insurance claims apply to bad faith claims? — Does the </w:t>
            </w:r>
            <w:r w:rsidRPr="00554DB2">
              <w:rPr>
                <w:rFonts w:eastAsia="Calibri"/>
                <w:i/>
                <w:sz w:val="20"/>
              </w:rPr>
              <w:t>Trustee Act</w:t>
            </w:r>
            <w:r w:rsidRPr="00554DB2">
              <w:rPr>
                <w:rFonts w:eastAsia="Calibri"/>
                <w:sz w:val="20"/>
              </w:rPr>
              <w:t>, R.S.O. 1990, c. T.23, limitation period apply to claims brought on behalf of an estate against an insurer for bad faith?</w:t>
            </w:r>
          </w:p>
          <w:p w:rsidR="00283CE0" w:rsidRPr="00554DB2" w:rsidRDefault="00283CE0" w:rsidP="009C7C08">
            <w:pPr>
              <w:jc w:val="both"/>
              <w:rPr>
                <w:rFonts w:eastAsia="Calibri"/>
                <w:sz w:val="20"/>
              </w:rPr>
            </w:pPr>
          </w:p>
        </w:tc>
      </w:tr>
      <w:tr w:rsidR="00283CE0" w:rsidRPr="00554DB2" w:rsidTr="009C7C08">
        <w:tc>
          <w:tcPr>
            <w:tcW w:w="5000" w:type="pct"/>
            <w:gridSpan w:val="3"/>
          </w:tcPr>
          <w:p w:rsidR="00283CE0" w:rsidRPr="00554DB2" w:rsidRDefault="00283CE0" w:rsidP="009C7C08">
            <w:pPr>
              <w:jc w:val="both"/>
              <w:rPr>
                <w:color w:val="000000"/>
                <w:sz w:val="20"/>
              </w:rPr>
            </w:pPr>
            <w:r w:rsidRPr="00554DB2">
              <w:rPr>
                <w:color w:val="000000"/>
                <w:sz w:val="20"/>
              </w:rPr>
              <w:t>In November, 1988 the driver of a motor vehicle and his three passengers were killed in an accident.  The driver was insured by Zurich and the families of his passengers sued his estate. They offered to settle their claims for $1,600,000, an amount that exceeded the policy's $1,000,000 coverage limit.  In April 1993, the driver's estate agreed to the proposed assessment of damages made by the passengers’ families.  Minutes of settlement were executed in October 1993, but the issues of prejudgment interest and costs were unresolved. Zurich then paid the $1,000,000 insurance limits into an interest</w:t>
            </w:r>
            <w:r w:rsidRPr="00554DB2">
              <w:rPr>
                <w:color w:val="000000"/>
                <w:sz w:val="20"/>
              </w:rPr>
              <w:noBreakHyphen/>
              <w:t>bearing account and this amount was paid out to the three families.  In December 1994, a judge issued an endorsement on interest and costs, making critical comments about the insurer's failure to adjust the loss and pay the limits into an interest</w:t>
            </w:r>
            <w:r w:rsidRPr="00554DB2">
              <w:rPr>
                <w:color w:val="000000"/>
                <w:sz w:val="20"/>
              </w:rPr>
              <w:noBreakHyphen/>
              <w:t>bearing account at an earlier date.  Consent judgments were issued against the driver's estate for $2,000,000 including interest and costs in August 1995. In August 1996, the driver's estate sued Zurich for the amount that exceeded the policy limit, alleging that Zurich had breached its duty of good faith, exposed the estate to claims in excess of the policy limit, failed to pay the policy limits on a timely basis and failed to pay the limits into an interest bearing account.  The cause of action was later assigned to two of the plaintiff families.  Zurich moved for summary judgment on the grounds that the limitation period for bringing an action had expired.</w:t>
            </w: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January 20, 2011</w:t>
            </w:r>
          </w:p>
          <w:p w:rsidR="00283CE0" w:rsidRPr="00554DB2" w:rsidRDefault="00283CE0" w:rsidP="009C7C08">
            <w:pPr>
              <w:jc w:val="both"/>
              <w:rPr>
                <w:rFonts w:eastAsia="Calibri"/>
                <w:sz w:val="20"/>
              </w:rPr>
            </w:pPr>
            <w:r w:rsidRPr="00554DB2">
              <w:rPr>
                <w:rFonts w:eastAsia="Calibri"/>
                <w:sz w:val="20"/>
              </w:rPr>
              <w:t>Ontario Superior Court of Justice</w:t>
            </w:r>
          </w:p>
          <w:p w:rsidR="00283CE0" w:rsidRPr="00554DB2" w:rsidRDefault="00283CE0" w:rsidP="009C7C08">
            <w:pPr>
              <w:jc w:val="both"/>
              <w:rPr>
                <w:rFonts w:eastAsia="Calibri"/>
                <w:sz w:val="20"/>
              </w:rPr>
            </w:pPr>
            <w:r w:rsidRPr="00554DB2">
              <w:rPr>
                <w:rFonts w:eastAsia="Calibri"/>
                <w:sz w:val="20"/>
              </w:rPr>
              <w:t>(Patterson J.)</w:t>
            </w:r>
          </w:p>
          <w:p w:rsidR="00283CE0" w:rsidRPr="00554DB2" w:rsidRDefault="00283CE0" w:rsidP="009C7C08">
            <w:pPr>
              <w:jc w:val="both"/>
              <w:rPr>
                <w:rFonts w:eastAsia="Calibri"/>
                <w:sz w:val="20"/>
              </w:rPr>
            </w:pPr>
            <w:r w:rsidRPr="00554DB2">
              <w:rPr>
                <w:rFonts w:eastAsia="Calibri"/>
                <w:sz w:val="20"/>
              </w:rPr>
              <w:t xml:space="preserve">2011 ONSC 132 </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Zurich’s motion for summary judgment dismissing action granted</w:t>
            </w:r>
          </w:p>
          <w:p w:rsidR="00283CE0" w:rsidRPr="00554DB2" w:rsidRDefault="00283CE0" w:rsidP="009C7C08">
            <w:pPr>
              <w:jc w:val="both"/>
              <w:rPr>
                <w:rFonts w:eastAsia="Calibri"/>
                <w:sz w:val="20"/>
              </w:rPr>
            </w:pP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March 22, 2012</w:t>
            </w:r>
          </w:p>
          <w:p w:rsidR="00283CE0" w:rsidRPr="00554DB2" w:rsidRDefault="00283CE0" w:rsidP="009C7C08">
            <w:pPr>
              <w:jc w:val="both"/>
              <w:rPr>
                <w:rFonts w:eastAsia="Calibri"/>
                <w:sz w:val="20"/>
              </w:rPr>
            </w:pPr>
            <w:r w:rsidRPr="00554DB2">
              <w:rPr>
                <w:rFonts w:eastAsia="Calibri"/>
                <w:sz w:val="20"/>
              </w:rPr>
              <w:t>Court of Appeal for Ontario</w:t>
            </w:r>
          </w:p>
          <w:p w:rsidR="00283CE0" w:rsidRPr="00554DB2" w:rsidRDefault="00283CE0" w:rsidP="009C7C08">
            <w:pPr>
              <w:jc w:val="both"/>
              <w:rPr>
                <w:rFonts w:eastAsia="Calibri"/>
                <w:sz w:val="20"/>
              </w:rPr>
            </w:pPr>
            <w:r w:rsidRPr="00554DB2">
              <w:rPr>
                <w:rFonts w:eastAsia="Calibri"/>
                <w:sz w:val="20"/>
              </w:rPr>
              <w:t>(Cronk, Blair and Strathy J. (</w:t>
            </w:r>
            <w:r w:rsidRPr="00554DB2">
              <w:rPr>
                <w:rFonts w:eastAsia="Calibri"/>
                <w:i/>
                <w:sz w:val="20"/>
              </w:rPr>
              <w:t>ad hoc</w:t>
            </w:r>
            <w:r w:rsidRPr="00554DB2">
              <w:rPr>
                <w:rFonts w:eastAsia="Calibri"/>
                <w:sz w:val="20"/>
              </w:rPr>
              <w:t>))</w:t>
            </w:r>
          </w:p>
          <w:p w:rsidR="00283CE0" w:rsidRPr="00554DB2" w:rsidRDefault="00283CE0" w:rsidP="009C7C08">
            <w:pPr>
              <w:jc w:val="both"/>
              <w:rPr>
                <w:rFonts w:eastAsia="Calibri"/>
                <w:sz w:val="20"/>
              </w:rPr>
            </w:pPr>
            <w:r w:rsidRPr="00554DB2">
              <w:rPr>
                <w:rFonts w:eastAsia="Calibri"/>
                <w:sz w:val="20"/>
              </w:rPr>
              <w:t>2012 ONCA 181</w:t>
            </w:r>
          </w:p>
          <w:p w:rsidR="00283CE0" w:rsidRPr="00554DB2" w:rsidRDefault="00283CE0" w:rsidP="00F0380E">
            <w:pPr>
              <w:jc w:val="both"/>
              <w:rPr>
                <w:rFonts w:eastAsia="Calibri"/>
                <w:sz w:val="20"/>
              </w:rPr>
            </w:pPr>
            <w:r w:rsidRPr="00554DB2">
              <w:rPr>
                <w:rFonts w:eastAsia="Calibri"/>
                <w:sz w:val="20"/>
              </w:rPr>
              <w:t>Docket: C53291</w:t>
            </w: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Appeal allowed; action permitted to proceed</w:t>
            </w:r>
          </w:p>
          <w:p w:rsidR="00283CE0" w:rsidRPr="00554DB2" w:rsidRDefault="00283CE0" w:rsidP="009C7C08">
            <w:pPr>
              <w:jc w:val="both"/>
              <w:rPr>
                <w:rFonts w:eastAsia="Calibri"/>
                <w:sz w:val="20"/>
              </w:rPr>
            </w:pPr>
          </w:p>
          <w:p w:rsidR="00283CE0" w:rsidRPr="00554DB2" w:rsidRDefault="00283CE0" w:rsidP="009C7C08">
            <w:pPr>
              <w:jc w:val="both"/>
              <w:rPr>
                <w:rFonts w:eastAsia="Calibri"/>
                <w:sz w:val="20"/>
              </w:rPr>
            </w:pPr>
          </w:p>
        </w:tc>
      </w:tr>
    </w:tbl>
    <w:p w:rsidR="00F0380E" w:rsidRDefault="00F0380E"/>
    <w:p w:rsidR="00F0380E" w:rsidRDefault="00F0380E">
      <w:r>
        <w:br w:type="page"/>
      </w:r>
    </w:p>
    <w:tbl>
      <w:tblPr>
        <w:tblW w:w="4952" w:type="pct"/>
        <w:tblLayout w:type="fixed"/>
        <w:tblCellMar>
          <w:left w:w="0" w:type="dxa"/>
          <w:bottom w:w="99" w:type="dxa"/>
          <w:right w:w="0" w:type="dxa"/>
        </w:tblCellMar>
        <w:tblLook w:val="04A0"/>
      </w:tblPr>
      <w:tblGrid>
        <w:gridCol w:w="4624"/>
        <w:gridCol w:w="463"/>
        <w:gridCol w:w="4440"/>
      </w:tblGrid>
      <w:tr w:rsidR="00283CE0" w:rsidRPr="00554DB2" w:rsidTr="00F0380E">
        <w:trPr>
          <w:cantSplit/>
        </w:trPr>
        <w:tc>
          <w:tcPr>
            <w:tcW w:w="2427" w:type="pct"/>
          </w:tcPr>
          <w:p w:rsidR="00283CE0" w:rsidRPr="00554DB2" w:rsidRDefault="00283CE0" w:rsidP="009C7C08">
            <w:pPr>
              <w:jc w:val="both"/>
              <w:rPr>
                <w:rFonts w:eastAsia="Calibri"/>
                <w:sz w:val="20"/>
              </w:rPr>
            </w:pPr>
            <w:r w:rsidRPr="00554DB2">
              <w:rPr>
                <w:rFonts w:eastAsia="Calibri"/>
                <w:sz w:val="20"/>
              </w:rPr>
              <w:t>May 22, 2012</w:t>
            </w:r>
          </w:p>
          <w:p w:rsidR="00283CE0" w:rsidRPr="00554DB2" w:rsidRDefault="00283CE0" w:rsidP="009C7C08">
            <w:pPr>
              <w:jc w:val="both"/>
              <w:rPr>
                <w:rFonts w:eastAsia="Calibri"/>
                <w:sz w:val="20"/>
              </w:rPr>
            </w:pPr>
            <w:r w:rsidRPr="00554DB2">
              <w:rPr>
                <w:rFonts w:eastAsia="Calibri"/>
                <w:sz w:val="20"/>
              </w:rPr>
              <w:t>Supreme Court of Canada</w:t>
            </w: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Application for leave to appeal filed</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58"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83CE0" w:rsidRPr="005571F9" w:rsidTr="009C7C08">
        <w:tc>
          <w:tcPr>
            <w:tcW w:w="5000" w:type="pct"/>
            <w:gridSpan w:val="3"/>
          </w:tcPr>
          <w:p w:rsidR="00283CE0" w:rsidRPr="00554DB2" w:rsidRDefault="00283CE0" w:rsidP="009C7C08">
            <w:pPr>
              <w:jc w:val="both"/>
              <w:rPr>
                <w:rFonts w:eastAsia="Calibri"/>
                <w:sz w:val="20"/>
                <w:lang w:val="fr-CA"/>
              </w:rPr>
            </w:pPr>
            <w:r w:rsidRPr="00554DB2">
              <w:rPr>
                <w:rFonts w:eastAsia="Calibri"/>
                <w:sz w:val="20"/>
                <w:lang w:val="fr-CA"/>
              </w:rPr>
              <w:t>Prescription — Assurance — Assurance automobile — Recours de tiers contre l’assureur d’un véhicule automobile — La demande est</w:t>
            </w:r>
            <w:r w:rsidRPr="00554DB2">
              <w:rPr>
                <w:rFonts w:eastAsia="Calibri"/>
                <w:sz w:val="20"/>
                <w:lang w:val="fr-CA"/>
              </w:rPr>
              <w:noBreakHyphen/>
              <w:t>elle fondée sur un manquement à l’obligation de bonne foi de l’assureur « découlant » du contrat d’assurance ou s’agit</w:t>
            </w:r>
            <w:r w:rsidRPr="00554DB2">
              <w:rPr>
                <w:rFonts w:eastAsia="Calibri"/>
                <w:sz w:val="20"/>
                <w:lang w:val="fr-CA"/>
              </w:rPr>
              <w:noBreakHyphen/>
              <w:t>il d’une demande dont le fondement est tout à fait distinct du contrat? — Les conditions légales liées aux demandes fondées sur une assurance automobile s’appliquent</w:t>
            </w:r>
            <w:r w:rsidRPr="00554DB2">
              <w:rPr>
                <w:rFonts w:eastAsia="Calibri"/>
                <w:sz w:val="20"/>
                <w:lang w:val="fr-CA"/>
              </w:rPr>
              <w:noBreakHyphen/>
              <w:t xml:space="preserve">elles aux demandes où la mauvaise foi est alléguée? — Le délai de prescription prévu dans la </w:t>
            </w:r>
            <w:r w:rsidRPr="00554DB2">
              <w:rPr>
                <w:rFonts w:eastAsia="Calibri"/>
                <w:i/>
                <w:sz w:val="20"/>
                <w:lang w:val="fr-CA"/>
              </w:rPr>
              <w:t>Loi sur les fiduciaires</w:t>
            </w:r>
            <w:r w:rsidRPr="00554DB2">
              <w:rPr>
                <w:rFonts w:eastAsia="Calibri"/>
                <w:sz w:val="20"/>
                <w:lang w:val="fr-CA"/>
              </w:rPr>
              <w:t>, L.R.O. 1990, ch. T.23, s’applique</w:t>
            </w:r>
            <w:r w:rsidRPr="00554DB2">
              <w:rPr>
                <w:rFonts w:eastAsia="Calibri"/>
                <w:sz w:val="20"/>
                <w:lang w:val="fr-CA"/>
              </w:rPr>
              <w:noBreakHyphen/>
              <w:t>t</w:t>
            </w:r>
            <w:r w:rsidRPr="00554DB2">
              <w:rPr>
                <w:rFonts w:eastAsia="Calibri"/>
                <w:sz w:val="20"/>
                <w:lang w:val="fr-CA"/>
              </w:rPr>
              <w:noBreakHyphen/>
              <w:t>il aux demandes présentées au nom d’une succession contre un assureur dont on allègue la mauvaise foi?</w:t>
            </w:r>
          </w:p>
          <w:p w:rsidR="00283CE0" w:rsidRPr="00554DB2" w:rsidRDefault="00283CE0" w:rsidP="009C7C08">
            <w:pPr>
              <w:jc w:val="both"/>
              <w:rPr>
                <w:rFonts w:eastAsia="Calibri"/>
                <w:sz w:val="20"/>
                <w:lang w:val="fr-CA"/>
              </w:rPr>
            </w:pPr>
          </w:p>
        </w:tc>
      </w:tr>
      <w:tr w:rsidR="00283CE0" w:rsidRPr="005571F9" w:rsidTr="009C7C08">
        <w:tc>
          <w:tcPr>
            <w:tcW w:w="5000" w:type="pct"/>
            <w:gridSpan w:val="3"/>
          </w:tcPr>
          <w:p w:rsidR="00283CE0" w:rsidRPr="00554DB2" w:rsidRDefault="00283CE0" w:rsidP="009C7C08">
            <w:pPr>
              <w:jc w:val="both"/>
              <w:rPr>
                <w:color w:val="000000"/>
                <w:sz w:val="20"/>
                <w:lang w:val="fr-CA"/>
              </w:rPr>
            </w:pPr>
            <w:r w:rsidRPr="00554DB2">
              <w:rPr>
                <w:color w:val="000000"/>
                <w:sz w:val="20"/>
                <w:lang w:val="fr-CA"/>
              </w:rPr>
              <w:t>En novembre 1988, le conducteur d'un véhicule automobile et ses trois passagers ont été tués dans un accident.  Le conducteur était assuré par Zurich et les familles de ses passagers ont poursuivi sa succession. Ils ont offert de régler leur demande pour la somme de 1 600 000 $, un montant supérieur à la garantie d'assurance de 1 000 000 $ prévue dans la police.  En avril 1993, la succession du conducteur à consenti à la cotisation projetée des dommages</w:t>
            </w:r>
            <w:r w:rsidRPr="00554DB2">
              <w:rPr>
                <w:color w:val="000000"/>
                <w:sz w:val="20"/>
                <w:lang w:val="fr-CA"/>
              </w:rPr>
              <w:noBreakHyphen/>
              <w:t>intérêts établie par les familles des passagers.  Un procès</w:t>
            </w:r>
            <w:r w:rsidRPr="00554DB2">
              <w:rPr>
                <w:color w:val="000000"/>
                <w:sz w:val="20"/>
                <w:lang w:val="fr-CA"/>
              </w:rPr>
              <w:noBreakHyphen/>
              <w:t>verbal de transaction a été signé en octobre 1993, mais il restait à régler les questions des intérêts avant jugement et des dépens.  Zurich a alors versé la garantie d'assurance de 1 000 000 $ dans un compte portant intérêt et ce montant a été versé aux trois familles.  En décembre 1994, un juge a délivré un certificat portant sur les intérêts et les dépens, critiquant le fait que l'assureur n'avait pas réglé le sinistre et versé le produit d'assurance dans un compte portant intérêt à une date antérieure.  En août 1995, des jugements sur consentement ont été prononcés contre la succession du conducteur pour un montant de 2 millions de dollars, y compris les intérêts et les dépens.  En août 1996, la succession du conducteur a poursuivi Zurich pour le montant qui dépassait la garantie d'assurance, alléguant que Zurich avait manqué à son obligation de bonne foi, exposé la succession à des demandes qui dépassaient la garantie d'assurance, omis de verser le produit de l'assurance en temps opportun et omis de verser le produit de l'assurance dans un compte portant intérêt.  La cause d'action à ultérieurement été cédée à deux familles demanderesses.  Zurich a présenté une motion en jugement sommaire, plaidant que le délai de prescription de l'action était échu.</w:t>
            </w:r>
          </w:p>
          <w:p w:rsidR="00283CE0" w:rsidRPr="00554DB2" w:rsidRDefault="00283CE0" w:rsidP="009C7C08">
            <w:pPr>
              <w:jc w:val="both"/>
              <w:rPr>
                <w:rFonts w:eastAsia="Calibri"/>
                <w:sz w:val="20"/>
                <w:lang w:val="fr-CA"/>
              </w:rPr>
            </w:pPr>
          </w:p>
        </w:tc>
      </w:tr>
      <w:tr w:rsidR="00283CE0" w:rsidRPr="005571F9"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20 janvier 2011</w:t>
            </w:r>
          </w:p>
          <w:p w:rsidR="00283CE0" w:rsidRPr="00554DB2" w:rsidRDefault="00283CE0" w:rsidP="009C7C08">
            <w:pPr>
              <w:jc w:val="both"/>
              <w:rPr>
                <w:rFonts w:eastAsia="Calibri"/>
                <w:sz w:val="20"/>
                <w:lang w:val="fr-CA"/>
              </w:rPr>
            </w:pPr>
            <w:r w:rsidRPr="00554DB2">
              <w:rPr>
                <w:rFonts w:eastAsia="Calibri"/>
                <w:sz w:val="20"/>
                <w:lang w:val="fr-CA"/>
              </w:rPr>
              <w:t xml:space="preserve">Cour supérieure de justice de l'Ontario </w:t>
            </w:r>
          </w:p>
          <w:p w:rsidR="00283CE0" w:rsidRPr="00554DB2" w:rsidRDefault="00283CE0" w:rsidP="009C7C08">
            <w:pPr>
              <w:jc w:val="both"/>
              <w:rPr>
                <w:rFonts w:eastAsia="Calibri"/>
                <w:sz w:val="20"/>
                <w:lang w:val="fr-CA"/>
              </w:rPr>
            </w:pPr>
            <w:r w:rsidRPr="00554DB2">
              <w:rPr>
                <w:rFonts w:eastAsia="Calibri"/>
                <w:sz w:val="20"/>
                <w:lang w:val="fr-CA"/>
              </w:rPr>
              <w:t>(Juge Patterson)</w:t>
            </w:r>
          </w:p>
          <w:p w:rsidR="00283CE0" w:rsidRPr="00554DB2" w:rsidRDefault="00283CE0" w:rsidP="009C7C08">
            <w:pPr>
              <w:jc w:val="both"/>
              <w:rPr>
                <w:rFonts w:eastAsia="Calibri"/>
                <w:sz w:val="20"/>
                <w:lang w:val="fr-CA"/>
              </w:rPr>
            </w:pPr>
            <w:r w:rsidRPr="00554DB2">
              <w:rPr>
                <w:rFonts w:eastAsia="Calibri"/>
                <w:sz w:val="20"/>
                <w:lang w:val="fr-CA"/>
              </w:rPr>
              <w:t xml:space="preserve">2011 ONSC 132 </w:t>
            </w:r>
          </w:p>
          <w:p w:rsidR="00283CE0" w:rsidRPr="00554DB2" w:rsidRDefault="00283CE0" w:rsidP="009C7C08">
            <w:pPr>
              <w:jc w:val="both"/>
              <w:rPr>
                <w:rFonts w:eastAsia="Calibri"/>
                <w:sz w:val="20"/>
                <w:lang w:val="fr-CA"/>
              </w:rPr>
            </w:pPr>
          </w:p>
        </w:tc>
        <w:tc>
          <w:tcPr>
            <w:tcW w:w="243" w:type="pct"/>
          </w:tcPr>
          <w:p w:rsidR="00283CE0" w:rsidRPr="00554DB2" w:rsidRDefault="00283CE0" w:rsidP="009C7C08">
            <w:pPr>
              <w:jc w:val="both"/>
              <w:rPr>
                <w:rFonts w:eastAsia="Calibri"/>
                <w:sz w:val="20"/>
                <w:lang w:val="fr-CA"/>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Motion de Zurich en jugement sommaire rejetant l'action, accueillie</w:t>
            </w:r>
          </w:p>
          <w:p w:rsidR="00283CE0" w:rsidRPr="00554DB2" w:rsidRDefault="00283CE0" w:rsidP="009C7C08">
            <w:pPr>
              <w:jc w:val="both"/>
              <w:rPr>
                <w:rFonts w:eastAsia="Calibri"/>
                <w:sz w:val="20"/>
                <w:lang w:val="fr-CA"/>
              </w:rPr>
            </w:pPr>
          </w:p>
        </w:tc>
      </w:tr>
      <w:tr w:rsidR="00283CE0" w:rsidRPr="005571F9"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22 mars 2012</w:t>
            </w:r>
          </w:p>
          <w:p w:rsidR="00283CE0" w:rsidRPr="00554DB2" w:rsidRDefault="00283CE0" w:rsidP="009C7C08">
            <w:pPr>
              <w:jc w:val="both"/>
              <w:rPr>
                <w:rFonts w:eastAsia="Calibri"/>
                <w:sz w:val="20"/>
                <w:lang w:val="fr-CA"/>
              </w:rPr>
            </w:pPr>
            <w:r w:rsidRPr="00554DB2">
              <w:rPr>
                <w:rFonts w:eastAsia="Calibri"/>
                <w:sz w:val="20"/>
                <w:lang w:val="fr-CA"/>
              </w:rPr>
              <w:t>Cour d'appel de l'Ontario</w:t>
            </w:r>
          </w:p>
          <w:p w:rsidR="00283CE0" w:rsidRPr="00554DB2" w:rsidRDefault="00283CE0" w:rsidP="009C7C08">
            <w:pPr>
              <w:jc w:val="both"/>
              <w:rPr>
                <w:rFonts w:eastAsia="Calibri"/>
                <w:sz w:val="20"/>
                <w:lang w:val="fr-CA"/>
              </w:rPr>
            </w:pPr>
            <w:r w:rsidRPr="00554DB2">
              <w:rPr>
                <w:rFonts w:eastAsia="Calibri"/>
                <w:sz w:val="20"/>
                <w:lang w:val="fr-CA"/>
              </w:rPr>
              <w:t>(Juges Cronk, Blair et Strathy (</w:t>
            </w:r>
            <w:r w:rsidRPr="00554DB2">
              <w:rPr>
                <w:rFonts w:eastAsia="Calibri"/>
                <w:i/>
                <w:sz w:val="20"/>
                <w:lang w:val="fr-CA"/>
              </w:rPr>
              <w:t>ad hoc</w:t>
            </w:r>
            <w:r w:rsidRPr="00554DB2">
              <w:rPr>
                <w:rFonts w:eastAsia="Calibri"/>
                <w:sz w:val="20"/>
                <w:lang w:val="fr-CA"/>
              </w:rPr>
              <w:t>))</w:t>
            </w:r>
          </w:p>
          <w:p w:rsidR="00283CE0" w:rsidRPr="00554DB2" w:rsidRDefault="00283CE0" w:rsidP="009C7C08">
            <w:pPr>
              <w:jc w:val="both"/>
              <w:rPr>
                <w:rFonts w:eastAsia="Calibri"/>
                <w:sz w:val="20"/>
                <w:lang w:val="fr-CA"/>
              </w:rPr>
            </w:pPr>
            <w:r w:rsidRPr="00554DB2">
              <w:rPr>
                <w:rFonts w:eastAsia="Calibri"/>
                <w:sz w:val="20"/>
                <w:lang w:val="fr-CA"/>
              </w:rPr>
              <w:t>2012 ONCA 181</w:t>
            </w:r>
          </w:p>
          <w:p w:rsidR="00283CE0" w:rsidRPr="00554DB2" w:rsidRDefault="00283CE0" w:rsidP="009C7C08">
            <w:pPr>
              <w:jc w:val="both"/>
              <w:rPr>
                <w:rFonts w:eastAsia="Calibri"/>
                <w:sz w:val="20"/>
                <w:lang w:val="fr-CA"/>
              </w:rPr>
            </w:pPr>
            <w:r w:rsidRPr="00554DB2">
              <w:rPr>
                <w:rFonts w:eastAsia="Calibri"/>
                <w:sz w:val="20"/>
                <w:lang w:val="fr-CA"/>
              </w:rPr>
              <w:t>N</w:t>
            </w:r>
            <w:r w:rsidRPr="00554DB2">
              <w:rPr>
                <w:rFonts w:eastAsia="Calibri"/>
                <w:sz w:val="20"/>
                <w:vertAlign w:val="superscript"/>
                <w:lang w:val="fr-CA"/>
              </w:rPr>
              <w:t>o</w:t>
            </w:r>
            <w:r w:rsidRPr="00554DB2">
              <w:rPr>
                <w:rFonts w:eastAsia="Calibri"/>
                <w:sz w:val="20"/>
                <w:lang w:val="fr-CA"/>
              </w:rPr>
              <w:t xml:space="preserve"> du greffe : C53291</w:t>
            </w:r>
          </w:p>
          <w:p w:rsidR="00283CE0" w:rsidRPr="00554DB2" w:rsidRDefault="00283CE0" w:rsidP="009C7C08">
            <w:pPr>
              <w:jc w:val="both"/>
              <w:rPr>
                <w:rFonts w:eastAsia="Calibri"/>
                <w:sz w:val="20"/>
                <w:lang w:val="fr-CA"/>
              </w:rPr>
            </w:pPr>
          </w:p>
        </w:tc>
        <w:tc>
          <w:tcPr>
            <w:tcW w:w="243" w:type="pct"/>
          </w:tcPr>
          <w:p w:rsidR="00283CE0" w:rsidRPr="00554DB2" w:rsidRDefault="00283CE0" w:rsidP="009C7C08">
            <w:pPr>
              <w:jc w:val="both"/>
              <w:rPr>
                <w:rFonts w:eastAsia="Calibri"/>
                <w:sz w:val="20"/>
                <w:lang w:val="fr-CA"/>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 xml:space="preserve">Appel accueilli; l’action peut suivre sont cours </w:t>
            </w:r>
          </w:p>
          <w:p w:rsidR="00283CE0" w:rsidRPr="00554DB2" w:rsidRDefault="00283CE0" w:rsidP="009C7C08">
            <w:pPr>
              <w:jc w:val="both"/>
              <w:rPr>
                <w:rFonts w:eastAsia="Calibri"/>
                <w:sz w:val="20"/>
                <w:lang w:val="fr-CA"/>
              </w:rPr>
            </w:pPr>
          </w:p>
          <w:p w:rsidR="00283CE0" w:rsidRPr="00554DB2" w:rsidRDefault="00283CE0" w:rsidP="009C7C08">
            <w:pPr>
              <w:jc w:val="both"/>
              <w:rPr>
                <w:rFonts w:eastAsia="Calibri"/>
                <w:sz w:val="20"/>
                <w:lang w:val="fr-CA"/>
              </w:rPr>
            </w:pPr>
          </w:p>
        </w:tc>
      </w:tr>
      <w:tr w:rsidR="00283CE0" w:rsidRPr="00554DB2"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22 mai 2012</w:t>
            </w:r>
          </w:p>
          <w:p w:rsidR="00283CE0" w:rsidRPr="00554DB2" w:rsidRDefault="00283CE0" w:rsidP="009C7C08">
            <w:pPr>
              <w:jc w:val="both"/>
              <w:rPr>
                <w:rFonts w:eastAsia="Calibri"/>
                <w:sz w:val="20"/>
                <w:lang w:val="fr-CA"/>
              </w:rPr>
            </w:pPr>
            <w:r w:rsidRPr="00554DB2">
              <w:rPr>
                <w:rFonts w:eastAsia="Calibri"/>
                <w:sz w:val="20"/>
                <w:lang w:val="fr-CA"/>
              </w:rPr>
              <w:t>Cour suprême du Canada</w:t>
            </w:r>
          </w:p>
        </w:tc>
        <w:tc>
          <w:tcPr>
            <w:tcW w:w="243" w:type="pct"/>
          </w:tcPr>
          <w:p w:rsidR="00283CE0" w:rsidRPr="00554DB2" w:rsidRDefault="00283CE0" w:rsidP="009C7C08">
            <w:pPr>
              <w:jc w:val="both"/>
              <w:rPr>
                <w:rFonts w:eastAsia="Calibri"/>
                <w:sz w:val="20"/>
                <w:lang w:val="fr-CA"/>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Demande d'autorisation d'appel, déposée</w:t>
            </w:r>
          </w:p>
          <w:p w:rsidR="00283CE0" w:rsidRPr="00554DB2" w:rsidRDefault="00283CE0"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59"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0380E" w:rsidRPr="004E07FE" w:rsidTr="00032CB5">
        <w:trPr>
          <w:cantSplit/>
        </w:trPr>
        <w:tc>
          <w:tcPr>
            <w:tcW w:w="1458" w:type="dxa"/>
          </w:tcPr>
          <w:p w:rsidR="00F0380E" w:rsidRPr="004E07FE" w:rsidRDefault="00F0380E" w:rsidP="00032CB5">
            <w:pPr>
              <w:rPr>
                <w:sz w:val="20"/>
                <w:szCs w:val="20"/>
              </w:rPr>
            </w:pPr>
            <w:r w:rsidRPr="004E07FE">
              <w:rPr>
                <w:rStyle w:val="SCCFileNumberChar"/>
                <w:sz w:val="20"/>
                <w:szCs w:val="20"/>
              </w:rPr>
              <w:t>34841</w:t>
            </w:r>
          </w:p>
          <w:p w:rsidR="00F0380E" w:rsidRPr="004E07FE" w:rsidRDefault="00F0380E" w:rsidP="00032CB5">
            <w:pPr>
              <w:rPr>
                <w:b/>
                <w:sz w:val="20"/>
                <w:szCs w:val="20"/>
                <w:lang w:val="fr-CA"/>
              </w:rPr>
            </w:pPr>
          </w:p>
        </w:tc>
        <w:tc>
          <w:tcPr>
            <w:tcW w:w="8118" w:type="dxa"/>
          </w:tcPr>
          <w:p w:rsidR="00F0380E" w:rsidRPr="004E07FE" w:rsidRDefault="00F0380E" w:rsidP="00032CB5">
            <w:pPr>
              <w:jc w:val="both"/>
              <w:rPr>
                <w:sz w:val="20"/>
                <w:szCs w:val="20"/>
              </w:rPr>
            </w:pPr>
            <w:r w:rsidRPr="00F0380E">
              <w:rPr>
                <w:rStyle w:val="SCCLsocChar"/>
                <w:sz w:val="20"/>
                <w:szCs w:val="20"/>
                <w:lang w:val="en-CA"/>
              </w:rPr>
              <w:t>Kurt Pieckenhagen, Julita Pieckenhagen, Julita-Luise Pieckenhagen a.k.a. Jules Luise a.k.a. Jules Michael, Vera Pieckenhagen, Christopher Brooks a.k.a. Chris Brooks a.k.a. Andrew Brooks, Nicole Pieckenhagen, 373041 Ontario Inc., Graydon Hall Property Management Ltd. and GH Capital Corporation v. Shaw Satellite G.P., c.o.b. as Shaw Direct</w:t>
            </w:r>
            <w:r w:rsidRPr="00F0380E">
              <w:rPr>
                <w:rStyle w:val="SCCLsocChar"/>
                <w:smallCaps/>
                <w:sz w:val="20"/>
                <w:szCs w:val="20"/>
                <w:vertAlign w:val="superscript"/>
                <w:lang w:val="en-CA"/>
              </w:rPr>
              <w:t>TM</w:t>
            </w:r>
            <w:r w:rsidRPr="00F0380E">
              <w:rPr>
                <w:rStyle w:val="SCCLsocChar"/>
                <w:sz w:val="20"/>
                <w:szCs w:val="20"/>
                <w:lang w:val="en-CA"/>
              </w:rPr>
              <w:t>, Megan Anderson, Curt-Michael Pieckenhagen a.k.a. Curt Michael Pieckenhagen a.k.a. Curt Pieckenhagen a.k.a. Curt-Michael Picckenhayen a.k.a. Kurt Michael a.k.a. Pat Turner, 1125749 Ontario Limited, Eccelerated Digital, Accelerated Digital Communications Inc. a</w:t>
            </w:r>
            <w:r>
              <w:rPr>
                <w:rStyle w:val="SCCLsocChar"/>
                <w:sz w:val="20"/>
                <w:szCs w:val="20"/>
                <w:lang w:val="en-CA"/>
              </w:rPr>
              <w:t>nd</w:t>
            </w:r>
            <w:r w:rsidRPr="00F0380E">
              <w:rPr>
                <w:rStyle w:val="SCCLsocChar"/>
                <w:sz w:val="20"/>
                <w:szCs w:val="20"/>
                <w:lang w:val="en-CA"/>
              </w:rPr>
              <w:t xml:space="preserve"> 121429 Ontario Inc.</w:t>
            </w:r>
            <w:r w:rsidRPr="00F0380E">
              <w:rPr>
                <w:sz w:val="20"/>
                <w:szCs w:val="20"/>
              </w:rPr>
              <w:t xml:space="preserve"> </w:t>
            </w:r>
            <w:r w:rsidRPr="004E07FE">
              <w:rPr>
                <w:sz w:val="20"/>
                <w:szCs w:val="20"/>
              </w:rPr>
              <w:t>(Ont.) (Civil) (By Leave)</w:t>
            </w:r>
          </w:p>
          <w:p w:rsidR="00F0380E" w:rsidRPr="004E07FE" w:rsidRDefault="00F0380E" w:rsidP="00032CB5">
            <w:pPr>
              <w:rPr>
                <w:sz w:val="20"/>
                <w:szCs w:val="20"/>
              </w:rPr>
            </w:pPr>
          </w:p>
        </w:tc>
      </w:tr>
      <w:tr w:rsidR="00F0380E" w:rsidRPr="004E07FE" w:rsidTr="00032CB5">
        <w:trPr>
          <w:cantSplit/>
        </w:trPr>
        <w:tc>
          <w:tcPr>
            <w:tcW w:w="1458" w:type="dxa"/>
          </w:tcPr>
          <w:p w:rsidR="00F0380E" w:rsidRPr="004E07FE" w:rsidRDefault="00F0380E" w:rsidP="00032CB5">
            <w:pPr>
              <w:rPr>
                <w:sz w:val="20"/>
                <w:szCs w:val="20"/>
              </w:rPr>
            </w:pPr>
            <w:r w:rsidRPr="004E07FE">
              <w:rPr>
                <w:sz w:val="20"/>
                <w:szCs w:val="20"/>
              </w:rPr>
              <w:t>Coram :</w:t>
            </w:r>
          </w:p>
        </w:tc>
        <w:tc>
          <w:tcPr>
            <w:tcW w:w="8118" w:type="dxa"/>
          </w:tcPr>
          <w:p w:rsidR="00F0380E" w:rsidRPr="004E07FE" w:rsidRDefault="00F0380E" w:rsidP="00032CB5">
            <w:pPr>
              <w:rPr>
                <w:sz w:val="20"/>
                <w:szCs w:val="20"/>
              </w:rPr>
            </w:pPr>
            <w:r w:rsidRPr="004E07FE">
              <w:rPr>
                <w:rStyle w:val="SCCCoramChar"/>
                <w:sz w:val="20"/>
                <w:szCs w:val="20"/>
                <w:lang w:val="en-CA"/>
              </w:rPr>
              <w:t>Fish, Abella and Karakatsanis JJ.</w:t>
            </w:r>
          </w:p>
          <w:p w:rsidR="00F0380E" w:rsidRPr="004E07FE" w:rsidRDefault="00F0380E" w:rsidP="00032CB5">
            <w:pPr>
              <w:rPr>
                <w:sz w:val="20"/>
                <w:szCs w:val="20"/>
                <w:u w:val="single"/>
              </w:rPr>
            </w:pPr>
          </w:p>
        </w:tc>
      </w:tr>
      <w:tr w:rsidR="00F0380E" w:rsidRPr="005571F9" w:rsidTr="00032CB5">
        <w:trPr>
          <w:cantSplit/>
        </w:trPr>
        <w:tc>
          <w:tcPr>
            <w:tcW w:w="9576" w:type="dxa"/>
            <w:gridSpan w:val="2"/>
          </w:tcPr>
          <w:p w:rsidR="00F0380E" w:rsidRPr="004E07FE" w:rsidRDefault="00F0380E" w:rsidP="00032CB5">
            <w:pPr>
              <w:pStyle w:val="SCCShortJudgment"/>
              <w:rPr>
                <w:szCs w:val="20"/>
              </w:rPr>
            </w:pPr>
            <w:r w:rsidRPr="004E07FE">
              <w:rPr>
                <w:szCs w:val="20"/>
              </w:rPr>
              <w:t>The application for leave to appeal from the judgment of the Court of Appeal for Ontario, Number C54205, 2012 ONCA 192, dated March 21, 2012, is dismissed with costs to the respondent, Shaw Satellite G.P., c.o.b. as Shaw Direct</w:t>
            </w:r>
            <w:r w:rsidRPr="001F2B98">
              <w:rPr>
                <w:smallCaps/>
                <w:szCs w:val="20"/>
                <w:vertAlign w:val="superscript"/>
              </w:rPr>
              <w:t>TM</w:t>
            </w:r>
            <w:r w:rsidRPr="004E07FE">
              <w:rPr>
                <w:szCs w:val="20"/>
              </w:rPr>
              <w:t>.</w:t>
            </w:r>
          </w:p>
          <w:p w:rsidR="00F0380E" w:rsidRPr="004E07FE" w:rsidRDefault="00F0380E" w:rsidP="00032CB5">
            <w:pPr>
              <w:pStyle w:val="SCCShortJudgment"/>
              <w:ind w:firstLine="0"/>
              <w:rPr>
                <w:szCs w:val="20"/>
              </w:rPr>
            </w:pPr>
          </w:p>
          <w:p w:rsidR="00F0380E" w:rsidRPr="004E07FE" w:rsidRDefault="00F0380E" w:rsidP="00032CB5">
            <w:pPr>
              <w:pStyle w:val="SCCShortJudgment"/>
              <w:rPr>
                <w:szCs w:val="20"/>
                <w:lang w:val="fr-CA"/>
              </w:rPr>
            </w:pPr>
            <w:r w:rsidRPr="004E07FE">
              <w:rPr>
                <w:szCs w:val="20"/>
                <w:lang w:val="fr-CA"/>
              </w:rPr>
              <w:t>La demande d’autorisation d’appel de l’arrêt de la Cour d’appel de l’Ontario, numéro C54205, 2012 ONCA 192, daté du 21 mars 2012, est rejetée avec dépens en faveur de l’intimée Shaw Satellite G.P., faisant affaire sous la dénonciation sociale Shaw Direct</w:t>
            </w:r>
            <w:r w:rsidRPr="001F2B98">
              <w:rPr>
                <w:smallCaps/>
                <w:szCs w:val="20"/>
                <w:vertAlign w:val="superscript"/>
                <w:lang w:val="fr-CA"/>
              </w:rPr>
              <w:t>TM</w:t>
            </w:r>
            <w:r w:rsidRPr="004E07FE">
              <w:rPr>
                <w:szCs w:val="20"/>
                <w:lang w:val="fr-CA"/>
              </w:rPr>
              <w:t>.</w:t>
            </w:r>
          </w:p>
        </w:tc>
      </w:tr>
    </w:tbl>
    <w:p w:rsidR="00FA1074" w:rsidRPr="00F0380E"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83CE0" w:rsidRPr="00554DB2" w:rsidTr="009C7C08">
        <w:tc>
          <w:tcPr>
            <w:tcW w:w="5000" w:type="pct"/>
            <w:gridSpan w:val="3"/>
          </w:tcPr>
          <w:p w:rsidR="00283CE0" w:rsidRPr="00554DB2" w:rsidRDefault="00283CE0" w:rsidP="009C7C08">
            <w:pPr>
              <w:jc w:val="both"/>
              <w:rPr>
                <w:rFonts w:eastAsia="Calibri"/>
                <w:sz w:val="20"/>
              </w:rPr>
            </w:pPr>
            <w:r w:rsidRPr="00554DB2">
              <w:rPr>
                <w:rFonts w:eastAsia="Calibri"/>
                <w:sz w:val="20"/>
              </w:rPr>
              <w:t>Contracts — Arbitration agreement — Party to contract commenced action against numerous defendants — Some defendants covered by arbitration clause — Some issues subject to arbitration — Defendants requested stay of action in deference to arbitration — Whether case should go to court or arbitration — When is bifurcation warranted — Whether “competence-competence” principle has a future in Canada.</w:t>
            </w:r>
          </w:p>
        </w:tc>
      </w:tr>
      <w:tr w:rsidR="00283CE0" w:rsidRPr="00554DB2" w:rsidTr="009C7C08">
        <w:tc>
          <w:tcPr>
            <w:tcW w:w="5000" w:type="pct"/>
            <w:gridSpan w:val="3"/>
          </w:tcPr>
          <w:p w:rsidR="00283CE0" w:rsidRPr="00554DB2" w:rsidRDefault="00283CE0" w:rsidP="009C7C08">
            <w:pPr>
              <w:jc w:val="both"/>
              <w:rPr>
                <w:rFonts w:eastAsia="Calibri"/>
                <w:sz w:val="20"/>
              </w:rPr>
            </w:pPr>
          </w:p>
        </w:tc>
      </w:tr>
      <w:tr w:rsidR="00283CE0" w:rsidRPr="00554DB2" w:rsidTr="009C7C08">
        <w:tc>
          <w:tcPr>
            <w:tcW w:w="5000" w:type="pct"/>
            <w:gridSpan w:val="3"/>
          </w:tcPr>
          <w:p w:rsidR="00283CE0" w:rsidRPr="00554DB2" w:rsidRDefault="00283CE0" w:rsidP="009C7C08">
            <w:pPr>
              <w:jc w:val="both"/>
              <w:rPr>
                <w:rFonts w:eastAsia="Calibri"/>
                <w:sz w:val="20"/>
              </w:rPr>
            </w:pPr>
            <w:r w:rsidRPr="00554DB2">
              <w:rPr>
                <w:rFonts w:eastAsia="Calibri"/>
                <w:sz w:val="20"/>
              </w:rPr>
              <w:t>The applicants are the owners and/or operators of three apartment buildings in Toronto.  Shaw alleged that they fraudulently obtained its programming and illegally transmitted it to hundreds of tenants in the buildings.  Shaw alleges that the applicants obtained the programming by using mainly fictitious names and addresses to obtain a number of Shaw residential subscriber accounts.  The accounts and receivers associated with them were then used as part of a satellite master antennae television system to then transmit the programming to tenants.  The Shaw Residential Agreement contains an arbitration clause forcing disputes pursuant to the agreement into arbitration. Before filing a statement of defence, the applicants brought a motion to stay the action, arguing that the matter should go to arbitration.</w:t>
            </w:r>
          </w:p>
          <w:p w:rsidR="00283CE0" w:rsidRPr="00554DB2" w:rsidRDefault="00283CE0" w:rsidP="009C7C08">
            <w:pPr>
              <w:jc w:val="both"/>
              <w:rPr>
                <w:rFonts w:eastAsia="Calibri"/>
                <w:sz w:val="20"/>
              </w:rPr>
            </w:pPr>
          </w:p>
          <w:p w:rsidR="00283CE0" w:rsidRPr="00554DB2" w:rsidRDefault="00283CE0" w:rsidP="009C7C08">
            <w:pPr>
              <w:jc w:val="both"/>
              <w:rPr>
                <w:rFonts w:eastAsia="Calibri"/>
                <w:sz w:val="20"/>
              </w:rPr>
            </w:pPr>
            <w:r w:rsidRPr="00554DB2">
              <w:rPr>
                <w:rFonts w:eastAsia="Calibri"/>
                <w:sz w:val="20"/>
              </w:rPr>
              <w:t>The motions judge dismissed the motion, and the Court of Appeal dismissed an appeal.</w:t>
            </w:r>
          </w:p>
          <w:p w:rsidR="00283CE0" w:rsidRPr="00554DB2" w:rsidRDefault="00283CE0" w:rsidP="009C7C08">
            <w:pPr>
              <w:jc w:val="both"/>
              <w:rPr>
                <w:rFonts w:eastAsia="Calibri"/>
                <w:sz w:val="20"/>
              </w:rPr>
            </w:pP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July 14, 2011</w:t>
            </w:r>
          </w:p>
          <w:p w:rsidR="00283CE0" w:rsidRPr="00554DB2" w:rsidRDefault="00283CE0" w:rsidP="009C7C08">
            <w:pPr>
              <w:jc w:val="both"/>
              <w:rPr>
                <w:rFonts w:eastAsia="Calibri"/>
                <w:sz w:val="20"/>
              </w:rPr>
            </w:pPr>
            <w:r w:rsidRPr="00554DB2">
              <w:rPr>
                <w:rFonts w:eastAsia="Calibri"/>
                <w:sz w:val="20"/>
              </w:rPr>
              <w:t>Ontario Superior Court of Justice</w:t>
            </w:r>
          </w:p>
          <w:p w:rsidR="00283CE0" w:rsidRPr="00554DB2" w:rsidRDefault="00283CE0" w:rsidP="009C7C08">
            <w:pPr>
              <w:jc w:val="both"/>
              <w:rPr>
                <w:rFonts w:eastAsia="Calibri"/>
                <w:sz w:val="20"/>
              </w:rPr>
            </w:pPr>
            <w:r w:rsidRPr="00554DB2">
              <w:rPr>
                <w:rFonts w:eastAsia="Calibri"/>
                <w:sz w:val="20"/>
              </w:rPr>
              <w:t>(Perell J.)</w:t>
            </w:r>
          </w:p>
          <w:p w:rsidR="00283CE0" w:rsidRPr="00554DB2" w:rsidRDefault="00283CE0" w:rsidP="009C7C08">
            <w:pPr>
              <w:jc w:val="both"/>
              <w:rPr>
                <w:rFonts w:eastAsia="Calibri"/>
                <w:sz w:val="20"/>
              </w:rPr>
            </w:pPr>
            <w:r w:rsidRPr="00554DB2">
              <w:rPr>
                <w:rFonts w:eastAsia="Calibri"/>
                <w:sz w:val="20"/>
              </w:rPr>
              <w:t>2011 ONSC 4360</w:t>
            </w:r>
          </w:p>
          <w:p w:rsidR="00283CE0" w:rsidRPr="00554DB2" w:rsidRDefault="00283CE0" w:rsidP="009C7C08">
            <w:pPr>
              <w:jc w:val="both"/>
              <w:rPr>
                <w:rFonts w:eastAsia="Calibri"/>
                <w:sz w:val="20"/>
              </w:rPr>
            </w:pP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Motion for stay dismissed</w:t>
            </w:r>
          </w:p>
        </w:tc>
      </w:tr>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March 21, 2012</w:t>
            </w:r>
          </w:p>
          <w:p w:rsidR="00283CE0" w:rsidRPr="00554DB2" w:rsidRDefault="00283CE0" w:rsidP="009C7C08">
            <w:pPr>
              <w:jc w:val="both"/>
              <w:rPr>
                <w:rFonts w:eastAsia="Calibri"/>
                <w:sz w:val="20"/>
              </w:rPr>
            </w:pPr>
            <w:r w:rsidRPr="00554DB2">
              <w:rPr>
                <w:rFonts w:eastAsia="Calibri"/>
                <w:sz w:val="20"/>
              </w:rPr>
              <w:t>Court of Appeal for Ontario</w:t>
            </w:r>
          </w:p>
          <w:p w:rsidR="00283CE0" w:rsidRPr="00554DB2" w:rsidRDefault="00283CE0" w:rsidP="009C7C08">
            <w:pPr>
              <w:jc w:val="both"/>
              <w:rPr>
                <w:rFonts w:eastAsia="Calibri"/>
                <w:sz w:val="20"/>
              </w:rPr>
            </w:pPr>
            <w:r w:rsidRPr="00554DB2">
              <w:rPr>
                <w:rFonts w:eastAsia="Calibri"/>
                <w:sz w:val="20"/>
              </w:rPr>
              <w:t>(MacPherson and LaForme JJ.A., Pattillo J. (</w:t>
            </w:r>
            <w:r w:rsidRPr="00554DB2">
              <w:rPr>
                <w:rFonts w:eastAsia="Calibri"/>
                <w:i/>
                <w:sz w:val="20"/>
              </w:rPr>
              <w:t>ad hoc</w:t>
            </w:r>
            <w:r w:rsidRPr="00554DB2">
              <w:rPr>
                <w:rFonts w:eastAsia="Calibri"/>
                <w:sz w:val="20"/>
              </w:rPr>
              <w:t>))</w:t>
            </w:r>
          </w:p>
          <w:p w:rsidR="00283CE0" w:rsidRPr="00554DB2" w:rsidRDefault="00283CE0" w:rsidP="00D56769">
            <w:pPr>
              <w:jc w:val="both"/>
              <w:rPr>
                <w:rFonts w:eastAsia="Calibri"/>
                <w:sz w:val="20"/>
              </w:rPr>
            </w:pPr>
            <w:r w:rsidRPr="00554DB2">
              <w:rPr>
                <w:rFonts w:eastAsia="Calibri"/>
                <w:sz w:val="20"/>
              </w:rPr>
              <w:t>2012 ONCA 192</w:t>
            </w: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Appeal dismissed</w:t>
            </w:r>
          </w:p>
          <w:p w:rsidR="00283CE0" w:rsidRPr="00554DB2" w:rsidRDefault="00283CE0" w:rsidP="009C7C08">
            <w:pPr>
              <w:jc w:val="both"/>
              <w:rPr>
                <w:rFonts w:eastAsia="Calibri"/>
                <w:sz w:val="20"/>
              </w:rPr>
            </w:pPr>
          </w:p>
        </w:tc>
      </w:tr>
    </w:tbl>
    <w:p w:rsidR="00D56769" w:rsidRDefault="00D56769"/>
    <w:p w:rsidR="00D56769" w:rsidRDefault="00D56769">
      <w:r>
        <w:br w:type="page"/>
      </w:r>
    </w:p>
    <w:tbl>
      <w:tblPr>
        <w:tblW w:w="4952" w:type="pct"/>
        <w:tblLayout w:type="fixed"/>
        <w:tblCellMar>
          <w:left w:w="0" w:type="dxa"/>
          <w:bottom w:w="99" w:type="dxa"/>
          <w:right w:w="0" w:type="dxa"/>
        </w:tblCellMar>
        <w:tblLook w:val="04A0"/>
      </w:tblPr>
      <w:tblGrid>
        <w:gridCol w:w="4624"/>
        <w:gridCol w:w="463"/>
        <w:gridCol w:w="4440"/>
      </w:tblGrid>
      <w:tr w:rsidR="00283CE0" w:rsidRPr="00554DB2" w:rsidTr="009C7C08">
        <w:tc>
          <w:tcPr>
            <w:tcW w:w="2427" w:type="pct"/>
          </w:tcPr>
          <w:p w:rsidR="00283CE0" w:rsidRPr="00554DB2" w:rsidRDefault="00283CE0" w:rsidP="009C7C08">
            <w:pPr>
              <w:jc w:val="both"/>
              <w:rPr>
                <w:rFonts w:eastAsia="Calibri"/>
                <w:sz w:val="20"/>
              </w:rPr>
            </w:pPr>
            <w:r w:rsidRPr="00554DB2">
              <w:rPr>
                <w:rFonts w:eastAsia="Calibri"/>
                <w:sz w:val="20"/>
              </w:rPr>
              <w:t>May 22, 2012</w:t>
            </w:r>
          </w:p>
          <w:p w:rsidR="00283CE0" w:rsidRPr="00554DB2" w:rsidRDefault="00283CE0" w:rsidP="009C7C08">
            <w:pPr>
              <w:jc w:val="both"/>
              <w:rPr>
                <w:rFonts w:eastAsia="Calibri"/>
                <w:sz w:val="20"/>
              </w:rPr>
            </w:pPr>
            <w:r w:rsidRPr="00554DB2">
              <w:rPr>
                <w:rFonts w:eastAsia="Calibri"/>
                <w:sz w:val="20"/>
              </w:rPr>
              <w:t>Supreme Court of Canada</w:t>
            </w:r>
          </w:p>
        </w:tc>
        <w:tc>
          <w:tcPr>
            <w:tcW w:w="243" w:type="pct"/>
          </w:tcPr>
          <w:p w:rsidR="00283CE0" w:rsidRPr="00554DB2" w:rsidRDefault="00283CE0" w:rsidP="009C7C08">
            <w:pPr>
              <w:jc w:val="both"/>
              <w:rPr>
                <w:rFonts w:eastAsia="Calibri"/>
                <w:sz w:val="20"/>
              </w:rPr>
            </w:pPr>
          </w:p>
        </w:tc>
        <w:tc>
          <w:tcPr>
            <w:tcW w:w="2330" w:type="pct"/>
          </w:tcPr>
          <w:p w:rsidR="00283CE0" w:rsidRPr="00554DB2" w:rsidRDefault="00283CE0" w:rsidP="009C7C08">
            <w:pPr>
              <w:jc w:val="both"/>
              <w:rPr>
                <w:rFonts w:eastAsia="Calibri"/>
                <w:sz w:val="20"/>
              </w:rPr>
            </w:pPr>
            <w:r w:rsidRPr="00554DB2">
              <w:rPr>
                <w:rFonts w:eastAsia="Calibri"/>
                <w:sz w:val="20"/>
              </w:rPr>
              <w:t>Application for leave to appeal filed</w:t>
            </w:r>
          </w:p>
          <w:p w:rsidR="00283CE0" w:rsidRPr="00554DB2" w:rsidRDefault="00283CE0"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60"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83CE0" w:rsidRPr="005571F9" w:rsidTr="009C7C08">
        <w:tc>
          <w:tcPr>
            <w:tcW w:w="5000" w:type="pct"/>
            <w:gridSpan w:val="3"/>
          </w:tcPr>
          <w:p w:rsidR="00283CE0" w:rsidRPr="00554DB2" w:rsidRDefault="00283CE0" w:rsidP="009C7C08">
            <w:pPr>
              <w:jc w:val="both"/>
              <w:rPr>
                <w:rFonts w:eastAsia="Calibri"/>
                <w:sz w:val="20"/>
                <w:lang w:val="fr-CA"/>
              </w:rPr>
            </w:pPr>
            <w:r w:rsidRPr="00554DB2">
              <w:rPr>
                <w:rFonts w:eastAsia="Calibri"/>
                <w:sz w:val="20"/>
                <w:lang w:val="fr-CA"/>
              </w:rPr>
              <w:t>Contrats — Convention d'arbitrage — Une partie à la convention a intenté une action contre plusieurs défendeurs — Certains défendeurs sont visés par une clause d'arbitrage — Certaines questions doivent aller en arbitrage — Les défendeurs ont demandé la suspension de l’instance en déférence à l’égard de la compétence d’arbitrage — L’affaire devrait</w:t>
            </w:r>
            <w:r w:rsidRPr="00554DB2">
              <w:rPr>
                <w:rFonts w:eastAsia="Calibri"/>
                <w:sz w:val="20"/>
                <w:lang w:val="fr-CA"/>
              </w:rPr>
              <w:noBreakHyphen/>
              <w:t>elle être portée devant les tribunaux ou en arbitrage?  — Dans quelles situations la bifurcation est</w:t>
            </w:r>
            <w:r w:rsidRPr="00554DB2">
              <w:rPr>
                <w:rFonts w:eastAsia="Calibri"/>
                <w:sz w:val="20"/>
                <w:lang w:val="fr-CA"/>
              </w:rPr>
              <w:noBreakHyphen/>
              <w:t>elle justifiée? — Le principe de « compétence</w:t>
            </w:r>
            <w:r w:rsidRPr="00554DB2">
              <w:rPr>
                <w:rFonts w:eastAsia="Calibri"/>
                <w:sz w:val="20"/>
                <w:lang w:val="fr-CA"/>
              </w:rPr>
              <w:noBreakHyphen/>
              <w:t>compétence » a</w:t>
            </w:r>
            <w:r w:rsidRPr="00554DB2">
              <w:rPr>
                <w:rFonts w:eastAsia="Calibri"/>
                <w:sz w:val="20"/>
                <w:lang w:val="fr-CA"/>
              </w:rPr>
              <w:noBreakHyphen/>
              <w:t>t</w:t>
            </w:r>
            <w:r w:rsidRPr="00554DB2">
              <w:rPr>
                <w:rFonts w:eastAsia="Calibri"/>
                <w:sz w:val="20"/>
                <w:lang w:val="fr-CA"/>
              </w:rPr>
              <w:noBreakHyphen/>
              <w:t>il un avenir au Canada?</w:t>
            </w:r>
          </w:p>
        </w:tc>
      </w:tr>
      <w:tr w:rsidR="00283CE0" w:rsidRPr="005571F9" w:rsidTr="009C7C08">
        <w:tc>
          <w:tcPr>
            <w:tcW w:w="5000" w:type="pct"/>
            <w:gridSpan w:val="3"/>
          </w:tcPr>
          <w:p w:rsidR="00283CE0" w:rsidRPr="00554DB2" w:rsidRDefault="00283CE0" w:rsidP="009C7C08">
            <w:pPr>
              <w:jc w:val="both"/>
              <w:rPr>
                <w:rFonts w:eastAsia="Calibri"/>
                <w:sz w:val="20"/>
                <w:lang w:val="fr-CA"/>
              </w:rPr>
            </w:pPr>
          </w:p>
        </w:tc>
      </w:tr>
      <w:tr w:rsidR="00283CE0" w:rsidRPr="005571F9" w:rsidTr="009C7C08">
        <w:tc>
          <w:tcPr>
            <w:tcW w:w="5000" w:type="pct"/>
            <w:gridSpan w:val="3"/>
          </w:tcPr>
          <w:p w:rsidR="00283CE0" w:rsidRPr="00554DB2" w:rsidRDefault="00283CE0" w:rsidP="009C7C08">
            <w:pPr>
              <w:jc w:val="both"/>
              <w:rPr>
                <w:rFonts w:eastAsia="Calibri"/>
                <w:sz w:val="20"/>
                <w:lang w:val="fr-CA"/>
              </w:rPr>
            </w:pPr>
            <w:r w:rsidRPr="00554DB2">
              <w:rPr>
                <w:rFonts w:eastAsia="Calibri"/>
                <w:sz w:val="20"/>
                <w:lang w:val="fr-CA"/>
              </w:rPr>
              <w:t>Les demandeurs sont propriétaires ou exploitants de trois immeubles d’habitation à Toronto. Shaw a allégué qu’ils avaient frauduleusement obtenu sa programmation et qu’ils l’avaient illégalement transmise à des centaines de locataires des immeubles.  Shaw allègue que les demandeurs avaient obtenu la programmation en employant des noms et des adresses fictifs pour la plupart afin d’obtenir un certain nombre de comptes d’abonnés résidentiels de Shaw. Les comptes et les récepteurs connexes avaient ensuite été utilisés dans le cadre d’un système de télévision à antenne collective par satellite pour ensuite transmettre la programmation aux locataires.  Le contrat de service résidentiel de Shaw renferme une clause qui oblige de porter en arbitrage les différends fondés sur le contrat.  Avant de présenter une défense, les demandeurs ont présenté une motion en suspension d’instance, plaidant que l’affaire devait aller en arbitrage.</w:t>
            </w:r>
          </w:p>
          <w:p w:rsidR="00283CE0" w:rsidRPr="00554DB2" w:rsidRDefault="00283CE0" w:rsidP="009C7C08">
            <w:pPr>
              <w:jc w:val="both"/>
              <w:rPr>
                <w:rFonts w:eastAsia="Calibri"/>
                <w:sz w:val="20"/>
                <w:lang w:val="fr-CA"/>
              </w:rPr>
            </w:pPr>
          </w:p>
          <w:p w:rsidR="00283CE0" w:rsidRPr="00554DB2" w:rsidRDefault="00283CE0" w:rsidP="009C7C08">
            <w:pPr>
              <w:jc w:val="both"/>
              <w:rPr>
                <w:rFonts w:eastAsia="Calibri"/>
                <w:sz w:val="20"/>
                <w:lang w:val="fr-CA"/>
              </w:rPr>
            </w:pPr>
            <w:r w:rsidRPr="00554DB2">
              <w:rPr>
                <w:rFonts w:eastAsia="Calibri"/>
                <w:sz w:val="20"/>
                <w:lang w:val="fr-CA"/>
              </w:rPr>
              <w:t>Le juge de première instance a rejeté la motion et la Cour d’appel a rejeté l’appel.</w:t>
            </w:r>
          </w:p>
          <w:p w:rsidR="00283CE0" w:rsidRPr="00554DB2" w:rsidRDefault="00283CE0" w:rsidP="009C7C08">
            <w:pPr>
              <w:jc w:val="both"/>
              <w:rPr>
                <w:rFonts w:eastAsia="Calibri"/>
                <w:sz w:val="20"/>
                <w:lang w:val="fr-CA"/>
              </w:rPr>
            </w:pPr>
          </w:p>
        </w:tc>
      </w:tr>
      <w:tr w:rsidR="00283CE0" w:rsidRPr="005571F9"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14 juillet 2011</w:t>
            </w:r>
          </w:p>
          <w:p w:rsidR="00283CE0" w:rsidRPr="00554DB2" w:rsidRDefault="00283CE0" w:rsidP="009C7C08">
            <w:pPr>
              <w:jc w:val="both"/>
              <w:rPr>
                <w:rFonts w:eastAsia="Calibri"/>
                <w:sz w:val="20"/>
                <w:lang w:val="fr-CA"/>
              </w:rPr>
            </w:pPr>
            <w:r w:rsidRPr="00554DB2">
              <w:rPr>
                <w:rFonts w:eastAsia="Calibri"/>
                <w:sz w:val="20"/>
                <w:lang w:val="fr-CA"/>
              </w:rPr>
              <w:t>Cour supérieure de justice de l’Ontario</w:t>
            </w:r>
          </w:p>
          <w:p w:rsidR="00283CE0" w:rsidRPr="00554DB2" w:rsidRDefault="00283CE0" w:rsidP="009C7C08">
            <w:pPr>
              <w:jc w:val="both"/>
              <w:rPr>
                <w:rFonts w:eastAsia="Calibri"/>
                <w:sz w:val="20"/>
                <w:lang w:val="fr-CA"/>
              </w:rPr>
            </w:pPr>
            <w:r w:rsidRPr="00554DB2">
              <w:rPr>
                <w:rFonts w:eastAsia="Calibri"/>
                <w:sz w:val="20"/>
                <w:lang w:val="fr-CA"/>
              </w:rPr>
              <w:t>(Juge Perell)</w:t>
            </w:r>
          </w:p>
          <w:p w:rsidR="00283CE0" w:rsidRPr="00554DB2" w:rsidRDefault="00283CE0" w:rsidP="009C7C08">
            <w:pPr>
              <w:jc w:val="both"/>
              <w:rPr>
                <w:rFonts w:eastAsia="Calibri"/>
                <w:sz w:val="20"/>
                <w:lang w:val="fr-CA"/>
              </w:rPr>
            </w:pPr>
            <w:r w:rsidRPr="00554DB2">
              <w:rPr>
                <w:rFonts w:eastAsia="Calibri"/>
                <w:sz w:val="20"/>
                <w:lang w:val="fr-CA"/>
              </w:rPr>
              <w:t>2011 ONSC 4360</w:t>
            </w:r>
          </w:p>
          <w:p w:rsidR="00283CE0" w:rsidRPr="00554DB2" w:rsidRDefault="00283CE0" w:rsidP="009C7C08">
            <w:pPr>
              <w:jc w:val="both"/>
              <w:rPr>
                <w:rFonts w:eastAsia="Calibri"/>
                <w:sz w:val="20"/>
                <w:lang w:val="fr-CA"/>
              </w:rPr>
            </w:pPr>
          </w:p>
        </w:tc>
        <w:tc>
          <w:tcPr>
            <w:tcW w:w="243" w:type="pct"/>
          </w:tcPr>
          <w:p w:rsidR="00283CE0" w:rsidRPr="00554DB2" w:rsidRDefault="00283CE0" w:rsidP="009C7C08">
            <w:pPr>
              <w:jc w:val="both"/>
              <w:rPr>
                <w:rFonts w:eastAsia="Calibri"/>
                <w:sz w:val="20"/>
                <w:lang w:val="fr-CA"/>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Motion en suspension d’instance, rejetée</w:t>
            </w:r>
          </w:p>
        </w:tc>
      </w:tr>
      <w:tr w:rsidR="00283CE0" w:rsidRPr="00554DB2"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21 mars 2012</w:t>
            </w:r>
          </w:p>
          <w:p w:rsidR="00283CE0" w:rsidRPr="00554DB2" w:rsidRDefault="00283CE0" w:rsidP="009C7C08">
            <w:pPr>
              <w:jc w:val="both"/>
              <w:rPr>
                <w:rFonts w:eastAsia="Calibri"/>
                <w:sz w:val="20"/>
                <w:lang w:val="fr-CA"/>
              </w:rPr>
            </w:pPr>
            <w:r w:rsidRPr="00554DB2">
              <w:rPr>
                <w:rFonts w:eastAsia="Calibri"/>
                <w:sz w:val="20"/>
                <w:lang w:val="fr-CA"/>
              </w:rPr>
              <w:t>Cour d’appel de l’Ontario</w:t>
            </w:r>
          </w:p>
          <w:p w:rsidR="00283CE0" w:rsidRPr="00554DB2" w:rsidRDefault="00283CE0" w:rsidP="009C7C08">
            <w:pPr>
              <w:jc w:val="both"/>
              <w:rPr>
                <w:rFonts w:eastAsia="Calibri"/>
                <w:sz w:val="20"/>
                <w:lang w:val="fr-CA"/>
              </w:rPr>
            </w:pPr>
            <w:r w:rsidRPr="00554DB2">
              <w:rPr>
                <w:rFonts w:eastAsia="Calibri"/>
                <w:sz w:val="20"/>
                <w:lang w:val="fr-CA"/>
              </w:rPr>
              <w:t>(Juges MacPherson, LaForme et Pattillo (</w:t>
            </w:r>
            <w:r w:rsidRPr="00554DB2">
              <w:rPr>
                <w:rFonts w:eastAsia="Calibri"/>
                <w:i/>
                <w:sz w:val="20"/>
                <w:lang w:val="fr-CA"/>
              </w:rPr>
              <w:t>ad hoc</w:t>
            </w:r>
            <w:r w:rsidRPr="00554DB2">
              <w:rPr>
                <w:rFonts w:eastAsia="Calibri"/>
                <w:sz w:val="20"/>
                <w:lang w:val="fr-CA"/>
              </w:rPr>
              <w:t>))</w:t>
            </w:r>
          </w:p>
          <w:p w:rsidR="00283CE0" w:rsidRPr="00554DB2" w:rsidRDefault="00283CE0" w:rsidP="009C7C08">
            <w:pPr>
              <w:jc w:val="both"/>
              <w:rPr>
                <w:rFonts w:eastAsia="Calibri"/>
                <w:sz w:val="20"/>
                <w:lang w:val="fr-CA"/>
              </w:rPr>
            </w:pPr>
            <w:r w:rsidRPr="00554DB2">
              <w:rPr>
                <w:rFonts w:eastAsia="Calibri"/>
                <w:sz w:val="20"/>
                <w:lang w:val="fr-CA"/>
              </w:rPr>
              <w:t>2012 ONCA 192</w:t>
            </w:r>
          </w:p>
          <w:p w:rsidR="00283CE0" w:rsidRPr="00554DB2" w:rsidRDefault="00283CE0" w:rsidP="009C7C08">
            <w:pPr>
              <w:jc w:val="both"/>
              <w:rPr>
                <w:rFonts w:eastAsia="Calibri"/>
                <w:sz w:val="20"/>
                <w:lang w:val="fr-CA"/>
              </w:rPr>
            </w:pPr>
          </w:p>
        </w:tc>
        <w:tc>
          <w:tcPr>
            <w:tcW w:w="243" w:type="pct"/>
          </w:tcPr>
          <w:p w:rsidR="00283CE0" w:rsidRPr="00554DB2" w:rsidRDefault="00283CE0" w:rsidP="009C7C08">
            <w:pPr>
              <w:jc w:val="both"/>
              <w:rPr>
                <w:rFonts w:eastAsia="Calibri"/>
                <w:sz w:val="20"/>
                <w:lang w:val="fr-CA"/>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Appel rejeté</w:t>
            </w:r>
          </w:p>
          <w:p w:rsidR="00283CE0" w:rsidRPr="00554DB2" w:rsidRDefault="00283CE0" w:rsidP="009C7C08">
            <w:pPr>
              <w:jc w:val="both"/>
              <w:rPr>
                <w:rFonts w:eastAsia="Calibri"/>
                <w:sz w:val="20"/>
                <w:lang w:val="fr-CA"/>
              </w:rPr>
            </w:pPr>
          </w:p>
        </w:tc>
      </w:tr>
      <w:tr w:rsidR="00283CE0" w:rsidRPr="00554DB2" w:rsidTr="009C7C08">
        <w:tc>
          <w:tcPr>
            <w:tcW w:w="2427" w:type="pct"/>
          </w:tcPr>
          <w:p w:rsidR="00283CE0" w:rsidRPr="00554DB2" w:rsidRDefault="00283CE0" w:rsidP="009C7C08">
            <w:pPr>
              <w:jc w:val="both"/>
              <w:rPr>
                <w:rFonts w:eastAsia="Calibri"/>
                <w:sz w:val="20"/>
                <w:lang w:val="fr-CA"/>
              </w:rPr>
            </w:pPr>
            <w:r w:rsidRPr="00554DB2">
              <w:rPr>
                <w:rFonts w:eastAsia="Calibri"/>
                <w:sz w:val="20"/>
                <w:lang w:val="fr-CA"/>
              </w:rPr>
              <w:t>22 mai 2012</w:t>
            </w:r>
          </w:p>
          <w:p w:rsidR="00283CE0" w:rsidRPr="00554DB2" w:rsidRDefault="00283CE0" w:rsidP="009C7C08">
            <w:pPr>
              <w:jc w:val="both"/>
              <w:rPr>
                <w:rFonts w:eastAsia="Calibri"/>
                <w:sz w:val="20"/>
                <w:lang w:val="fr-CA"/>
              </w:rPr>
            </w:pPr>
            <w:r w:rsidRPr="00554DB2">
              <w:rPr>
                <w:rFonts w:eastAsia="Calibri"/>
                <w:sz w:val="20"/>
                <w:lang w:val="fr-CA"/>
              </w:rPr>
              <w:t>Cour suprême du Canada</w:t>
            </w:r>
          </w:p>
        </w:tc>
        <w:tc>
          <w:tcPr>
            <w:tcW w:w="243" w:type="pct"/>
          </w:tcPr>
          <w:p w:rsidR="00283CE0" w:rsidRPr="00554DB2" w:rsidRDefault="00283CE0" w:rsidP="009C7C08">
            <w:pPr>
              <w:jc w:val="both"/>
              <w:rPr>
                <w:rFonts w:eastAsia="Calibri"/>
                <w:sz w:val="20"/>
                <w:lang w:val="fr-CA"/>
              </w:rPr>
            </w:pPr>
          </w:p>
        </w:tc>
        <w:tc>
          <w:tcPr>
            <w:tcW w:w="2330" w:type="pct"/>
          </w:tcPr>
          <w:p w:rsidR="00283CE0" w:rsidRPr="00554DB2" w:rsidRDefault="00283CE0" w:rsidP="009C7C08">
            <w:pPr>
              <w:jc w:val="both"/>
              <w:rPr>
                <w:rFonts w:eastAsia="Calibri"/>
                <w:sz w:val="20"/>
                <w:lang w:val="fr-CA"/>
              </w:rPr>
            </w:pPr>
            <w:r w:rsidRPr="00554DB2">
              <w:rPr>
                <w:rFonts w:eastAsia="Calibri"/>
                <w:sz w:val="20"/>
                <w:lang w:val="fr-CA"/>
              </w:rPr>
              <w:t>Demande d’autorisation d’appel, déposée</w:t>
            </w: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61"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6769" w:rsidRPr="00D56769" w:rsidTr="00032CB5">
        <w:trPr>
          <w:cantSplit/>
        </w:trPr>
        <w:tc>
          <w:tcPr>
            <w:tcW w:w="1458" w:type="dxa"/>
          </w:tcPr>
          <w:p w:rsidR="00D56769" w:rsidRPr="00D56769" w:rsidRDefault="00D56769" w:rsidP="00032CB5">
            <w:pPr>
              <w:rPr>
                <w:sz w:val="20"/>
                <w:szCs w:val="20"/>
              </w:rPr>
            </w:pPr>
            <w:r w:rsidRPr="00D56769">
              <w:rPr>
                <w:rStyle w:val="SCCFileNumberChar"/>
                <w:sz w:val="20"/>
                <w:szCs w:val="20"/>
              </w:rPr>
              <w:t>34843</w:t>
            </w:r>
          </w:p>
          <w:p w:rsidR="00D56769" w:rsidRPr="00D56769" w:rsidRDefault="00D56769" w:rsidP="00032CB5">
            <w:pPr>
              <w:rPr>
                <w:b/>
                <w:sz w:val="20"/>
                <w:szCs w:val="20"/>
                <w:lang w:val="fr-CA"/>
              </w:rPr>
            </w:pPr>
          </w:p>
        </w:tc>
        <w:tc>
          <w:tcPr>
            <w:tcW w:w="8118" w:type="dxa"/>
          </w:tcPr>
          <w:p w:rsidR="00D56769" w:rsidRPr="00D56769" w:rsidRDefault="00D56769" w:rsidP="00032CB5">
            <w:pPr>
              <w:rPr>
                <w:sz w:val="20"/>
                <w:szCs w:val="20"/>
              </w:rPr>
            </w:pPr>
            <w:r w:rsidRPr="00D56769">
              <w:rPr>
                <w:rStyle w:val="SCCLsocChar"/>
                <w:sz w:val="20"/>
                <w:szCs w:val="20"/>
                <w:lang w:val="en-CA"/>
              </w:rPr>
              <w:t>Her Majesty the Queen v. P.M.</w:t>
            </w:r>
            <w:r w:rsidRPr="00D56769">
              <w:rPr>
                <w:sz w:val="20"/>
                <w:szCs w:val="20"/>
              </w:rPr>
              <w:t xml:space="preserve"> (Ont.) (Criminal) (By Leave)</w:t>
            </w:r>
          </w:p>
          <w:p w:rsidR="00D56769" w:rsidRPr="00D56769" w:rsidRDefault="00D56769" w:rsidP="00032CB5">
            <w:pPr>
              <w:rPr>
                <w:sz w:val="20"/>
                <w:szCs w:val="20"/>
              </w:rPr>
            </w:pPr>
          </w:p>
        </w:tc>
      </w:tr>
      <w:tr w:rsidR="00D56769" w:rsidRPr="00D56769" w:rsidTr="00032CB5">
        <w:trPr>
          <w:cantSplit/>
        </w:trPr>
        <w:tc>
          <w:tcPr>
            <w:tcW w:w="1458" w:type="dxa"/>
          </w:tcPr>
          <w:p w:rsidR="00D56769" w:rsidRPr="00D56769" w:rsidRDefault="00D56769" w:rsidP="00032CB5">
            <w:pPr>
              <w:rPr>
                <w:sz w:val="20"/>
                <w:szCs w:val="20"/>
              </w:rPr>
            </w:pPr>
            <w:r w:rsidRPr="00D56769">
              <w:rPr>
                <w:sz w:val="20"/>
                <w:szCs w:val="20"/>
              </w:rPr>
              <w:t>Coram :</w:t>
            </w:r>
          </w:p>
        </w:tc>
        <w:tc>
          <w:tcPr>
            <w:tcW w:w="8118" w:type="dxa"/>
          </w:tcPr>
          <w:p w:rsidR="00D56769" w:rsidRPr="00D56769" w:rsidRDefault="00D56769" w:rsidP="00032CB5">
            <w:pPr>
              <w:rPr>
                <w:sz w:val="20"/>
                <w:szCs w:val="20"/>
              </w:rPr>
            </w:pPr>
            <w:r w:rsidRPr="00D56769">
              <w:rPr>
                <w:rStyle w:val="SCCCoramChar"/>
                <w:sz w:val="20"/>
                <w:szCs w:val="20"/>
                <w:lang w:val="en-CA"/>
              </w:rPr>
              <w:t>McLachlin C.J. and Rothstein and Moldaver JJ.</w:t>
            </w:r>
          </w:p>
          <w:p w:rsidR="00D56769" w:rsidRPr="00D56769" w:rsidRDefault="00D56769" w:rsidP="00032CB5">
            <w:pPr>
              <w:rPr>
                <w:sz w:val="20"/>
                <w:szCs w:val="20"/>
                <w:u w:val="single"/>
              </w:rPr>
            </w:pPr>
          </w:p>
        </w:tc>
      </w:tr>
      <w:tr w:rsidR="00D56769" w:rsidRPr="005571F9" w:rsidTr="00032CB5">
        <w:trPr>
          <w:cantSplit/>
        </w:trPr>
        <w:tc>
          <w:tcPr>
            <w:tcW w:w="9576" w:type="dxa"/>
            <w:gridSpan w:val="2"/>
          </w:tcPr>
          <w:p w:rsidR="00D56769" w:rsidRPr="00D56769" w:rsidRDefault="00D56769" w:rsidP="00032CB5">
            <w:pPr>
              <w:pStyle w:val="SCCShortJudgment"/>
              <w:rPr>
                <w:szCs w:val="20"/>
              </w:rPr>
            </w:pPr>
            <w:r w:rsidRPr="00D56769">
              <w:rPr>
                <w:szCs w:val="20"/>
              </w:rPr>
              <w:t>The application for leave to appeal from the judgment of the Court of Appeal for Ontario, Number C52760, 2012 ONCA 162, dated March 16, 2012, is dismissed without costs.</w:t>
            </w:r>
          </w:p>
          <w:p w:rsidR="00D56769" w:rsidRPr="00D56769" w:rsidRDefault="00D56769" w:rsidP="00032CB5">
            <w:pPr>
              <w:pStyle w:val="SCCShortJudgment"/>
              <w:ind w:firstLine="0"/>
              <w:rPr>
                <w:szCs w:val="20"/>
              </w:rPr>
            </w:pPr>
          </w:p>
          <w:p w:rsidR="00D56769" w:rsidRPr="00D56769" w:rsidRDefault="00D56769" w:rsidP="00032CB5">
            <w:pPr>
              <w:pStyle w:val="SCCShortJudgment"/>
              <w:rPr>
                <w:szCs w:val="20"/>
                <w:lang w:val="fr-CA"/>
              </w:rPr>
            </w:pPr>
            <w:r w:rsidRPr="00D56769">
              <w:rPr>
                <w:szCs w:val="20"/>
                <w:lang w:val="fr-CA"/>
              </w:rPr>
              <w:t>La demande d’autorisation d’appel de l’arrêt de la Cour d’appel de l’Ontario, numéro C52760, 2012 ONCA 162, daté du 16 mars 2012, est rejetée sans dépens.</w:t>
            </w:r>
          </w:p>
        </w:tc>
      </w:tr>
    </w:tbl>
    <w:p w:rsidR="00FA1074" w:rsidRPr="00D56769"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70948" w:rsidRPr="00554DB2" w:rsidTr="009C7C08">
        <w:tc>
          <w:tcPr>
            <w:tcW w:w="5000" w:type="pct"/>
            <w:gridSpan w:val="3"/>
          </w:tcPr>
          <w:p w:rsidR="00E70948" w:rsidRPr="00554DB2" w:rsidRDefault="00E70948" w:rsidP="009C7C08">
            <w:pPr>
              <w:jc w:val="both"/>
              <w:rPr>
                <w:rFonts w:eastAsia="Calibri"/>
                <w:smallCaps/>
                <w:sz w:val="20"/>
              </w:rPr>
            </w:pPr>
            <w:r w:rsidRPr="00554DB2">
              <w:rPr>
                <w:rFonts w:eastAsia="Calibri"/>
                <w:smallCaps/>
                <w:sz w:val="20"/>
              </w:rPr>
              <w:t xml:space="preserve">(Publication </w:t>
            </w:r>
            <w:r>
              <w:rPr>
                <w:rFonts w:eastAsia="Calibri"/>
                <w:smallCaps/>
                <w:sz w:val="20"/>
              </w:rPr>
              <w:t>B</w:t>
            </w:r>
            <w:r w:rsidRPr="00554DB2">
              <w:rPr>
                <w:rFonts w:eastAsia="Calibri"/>
                <w:smallCaps/>
                <w:sz w:val="20"/>
              </w:rPr>
              <w:t xml:space="preserve">an in </w:t>
            </w:r>
            <w:r>
              <w:rPr>
                <w:rFonts w:eastAsia="Calibri"/>
                <w:smallCaps/>
                <w:sz w:val="20"/>
              </w:rPr>
              <w:t>C</w:t>
            </w:r>
            <w:r w:rsidRPr="00554DB2">
              <w:rPr>
                <w:rFonts w:eastAsia="Calibri"/>
                <w:smallCaps/>
                <w:sz w:val="20"/>
              </w:rPr>
              <w:t xml:space="preserve">ase) (Publication </w:t>
            </w:r>
            <w:r>
              <w:rPr>
                <w:rFonts w:eastAsia="Calibri"/>
                <w:smallCaps/>
                <w:sz w:val="20"/>
              </w:rPr>
              <w:t>B</w:t>
            </w:r>
            <w:r w:rsidRPr="00554DB2">
              <w:rPr>
                <w:rFonts w:eastAsia="Calibri"/>
                <w:smallCaps/>
                <w:sz w:val="20"/>
              </w:rPr>
              <w:t xml:space="preserve">an on </w:t>
            </w:r>
            <w:r>
              <w:rPr>
                <w:rFonts w:eastAsia="Calibri"/>
                <w:smallCaps/>
                <w:sz w:val="20"/>
              </w:rPr>
              <w:t>P</w:t>
            </w:r>
            <w:r w:rsidRPr="00554DB2">
              <w:rPr>
                <w:rFonts w:eastAsia="Calibri"/>
                <w:smallCaps/>
                <w:sz w:val="20"/>
              </w:rPr>
              <w:t xml:space="preserve">arty) (Sealing </w:t>
            </w:r>
            <w:r>
              <w:rPr>
                <w:rFonts w:eastAsia="Calibri"/>
                <w:smallCaps/>
                <w:sz w:val="20"/>
              </w:rPr>
              <w:t>O</w:t>
            </w:r>
            <w:r w:rsidRPr="00554DB2">
              <w:rPr>
                <w:rFonts w:eastAsia="Calibri"/>
                <w:smallCaps/>
                <w:sz w:val="20"/>
              </w:rPr>
              <w:t>rder)</w:t>
            </w:r>
          </w:p>
          <w:p w:rsidR="00E70948" w:rsidRPr="00554DB2" w:rsidRDefault="00E70948" w:rsidP="009C7C08">
            <w:pPr>
              <w:jc w:val="both"/>
              <w:rPr>
                <w:rFonts w:eastAsia="Calibri"/>
                <w:sz w:val="20"/>
              </w:rPr>
            </w:pPr>
          </w:p>
          <w:p w:rsidR="00E70948" w:rsidRPr="00554DB2" w:rsidRDefault="00E70948" w:rsidP="009C7C08">
            <w:pPr>
              <w:jc w:val="both"/>
              <w:rPr>
                <w:rFonts w:eastAsia="Calibri"/>
                <w:sz w:val="20"/>
              </w:rPr>
            </w:pPr>
            <w:r w:rsidRPr="00554DB2">
              <w:rPr>
                <w:rFonts w:eastAsia="Calibri"/>
                <w:sz w:val="20"/>
              </w:rPr>
              <w:t xml:space="preserve">Criminal law — Sentencing — Evidence — Whether ss. 723 and 726.1 of the </w:t>
            </w:r>
            <w:r w:rsidRPr="00554DB2">
              <w:rPr>
                <w:rFonts w:eastAsia="Calibri"/>
                <w:i/>
                <w:sz w:val="20"/>
              </w:rPr>
              <w:t>Criminal Code</w:t>
            </w:r>
            <w:r w:rsidRPr="00554DB2">
              <w:rPr>
                <w:rFonts w:eastAsia="Calibri"/>
                <w:sz w:val="20"/>
              </w:rPr>
              <w:t>, R.S.C. 1985, c. C</w:t>
            </w:r>
            <w:r w:rsidRPr="00554DB2">
              <w:rPr>
                <w:rFonts w:eastAsia="Calibri"/>
                <w:sz w:val="20"/>
              </w:rPr>
              <w:noBreakHyphen/>
              <w:t xml:space="preserve">46, which require that a sentencing judge “shall” consider and hear “any” relevant evidence, permit the judge to exclude evidence of the </w:t>
            </w:r>
            <w:r w:rsidRPr="00554DB2">
              <w:rPr>
                <w:rFonts w:eastAsia="Calibri"/>
                <w:i/>
                <w:sz w:val="20"/>
              </w:rPr>
              <w:t>actus reus</w:t>
            </w:r>
            <w:r w:rsidRPr="00554DB2">
              <w:rPr>
                <w:rFonts w:eastAsia="Calibri"/>
                <w:sz w:val="20"/>
              </w:rPr>
              <w:t xml:space="preserve"> on the basis that its prejudicial effect outweighs its probative value — Whether global 6 year sentence unfit to give effect to the overall gravity of the respondent’s combined offences?</w:t>
            </w:r>
          </w:p>
          <w:p w:rsidR="00E70948" w:rsidRPr="00554DB2" w:rsidRDefault="00E70948" w:rsidP="009C7C08">
            <w:pPr>
              <w:jc w:val="both"/>
              <w:rPr>
                <w:rFonts w:eastAsia="Calibri"/>
                <w:sz w:val="20"/>
              </w:rPr>
            </w:pPr>
          </w:p>
        </w:tc>
      </w:tr>
      <w:tr w:rsidR="00E70948" w:rsidRPr="00554DB2" w:rsidTr="009C7C08">
        <w:trPr>
          <w:trHeight w:val="720"/>
        </w:trPr>
        <w:tc>
          <w:tcPr>
            <w:tcW w:w="5000" w:type="pct"/>
            <w:gridSpan w:val="3"/>
          </w:tcPr>
          <w:p w:rsidR="00E70948" w:rsidRPr="00554DB2" w:rsidRDefault="00E70948" w:rsidP="009C7C08">
            <w:pPr>
              <w:jc w:val="both"/>
              <w:rPr>
                <w:rFonts w:eastAsia="Calibri"/>
                <w:sz w:val="20"/>
              </w:rPr>
            </w:pPr>
            <w:r w:rsidRPr="00554DB2">
              <w:rPr>
                <w:rFonts w:eastAsia="Calibri"/>
                <w:sz w:val="20"/>
              </w:rPr>
              <w:t>The respondent pleaded guilty to serious sexual and child pornography offences.  He was sentenced to six years imprisonment.  At the sentencing hearing, the trial judge refused to admit into evidence and to view a disc containing images of child pornography and a recording of some of the offences.  The Court of Appeal dismissed the appeal, finding that it was open to the trial judge to find that the prejudicial value of the disc outweighed its probative value.  Epstein J.A., dissenting, would have admitted the evidence and imposed a longer term of imprisonment.</w:t>
            </w:r>
          </w:p>
        </w:tc>
      </w:tr>
      <w:tr w:rsidR="00E70948" w:rsidRPr="00554DB2" w:rsidTr="009C7C08">
        <w:trPr>
          <w:trHeight w:val="20"/>
        </w:trPr>
        <w:tc>
          <w:tcPr>
            <w:tcW w:w="5000" w:type="pct"/>
            <w:gridSpan w:val="3"/>
          </w:tcPr>
          <w:p w:rsidR="00E70948" w:rsidRPr="00554DB2" w:rsidRDefault="00E70948" w:rsidP="009C7C08">
            <w:pPr>
              <w:jc w:val="both"/>
              <w:rPr>
                <w:rFonts w:eastAsia="Calibri"/>
                <w:sz w:val="20"/>
              </w:rPr>
            </w:pPr>
          </w:p>
        </w:tc>
      </w:tr>
      <w:tr w:rsidR="00E70948" w:rsidRPr="00554DB2" w:rsidTr="009C7C08">
        <w:tc>
          <w:tcPr>
            <w:tcW w:w="2427" w:type="pct"/>
          </w:tcPr>
          <w:p w:rsidR="00E70948" w:rsidRPr="00554DB2" w:rsidRDefault="00E70948" w:rsidP="009C7C08">
            <w:pPr>
              <w:jc w:val="both"/>
              <w:rPr>
                <w:rFonts w:eastAsia="Calibri"/>
                <w:sz w:val="20"/>
              </w:rPr>
            </w:pPr>
            <w:r w:rsidRPr="00554DB2">
              <w:rPr>
                <w:rFonts w:eastAsia="Calibri"/>
                <w:sz w:val="20"/>
              </w:rPr>
              <w:t>July 7, 2010</w:t>
            </w:r>
          </w:p>
          <w:p w:rsidR="00E70948" w:rsidRPr="00554DB2" w:rsidRDefault="00E70948" w:rsidP="009C7C08">
            <w:pPr>
              <w:jc w:val="both"/>
              <w:rPr>
                <w:rFonts w:eastAsia="Calibri"/>
                <w:sz w:val="20"/>
              </w:rPr>
            </w:pPr>
            <w:r w:rsidRPr="00554DB2">
              <w:rPr>
                <w:rFonts w:eastAsia="Calibri"/>
                <w:sz w:val="20"/>
              </w:rPr>
              <w:t>Ontario Court of Justice</w:t>
            </w:r>
          </w:p>
          <w:p w:rsidR="00E70948" w:rsidRPr="00554DB2" w:rsidRDefault="00E70948" w:rsidP="009C7C08">
            <w:pPr>
              <w:jc w:val="both"/>
              <w:rPr>
                <w:rFonts w:eastAsia="Calibri"/>
                <w:sz w:val="20"/>
              </w:rPr>
            </w:pPr>
            <w:r w:rsidRPr="00554DB2">
              <w:rPr>
                <w:rFonts w:eastAsia="Calibri"/>
                <w:sz w:val="20"/>
              </w:rPr>
              <w:t>(Hunter J.)</w:t>
            </w:r>
          </w:p>
          <w:p w:rsidR="00E70948" w:rsidRPr="00554DB2" w:rsidRDefault="00E70948" w:rsidP="009C7C08">
            <w:pPr>
              <w:jc w:val="both"/>
              <w:rPr>
                <w:rFonts w:eastAsia="Calibri"/>
                <w:sz w:val="20"/>
              </w:rPr>
            </w:pPr>
          </w:p>
        </w:tc>
        <w:tc>
          <w:tcPr>
            <w:tcW w:w="243" w:type="pct"/>
          </w:tcPr>
          <w:p w:rsidR="00E70948" w:rsidRPr="00554DB2" w:rsidRDefault="00E70948" w:rsidP="009C7C08">
            <w:pPr>
              <w:jc w:val="both"/>
              <w:rPr>
                <w:rFonts w:eastAsia="Calibri"/>
                <w:sz w:val="20"/>
              </w:rPr>
            </w:pPr>
          </w:p>
        </w:tc>
        <w:tc>
          <w:tcPr>
            <w:tcW w:w="2330" w:type="pct"/>
          </w:tcPr>
          <w:p w:rsidR="00E70948" w:rsidRPr="00554DB2" w:rsidRDefault="00E70948" w:rsidP="009C7C08">
            <w:pPr>
              <w:jc w:val="both"/>
              <w:rPr>
                <w:rFonts w:eastAsia="Calibri"/>
                <w:sz w:val="20"/>
              </w:rPr>
            </w:pPr>
            <w:r w:rsidRPr="00554DB2">
              <w:rPr>
                <w:rFonts w:eastAsia="Calibri"/>
                <w:sz w:val="20"/>
              </w:rPr>
              <w:t>Respondent sentenced to six years’ imprisonment following convictions for to sexual assault, incest, sexual interference, making child pornography, possessing child pornography and careless storage of a firearm</w:t>
            </w:r>
          </w:p>
          <w:p w:rsidR="00E70948" w:rsidRPr="00554DB2" w:rsidRDefault="00E70948" w:rsidP="009C7C08">
            <w:pPr>
              <w:jc w:val="both"/>
              <w:rPr>
                <w:rFonts w:eastAsia="Calibri"/>
                <w:sz w:val="20"/>
              </w:rPr>
            </w:pPr>
          </w:p>
        </w:tc>
      </w:tr>
      <w:tr w:rsidR="00E70948" w:rsidRPr="00554DB2" w:rsidTr="009C7C08">
        <w:tc>
          <w:tcPr>
            <w:tcW w:w="2427" w:type="pct"/>
          </w:tcPr>
          <w:p w:rsidR="00E70948" w:rsidRPr="00554DB2" w:rsidRDefault="00E70948" w:rsidP="009C7C08">
            <w:pPr>
              <w:jc w:val="both"/>
              <w:rPr>
                <w:rFonts w:eastAsia="Calibri"/>
                <w:sz w:val="20"/>
              </w:rPr>
            </w:pPr>
            <w:r w:rsidRPr="00554DB2">
              <w:rPr>
                <w:rFonts w:eastAsia="Calibri"/>
                <w:sz w:val="20"/>
              </w:rPr>
              <w:t>March 16, 2012</w:t>
            </w:r>
          </w:p>
          <w:p w:rsidR="00E70948" w:rsidRPr="00554DB2" w:rsidRDefault="00E70948" w:rsidP="009C7C08">
            <w:pPr>
              <w:jc w:val="both"/>
              <w:rPr>
                <w:rFonts w:eastAsia="Calibri"/>
                <w:sz w:val="20"/>
              </w:rPr>
            </w:pPr>
            <w:r w:rsidRPr="00554DB2">
              <w:rPr>
                <w:rFonts w:eastAsia="Calibri"/>
                <w:sz w:val="20"/>
              </w:rPr>
              <w:t>Court of Appeal for Ontario</w:t>
            </w:r>
          </w:p>
          <w:p w:rsidR="00E70948" w:rsidRPr="00554DB2" w:rsidRDefault="00E70948" w:rsidP="009C7C08">
            <w:pPr>
              <w:jc w:val="both"/>
              <w:rPr>
                <w:rFonts w:eastAsia="Calibri"/>
                <w:sz w:val="20"/>
              </w:rPr>
            </w:pPr>
            <w:r w:rsidRPr="00554DB2">
              <w:rPr>
                <w:rFonts w:eastAsia="Calibri"/>
                <w:sz w:val="20"/>
              </w:rPr>
              <w:t>(Rosenberg and MacPherson JJ.A., and Epstein J.A. [dissenting])</w:t>
            </w:r>
          </w:p>
          <w:p w:rsidR="00E70948" w:rsidRPr="00554DB2" w:rsidRDefault="00E70948" w:rsidP="009C7C08">
            <w:pPr>
              <w:jc w:val="both"/>
              <w:rPr>
                <w:rFonts w:eastAsia="Calibri"/>
                <w:sz w:val="20"/>
              </w:rPr>
            </w:pPr>
            <w:r w:rsidRPr="00554DB2">
              <w:rPr>
                <w:rFonts w:eastAsia="Calibri"/>
                <w:sz w:val="20"/>
              </w:rPr>
              <w:t>2012 ONCA 163</w:t>
            </w:r>
          </w:p>
          <w:p w:rsidR="00E70948" w:rsidRPr="00554DB2" w:rsidRDefault="00E70948" w:rsidP="009C7C08">
            <w:pPr>
              <w:jc w:val="both"/>
              <w:rPr>
                <w:rFonts w:eastAsia="Calibri"/>
                <w:sz w:val="20"/>
              </w:rPr>
            </w:pPr>
          </w:p>
        </w:tc>
        <w:tc>
          <w:tcPr>
            <w:tcW w:w="243" w:type="pct"/>
          </w:tcPr>
          <w:p w:rsidR="00E70948" w:rsidRPr="00554DB2" w:rsidRDefault="00E70948" w:rsidP="009C7C08">
            <w:pPr>
              <w:jc w:val="both"/>
              <w:rPr>
                <w:rFonts w:eastAsia="Calibri"/>
                <w:sz w:val="20"/>
              </w:rPr>
            </w:pPr>
          </w:p>
        </w:tc>
        <w:tc>
          <w:tcPr>
            <w:tcW w:w="2330" w:type="pct"/>
          </w:tcPr>
          <w:p w:rsidR="00E70948" w:rsidRPr="00554DB2" w:rsidRDefault="00E70948" w:rsidP="009C7C08">
            <w:pPr>
              <w:jc w:val="both"/>
              <w:rPr>
                <w:rFonts w:eastAsia="Calibri"/>
                <w:sz w:val="20"/>
              </w:rPr>
            </w:pPr>
            <w:r w:rsidRPr="00554DB2">
              <w:rPr>
                <w:rFonts w:eastAsia="Calibri"/>
                <w:sz w:val="20"/>
              </w:rPr>
              <w:t>Appeal dismissed</w:t>
            </w:r>
          </w:p>
          <w:p w:rsidR="00E70948" w:rsidRPr="00554DB2" w:rsidRDefault="00E70948" w:rsidP="009C7C08">
            <w:pPr>
              <w:jc w:val="both"/>
              <w:rPr>
                <w:rFonts w:eastAsia="Calibri"/>
                <w:sz w:val="20"/>
              </w:rPr>
            </w:pPr>
          </w:p>
        </w:tc>
      </w:tr>
      <w:tr w:rsidR="00E70948" w:rsidRPr="00554DB2" w:rsidTr="009C7C08">
        <w:tc>
          <w:tcPr>
            <w:tcW w:w="2427" w:type="pct"/>
          </w:tcPr>
          <w:p w:rsidR="00E70948" w:rsidRPr="00554DB2" w:rsidRDefault="00E70948" w:rsidP="009C7C08">
            <w:pPr>
              <w:jc w:val="both"/>
              <w:rPr>
                <w:rFonts w:eastAsia="Calibri"/>
                <w:sz w:val="20"/>
              </w:rPr>
            </w:pPr>
            <w:r w:rsidRPr="00554DB2">
              <w:rPr>
                <w:rFonts w:eastAsia="Calibri"/>
                <w:sz w:val="20"/>
              </w:rPr>
              <w:t>May 15, 2012</w:t>
            </w:r>
          </w:p>
          <w:p w:rsidR="00E70948" w:rsidRPr="00554DB2" w:rsidRDefault="00E70948" w:rsidP="009C7C08">
            <w:pPr>
              <w:jc w:val="both"/>
              <w:rPr>
                <w:rFonts w:eastAsia="Calibri"/>
                <w:sz w:val="20"/>
              </w:rPr>
            </w:pPr>
            <w:r w:rsidRPr="00554DB2">
              <w:rPr>
                <w:rFonts w:eastAsia="Calibri"/>
                <w:sz w:val="20"/>
              </w:rPr>
              <w:t>Supreme Court of Canada</w:t>
            </w:r>
          </w:p>
        </w:tc>
        <w:tc>
          <w:tcPr>
            <w:tcW w:w="243" w:type="pct"/>
          </w:tcPr>
          <w:p w:rsidR="00E70948" w:rsidRPr="00554DB2" w:rsidRDefault="00E70948" w:rsidP="009C7C08">
            <w:pPr>
              <w:jc w:val="both"/>
              <w:rPr>
                <w:rFonts w:eastAsia="Calibri"/>
                <w:sz w:val="20"/>
              </w:rPr>
            </w:pPr>
          </w:p>
        </w:tc>
        <w:tc>
          <w:tcPr>
            <w:tcW w:w="2330" w:type="pct"/>
          </w:tcPr>
          <w:p w:rsidR="00E70948" w:rsidRPr="00554DB2" w:rsidRDefault="00E70948" w:rsidP="009C7C08">
            <w:pPr>
              <w:jc w:val="both"/>
              <w:rPr>
                <w:rFonts w:eastAsia="Calibri"/>
                <w:sz w:val="20"/>
              </w:rPr>
            </w:pPr>
            <w:r w:rsidRPr="00554DB2">
              <w:rPr>
                <w:rFonts w:eastAsia="Calibri"/>
                <w:sz w:val="20"/>
              </w:rPr>
              <w:t>Application for leave to appeal filed</w:t>
            </w:r>
          </w:p>
          <w:p w:rsidR="00E70948" w:rsidRPr="00554DB2" w:rsidRDefault="00E70948"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62"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70948" w:rsidRPr="005571F9" w:rsidTr="009C7C08">
        <w:tc>
          <w:tcPr>
            <w:tcW w:w="5000" w:type="pct"/>
            <w:gridSpan w:val="3"/>
          </w:tcPr>
          <w:p w:rsidR="00E70948" w:rsidRPr="00554DB2" w:rsidRDefault="00E70948" w:rsidP="009C7C08">
            <w:pPr>
              <w:jc w:val="both"/>
              <w:rPr>
                <w:rFonts w:eastAsia="Calibri"/>
                <w:smallCaps/>
                <w:sz w:val="20"/>
                <w:lang w:val="fr-CA"/>
              </w:rPr>
            </w:pPr>
            <w:r w:rsidRPr="00554DB2">
              <w:rPr>
                <w:rFonts w:eastAsia="Calibri"/>
                <w:smallCaps/>
                <w:sz w:val="20"/>
                <w:lang w:val="fr-CA"/>
              </w:rPr>
              <w:t>(Ordonnance de non</w:t>
            </w:r>
            <w:r w:rsidRPr="00554DB2">
              <w:rPr>
                <w:rFonts w:eastAsia="Calibri"/>
                <w:smallCaps/>
                <w:sz w:val="20"/>
                <w:lang w:val="fr-CA"/>
              </w:rPr>
              <w:noBreakHyphen/>
              <w:t>publication dans le dossier) (Ordonnance de non</w:t>
            </w:r>
            <w:r w:rsidRPr="00554DB2">
              <w:rPr>
                <w:rFonts w:eastAsia="Calibri"/>
                <w:smallCaps/>
                <w:sz w:val="20"/>
                <w:lang w:val="fr-CA"/>
              </w:rPr>
              <w:noBreakHyphen/>
              <w:t>publication visant une partie) (Ordonnance de mise sous scellés)</w:t>
            </w:r>
          </w:p>
          <w:p w:rsidR="00E70948" w:rsidRPr="00554DB2" w:rsidRDefault="00E70948" w:rsidP="009C7C08">
            <w:pPr>
              <w:jc w:val="both"/>
              <w:rPr>
                <w:rFonts w:eastAsia="Calibri"/>
                <w:sz w:val="20"/>
                <w:lang w:val="fr-CA"/>
              </w:rPr>
            </w:pPr>
          </w:p>
          <w:p w:rsidR="00E70948" w:rsidRPr="00554DB2" w:rsidRDefault="00E70948" w:rsidP="009C7C08">
            <w:pPr>
              <w:jc w:val="both"/>
              <w:rPr>
                <w:rFonts w:eastAsia="Calibri"/>
                <w:sz w:val="20"/>
                <w:lang w:val="fr-CA"/>
              </w:rPr>
            </w:pPr>
            <w:r w:rsidRPr="00554DB2">
              <w:rPr>
                <w:rFonts w:eastAsia="Calibri"/>
                <w:sz w:val="20"/>
                <w:lang w:val="fr-CA"/>
              </w:rPr>
              <w:t>Droit criminel — Détermination de la peine — Preuve — Les art. 723 et 726.1 du</w:t>
            </w:r>
            <w:r w:rsidRPr="00554DB2">
              <w:rPr>
                <w:rFonts w:eastAsia="Calibri"/>
                <w:i/>
                <w:sz w:val="20"/>
                <w:lang w:val="fr-CA"/>
              </w:rPr>
              <w:t xml:space="preserve"> Code criminel</w:t>
            </w:r>
            <w:r w:rsidRPr="00554DB2">
              <w:rPr>
                <w:rFonts w:eastAsia="Calibri"/>
                <w:sz w:val="20"/>
                <w:lang w:val="fr-CA"/>
              </w:rPr>
              <w:t>, L.R.C. 1985, ch. C</w:t>
            </w:r>
            <w:r w:rsidRPr="00554DB2">
              <w:rPr>
                <w:rFonts w:eastAsia="Calibri"/>
                <w:sz w:val="20"/>
                <w:lang w:val="fr-CA"/>
              </w:rPr>
              <w:noBreakHyphen/>
              <w:t>46, qui obligent le juge qui impose la peine à prendre en considération et à prendre connaissance des éléments de preuve pertinents permettent</w:t>
            </w:r>
            <w:r w:rsidRPr="00554DB2">
              <w:rPr>
                <w:rFonts w:eastAsia="Calibri"/>
                <w:sz w:val="20"/>
                <w:lang w:val="fr-CA"/>
              </w:rPr>
              <w:noBreakHyphen/>
              <w:t xml:space="preserve">ils au juge d'exclure des éléments de preuve de </w:t>
            </w:r>
            <w:proofErr w:type="gramStart"/>
            <w:r w:rsidRPr="00554DB2">
              <w:rPr>
                <w:rFonts w:eastAsia="Calibri"/>
                <w:sz w:val="20"/>
                <w:lang w:val="fr-CA"/>
              </w:rPr>
              <w:t>l'</w:t>
            </w:r>
            <w:r w:rsidRPr="00554DB2">
              <w:rPr>
                <w:rFonts w:eastAsia="Calibri"/>
                <w:i/>
                <w:sz w:val="20"/>
                <w:lang w:val="fr-CA"/>
              </w:rPr>
              <w:t>actus</w:t>
            </w:r>
            <w:proofErr w:type="gramEnd"/>
            <w:r w:rsidRPr="00554DB2">
              <w:rPr>
                <w:rFonts w:eastAsia="Calibri"/>
                <w:i/>
                <w:sz w:val="20"/>
                <w:lang w:val="fr-CA"/>
              </w:rPr>
              <w:t xml:space="preserve"> reus </w:t>
            </w:r>
            <w:r w:rsidRPr="00554DB2">
              <w:rPr>
                <w:rFonts w:eastAsia="Calibri"/>
                <w:sz w:val="20"/>
                <w:lang w:val="fr-CA"/>
              </w:rPr>
              <w:t>au motif que son effet préjudiciable l'emporte sur sa valeur probante? — La peine totale de six ans est</w:t>
            </w:r>
            <w:r w:rsidRPr="00554DB2">
              <w:rPr>
                <w:rFonts w:eastAsia="Calibri"/>
                <w:sz w:val="20"/>
                <w:lang w:val="fr-CA"/>
              </w:rPr>
              <w:noBreakHyphen/>
              <w:t>elle insuffisante eu égard à la gravité globale des infractions commises par l'intimé considérées ensemble?</w:t>
            </w:r>
          </w:p>
          <w:p w:rsidR="00E70948" w:rsidRPr="00554DB2" w:rsidRDefault="00E70948" w:rsidP="009C7C08">
            <w:pPr>
              <w:jc w:val="both"/>
              <w:rPr>
                <w:rFonts w:eastAsia="Calibri"/>
                <w:sz w:val="20"/>
                <w:lang w:val="fr-CA"/>
              </w:rPr>
            </w:pPr>
          </w:p>
        </w:tc>
      </w:tr>
      <w:tr w:rsidR="00E70948" w:rsidRPr="005571F9" w:rsidTr="009C7C08">
        <w:tc>
          <w:tcPr>
            <w:tcW w:w="5000" w:type="pct"/>
            <w:gridSpan w:val="3"/>
          </w:tcPr>
          <w:p w:rsidR="00E70948" w:rsidRPr="00554DB2" w:rsidRDefault="00E70948" w:rsidP="009C7C08">
            <w:pPr>
              <w:jc w:val="both"/>
              <w:rPr>
                <w:rFonts w:eastAsia="Calibri"/>
                <w:sz w:val="20"/>
                <w:lang w:val="fr-CA"/>
              </w:rPr>
            </w:pPr>
            <w:r w:rsidRPr="00554DB2">
              <w:rPr>
                <w:rFonts w:eastAsia="Calibri"/>
                <w:sz w:val="20"/>
                <w:lang w:val="fr-CA"/>
              </w:rPr>
              <w:t>L'intimé a plaidé coupable d'infractions sexuelles graves et de pornographie juvénile.  Il a été condamné à une peine d'emprisonnement de six ans.  À l'audience de détermination de la peine, le juge du procès a refusé d'admettre en preuve et de visionner un disque renfermant des images de pornographie juvénile et un enregistrement de certaines des infractions.  La Cour d'appel a rejeté l'appel, concluant qu'il était loisible au juge procès de conclure que l’effet préjudiciable du disque l'emportait sur sa valeur probante.  La juge Epstein, dissidente, aurait admis la preuve et imposée une période d'emprisonnement plus longue.</w:t>
            </w:r>
          </w:p>
        </w:tc>
      </w:tr>
      <w:tr w:rsidR="00E70948" w:rsidRPr="005571F9" w:rsidTr="009C7C08">
        <w:tc>
          <w:tcPr>
            <w:tcW w:w="5000" w:type="pct"/>
            <w:gridSpan w:val="3"/>
          </w:tcPr>
          <w:p w:rsidR="00E70948" w:rsidRPr="00554DB2" w:rsidRDefault="00E70948" w:rsidP="009C7C08">
            <w:pPr>
              <w:jc w:val="both"/>
              <w:rPr>
                <w:rFonts w:eastAsia="Calibri"/>
                <w:sz w:val="20"/>
                <w:lang w:val="fr-CA"/>
              </w:rPr>
            </w:pPr>
          </w:p>
        </w:tc>
      </w:tr>
      <w:tr w:rsidR="00E70948" w:rsidRPr="005571F9" w:rsidTr="009C7C08">
        <w:tc>
          <w:tcPr>
            <w:tcW w:w="2427" w:type="pct"/>
          </w:tcPr>
          <w:p w:rsidR="00E70948" w:rsidRPr="00554DB2" w:rsidRDefault="00E70948" w:rsidP="009C7C08">
            <w:pPr>
              <w:jc w:val="both"/>
              <w:rPr>
                <w:rFonts w:eastAsia="Calibri"/>
                <w:sz w:val="20"/>
                <w:lang w:val="fr-CA"/>
              </w:rPr>
            </w:pPr>
            <w:r w:rsidRPr="00554DB2">
              <w:rPr>
                <w:rFonts w:eastAsia="Calibri"/>
                <w:sz w:val="20"/>
                <w:lang w:val="fr-CA"/>
              </w:rPr>
              <w:t>7 juillet 2010</w:t>
            </w:r>
          </w:p>
          <w:p w:rsidR="00E70948" w:rsidRPr="00554DB2" w:rsidRDefault="00E70948" w:rsidP="009C7C08">
            <w:pPr>
              <w:jc w:val="both"/>
              <w:rPr>
                <w:rFonts w:eastAsia="Calibri"/>
                <w:sz w:val="20"/>
                <w:lang w:val="fr-CA"/>
              </w:rPr>
            </w:pPr>
            <w:r w:rsidRPr="00554DB2">
              <w:rPr>
                <w:rFonts w:eastAsia="Calibri"/>
                <w:sz w:val="20"/>
                <w:lang w:val="fr-CA"/>
              </w:rPr>
              <w:t xml:space="preserve">Cour de justice de l'Ontario </w:t>
            </w:r>
          </w:p>
          <w:p w:rsidR="00E70948" w:rsidRPr="00554DB2" w:rsidRDefault="00E70948" w:rsidP="009C7C08">
            <w:pPr>
              <w:jc w:val="both"/>
              <w:rPr>
                <w:rFonts w:eastAsia="Calibri"/>
                <w:sz w:val="20"/>
                <w:lang w:val="fr-CA"/>
              </w:rPr>
            </w:pPr>
            <w:r w:rsidRPr="00554DB2">
              <w:rPr>
                <w:rFonts w:eastAsia="Calibri"/>
                <w:sz w:val="20"/>
                <w:lang w:val="fr-CA"/>
              </w:rPr>
              <w:t>(Juge Hunter)</w:t>
            </w:r>
          </w:p>
          <w:p w:rsidR="00E70948" w:rsidRPr="00554DB2" w:rsidRDefault="00E70948" w:rsidP="009C7C08">
            <w:pPr>
              <w:jc w:val="both"/>
              <w:rPr>
                <w:rFonts w:eastAsia="Calibri"/>
                <w:sz w:val="20"/>
                <w:lang w:val="fr-CA"/>
              </w:rPr>
            </w:pPr>
          </w:p>
        </w:tc>
        <w:tc>
          <w:tcPr>
            <w:tcW w:w="243" w:type="pct"/>
          </w:tcPr>
          <w:p w:rsidR="00E70948" w:rsidRPr="00554DB2" w:rsidRDefault="00E70948" w:rsidP="009C7C08">
            <w:pPr>
              <w:jc w:val="both"/>
              <w:rPr>
                <w:rFonts w:eastAsia="Calibri"/>
                <w:sz w:val="20"/>
                <w:lang w:val="fr-CA"/>
              </w:rPr>
            </w:pPr>
          </w:p>
        </w:tc>
        <w:tc>
          <w:tcPr>
            <w:tcW w:w="2330" w:type="pct"/>
          </w:tcPr>
          <w:p w:rsidR="00E70948" w:rsidRPr="00554DB2" w:rsidRDefault="00E70948" w:rsidP="009C7C08">
            <w:pPr>
              <w:jc w:val="both"/>
              <w:rPr>
                <w:rFonts w:eastAsia="Calibri"/>
                <w:sz w:val="20"/>
                <w:lang w:val="fr-CA"/>
              </w:rPr>
            </w:pPr>
            <w:r w:rsidRPr="00554DB2">
              <w:rPr>
                <w:rFonts w:eastAsia="Calibri"/>
                <w:sz w:val="20"/>
                <w:lang w:val="fr-CA"/>
              </w:rPr>
              <w:t>L'intimé est condamné à une peine d'emprisonnement de six ans après avoir été déclaré coupable d’agression sexuelle, d’inceste, de contacts sexuels, de production de pornographie juvénile, de possession de pornographie juvénile et d’entreposage négligent d’une arme à feu</w:t>
            </w:r>
          </w:p>
          <w:p w:rsidR="00E70948" w:rsidRPr="00554DB2" w:rsidRDefault="00E70948" w:rsidP="009C7C08">
            <w:pPr>
              <w:jc w:val="both"/>
              <w:rPr>
                <w:rFonts w:eastAsia="Calibri"/>
                <w:sz w:val="20"/>
                <w:lang w:val="fr-CA"/>
              </w:rPr>
            </w:pPr>
          </w:p>
        </w:tc>
      </w:tr>
      <w:tr w:rsidR="00E70948" w:rsidRPr="00554DB2" w:rsidTr="009C7C08">
        <w:tc>
          <w:tcPr>
            <w:tcW w:w="2427" w:type="pct"/>
          </w:tcPr>
          <w:p w:rsidR="00E70948" w:rsidRPr="00554DB2" w:rsidRDefault="00E70948" w:rsidP="009C7C08">
            <w:pPr>
              <w:jc w:val="both"/>
              <w:rPr>
                <w:rFonts w:eastAsia="Calibri"/>
                <w:sz w:val="20"/>
                <w:lang w:val="fr-CA"/>
              </w:rPr>
            </w:pPr>
            <w:r w:rsidRPr="00554DB2">
              <w:rPr>
                <w:rFonts w:eastAsia="Calibri"/>
                <w:sz w:val="20"/>
                <w:lang w:val="fr-CA"/>
              </w:rPr>
              <w:t>16 mars 2012</w:t>
            </w:r>
          </w:p>
          <w:p w:rsidR="00E70948" w:rsidRPr="00554DB2" w:rsidRDefault="00E70948" w:rsidP="009C7C08">
            <w:pPr>
              <w:jc w:val="both"/>
              <w:rPr>
                <w:rFonts w:eastAsia="Calibri"/>
                <w:sz w:val="20"/>
                <w:lang w:val="fr-CA"/>
              </w:rPr>
            </w:pPr>
            <w:r w:rsidRPr="00554DB2">
              <w:rPr>
                <w:rFonts w:eastAsia="Calibri"/>
                <w:sz w:val="20"/>
                <w:lang w:val="fr-CA"/>
              </w:rPr>
              <w:t>Cour d'appel de l'Ontario</w:t>
            </w:r>
          </w:p>
          <w:p w:rsidR="00E70948" w:rsidRPr="00554DB2" w:rsidRDefault="00E70948" w:rsidP="009C7C08">
            <w:pPr>
              <w:jc w:val="both"/>
              <w:rPr>
                <w:rFonts w:eastAsia="Calibri"/>
                <w:sz w:val="20"/>
                <w:lang w:val="fr-CA"/>
              </w:rPr>
            </w:pPr>
            <w:r w:rsidRPr="00554DB2">
              <w:rPr>
                <w:rFonts w:eastAsia="Calibri"/>
                <w:sz w:val="20"/>
                <w:lang w:val="fr-CA"/>
              </w:rPr>
              <w:t>(Juges Rosenberg, MacPherson et Epstein [dissidente])</w:t>
            </w:r>
          </w:p>
          <w:p w:rsidR="00E70948" w:rsidRPr="00554DB2" w:rsidRDefault="00E70948" w:rsidP="009C7C08">
            <w:pPr>
              <w:jc w:val="both"/>
              <w:rPr>
                <w:rFonts w:eastAsia="Calibri"/>
                <w:sz w:val="20"/>
                <w:lang w:val="fr-CA"/>
              </w:rPr>
            </w:pPr>
            <w:r w:rsidRPr="00554DB2">
              <w:rPr>
                <w:rFonts w:eastAsia="Calibri"/>
                <w:sz w:val="20"/>
                <w:lang w:val="fr-CA"/>
              </w:rPr>
              <w:t>2012 ONCA 163</w:t>
            </w:r>
          </w:p>
          <w:p w:rsidR="00E70948" w:rsidRPr="00554DB2" w:rsidRDefault="00E70948" w:rsidP="009C7C08">
            <w:pPr>
              <w:jc w:val="both"/>
              <w:rPr>
                <w:rFonts w:eastAsia="Calibri"/>
                <w:sz w:val="20"/>
                <w:lang w:val="fr-CA"/>
              </w:rPr>
            </w:pPr>
          </w:p>
        </w:tc>
        <w:tc>
          <w:tcPr>
            <w:tcW w:w="243" w:type="pct"/>
          </w:tcPr>
          <w:p w:rsidR="00E70948" w:rsidRPr="00554DB2" w:rsidRDefault="00E70948" w:rsidP="009C7C08">
            <w:pPr>
              <w:jc w:val="both"/>
              <w:rPr>
                <w:rFonts w:eastAsia="Calibri"/>
                <w:sz w:val="20"/>
                <w:lang w:val="fr-CA"/>
              </w:rPr>
            </w:pPr>
          </w:p>
        </w:tc>
        <w:tc>
          <w:tcPr>
            <w:tcW w:w="2330" w:type="pct"/>
          </w:tcPr>
          <w:p w:rsidR="00E70948" w:rsidRPr="00554DB2" w:rsidRDefault="00E70948" w:rsidP="009C7C08">
            <w:pPr>
              <w:jc w:val="both"/>
              <w:rPr>
                <w:rFonts w:eastAsia="Calibri"/>
                <w:sz w:val="20"/>
                <w:lang w:val="fr-CA"/>
              </w:rPr>
            </w:pPr>
            <w:r w:rsidRPr="00554DB2">
              <w:rPr>
                <w:rFonts w:eastAsia="Calibri"/>
                <w:sz w:val="20"/>
                <w:lang w:val="fr-CA"/>
              </w:rPr>
              <w:t>Appel rejeté</w:t>
            </w:r>
          </w:p>
          <w:p w:rsidR="00E70948" w:rsidRPr="00554DB2" w:rsidRDefault="00E70948" w:rsidP="009C7C08">
            <w:pPr>
              <w:jc w:val="both"/>
              <w:rPr>
                <w:rFonts w:eastAsia="Calibri"/>
                <w:sz w:val="20"/>
                <w:lang w:val="fr-CA"/>
              </w:rPr>
            </w:pPr>
          </w:p>
        </w:tc>
      </w:tr>
      <w:tr w:rsidR="00E70948" w:rsidRPr="00554DB2" w:rsidTr="009C7C08">
        <w:tc>
          <w:tcPr>
            <w:tcW w:w="2427" w:type="pct"/>
          </w:tcPr>
          <w:p w:rsidR="00E70948" w:rsidRPr="00554DB2" w:rsidRDefault="00E70948" w:rsidP="009C7C08">
            <w:pPr>
              <w:jc w:val="both"/>
              <w:rPr>
                <w:rFonts w:eastAsia="Calibri"/>
                <w:sz w:val="20"/>
                <w:lang w:val="fr-CA"/>
              </w:rPr>
            </w:pPr>
            <w:r w:rsidRPr="00554DB2">
              <w:rPr>
                <w:rFonts w:eastAsia="Calibri"/>
                <w:sz w:val="20"/>
                <w:lang w:val="fr-CA"/>
              </w:rPr>
              <w:t>15 mai 2012</w:t>
            </w:r>
          </w:p>
          <w:p w:rsidR="00E70948" w:rsidRPr="00554DB2" w:rsidRDefault="00E70948" w:rsidP="009C7C08">
            <w:pPr>
              <w:jc w:val="both"/>
              <w:rPr>
                <w:rFonts w:eastAsia="Calibri"/>
                <w:sz w:val="20"/>
                <w:lang w:val="fr-CA"/>
              </w:rPr>
            </w:pPr>
            <w:r w:rsidRPr="00554DB2">
              <w:rPr>
                <w:rFonts w:eastAsia="Calibri"/>
                <w:sz w:val="20"/>
                <w:lang w:val="fr-CA"/>
              </w:rPr>
              <w:t>Cour suprême du Canada</w:t>
            </w:r>
          </w:p>
        </w:tc>
        <w:tc>
          <w:tcPr>
            <w:tcW w:w="243" w:type="pct"/>
          </w:tcPr>
          <w:p w:rsidR="00E70948" w:rsidRPr="00554DB2" w:rsidRDefault="00E70948" w:rsidP="009C7C08">
            <w:pPr>
              <w:jc w:val="both"/>
              <w:rPr>
                <w:rFonts w:eastAsia="Calibri"/>
                <w:sz w:val="20"/>
                <w:lang w:val="fr-CA"/>
              </w:rPr>
            </w:pPr>
          </w:p>
        </w:tc>
        <w:tc>
          <w:tcPr>
            <w:tcW w:w="2330" w:type="pct"/>
          </w:tcPr>
          <w:p w:rsidR="00E70948" w:rsidRPr="00554DB2" w:rsidRDefault="00E70948" w:rsidP="009C7C08">
            <w:pPr>
              <w:jc w:val="both"/>
              <w:rPr>
                <w:rFonts w:eastAsia="Calibri"/>
                <w:sz w:val="20"/>
                <w:lang w:val="fr-CA"/>
              </w:rPr>
            </w:pPr>
            <w:r w:rsidRPr="00554DB2">
              <w:rPr>
                <w:rFonts w:eastAsia="Calibri"/>
                <w:sz w:val="20"/>
                <w:lang w:val="fr-CA"/>
              </w:rPr>
              <w:t>Demande d'autorisation d'appel, déposée</w:t>
            </w:r>
          </w:p>
          <w:p w:rsidR="00E70948" w:rsidRPr="00554DB2" w:rsidRDefault="00E70948"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63"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6769" w:rsidRPr="00975B77" w:rsidTr="00032CB5">
        <w:trPr>
          <w:cantSplit/>
        </w:trPr>
        <w:tc>
          <w:tcPr>
            <w:tcW w:w="1458" w:type="dxa"/>
          </w:tcPr>
          <w:p w:rsidR="00D56769" w:rsidRPr="00975B77" w:rsidRDefault="00D56769" w:rsidP="00032CB5">
            <w:pPr>
              <w:rPr>
                <w:sz w:val="20"/>
                <w:szCs w:val="20"/>
              </w:rPr>
            </w:pPr>
            <w:r w:rsidRPr="00975B77">
              <w:rPr>
                <w:rStyle w:val="SCCFileNumberChar"/>
                <w:sz w:val="20"/>
                <w:szCs w:val="20"/>
              </w:rPr>
              <w:t>34861</w:t>
            </w:r>
          </w:p>
          <w:p w:rsidR="00D56769" w:rsidRPr="00975B77" w:rsidRDefault="00D56769" w:rsidP="00032CB5">
            <w:pPr>
              <w:rPr>
                <w:b/>
                <w:sz w:val="20"/>
                <w:szCs w:val="20"/>
                <w:lang w:val="fr-CA"/>
              </w:rPr>
            </w:pPr>
          </w:p>
        </w:tc>
        <w:tc>
          <w:tcPr>
            <w:tcW w:w="8118" w:type="dxa"/>
          </w:tcPr>
          <w:p w:rsidR="00D56769" w:rsidRPr="00975B77" w:rsidRDefault="00D56769" w:rsidP="00032CB5">
            <w:pPr>
              <w:rPr>
                <w:sz w:val="20"/>
                <w:szCs w:val="20"/>
              </w:rPr>
            </w:pPr>
            <w:r w:rsidRPr="00D56769">
              <w:rPr>
                <w:rStyle w:val="SCCLsocChar"/>
                <w:sz w:val="20"/>
                <w:szCs w:val="20"/>
                <w:lang w:val="en-CA"/>
              </w:rPr>
              <w:t>Debbie Brake-Patten v. Abraham Gallant</w:t>
            </w:r>
            <w:r w:rsidRPr="00975B77">
              <w:rPr>
                <w:sz w:val="20"/>
                <w:szCs w:val="20"/>
              </w:rPr>
              <w:t xml:space="preserve"> (N.L.) (Civil) (By Leave)</w:t>
            </w:r>
          </w:p>
          <w:p w:rsidR="00D56769" w:rsidRPr="00975B77" w:rsidRDefault="00D56769" w:rsidP="00032CB5">
            <w:pPr>
              <w:rPr>
                <w:sz w:val="20"/>
                <w:szCs w:val="20"/>
              </w:rPr>
            </w:pPr>
          </w:p>
        </w:tc>
      </w:tr>
      <w:tr w:rsidR="00D56769" w:rsidRPr="00975B77" w:rsidTr="00032CB5">
        <w:trPr>
          <w:cantSplit/>
        </w:trPr>
        <w:tc>
          <w:tcPr>
            <w:tcW w:w="1458" w:type="dxa"/>
          </w:tcPr>
          <w:p w:rsidR="00D56769" w:rsidRPr="00975B77" w:rsidRDefault="00D56769" w:rsidP="00032CB5">
            <w:pPr>
              <w:rPr>
                <w:sz w:val="20"/>
                <w:szCs w:val="20"/>
              </w:rPr>
            </w:pPr>
            <w:r w:rsidRPr="00975B77">
              <w:rPr>
                <w:sz w:val="20"/>
                <w:szCs w:val="20"/>
              </w:rPr>
              <w:t>Coram :</w:t>
            </w:r>
          </w:p>
        </w:tc>
        <w:tc>
          <w:tcPr>
            <w:tcW w:w="8118" w:type="dxa"/>
          </w:tcPr>
          <w:p w:rsidR="00D56769" w:rsidRPr="00975B77" w:rsidRDefault="00D56769" w:rsidP="00032CB5">
            <w:pPr>
              <w:rPr>
                <w:sz w:val="20"/>
                <w:szCs w:val="20"/>
              </w:rPr>
            </w:pPr>
            <w:r w:rsidRPr="00D56769">
              <w:rPr>
                <w:rStyle w:val="SCCCoramChar"/>
                <w:sz w:val="20"/>
                <w:szCs w:val="20"/>
                <w:lang w:val="en-CA"/>
              </w:rPr>
              <w:t>Fish, Cromwell and Karakatsanis JJ.</w:t>
            </w:r>
          </w:p>
          <w:p w:rsidR="00D56769" w:rsidRPr="00975B77" w:rsidRDefault="00D56769" w:rsidP="00032CB5">
            <w:pPr>
              <w:rPr>
                <w:sz w:val="20"/>
                <w:szCs w:val="20"/>
                <w:u w:val="single"/>
              </w:rPr>
            </w:pPr>
          </w:p>
        </w:tc>
      </w:tr>
      <w:tr w:rsidR="00D56769" w:rsidRPr="005571F9" w:rsidTr="00032CB5">
        <w:trPr>
          <w:cantSplit/>
        </w:trPr>
        <w:tc>
          <w:tcPr>
            <w:tcW w:w="9576" w:type="dxa"/>
            <w:gridSpan w:val="2"/>
          </w:tcPr>
          <w:p w:rsidR="00D56769" w:rsidRPr="00975B77" w:rsidRDefault="00D56769" w:rsidP="00032CB5">
            <w:pPr>
              <w:pStyle w:val="SCCShortJudgment"/>
              <w:rPr>
                <w:szCs w:val="20"/>
              </w:rPr>
            </w:pPr>
            <w:r w:rsidRPr="00975B77">
              <w:rPr>
                <w:szCs w:val="20"/>
              </w:rPr>
              <w:t>The application for leave to appeal from the judgment of the Supreme Court of Newfoundland and Labrador - Court of Appeal, Number 10/11, 2012 NLCA 23, dated April 9, 2012, is dismissed with costs.</w:t>
            </w:r>
          </w:p>
          <w:p w:rsidR="00D56769" w:rsidRPr="00975B77" w:rsidRDefault="00D56769" w:rsidP="00032CB5">
            <w:pPr>
              <w:pStyle w:val="SCCShortJudgment"/>
              <w:ind w:firstLine="0"/>
              <w:rPr>
                <w:szCs w:val="20"/>
              </w:rPr>
            </w:pPr>
          </w:p>
          <w:p w:rsidR="00D56769" w:rsidRPr="00975B77" w:rsidRDefault="00D56769" w:rsidP="00032CB5">
            <w:pPr>
              <w:pStyle w:val="SCCShortJudgment"/>
              <w:rPr>
                <w:szCs w:val="20"/>
                <w:lang w:val="fr-CA"/>
              </w:rPr>
            </w:pPr>
            <w:r w:rsidRPr="00975B77">
              <w:rPr>
                <w:szCs w:val="20"/>
                <w:lang w:val="fr-CA"/>
              </w:rPr>
              <w:t>La demande d’autorisation d’appel de l’arrêt de la Cour suprême de Terre-Neuve-et-Labrador - Cour d'appel, numéro 10/11, 2012 NLCA 23, daté du 9 avril 2012, est rejetée avec dépens.</w:t>
            </w:r>
          </w:p>
        </w:tc>
      </w:tr>
    </w:tbl>
    <w:p w:rsidR="00FA1074" w:rsidRPr="00D56769"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70948" w:rsidRPr="00554DB2" w:rsidTr="009C7C08">
        <w:tc>
          <w:tcPr>
            <w:tcW w:w="5000" w:type="pct"/>
            <w:gridSpan w:val="3"/>
          </w:tcPr>
          <w:p w:rsidR="00E70948" w:rsidRPr="00554DB2" w:rsidRDefault="00E70948" w:rsidP="009C7C08">
            <w:pPr>
              <w:jc w:val="both"/>
              <w:rPr>
                <w:rFonts w:eastAsia="Calibri"/>
                <w:sz w:val="20"/>
              </w:rPr>
            </w:pPr>
            <w:r w:rsidRPr="00554DB2">
              <w:rPr>
                <w:rFonts w:eastAsia="Calibri"/>
                <w:sz w:val="20"/>
              </w:rPr>
              <w:t>Torts ― Negligence ― Liability ― Civil litigation ― Evidence ― Expert opinion evidence ― Whether bias, predisposition and lack of impartiality and neutrality affect the qualifications of an expert to put forward evidence for admission and/or consideration by the court or do these matters relate to the weight to be given to such evidence ― Whether the admission and/or consideration of evidence proffered by an expert witness who is biased, is predisposed and lacks impartiality and neutrality constitute a palpable and overriding error ― Whether the commission of factual errors by the trial judge constitutes a palpable and overriding error when the factual errors formed part of the trial judge’s reasoning for the finding of the dominant issue at trial?</w:t>
            </w:r>
          </w:p>
        </w:tc>
      </w:tr>
      <w:tr w:rsidR="00E70948" w:rsidRPr="00554DB2" w:rsidTr="009C7C08">
        <w:tc>
          <w:tcPr>
            <w:tcW w:w="5000" w:type="pct"/>
            <w:gridSpan w:val="3"/>
          </w:tcPr>
          <w:p w:rsidR="00E70948" w:rsidRPr="00554DB2" w:rsidRDefault="00E70948" w:rsidP="009C7C08">
            <w:pPr>
              <w:jc w:val="both"/>
              <w:rPr>
                <w:rFonts w:eastAsia="Calibri"/>
                <w:sz w:val="20"/>
              </w:rPr>
            </w:pPr>
          </w:p>
        </w:tc>
      </w:tr>
      <w:tr w:rsidR="00E70948" w:rsidRPr="00554DB2" w:rsidTr="009C7C08">
        <w:tc>
          <w:tcPr>
            <w:tcW w:w="5000" w:type="pct"/>
            <w:gridSpan w:val="3"/>
          </w:tcPr>
          <w:p w:rsidR="00E70948" w:rsidRPr="00554DB2" w:rsidRDefault="00E70948" w:rsidP="009C7C08">
            <w:pPr>
              <w:jc w:val="both"/>
              <w:rPr>
                <w:rFonts w:eastAsia="Calibri"/>
                <w:sz w:val="20"/>
              </w:rPr>
            </w:pPr>
            <w:r w:rsidRPr="00554DB2">
              <w:rPr>
                <w:rFonts w:eastAsia="Calibri"/>
                <w:sz w:val="20"/>
              </w:rPr>
              <w:t>The main issue in the lower courts was whether the applicant chiropractor, Dr. Debbie Brake-Patten was liable for injuries that the respondent, Mr. Abraham Gallant suffered following chiropractic treatment he received from her.</w:t>
            </w:r>
          </w:p>
          <w:p w:rsidR="00E70948" w:rsidRPr="00554DB2" w:rsidRDefault="00E70948" w:rsidP="009C7C08">
            <w:pPr>
              <w:jc w:val="both"/>
              <w:rPr>
                <w:rFonts w:eastAsia="Calibri"/>
                <w:sz w:val="20"/>
              </w:rPr>
            </w:pPr>
          </w:p>
          <w:p w:rsidR="00E70948" w:rsidRPr="00554DB2" w:rsidRDefault="00E70948" w:rsidP="009C7C08">
            <w:pPr>
              <w:jc w:val="both"/>
              <w:rPr>
                <w:rFonts w:eastAsia="Calibri"/>
                <w:sz w:val="20"/>
              </w:rPr>
            </w:pPr>
            <w:r w:rsidRPr="00554DB2">
              <w:rPr>
                <w:rFonts w:eastAsia="Calibri"/>
                <w:sz w:val="20"/>
              </w:rPr>
              <w:t xml:space="preserve">The trial court found that the cervical manipulation done by Ms. Brake-Patten caused Mr. Gallant’s injury, that she was negligent in failing to obtain Mr. Gallant’s informed consent to her treatment and that Mr. Gallant would not have consented to the treatment had he been properly informed of its risks.  Damages were awarded to Mr. Gallant. The expert opinion evidence of Dr. Stewart was deemed admissible.  </w:t>
            </w:r>
          </w:p>
          <w:p w:rsidR="00E70948" w:rsidRPr="00554DB2" w:rsidRDefault="00E70948" w:rsidP="009C7C08">
            <w:pPr>
              <w:jc w:val="both"/>
              <w:rPr>
                <w:rFonts w:eastAsia="Calibri"/>
                <w:sz w:val="20"/>
              </w:rPr>
            </w:pPr>
          </w:p>
          <w:p w:rsidR="00E70948" w:rsidRPr="00554DB2" w:rsidRDefault="00E70948" w:rsidP="009C7C08">
            <w:pPr>
              <w:jc w:val="both"/>
              <w:rPr>
                <w:rFonts w:eastAsia="Calibri"/>
                <w:sz w:val="20"/>
              </w:rPr>
            </w:pPr>
            <w:r w:rsidRPr="00554DB2">
              <w:rPr>
                <w:rFonts w:eastAsia="Calibri"/>
                <w:sz w:val="20"/>
              </w:rPr>
              <w:t xml:space="preserve">The Court of Appeal dismissed the appeal.  </w:t>
            </w:r>
          </w:p>
          <w:p w:rsidR="00E70948" w:rsidRPr="00554DB2" w:rsidRDefault="00E70948" w:rsidP="009C7C08">
            <w:pPr>
              <w:jc w:val="both"/>
              <w:rPr>
                <w:rFonts w:eastAsia="Calibri"/>
                <w:sz w:val="20"/>
              </w:rPr>
            </w:pPr>
          </w:p>
        </w:tc>
      </w:tr>
      <w:tr w:rsidR="00E70948" w:rsidRPr="00554DB2" w:rsidTr="00D56769">
        <w:trPr>
          <w:cantSplit/>
        </w:trPr>
        <w:tc>
          <w:tcPr>
            <w:tcW w:w="2427" w:type="pct"/>
          </w:tcPr>
          <w:p w:rsidR="00E70948" w:rsidRPr="00554DB2" w:rsidRDefault="00E70948" w:rsidP="009C7C08">
            <w:pPr>
              <w:jc w:val="both"/>
              <w:rPr>
                <w:rFonts w:eastAsia="Calibri"/>
                <w:sz w:val="20"/>
              </w:rPr>
            </w:pPr>
            <w:r w:rsidRPr="00554DB2">
              <w:rPr>
                <w:rFonts w:eastAsia="Calibri"/>
                <w:sz w:val="20"/>
              </w:rPr>
              <w:t>January 4, 2010</w:t>
            </w:r>
          </w:p>
          <w:p w:rsidR="00E70948" w:rsidRPr="00554DB2" w:rsidRDefault="00E70948" w:rsidP="009C7C08">
            <w:pPr>
              <w:jc w:val="both"/>
              <w:rPr>
                <w:rFonts w:eastAsia="Calibri"/>
                <w:sz w:val="20"/>
              </w:rPr>
            </w:pPr>
            <w:r w:rsidRPr="00554DB2">
              <w:rPr>
                <w:rFonts w:eastAsia="Calibri"/>
                <w:sz w:val="20"/>
              </w:rPr>
              <w:t>Supreme Court of Newfoundland &amp; Labrador, Trial Division</w:t>
            </w:r>
          </w:p>
          <w:p w:rsidR="00E70948" w:rsidRPr="00554DB2" w:rsidRDefault="00E70948" w:rsidP="009C7C08">
            <w:pPr>
              <w:jc w:val="both"/>
              <w:rPr>
                <w:rFonts w:eastAsia="Calibri"/>
                <w:sz w:val="20"/>
              </w:rPr>
            </w:pPr>
            <w:r w:rsidRPr="00554DB2">
              <w:rPr>
                <w:rFonts w:eastAsia="Calibri"/>
                <w:sz w:val="20"/>
              </w:rPr>
              <w:t>(Harrington J.)</w:t>
            </w:r>
          </w:p>
          <w:p w:rsidR="00E70948" w:rsidRPr="00554DB2" w:rsidRDefault="00E70948" w:rsidP="009C7C08">
            <w:pPr>
              <w:jc w:val="both"/>
              <w:rPr>
                <w:rFonts w:eastAsia="Calibri"/>
                <w:sz w:val="20"/>
              </w:rPr>
            </w:pPr>
            <w:r w:rsidRPr="00554DB2">
              <w:rPr>
                <w:rFonts w:eastAsia="Calibri"/>
                <w:sz w:val="20"/>
              </w:rPr>
              <w:t>2010 NLTD 1</w:t>
            </w:r>
          </w:p>
          <w:p w:rsidR="00E70948" w:rsidRPr="00554DB2" w:rsidRDefault="00E70948" w:rsidP="009C7C08">
            <w:pPr>
              <w:jc w:val="both"/>
              <w:rPr>
                <w:rFonts w:eastAsia="Calibri"/>
                <w:sz w:val="20"/>
              </w:rPr>
            </w:pPr>
          </w:p>
        </w:tc>
        <w:tc>
          <w:tcPr>
            <w:tcW w:w="243" w:type="pct"/>
          </w:tcPr>
          <w:p w:rsidR="00E70948" w:rsidRPr="00554DB2" w:rsidRDefault="00E70948" w:rsidP="009C7C08">
            <w:pPr>
              <w:jc w:val="both"/>
              <w:rPr>
                <w:rFonts w:eastAsia="Calibri"/>
                <w:sz w:val="20"/>
              </w:rPr>
            </w:pPr>
          </w:p>
        </w:tc>
        <w:tc>
          <w:tcPr>
            <w:tcW w:w="2330" w:type="pct"/>
          </w:tcPr>
          <w:p w:rsidR="00E70948" w:rsidRPr="00554DB2" w:rsidRDefault="00E70948" w:rsidP="009C7C08">
            <w:pPr>
              <w:jc w:val="both"/>
              <w:rPr>
                <w:rFonts w:eastAsia="Calibri"/>
                <w:sz w:val="20"/>
              </w:rPr>
            </w:pPr>
            <w:r w:rsidRPr="00554DB2">
              <w:rPr>
                <w:rFonts w:eastAsia="Calibri"/>
                <w:sz w:val="20"/>
              </w:rPr>
              <w:t xml:space="preserve">Ms. Brake-Patten found to be liable to Mr. Gallant in negligence; damages awarded. </w:t>
            </w:r>
          </w:p>
          <w:p w:rsidR="00E70948" w:rsidRPr="00554DB2" w:rsidRDefault="00E70948" w:rsidP="009C7C08">
            <w:pPr>
              <w:jc w:val="both"/>
              <w:rPr>
                <w:rFonts w:eastAsia="Calibri"/>
                <w:sz w:val="20"/>
              </w:rPr>
            </w:pPr>
          </w:p>
        </w:tc>
      </w:tr>
      <w:tr w:rsidR="00E70948" w:rsidRPr="00554DB2" w:rsidTr="00D56769">
        <w:trPr>
          <w:cantSplit/>
        </w:trPr>
        <w:tc>
          <w:tcPr>
            <w:tcW w:w="2427" w:type="pct"/>
          </w:tcPr>
          <w:p w:rsidR="00E70948" w:rsidRPr="00554DB2" w:rsidRDefault="00E70948" w:rsidP="009C7C08">
            <w:pPr>
              <w:jc w:val="both"/>
              <w:rPr>
                <w:rFonts w:eastAsia="Calibri"/>
                <w:sz w:val="20"/>
              </w:rPr>
            </w:pPr>
            <w:r w:rsidRPr="00554DB2">
              <w:rPr>
                <w:rFonts w:eastAsia="Calibri"/>
                <w:sz w:val="20"/>
              </w:rPr>
              <w:t>April 9, 2012</w:t>
            </w:r>
          </w:p>
          <w:p w:rsidR="00E70948" w:rsidRPr="00554DB2" w:rsidRDefault="00E70948" w:rsidP="009C7C08">
            <w:pPr>
              <w:jc w:val="both"/>
              <w:rPr>
                <w:rFonts w:eastAsia="Calibri"/>
                <w:sz w:val="20"/>
              </w:rPr>
            </w:pPr>
            <w:r w:rsidRPr="00554DB2">
              <w:rPr>
                <w:rFonts w:eastAsia="Calibri"/>
                <w:sz w:val="20"/>
              </w:rPr>
              <w:t>Supreme Court of Newfoundland and Labrador, Court of Appeal</w:t>
            </w:r>
          </w:p>
          <w:p w:rsidR="00E70948" w:rsidRPr="00554DB2" w:rsidRDefault="00E70948" w:rsidP="009C7C08">
            <w:pPr>
              <w:jc w:val="both"/>
              <w:rPr>
                <w:rFonts w:eastAsia="Calibri"/>
                <w:sz w:val="20"/>
              </w:rPr>
            </w:pPr>
            <w:r w:rsidRPr="00554DB2">
              <w:rPr>
                <w:rFonts w:eastAsia="Calibri"/>
                <w:sz w:val="20"/>
              </w:rPr>
              <w:t>(Green C.J.N.L and White and Hoegg JJ.A.)</w:t>
            </w:r>
          </w:p>
          <w:p w:rsidR="00E70948" w:rsidRPr="00554DB2" w:rsidRDefault="00E70948" w:rsidP="009C7C08">
            <w:pPr>
              <w:jc w:val="both"/>
              <w:rPr>
                <w:rFonts w:eastAsia="Calibri"/>
                <w:sz w:val="20"/>
              </w:rPr>
            </w:pPr>
            <w:r w:rsidRPr="00554DB2">
              <w:rPr>
                <w:rFonts w:eastAsia="Calibri"/>
                <w:sz w:val="20"/>
              </w:rPr>
              <w:t>2012 NLCA 23</w:t>
            </w:r>
          </w:p>
          <w:p w:rsidR="00E70948" w:rsidRPr="00554DB2" w:rsidRDefault="00E70948" w:rsidP="009C7C08">
            <w:pPr>
              <w:jc w:val="both"/>
              <w:rPr>
                <w:rFonts w:eastAsia="Calibri"/>
                <w:sz w:val="20"/>
              </w:rPr>
            </w:pPr>
          </w:p>
        </w:tc>
        <w:tc>
          <w:tcPr>
            <w:tcW w:w="243" w:type="pct"/>
          </w:tcPr>
          <w:p w:rsidR="00E70948" w:rsidRPr="00554DB2" w:rsidRDefault="00E70948" w:rsidP="009C7C08">
            <w:pPr>
              <w:jc w:val="both"/>
              <w:rPr>
                <w:rFonts w:eastAsia="Calibri"/>
                <w:sz w:val="20"/>
              </w:rPr>
            </w:pPr>
          </w:p>
        </w:tc>
        <w:tc>
          <w:tcPr>
            <w:tcW w:w="2330" w:type="pct"/>
          </w:tcPr>
          <w:p w:rsidR="00E70948" w:rsidRPr="00554DB2" w:rsidRDefault="00E70948" w:rsidP="009C7C08">
            <w:pPr>
              <w:jc w:val="both"/>
              <w:rPr>
                <w:rFonts w:eastAsia="Calibri"/>
                <w:sz w:val="20"/>
              </w:rPr>
            </w:pPr>
            <w:r w:rsidRPr="00554DB2">
              <w:rPr>
                <w:rFonts w:eastAsia="Calibri"/>
                <w:sz w:val="20"/>
              </w:rPr>
              <w:t>Appeal dismissed.</w:t>
            </w:r>
          </w:p>
          <w:p w:rsidR="00E70948" w:rsidRPr="00554DB2" w:rsidRDefault="00E70948" w:rsidP="009C7C08">
            <w:pPr>
              <w:jc w:val="both"/>
              <w:rPr>
                <w:rFonts w:eastAsia="Calibri"/>
                <w:sz w:val="20"/>
              </w:rPr>
            </w:pPr>
          </w:p>
        </w:tc>
      </w:tr>
      <w:tr w:rsidR="00E70948" w:rsidRPr="00554DB2" w:rsidTr="00D56769">
        <w:trPr>
          <w:cantSplit/>
        </w:trPr>
        <w:tc>
          <w:tcPr>
            <w:tcW w:w="2427" w:type="pct"/>
          </w:tcPr>
          <w:p w:rsidR="00E70948" w:rsidRPr="00554DB2" w:rsidRDefault="00E70948" w:rsidP="009C7C08">
            <w:pPr>
              <w:jc w:val="both"/>
              <w:rPr>
                <w:rFonts w:eastAsia="Calibri"/>
                <w:sz w:val="20"/>
              </w:rPr>
            </w:pPr>
            <w:r w:rsidRPr="00554DB2">
              <w:rPr>
                <w:rFonts w:eastAsia="Calibri"/>
                <w:sz w:val="20"/>
              </w:rPr>
              <w:t>June 7, 2012</w:t>
            </w:r>
          </w:p>
          <w:p w:rsidR="00E70948" w:rsidRPr="00554DB2" w:rsidRDefault="00E70948" w:rsidP="009C7C08">
            <w:pPr>
              <w:jc w:val="both"/>
              <w:rPr>
                <w:rFonts w:eastAsia="Calibri"/>
                <w:sz w:val="20"/>
              </w:rPr>
            </w:pPr>
            <w:r w:rsidRPr="00554DB2">
              <w:rPr>
                <w:rFonts w:eastAsia="Calibri"/>
                <w:sz w:val="20"/>
              </w:rPr>
              <w:t>Supreme Court of Canada</w:t>
            </w:r>
          </w:p>
        </w:tc>
        <w:tc>
          <w:tcPr>
            <w:tcW w:w="243" w:type="pct"/>
          </w:tcPr>
          <w:p w:rsidR="00E70948" w:rsidRPr="00554DB2" w:rsidRDefault="00E70948" w:rsidP="009C7C08">
            <w:pPr>
              <w:jc w:val="both"/>
              <w:rPr>
                <w:rFonts w:eastAsia="Calibri"/>
                <w:sz w:val="20"/>
              </w:rPr>
            </w:pPr>
          </w:p>
        </w:tc>
        <w:tc>
          <w:tcPr>
            <w:tcW w:w="2330" w:type="pct"/>
          </w:tcPr>
          <w:p w:rsidR="00E70948" w:rsidRPr="00554DB2" w:rsidRDefault="00E70948" w:rsidP="009C7C08">
            <w:pPr>
              <w:jc w:val="both"/>
              <w:rPr>
                <w:rFonts w:eastAsia="Calibri"/>
                <w:sz w:val="20"/>
              </w:rPr>
            </w:pPr>
            <w:r w:rsidRPr="00554DB2">
              <w:rPr>
                <w:rFonts w:eastAsia="Calibri"/>
                <w:sz w:val="20"/>
              </w:rPr>
              <w:t>Application for leave to appeal filed.</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64"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70948" w:rsidRPr="005571F9" w:rsidTr="009C7C08">
        <w:tc>
          <w:tcPr>
            <w:tcW w:w="5000" w:type="pct"/>
            <w:gridSpan w:val="3"/>
          </w:tcPr>
          <w:p w:rsidR="00E70948" w:rsidRPr="00554DB2" w:rsidRDefault="00E70948" w:rsidP="009C7C08">
            <w:pPr>
              <w:jc w:val="both"/>
              <w:rPr>
                <w:rFonts w:eastAsia="Calibri"/>
                <w:sz w:val="20"/>
                <w:lang w:val="fr-CA"/>
              </w:rPr>
            </w:pPr>
            <w:r w:rsidRPr="00554DB2">
              <w:rPr>
                <w:rFonts w:eastAsia="Calibri"/>
                <w:sz w:val="20"/>
                <w:lang w:val="fr-CA"/>
              </w:rPr>
              <w:t>Responsabilité délictuelle ― Négligence ― Responsabilité ― Procès civil ― Preuve ― Preuve d'expert ― Un parti pris, une prédisposition et un manque d'impartialité et de neutralité ont</w:t>
            </w:r>
            <w:r w:rsidRPr="00554DB2">
              <w:rPr>
                <w:rFonts w:eastAsia="Calibri"/>
                <w:sz w:val="20"/>
                <w:lang w:val="fr-CA"/>
              </w:rPr>
              <w:noBreakHyphen/>
              <w:t>ils une incidence sur les qualifications de l'expert de présenter une preuve en vue de son admission et de sa considération par le tribunal ou bien ces questions se rapportent</w:t>
            </w:r>
            <w:r w:rsidRPr="00554DB2">
              <w:rPr>
                <w:rFonts w:eastAsia="Calibri"/>
                <w:sz w:val="20"/>
                <w:lang w:val="fr-CA"/>
              </w:rPr>
              <w:noBreakHyphen/>
              <w:t>elles plutôt au poids à donner à cette preuve? ― L'admission ou la considération de la preuve présentée par un témoin expert qui a un parti pris, qui est prédisposé et qui manque d'impartialité et de neutralité constitue</w:t>
            </w:r>
            <w:r w:rsidRPr="00554DB2">
              <w:rPr>
                <w:rFonts w:eastAsia="Calibri"/>
                <w:sz w:val="20"/>
                <w:lang w:val="fr-CA"/>
              </w:rPr>
              <w:noBreakHyphen/>
              <w:t>t</w:t>
            </w:r>
            <w:r w:rsidRPr="00554DB2">
              <w:rPr>
                <w:rFonts w:eastAsia="Calibri"/>
                <w:sz w:val="20"/>
                <w:lang w:val="fr-CA"/>
              </w:rPr>
              <w:noBreakHyphen/>
              <w:t>elle une erreur manifeste et dominante? ― Les erreurs de fait commises par le juge du procès équivalent</w:t>
            </w:r>
            <w:r w:rsidRPr="00554DB2">
              <w:rPr>
                <w:rFonts w:eastAsia="Calibri"/>
                <w:sz w:val="20"/>
                <w:lang w:val="fr-CA"/>
              </w:rPr>
              <w:noBreakHyphen/>
              <w:t>elles à une erreur manifeste et dominante lorsque les erreurs en question ont fait partie du raisonnement suivi par le juge pour statuer sur la principale question en litige au procès?</w:t>
            </w:r>
          </w:p>
        </w:tc>
      </w:tr>
      <w:tr w:rsidR="00E70948" w:rsidRPr="005571F9" w:rsidTr="009C7C08">
        <w:tc>
          <w:tcPr>
            <w:tcW w:w="5000" w:type="pct"/>
            <w:gridSpan w:val="3"/>
          </w:tcPr>
          <w:p w:rsidR="00E70948" w:rsidRPr="00554DB2" w:rsidRDefault="00E70948" w:rsidP="009C7C08">
            <w:pPr>
              <w:jc w:val="both"/>
              <w:rPr>
                <w:rFonts w:eastAsia="Calibri"/>
                <w:sz w:val="20"/>
                <w:lang w:val="fr-CA"/>
              </w:rPr>
            </w:pPr>
          </w:p>
        </w:tc>
      </w:tr>
      <w:tr w:rsidR="00E70948" w:rsidRPr="005571F9" w:rsidTr="009C7C08">
        <w:tc>
          <w:tcPr>
            <w:tcW w:w="5000" w:type="pct"/>
            <w:gridSpan w:val="3"/>
          </w:tcPr>
          <w:p w:rsidR="00E70948" w:rsidRPr="00554DB2" w:rsidRDefault="00E70948" w:rsidP="009C7C08">
            <w:pPr>
              <w:jc w:val="both"/>
              <w:rPr>
                <w:rFonts w:eastAsia="Calibri"/>
                <w:sz w:val="20"/>
                <w:lang w:val="fr-CA"/>
              </w:rPr>
            </w:pPr>
            <w:r w:rsidRPr="00554DB2">
              <w:rPr>
                <w:rFonts w:eastAsia="Calibri"/>
                <w:sz w:val="20"/>
                <w:lang w:val="fr-CA"/>
              </w:rPr>
              <w:t>La principale question en litige dont étaient saisies les juridictions inférieures était de savoir si la chiropraticienne demanderesse, la docteure Debbie Brake</w:t>
            </w:r>
            <w:r w:rsidRPr="00554DB2">
              <w:rPr>
                <w:rFonts w:eastAsia="Calibri"/>
                <w:sz w:val="20"/>
                <w:lang w:val="fr-CA"/>
              </w:rPr>
              <w:noBreakHyphen/>
              <w:t>Patten, était responsable des blessures que l'intimé, M. Abraham Gallant, a subies à la suite d'un traitement de chiropractie qu'il avait reçu d’elle.</w:t>
            </w:r>
          </w:p>
          <w:p w:rsidR="00E70948" w:rsidRPr="00554DB2" w:rsidRDefault="00E70948" w:rsidP="009C7C08">
            <w:pPr>
              <w:jc w:val="both"/>
              <w:rPr>
                <w:rFonts w:eastAsia="Calibri"/>
                <w:sz w:val="20"/>
                <w:lang w:val="fr-CA"/>
              </w:rPr>
            </w:pPr>
          </w:p>
          <w:p w:rsidR="00E70948" w:rsidRPr="00554DB2" w:rsidRDefault="00E70948" w:rsidP="009C7C08">
            <w:pPr>
              <w:jc w:val="both"/>
              <w:rPr>
                <w:rFonts w:eastAsia="Calibri"/>
                <w:sz w:val="20"/>
                <w:lang w:val="fr-CA"/>
              </w:rPr>
            </w:pPr>
            <w:r w:rsidRPr="00554DB2">
              <w:rPr>
                <w:rFonts w:eastAsia="Calibri"/>
                <w:sz w:val="20"/>
                <w:lang w:val="fr-CA"/>
              </w:rPr>
              <w:t>Le tribunal de première instance a conclu que la manipulation cervicale effectuée par Mme Brake</w:t>
            </w:r>
            <w:r w:rsidRPr="00554DB2">
              <w:rPr>
                <w:rFonts w:eastAsia="Calibri"/>
                <w:sz w:val="20"/>
                <w:lang w:val="fr-CA"/>
              </w:rPr>
              <w:noBreakHyphen/>
              <w:t>Patten avait causé la blessure de M. Gallant, qu'elle avait été négligente en n’obtenant pas le consentement éclairé de M. Gallant à son traitement et que M. Gallant n’aurait pas consenti au traitement s'il avait été dûment informé de ses risques.  Des dommages</w:t>
            </w:r>
            <w:r w:rsidRPr="00554DB2">
              <w:rPr>
                <w:rFonts w:eastAsia="Calibri"/>
                <w:sz w:val="20"/>
                <w:lang w:val="fr-CA"/>
              </w:rPr>
              <w:noBreakHyphen/>
              <w:t xml:space="preserve">intérêts ont été accordés à M. Gallant. La preuve d'expert du docteur Stewart a été jugée admissible.  </w:t>
            </w:r>
          </w:p>
          <w:p w:rsidR="00E70948" w:rsidRPr="00554DB2" w:rsidRDefault="00E70948" w:rsidP="009C7C08">
            <w:pPr>
              <w:jc w:val="both"/>
              <w:rPr>
                <w:rFonts w:eastAsia="Calibri"/>
                <w:sz w:val="20"/>
                <w:lang w:val="fr-CA"/>
              </w:rPr>
            </w:pPr>
          </w:p>
          <w:p w:rsidR="00E70948" w:rsidRPr="00554DB2" w:rsidRDefault="00E70948" w:rsidP="009C7C08">
            <w:pPr>
              <w:jc w:val="both"/>
              <w:rPr>
                <w:rFonts w:eastAsia="Calibri"/>
                <w:sz w:val="20"/>
                <w:lang w:val="fr-CA"/>
              </w:rPr>
            </w:pPr>
            <w:r w:rsidRPr="00554DB2">
              <w:rPr>
                <w:rFonts w:eastAsia="Calibri"/>
                <w:sz w:val="20"/>
                <w:lang w:val="fr-CA"/>
              </w:rPr>
              <w:t xml:space="preserve">La Cour d'appel a rejeté l'appel.  </w:t>
            </w:r>
          </w:p>
          <w:p w:rsidR="00E70948" w:rsidRPr="00554DB2" w:rsidRDefault="00E70948" w:rsidP="009C7C08">
            <w:pPr>
              <w:jc w:val="both"/>
              <w:rPr>
                <w:rFonts w:eastAsia="Calibri"/>
                <w:sz w:val="20"/>
                <w:lang w:val="fr-CA"/>
              </w:rPr>
            </w:pPr>
          </w:p>
        </w:tc>
      </w:tr>
      <w:tr w:rsidR="00E70948" w:rsidRPr="005571F9" w:rsidTr="009C7C08">
        <w:tc>
          <w:tcPr>
            <w:tcW w:w="2427" w:type="pct"/>
          </w:tcPr>
          <w:p w:rsidR="00E70948" w:rsidRPr="00554DB2" w:rsidRDefault="00E70948" w:rsidP="009C7C08">
            <w:pPr>
              <w:jc w:val="both"/>
              <w:rPr>
                <w:rFonts w:eastAsia="Calibri"/>
                <w:sz w:val="20"/>
                <w:lang w:val="fr-CA"/>
              </w:rPr>
            </w:pPr>
            <w:r w:rsidRPr="00554DB2">
              <w:rPr>
                <w:rFonts w:eastAsia="Calibri"/>
                <w:sz w:val="20"/>
                <w:lang w:val="fr-CA"/>
              </w:rPr>
              <w:t>4 janvier 2010</w:t>
            </w:r>
          </w:p>
          <w:p w:rsidR="00E70948" w:rsidRPr="00554DB2" w:rsidRDefault="00E70948" w:rsidP="009C7C08">
            <w:pPr>
              <w:jc w:val="both"/>
              <w:rPr>
                <w:rFonts w:eastAsia="Calibri"/>
                <w:sz w:val="20"/>
                <w:lang w:val="fr-CA"/>
              </w:rPr>
            </w:pPr>
            <w:r w:rsidRPr="00554DB2">
              <w:rPr>
                <w:rFonts w:eastAsia="Calibri"/>
                <w:sz w:val="20"/>
                <w:lang w:val="fr-CA"/>
              </w:rPr>
              <w:t>Cour suprême de Terre</w:t>
            </w:r>
            <w:r w:rsidRPr="00554DB2">
              <w:rPr>
                <w:rFonts w:eastAsia="Calibri"/>
                <w:sz w:val="20"/>
                <w:lang w:val="fr-CA"/>
              </w:rPr>
              <w:noBreakHyphen/>
              <w:t>Neuve</w:t>
            </w:r>
            <w:r w:rsidRPr="00554DB2">
              <w:rPr>
                <w:rFonts w:eastAsia="Calibri"/>
                <w:sz w:val="20"/>
                <w:lang w:val="fr-CA"/>
              </w:rPr>
              <w:noBreakHyphen/>
              <w:t>et</w:t>
            </w:r>
            <w:r w:rsidRPr="00554DB2">
              <w:rPr>
                <w:rFonts w:eastAsia="Calibri"/>
                <w:sz w:val="20"/>
                <w:lang w:val="fr-CA"/>
              </w:rPr>
              <w:noBreakHyphen/>
              <w:t>Labrador, Section de première instance</w:t>
            </w:r>
          </w:p>
          <w:p w:rsidR="00E70948" w:rsidRPr="00554DB2" w:rsidRDefault="00E70948" w:rsidP="009C7C08">
            <w:pPr>
              <w:jc w:val="both"/>
              <w:rPr>
                <w:rFonts w:eastAsia="Calibri"/>
                <w:sz w:val="20"/>
                <w:lang w:val="fr-CA"/>
              </w:rPr>
            </w:pPr>
            <w:r w:rsidRPr="00554DB2">
              <w:rPr>
                <w:rFonts w:eastAsia="Calibri"/>
                <w:sz w:val="20"/>
                <w:lang w:val="fr-CA"/>
              </w:rPr>
              <w:t>(Juge Harrington)</w:t>
            </w:r>
          </w:p>
          <w:p w:rsidR="00E70948" w:rsidRPr="00554DB2" w:rsidRDefault="00E70948" w:rsidP="009C7C08">
            <w:pPr>
              <w:jc w:val="both"/>
              <w:rPr>
                <w:rFonts w:eastAsia="Calibri"/>
                <w:sz w:val="20"/>
                <w:lang w:val="fr-CA"/>
              </w:rPr>
            </w:pPr>
            <w:r w:rsidRPr="00554DB2">
              <w:rPr>
                <w:rFonts w:eastAsia="Calibri"/>
                <w:sz w:val="20"/>
                <w:lang w:val="fr-CA"/>
              </w:rPr>
              <w:t>2010 NLTD 1</w:t>
            </w:r>
          </w:p>
          <w:p w:rsidR="00E70948" w:rsidRPr="00554DB2" w:rsidRDefault="00E70948" w:rsidP="009C7C08">
            <w:pPr>
              <w:jc w:val="both"/>
              <w:rPr>
                <w:rFonts w:eastAsia="Calibri"/>
                <w:sz w:val="20"/>
                <w:lang w:val="fr-CA"/>
              </w:rPr>
            </w:pPr>
          </w:p>
        </w:tc>
        <w:tc>
          <w:tcPr>
            <w:tcW w:w="243" w:type="pct"/>
          </w:tcPr>
          <w:p w:rsidR="00E70948" w:rsidRPr="00554DB2" w:rsidRDefault="00E70948" w:rsidP="009C7C08">
            <w:pPr>
              <w:jc w:val="both"/>
              <w:rPr>
                <w:rFonts w:eastAsia="Calibri"/>
                <w:sz w:val="20"/>
                <w:lang w:val="fr-CA"/>
              </w:rPr>
            </w:pPr>
          </w:p>
        </w:tc>
        <w:tc>
          <w:tcPr>
            <w:tcW w:w="2330" w:type="pct"/>
          </w:tcPr>
          <w:p w:rsidR="00E70948" w:rsidRPr="00554DB2" w:rsidRDefault="00E70948" w:rsidP="009C7C08">
            <w:pPr>
              <w:jc w:val="both"/>
              <w:rPr>
                <w:rFonts w:eastAsia="Calibri"/>
                <w:sz w:val="20"/>
                <w:lang w:val="fr-CA"/>
              </w:rPr>
            </w:pPr>
            <w:r w:rsidRPr="00554DB2">
              <w:rPr>
                <w:rFonts w:eastAsia="Calibri"/>
                <w:sz w:val="20"/>
                <w:lang w:val="fr-CA"/>
              </w:rPr>
              <w:t>Madame Brake</w:t>
            </w:r>
            <w:r w:rsidRPr="00554DB2">
              <w:rPr>
                <w:rFonts w:eastAsia="Calibri"/>
                <w:sz w:val="20"/>
                <w:lang w:val="fr-CA"/>
              </w:rPr>
              <w:noBreakHyphen/>
              <w:t>Patten jugée responsable de négligence à l'égard de M. Gallant; dommages</w:t>
            </w:r>
            <w:r w:rsidRPr="00554DB2">
              <w:rPr>
                <w:rFonts w:eastAsia="Calibri"/>
                <w:sz w:val="20"/>
                <w:lang w:val="fr-CA"/>
              </w:rPr>
              <w:noBreakHyphen/>
              <w:t xml:space="preserve">intérêts accordés. </w:t>
            </w:r>
          </w:p>
          <w:p w:rsidR="00E70948" w:rsidRPr="00554DB2" w:rsidRDefault="00E70948" w:rsidP="009C7C08">
            <w:pPr>
              <w:jc w:val="both"/>
              <w:rPr>
                <w:rFonts w:eastAsia="Calibri"/>
                <w:sz w:val="20"/>
                <w:lang w:val="fr-CA"/>
              </w:rPr>
            </w:pPr>
          </w:p>
        </w:tc>
      </w:tr>
      <w:tr w:rsidR="00E70948" w:rsidRPr="00554DB2" w:rsidTr="009C7C08">
        <w:tc>
          <w:tcPr>
            <w:tcW w:w="2427" w:type="pct"/>
          </w:tcPr>
          <w:p w:rsidR="00E70948" w:rsidRPr="00554DB2" w:rsidRDefault="00E70948" w:rsidP="009C7C08">
            <w:pPr>
              <w:jc w:val="both"/>
              <w:rPr>
                <w:rFonts w:eastAsia="Calibri"/>
                <w:sz w:val="20"/>
                <w:lang w:val="fr-CA"/>
              </w:rPr>
            </w:pPr>
            <w:r w:rsidRPr="00554DB2">
              <w:rPr>
                <w:rFonts w:eastAsia="Calibri"/>
                <w:sz w:val="20"/>
                <w:lang w:val="fr-CA"/>
              </w:rPr>
              <w:t>9 avril 2012</w:t>
            </w:r>
          </w:p>
          <w:p w:rsidR="00E70948" w:rsidRPr="00554DB2" w:rsidRDefault="00E70948" w:rsidP="009C7C08">
            <w:pPr>
              <w:jc w:val="both"/>
              <w:rPr>
                <w:rFonts w:eastAsia="Calibri"/>
                <w:sz w:val="20"/>
                <w:lang w:val="fr-CA"/>
              </w:rPr>
            </w:pPr>
            <w:r w:rsidRPr="00554DB2">
              <w:rPr>
                <w:rFonts w:eastAsia="Calibri"/>
                <w:sz w:val="20"/>
                <w:lang w:val="fr-CA"/>
              </w:rPr>
              <w:t>Cour suprême de Terre</w:t>
            </w:r>
            <w:r w:rsidRPr="00554DB2">
              <w:rPr>
                <w:rFonts w:eastAsia="Calibri"/>
                <w:sz w:val="20"/>
                <w:lang w:val="fr-CA"/>
              </w:rPr>
              <w:noBreakHyphen/>
              <w:t>Neuve</w:t>
            </w:r>
            <w:r w:rsidRPr="00554DB2">
              <w:rPr>
                <w:rFonts w:eastAsia="Calibri"/>
                <w:sz w:val="20"/>
                <w:lang w:val="fr-CA"/>
              </w:rPr>
              <w:noBreakHyphen/>
              <w:t>et</w:t>
            </w:r>
            <w:r w:rsidRPr="00554DB2">
              <w:rPr>
                <w:rFonts w:eastAsia="Calibri"/>
                <w:sz w:val="20"/>
                <w:lang w:val="fr-CA"/>
              </w:rPr>
              <w:noBreakHyphen/>
              <w:t>Labrador, Cour d'appel</w:t>
            </w:r>
          </w:p>
          <w:p w:rsidR="00E70948" w:rsidRPr="00554DB2" w:rsidRDefault="00E70948" w:rsidP="009C7C08">
            <w:pPr>
              <w:jc w:val="both"/>
              <w:rPr>
                <w:rFonts w:eastAsia="Calibri"/>
                <w:sz w:val="20"/>
                <w:lang w:val="fr-CA"/>
              </w:rPr>
            </w:pPr>
            <w:r w:rsidRPr="00554DB2">
              <w:rPr>
                <w:rFonts w:eastAsia="Calibri"/>
                <w:sz w:val="20"/>
                <w:lang w:val="fr-CA"/>
              </w:rPr>
              <w:t>(Juge en chef Green, juges White et Hoegg)</w:t>
            </w:r>
          </w:p>
          <w:p w:rsidR="00E70948" w:rsidRPr="00554DB2" w:rsidRDefault="00E70948" w:rsidP="009C7C08">
            <w:pPr>
              <w:jc w:val="both"/>
              <w:rPr>
                <w:rFonts w:eastAsia="Calibri"/>
                <w:sz w:val="20"/>
                <w:lang w:val="fr-CA"/>
              </w:rPr>
            </w:pPr>
            <w:r w:rsidRPr="00554DB2">
              <w:rPr>
                <w:rFonts w:eastAsia="Calibri"/>
                <w:sz w:val="20"/>
                <w:lang w:val="fr-CA"/>
              </w:rPr>
              <w:t>2012 NLCA 23</w:t>
            </w:r>
          </w:p>
          <w:p w:rsidR="00E70948" w:rsidRPr="00554DB2" w:rsidRDefault="00E70948" w:rsidP="009C7C08">
            <w:pPr>
              <w:jc w:val="both"/>
              <w:rPr>
                <w:rFonts w:eastAsia="Calibri"/>
                <w:sz w:val="20"/>
                <w:lang w:val="fr-CA"/>
              </w:rPr>
            </w:pPr>
          </w:p>
        </w:tc>
        <w:tc>
          <w:tcPr>
            <w:tcW w:w="243" w:type="pct"/>
          </w:tcPr>
          <w:p w:rsidR="00E70948" w:rsidRPr="00554DB2" w:rsidRDefault="00E70948" w:rsidP="009C7C08">
            <w:pPr>
              <w:jc w:val="both"/>
              <w:rPr>
                <w:rFonts w:eastAsia="Calibri"/>
                <w:sz w:val="20"/>
                <w:lang w:val="fr-CA"/>
              </w:rPr>
            </w:pPr>
          </w:p>
        </w:tc>
        <w:tc>
          <w:tcPr>
            <w:tcW w:w="2330" w:type="pct"/>
          </w:tcPr>
          <w:p w:rsidR="00E70948" w:rsidRPr="00554DB2" w:rsidRDefault="00E70948" w:rsidP="009C7C08">
            <w:pPr>
              <w:jc w:val="both"/>
              <w:rPr>
                <w:rFonts w:eastAsia="Calibri"/>
                <w:sz w:val="20"/>
                <w:lang w:val="fr-CA"/>
              </w:rPr>
            </w:pPr>
            <w:r w:rsidRPr="00554DB2">
              <w:rPr>
                <w:rFonts w:eastAsia="Calibri"/>
                <w:sz w:val="20"/>
                <w:lang w:val="fr-CA"/>
              </w:rPr>
              <w:t>Appel rejeté.</w:t>
            </w:r>
          </w:p>
          <w:p w:rsidR="00E70948" w:rsidRPr="00554DB2" w:rsidRDefault="00E70948" w:rsidP="009C7C08">
            <w:pPr>
              <w:jc w:val="both"/>
              <w:rPr>
                <w:rFonts w:eastAsia="Calibri"/>
                <w:sz w:val="20"/>
                <w:lang w:val="fr-CA"/>
              </w:rPr>
            </w:pPr>
          </w:p>
        </w:tc>
      </w:tr>
      <w:tr w:rsidR="00E70948" w:rsidRPr="00554DB2" w:rsidTr="009C7C08">
        <w:tc>
          <w:tcPr>
            <w:tcW w:w="2427" w:type="pct"/>
          </w:tcPr>
          <w:p w:rsidR="00E70948" w:rsidRPr="00554DB2" w:rsidRDefault="00E70948" w:rsidP="009C7C08">
            <w:pPr>
              <w:jc w:val="both"/>
              <w:rPr>
                <w:rFonts w:eastAsia="Calibri"/>
                <w:sz w:val="20"/>
                <w:lang w:val="fr-CA"/>
              </w:rPr>
            </w:pPr>
            <w:r w:rsidRPr="00554DB2">
              <w:rPr>
                <w:rFonts w:eastAsia="Calibri"/>
                <w:sz w:val="20"/>
                <w:lang w:val="fr-CA"/>
              </w:rPr>
              <w:t>7 juin 2012</w:t>
            </w:r>
          </w:p>
          <w:p w:rsidR="00E70948" w:rsidRPr="00554DB2" w:rsidRDefault="00E70948" w:rsidP="009C7C08">
            <w:pPr>
              <w:jc w:val="both"/>
              <w:rPr>
                <w:rFonts w:eastAsia="Calibri"/>
                <w:sz w:val="20"/>
                <w:lang w:val="fr-CA"/>
              </w:rPr>
            </w:pPr>
            <w:r w:rsidRPr="00554DB2">
              <w:rPr>
                <w:rFonts w:eastAsia="Calibri"/>
                <w:sz w:val="20"/>
                <w:lang w:val="fr-CA"/>
              </w:rPr>
              <w:t>Cour suprême du Canada</w:t>
            </w:r>
          </w:p>
        </w:tc>
        <w:tc>
          <w:tcPr>
            <w:tcW w:w="243" w:type="pct"/>
          </w:tcPr>
          <w:p w:rsidR="00E70948" w:rsidRPr="00554DB2" w:rsidRDefault="00E70948" w:rsidP="009C7C08">
            <w:pPr>
              <w:jc w:val="both"/>
              <w:rPr>
                <w:rFonts w:eastAsia="Calibri"/>
                <w:sz w:val="20"/>
                <w:lang w:val="fr-CA"/>
              </w:rPr>
            </w:pPr>
          </w:p>
        </w:tc>
        <w:tc>
          <w:tcPr>
            <w:tcW w:w="2330" w:type="pct"/>
          </w:tcPr>
          <w:p w:rsidR="00E70948" w:rsidRPr="00554DB2" w:rsidRDefault="00E70948" w:rsidP="009C7C08">
            <w:pPr>
              <w:jc w:val="both"/>
              <w:rPr>
                <w:rFonts w:eastAsia="Calibri"/>
                <w:sz w:val="20"/>
                <w:lang w:val="fr-CA"/>
              </w:rPr>
            </w:pPr>
            <w:r w:rsidRPr="00554DB2">
              <w:rPr>
                <w:rFonts w:eastAsia="Calibri"/>
                <w:sz w:val="20"/>
                <w:lang w:val="fr-CA"/>
              </w:rPr>
              <w:t>Demande d'autorisation d'appel, déposée.</w:t>
            </w:r>
          </w:p>
          <w:p w:rsidR="00E70948" w:rsidRPr="00554DB2" w:rsidRDefault="00E70948"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65"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565D7" w:rsidRPr="00975B77" w:rsidTr="00032CB5">
        <w:trPr>
          <w:cantSplit/>
        </w:trPr>
        <w:tc>
          <w:tcPr>
            <w:tcW w:w="1458" w:type="dxa"/>
          </w:tcPr>
          <w:p w:rsidR="00B565D7" w:rsidRPr="00975B77" w:rsidRDefault="00B565D7" w:rsidP="00032CB5">
            <w:pPr>
              <w:rPr>
                <w:sz w:val="20"/>
                <w:szCs w:val="20"/>
              </w:rPr>
            </w:pPr>
            <w:r w:rsidRPr="00975B77">
              <w:rPr>
                <w:rStyle w:val="SCCFileNumberChar"/>
                <w:sz w:val="20"/>
                <w:szCs w:val="20"/>
              </w:rPr>
              <w:t>34862</w:t>
            </w:r>
          </w:p>
          <w:p w:rsidR="00B565D7" w:rsidRPr="00975B77" w:rsidRDefault="00B565D7" w:rsidP="00032CB5">
            <w:pPr>
              <w:rPr>
                <w:b/>
                <w:sz w:val="20"/>
                <w:szCs w:val="20"/>
                <w:lang w:val="fr-CA"/>
              </w:rPr>
            </w:pPr>
          </w:p>
        </w:tc>
        <w:tc>
          <w:tcPr>
            <w:tcW w:w="8118" w:type="dxa"/>
          </w:tcPr>
          <w:p w:rsidR="00B565D7" w:rsidRPr="00975B77" w:rsidRDefault="00B565D7" w:rsidP="00032CB5">
            <w:pPr>
              <w:rPr>
                <w:sz w:val="20"/>
                <w:szCs w:val="20"/>
              </w:rPr>
            </w:pPr>
            <w:r w:rsidRPr="00B565D7">
              <w:rPr>
                <w:rStyle w:val="SCCLsocChar"/>
                <w:sz w:val="20"/>
                <w:szCs w:val="20"/>
                <w:lang w:val="en-CA"/>
              </w:rPr>
              <w:t>Her Majesty the Queen v. Steven Gerald Gareau</w:t>
            </w:r>
            <w:r w:rsidRPr="00975B77">
              <w:rPr>
                <w:sz w:val="20"/>
                <w:szCs w:val="20"/>
              </w:rPr>
              <w:t xml:space="preserve"> (N.S.) (Criminal) (By Leave)</w:t>
            </w:r>
          </w:p>
          <w:p w:rsidR="00B565D7" w:rsidRPr="00975B77" w:rsidRDefault="00B565D7" w:rsidP="00032CB5">
            <w:pPr>
              <w:rPr>
                <w:sz w:val="20"/>
                <w:szCs w:val="20"/>
              </w:rPr>
            </w:pPr>
          </w:p>
        </w:tc>
      </w:tr>
      <w:tr w:rsidR="00B565D7" w:rsidRPr="00975B77" w:rsidTr="00032CB5">
        <w:trPr>
          <w:cantSplit/>
        </w:trPr>
        <w:tc>
          <w:tcPr>
            <w:tcW w:w="1458" w:type="dxa"/>
          </w:tcPr>
          <w:p w:rsidR="00B565D7" w:rsidRPr="00975B77" w:rsidRDefault="00B565D7" w:rsidP="00032CB5">
            <w:pPr>
              <w:rPr>
                <w:sz w:val="20"/>
                <w:szCs w:val="20"/>
              </w:rPr>
            </w:pPr>
            <w:r w:rsidRPr="00975B77">
              <w:rPr>
                <w:sz w:val="20"/>
                <w:szCs w:val="20"/>
              </w:rPr>
              <w:t>Coram :</w:t>
            </w:r>
          </w:p>
        </w:tc>
        <w:tc>
          <w:tcPr>
            <w:tcW w:w="8118" w:type="dxa"/>
          </w:tcPr>
          <w:p w:rsidR="00B565D7" w:rsidRPr="00975B77" w:rsidRDefault="00B565D7" w:rsidP="00032CB5">
            <w:pPr>
              <w:rPr>
                <w:sz w:val="20"/>
                <w:szCs w:val="20"/>
              </w:rPr>
            </w:pPr>
            <w:r w:rsidRPr="00B565D7">
              <w:rPr>
                <w:rStyle w:val="SCCCoramChar"/>
                <w:sz w:val="20"/>
                <w:szCs w:val="20"/>
                <w:lang w:val="en-CA"/>
              </w:rPr>
              <w:t>Fish, Rothstein and Karakatsanis JJ.</w:t>
            </w:r>
          </w:p>
          <w:p w:rsidR="00B565D7" w:rsidRPr="00975B77" w:rsidRDefault="00B565D7" w:rsidP="00032CB5">
            <w:pPr>
              <w:rPr>
                <w:sz w:val="20"/>
                <w:szCs w:val="20"/>
                <w:u w:val="single"/>
              </w:rPr>
            </w:pPr>
          </w:p>
        </w:tc>
      </w:tr>
      <w:tr w:rsidR="00B565D7" w:rsidRPr="005571F9" w:rsidTr="00032CB5">
        <w:trPr>
          <w:cantSplit/>
        </w:trPr>
        <w:tc>
          <w:tcPr>
            <w:tcW w:w="9576" w:type="dxa"/>
            <w:gridSpan w:val="2"/>
          </w:tcPr>
          <w:p w:rsidR="00B565D7" w:rsidRPr="00975B77" w:rsidRDefault="00B565D7" w:rsidP="00032CB5">
            <w:pPr>
              <w:pStyle w:val="SCCShortJudgment"/>
              <w:rPr>
                <w:szCs w:val="20"/>
              </w:rPr>
            </w:pPr>
            <w:r w:rsidRPr="00975B77">
              <w:rPr>
                <w:szCs w:val="20"/>
              </w:rPr>
              <w:t>The application for leave to appeal from the judgment of the Nova Scotia Court of Appeal, Number CAC 237588, 2012 NSCA 41, dated April 25, 2012, is dismissed without costs.</w:t>
            </w:r>
          </w:p>
          <w:p w:rsidR="00B565D7" w:rsidRPr="00975B77" w:rsidRDefault="00B565D7" w:rsidP="00032CB5">
            <w:pPr>
              <w:pStyle w:val="SCCShortJudgment"/>
              <w:ind w:firstLine="0"/>
              <w:rPr>
                <w:szCs w:val="20"/>
              </w:rPr>
            </w:pPr>
          </w:p>
          <w:p w:rsidR="00B565D7" w:rsidRPr="00975B77" w:rsidRDefault="00B565D7" w:rsidP="00032CB5">
            <w:pPr>
              <w:pStyle w:val="SCCShortJudgment"/>
              <w:rPr>
                <w:szCs w:val="20"/>
                <w:lang w:val="fr-CA"/>
              </w:rPr>
            </w:pPr>
            <w:r w:rsidRPr="00975B77">
              <w:rPr>
                <w:szCs w:val="20"/>
                <w:lang w:val="fr-CA"/>
              </w:rPr>
              <w:t>La demande d’autorisation d’appel de l’arrêt de la Cour d’appel de la Nouvelle-Écosse, numéro CAC 237588, 2012 NSCA 41, daté du 25 avril 2012, est rejetée sans dépens.</w:t>
            </w:r>
          </w:p>
        </w:tc>
      </w:tr>
    </w:tbl>
    <w:p w:rsidR="00FA1074" w:rsidRPr="00B565D7"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E70948" w:rsidRPr="00554DB2" w:rsidTr="009C7C08">
        <w:tc>
          <w:tcPr>
            <w:tcW w:w="5000" w:type="pct"/>
            <w:gridSpan w:val="3"/>
          </w:tcPr>
          <w:p w:rsidR="00E70948" w:rsidRPr="00554DB2" w:rsidRDefault="00E70948" w:rsidP="009C7C08">
            <w:pPr>
              <w:jc w:val="both"/>
              <w:rPr>
                <w:rFonts w:eastAsia="Calibri"/>
                <w:sz w:val="20"/>
              </w:rPr>
            </w:pPr>
            <w:r w:rsidRPr="00554DB2">
              <w:rPr>
                <w:rFonts w:eastAsia="Calibri"/>
                <w:sz w:val="20"/>
              </w:rPr>
              <w:t>Criminal Law — Charge to Jury — Whether convictions for first degree murder and conspiracy to commit murder should have been set aside on appeal due to an error in the charge to the jury regarding the use of evidence of prior convictions of co-conspirators — Whether Court of Appeal erred by failing to review jury charge as a whole and from a functional approach when it found one sentence was fatal to the whole charge — Whether jury would have been misled by error in jury charge.</w:t>
            </w:r>
          </w:p>
        </w:tc>
      </w:tr>
      <w:tr w:rsidR="00E70948" w:rsidRPr="00554DB2" w:rsidTr="009C7C08">
        <w:tc>
          <w:tcPr>
            <w:tcW w:w="5000" w:type="pct"/>
            <w:gridSpan w:val="3"/>
          </w:tcPr>
          <w:p w:rsidR="00E70948" w:rsidRPr="00554DB2" w:rsidRDefault="00E70948" w:rsidP="009C7C08">
            <w:pPr>
              <w:jc w:val="both"/>
              <w:rPr>
                <w:rFonts w:eastAsia="Calibri"/>
                <w:sz w:val="20"/>
              </w:rPr>
            </w:pPr>
          </w:p>
        </w:tc>
      </w:tr>
      <w:tr w:rsidR="00E70948" w:rsidRPr="00554DB2" w:rsidTr="009C7C08">
        <w:tc>
          <w:tcPr>
            <w:tcW w:w="5000" w:type="pct"/>
            <w:gridSpan w:val="3"/>
          </w:tcPr>
          <w:p w:rsidR="00E70948" w:rsidRPr="00554DB2" w:rsidRDefault="00E70948" w:rsidP="009C7C08">
            <w:pPr>
              <w:jc w:val="both"/>
              <w:rPr>
                <w:rFonts w:eastAsia="Calibri"/>
                <w:sz w:val="20"/>
              </w:rPr>
            </w:pPr>
            <w:r w:rsidRPr="00554DB2">
              <w:rPr>
                <w:rFonts w:eastAsia="Calibri"/>
                <w:sz w:val="20"/>
              </w:rPr>
              <w:t xml:space="preserve">The respondent was convicted by a jury of conspiracy to commit murder and first degree murder.  The respondent was a street level drug dealer who occasionally sold drugs to the victim.  His alleged co-conspirators enlisted him to lead them to the victim.  The applicant admitted that he participated in the conspiracy but denied knowledge of any intent to commit a murder.  He claimed that he thought his co-conspirators intended only to sell drugs to the victim.  Defence counsel led evidence at trial that three of the co-conspirators had been found guilty of conspiring to commit the murder.  The trial judge instructed the jury not to use the co-conspirators’ convictions as evidence against the respondent or as proof of his intent to commit the offence of conspiracy to murder or the offence of aiding or abetting the murder.  The trial judge then also stated:  “However, you may consider this evidence in assessing the knowledge and intention of Steven Gareau.”  The Court of Appeal held that this sentence was an error that was fatal to the convictions and that could not be cured by the curative </w:t>
            </w:r>
            <w:proofErr w:type="gramStart"/>
            <w:r w:rsidRPr="00554DB2">
              <w:rPr>
                <w:rFonts w:eastAsia="Calibri"/>
                <w:sz w:val="20"/>
              </w:rPr>
              <w:t>proviso,</w:t>
            </w:r>
            <w:proofErr w:type="gramEnd"/>
            <w:r w:rsidRPr="00554DB2">
              <w:rPr>
                <w:rFonts w:eastAsia="Calibri"/>
                <w:sz w:val="20"/>
              </w:rPr>
              <w:t xml:space="preserve"> therefore an order for a new trial was warranted.</w:t>
            </w:r>
          </w:p>
          <w:p w:rsidR="00E70948" w:rsidRPr="00554DB2" w:rsidRDefault="00E70948" w:rsidP="009C7C08">
            <w:pPr>
              <w:jc w:val="both"/>
              <w:rPr>
                <w:rFonts w:eastAsia="Calibri"/>
                <w:sz w:val="20"/>
              </w:rPr>
            </w:pPr>
          </w:p>
        </w:tc>
      </w:tr>
      <w:tr w:rsidR="00E70948" w:rsidRPr="00554DB2" w:rsidTr="009C7C08">
        <w:tblPrEx>
          <w:tblCellMar>
            <w:bottom w:w="0" w:type="dxa"/>
          </w:tblCellMar>
        </w:tblPrEx>
        <w:tc>
          <w:tcPr>
            <w:tcW w:w="2390" w:type="pct"/>
          </w:tcPr>
          <w:p w:rsidR="00E70948" w:rsidRPr="00554DB2" w:rsidRDefault="00E70948" w:rsidP="009C7C08">
            <w:pPr>
              <w:jc w:val="both"/>
              <w:rPr>
                <w:rFonts w:eastAsia="Calibri"/>
                <w:sz w:val="20"/>
              </w:rPr>
            </w:pPr>
            <w:r w:rsidRPr="00554DB2">
              <w:rPr>
                <w:rFonts w:eastAsia="Calibri"/>
                <w:sz w:val="20"/>
              </w:rPr>
              <w:t>June 26, 2003</w:t>
            </w:r>
          </w:p>
          <w:p w:rsidR="00E70948" w:rsidRPr="00554DB2" w:rsidRDefault="00E70948" w:rsidP="009C7C08">
            <w:pPr>
              <w:jc w:val="both"/>
              <w:rPr>
                <w:rFonts w:eastAsia="Calibri"/>
                <w:sz w:val="20"/>
              </w:rPr>
            </w:pPr>
            <w:r w:rsidRPr="00554DB2">
              <w:rPr>
                <w:rFonts w:eastAsia="Calibri"/>
                <w:sz w:val="20"/>
              </w:rPr>
              <w:t>Supreme Court of Nova Scotia,</w:t>
            </w:r>
          </w:p>
          <w:p w:rsidR="00E70948" w:rsidRPr="00554DB2" w:rsidRDefault="00E70948" w:rsidP="009C7C08">
            <w:pPr>
              <w:jc w:val="both"/>
              <w:rPr>
                <w:rFonts w:eastAsia="Calibri"/>
                <w:sz w:val="20"/>
              </w:rPr>
            </w:pPr>
            <w:r w:rsidRPr="00554DB2">
              <w:rPr>
                <w:rFonts w:eastAsia="Calibri"/>
                <w:sz w:val="20"/>
              </w:rPr>
              <w:t>Trial Division</w:t>
            </w:r>
          </w:p>
          <w:p w:rsidR="00E70948" w:rsidRPr="00554DB2" w:rsidRDefault="00E70948" w:rsidP="009C7C08">
            <w:pPr>
              <w:jc w:val="both"/>
              <w:rPr>
                <w:rFonts w:eastAsia="Calibri"/>
                <w:sz w:val="20"/>
              </w:rPr>
            </w:pPr>
          </w:p>
        </w:tc>
        <w:tc>
          <w:tcPr>
            <w:tcW w:w="270" w:type="pct"/>
          </w:tcPr>
          <w:p w:rsidR="00E70948" w:rsidRPr="00554DB2" w:rsidRDefault="00E70948" w:rsidP="009C7C08">
            <w:pPr>
              <w:jc w:val="both"/>
              <w:rPr>
                <w:rFonts w:eastAsia="Calibri"/>
                <w:sz w:val="20"/>
              </w:rPr>
            </w:pPr>
          </w:p>
        </w:tc>
        <w:tc>
          <w:tcPr>
            <w:tcW w:w="2340" w:type="pct"/>
          </w:tcPr>
          <w:p w:rsidR="00E70948" w:rsidRPr="00554DB2" w:rsidRDefault="00E70948" w:rsidP="009C7C08">
            <w:pPr>
              <w:jc w:val="both"/>
              <w:rPr>
                <w:rFonts w:eastAsia="Calibri"/>
                <w:sz w:val="20"/>
              </w:rPr>
            </w:pPr>
            <w:r w:rsidRPr="00554DB2">
              <w:rPr>
                <w:rFonts w:eastAsia="Calibri"/>
                <w:sz w:val="20"/>
              </w:rPr>
              <w:t xml:space="preserve">Convictions by jury for first degree murder and conspiracy to commit murder </w:t>
            </w:r>
          </w:p>
        </w:tc>
      </w:tr>
      <w:tr w:rsidR="00E70948" w:rsidRPr="00554DB2" w:rsidTr="009C7C08">
        <w:tblPrEx>
          <w:tblCellMar>
            <w:bottom w:w="0" w:type="dxa"/>
          </w:tblCellMar>
        </w:tblPrEx>
        <w:tc>
          <w:tcPr>
            <w:tcW w:w="2390" w:type="pct"/>
          </w:tcPr>
          <w:p w:rsidR="00E70948" w:rsidRPr="00554DB2" w:rsidRDefault="00E70948" w:rsidP="009C7C08">
            <w:pPr>
              <w:jc w:val="both"/>
              <w:rPr>
                <w:rFonts w:eastAsia="Calibri"/>
                <w:sz w:val="20"/>
              </w:rPr>
            </w:pPr>
            <w:r w:rsidRPr="00554DB2">
              <w:rPr>
                <w:rFonts w:eastAsia="Calibri"/>
                <w:sz w:val="20"/>
              </w:rPr>
              <w:t>April 25, 2012</w:t>
            </w:r>
          </w:p>
          <w:p w:rsidR="00E70948" w:rsidRPr="00554DB2" w:rsidRDefault="00E70948" w:rsidP="009C7C08">
            <w:pPr>
              <w:jc w:val="both"/>
              <w:rPr>
                <w:rFonts w:eastAsia="Calibri"/>
                <w:sz w:val="20"/>
              </w:rPr>
            </w:pPr>
            <w:r w:rsidRPr="00554DB2">
              <w:rPr>
                <w:rFonts w:eastAsia="Calibri"/>
                <w:sz w:val="20"/>
              </w:rPr>
              <w:t>Nova Scotia Court of Appeal</w:t>
            </w:r>
          </w:p>
          <w:p w:rsidR="00E70948" w:rsidRPr="00554DB2" w:rsidRDefault="00E70948" w:rsidP="009C7C08">
            <w:pPr>
              <w:jc w:val="both"/>
              <w:rPr>
                <w:rFonts w:eastAsia="Calibri"/>
                <w:sz w:val="20"/>
              </w:rPr>
            </w:pPr>
            <w:r w:rsidRPr="00554DB2">
              <w:rPr>
                <w:rFonts w:eastAsia="Calibri"/>
                <w:sz w:val="20"/>
              </w:rPr>
              <w:t>(MacDonald, Fichaud, Farrar JJ.A.)</w:t>
            </w:r>
          </w:p>
          <w:p w:rsidR="00E70948" w:rsidRPr="00554DB2" w:rsidRDefault="00E70948" w:rsidP="009C7C08">
            <w:pPr>
              <w:jc w:val="both"/>
              <w:rPr>
                <w:rFonts w:eastAsia="Calibri"/>
                <w:sz w:val="20"/>
              </w:rPr>
            </w:pPr>
            <w:r w:rsidRPr="00554DB2">
              <w:rPr>
                <w:rFonts w:eastAsia="Calibri"/>
                <w:sz w:val="20"/>
              </w:rPr>
              <w:t>2012 NSCA 41; CAC 237588</w:t>
            </w:r>
          </w:p>
          <w:p w:rsidR="00E70948" w:rsidRPr="00554DB2" w:rsidRDefault="00E70948" w:rsidP="009C7C08">
            <w:pPr>
              <w:jc w:val="both"/>
              <w:rPr>
                <w:rFonts w:eastAsia="Calibri"/>
                <w:sz w:val="20"/>
              </w:rPr>
            </w:pPr>
          </w:p>
        </w:tc>
        <w:tc>
          <w:tcPr>
            <w:tcW w:w="270" w:type="pct"/>
          </w:tcPr>
          <w:p w:rsidR="00E70948" w:rsidRPr="00554DB2" w:rsidRDefault="00E70948" w:rsidP="009C7C08">
            <w:pPr>
              <w:jc w:val="both"/>
              <w:rPr>
                <w:rFonts w:eastAsia="Calibri"/>
                <w:sz w:val="20"/>
              </w:rPr>
            </w:pPr>
          </w:p>
        </w:tc>
        <w:tc>
          <w:tcPr>
            <w:tcW w:w="2340" w:type="pct"/>
          </w:tcPr>
          <w:p w:rsidR="00E70948" w:rsidRPr="00554DB2" w:rsidRDefault="00E70948" w:rsidP="009C7C08">
            <w:pPr>
              <w:jc w:val="both"/>
              <w:rPr>
                <w:rFonts w:eastAsia="Calibri"/>
                <w:sz w:val="20"/>
              </w:rPr>
            </w:pPr>
            <w:r w:rsidRPr="00554DB2">
              <w:rPr>
                <w:rFonts w:eastAsia="Calibri"/>
                <w:sz w:val="20"/>
              </w:rPr>
              <w:t>Appeal allowed, new trial ordered</w:t>
            </w:r>
          </w:p>
          <w:p w:rsidR="00E70948" w:rsidRPr="00554DB2" w:rsidRDefault="00E70948" w:rsidP="009C7C08">
            <w:pPr>
              <w:jc w:val="both"/>
              <w:rPr>
                <w:rFonts w:eastAsia="Calibri"/>
                <w:sz w:val="20"/>
              </w:rPr>
            </w:pPr>
          </w:p>
        </w:tc>
      </w:tr>
      <w:tr w:rsidR="00E70948" w:rsidRPr="00554DB2" w:rsidTr="009C7C08">
        <w:tblPrEx>
          <w:tblCellMar>
            <w:bottom w:w="0" w:type="dxa"/>
          </w:tblCellMar>
        </w:tblPrEx>
        <w:tc>
          <w:tcPr>
            <w:tcW w:w="2390" w:type="pct"/>
          </w:tcPr>
          <w:p w:rsidR="00E70948" w:rsidRPr="00554DB2" w:rsidRDefault="00E70948" w:rsidP="009C7C08">
            <w:pPr>
              <w:jc w:val="both"/>
              <w:rPr>
                <w:rFonts w:eastAsia="Calibri"/>
                <w:sz w:val="20"/>
              </w:rPr>
            </w:pPr>
            <w:r w:rsidRPr="00554DB2">
              <w:rPr>
                <w:rFonts w:eastAsia="Calibri"/>
                <w:sz w:val="20"/>
              </w:rPr>
              <w:t>June 7, 2012</w:t>
            </w:r>
          </w:p>
          <w:p w:rsidR="00E70948" w:rsidRPr="00554DB2" w:rsidRDefault="00E70948" w:rsidP="009C7C08">
            <w:pPr>
              <w:jc w:val="both"/>
              <w:rPr>
                <w:rFonts w:eastAsia="Calibri"/>
                <w:sz w:val="20"/>
              </w:rPr>
            </w:pPr>
            <w:r w:rsidRPr="00554DB2">
              <w:rPr>
                <w:rFonts w:eastAsia="Calibri"/>
                <w:sz w:val="20"/>
              </w:rPr>
              <w:t>Supreme Court of Canada</w:t>
            </w:r>
          </w:p>
          <w:p w:rsidR="00E70948" w:rsidRPr="00554DB2" w:rsidRDefault="00E70948" w:rsidP="009C7C08">
            <w:pPr>
              <w:jc w:val="both"/>
              <w:rPr>
                <w:rFonts w:eastAsia="Calibri"/>
                <w:sz w:val="20"/>
              </w:rPr>
            </w:pPr>
          </w:p>
        </w:tc>
        <w:tc>
          <w:tcPr>
            <w:tcW w:w="270" w:type="pct"/>
          </w:tcPr>
          <w:p w:rsidR="00E70948" w:rsidRPr="00554DB2" w:rsidRDefault="00E70948" w:rsidP="009C7C08">
            <w:pPr>
              <w:jc w:val="both"/>
              <w:rPr>
                <w:rFonts w:eastAsia="Calibri"/>
                <w:sz w:val="20"/>
              </w:rPr>
            </w:pPr>
          </w:p>
        </w:tc>
        <w:tc>
          <w:tcPr>
            <w:tcW w:w="2340" w:type="pct"/>
          </w:tcPr>
          <w:p w:rsidR="00E70948" w:rsidRPr="00554DB2" w:rsidRDefault="00E70948" w:rsidP="009C7C08">
            <w:pPr>
              <w:jc w:val="both"/>
              <w:rPr>
                <w:rFonts w:eastAsia="Calibri"/>
                <w:sz w:val="20"/>
              </w:rPr>
            </w:pPr>
            <w:r w:rsidRPr="00554DB2">
              <w:rPr>
                <w:rFonts w:eastAsia="Calibri"/>
                <w:sz w:val="20"/>
              </w:rPr>
              <w:t>Application for leave to appeal filed</w:t>
            </w:r>
          </w:p>
          <w:p w:rsidR="00E70948" w:rsidRPr="00554DB2" w:rsidRDefault="00E70948"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66" style="width:2in;height:1pt" o:hrpct="0" o:hralign="center" o:hrstd="t" o:hrnoshade="t" o:hr="t" fillcolor="black [3213]" stroked="f"/>
        </w:pict>
      </w:r>
    </w:p>
    <w:p w:rsidR="00FA1074" w:rsidRDefault="00FA1074" w:rsidP="00FA1074">
      <w:pPr>
        <w:rPr>
          <w:sz w:val="20"/>
          <w:szCs w:val="20"/>
        </w:rPr>
      </w:pPr>
    </w:p>
    <w:p w:rsidR="00B565D7" w:rsidRDefault="00B565D7">
      <w:pPr>
        <w:rPr>
          <w:sz w:val="20"/>
          <w:szCs w:val="20"/>
          <w:u w:val="single"/>
          <w:lang w:val="fr-CA"/>
        </w:rPr>
      </w:pPr>
      <w:r>
        <w:rPr>
          <w:sz w:val="20"/>
          <w:szCs w:val="20"/>
          <w:u w:val="single"/>
          <w:lang w:val="fr-CA"/>
        </w:rPr>
        <w:br w:type="page"/>
      </w: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E70948" w:rsidRPr="005571F9" w:rsidTr="009C7C08">
        <w:tc>
          <w:tcPr>
            <w:tcW w:w="5000" w:type="pct"/>
            <w:gridSpan w:val="3"/>
          </w:tcPr>
          <w:p w:rsidR="00E70948" w:rsidRPr="00554DB2" w:rsidRDefault="00E70948" w:rsidP="009C7C08">
            <w:pPr>
              <w:jc w:val="both"/>
              <w:rPr>
                <w:rFonts w:eastAsia="Calibri"/>
                <w:sz w:val="20"/>
                <w:lang w:val="fr-CA"/>
              </w:rPr>
            </w:pPr>
            <w:r w:rsidRPr="00554DB2">
              <w:rPr>
                <w:rFonts w:eastAsia="Calibri"/>
                <w:sz w:val="20"/>
                <w:lang w:val="fr-CA"/>
              </w:rPr>
              <w:t>Droit criminel — Exposé au jury — La déclaration de culpabilité de meurtre au premier degré et de complot en vue de commettre un meurtre aurait</w:t>
            </w:r>
            <w:r w:rsidRPr="00554DB2">
              <w:rPr>
                <w:rFonts w:eastAsia="Calibri"/>
                <w:sz w:val="20"/>
                <w:lang w:val="fr-CA"/>
              </w:rPr>
              <w:noBreakHyphen/>
              <w:t>elle dû être annulée en appel en raison d'une erreur dans l'exposé au jury relativement à l'utilisation de la preuve de condamnations antérieures de coconspirateurs? — La Cour d'appel a</w:t>
            </w:r>
            <w:r w:rsidRPr="00554DB2">
              <w:rPr>
                <w:rFonts w:eastAsia="Calibri"/>
                <w:sz w:val="20"/>
                <w:lang w:val="fr-CA"/>
              </w:rPr>
              <w:noBreakHyphen/>
              <w:t>t</w:t>
            </w:r>
            <w:r w:rsidRPr="00554DB2">
              <w:rPr>
                <w:rFonts w:eastAsia="Calibri"/>
                <w:sz w:val="20"/>
                <w:lang w:val="fr-CA"/>
              </w:rPr>
              <w:noBreakHyphen/>
              <w:t>elle eu tort de ne pas avoir examiné l'exposé au jury dans son ensemble et selon une approche fonctionnelle lorsqu'elle a conclu qu'une seule phrase était fatale à l'accusation au complet? — Le jury aurait</w:t>
            </w:r>
            <w:r w:rsidRPr="00554DB2">
              <w:rPr>
                <w:rFonts w:eastAsia="Calibri"/>
                <w:sz w:val="20"/>
                <w:lang w:val="fr-CA"/>
              </w:rPr>
              <w:noBreakHyphen/>
              <w:t>il été trompé par l'erreur dans l'exposé qui lui a été fait?</w:t>
            </w:r>
          </w:p>
        </w:tc>
      </w:tr>
      <w:tr w:rsidR="00E70948" w:rsidRPr="005571F9" w:rsidTr="009C7C08">
        <w:tc>
          <w:tcPr>
            <w:tcW w:w="5000" w:type="pct"/>
            <w:gridSpan w:val="3"/>
          </w:tcPr>
          <w:p w:rsidR="00E70948" w:rsidRPr="00554DB2" w:rsidRDefault="00E70948" w:rsidP="009C7C08">
            <w:pPr>
              <w:jc w:val="both"/>
              <w:rPr>
                <w:rFonts w:eastAsia="Calibri"/>
                <w:sz w:val="20"/>
                <w:lang w:val="fr-CA"/>
              </w:rPr>
            </w:pPr>
          </w:p>
        </w:tc>
      </w:tr>
      <w:tr w:rsidR="00E70948" w:rsidRPr="005571F9" w:rsidTr="009C7C08">
        <w:tc>
          <w:tcPr>
            <w:tcW w:w="5000" w:type="pct"/>
            <w:gridSpan w:val="3"/>
          </w:tcPr>
          <w:p w:rsidR="00E70948" w:rsidRPr="00554DB2" w:rsidRDefault="00E70948" w:rsidP="009C7C08">
            <w:pPr>
              <w:jc w:val="both"/>
              <w:rPr>
                <w:rFonts w:eastAsia="Calibri"/>
                <w:sz w:val="20"/>
                <w:lang w:val="fr-CA"/>
              </w:rPr>
            </w:pPr>
            <w:r w:rsidRPr="00554DB2">
              <w:rPr>
                <w:rFonts w:eastAsia="Calibri"/>
                <w:sz w:val="20"/>
                <w:lang w:val="fr-CA"/>
              </w:rPr>
              <w:t>L'intimé a été déclaré coupable par un jury de complot en vue de commettre un meurtre et de meurtre au premier degré.  L'intimé était un trafiquant de drogue de la rue qui vendait occasionnellement de la drogue à la victime. Ses présumés coconspirateurs l'avaient recruté pour qu'il les mène à la victime.  Le demandeur a admis avoir participé au complot, mais à nié avoir eu connaissance de toute intention de commettre un meurtre.  Il a allégué avoir cru que ses coconspirateurs avaient simplement voulu vendre de la drogue à la victime.  L'avocat de la défense a présenté une preuve au procès selon laquelle trois des coconspirateurs avaient été déclarés coupables de complot en vue de commettre le meurtre.  Dans ses directives, le juge du procès a demandé au jury de ne pas utiliser les condamnations des coconspirateurs comme preuve contre l'intimé ou comme preuve de son intention de commettre l'infraction de complot en vue de commettre un meurtre ou de l'infraction d'avoir aidé ou encouragé la perpétration du meurtre.  Le juge du procès a alors ajouté : [</w:t>
            </w:r>
            <w:r w:rsidRPr="00554DB2">
              <w:rPr>
                <w:rFonts w:eastAsia="Calibri"/>
                <w:smallCaps/>
                <w:sz w:val="20"/>
                <w:lang w:val="fr-CA"/>
              </w:rPr>
              <w:t>traduction</w:t>
            </w:r>
            <w:r w:rsidRPr="00554DB2">
              <w:rPr>
                <w:rFonts w:eastAsia="Calibri"/>
                <w:sz w:val="20"/>
                <w:lang w:val="fr-CA"/>
              </w:rPr>
              <w:t>] « Cependant, vous pouvez prendre en compte cette preuve dans votre appréciation de la connaissance et de l'intention de Steven Gareau. »  La Cour d'appel a statué que cette phrase était une erreur qui était fatale aux déclarations de culpabilité et qu'elle ne pouvait être rectifiée par la disposition réparatrice, si bien qu’une ordonnance de nouveau procès s’imposait.</w:t>
            </w:r>
          </w:p>
          <w:p w:rsidR="00E70948" w:rsidRPr="00554DB2" w:rsidRDefault="00E70948" w:rsidP="009C7C08">
            <w:pPr>
              <w:jc w:val="both"/>
              <w:rPr>
                <w:rFonts w:eastAsia="Calibri"/>
                <w:sz w:val="20"/>
                <w:lang w:val="fr-CA"/>
              </w:rPr>
            </w:pPr>
          </w:p>
        </w:tc>
      </w:tr>
      <w:tr w:rsidR="00E70948" w:rsidRPr="005571F9" w:rsidTr="009C7C08">
        <w:tblPrEx>
          <w:tblCellMar>
            <w:bottom w:w="0" w:type="dxa"/>
          </w:tblCellMar>
        </w:tblPrEx>
        <w:tc>
          <w:tcPr>
            <w:tcW w:w="2390" w:type="pct"/>
          </w:tcPr>
          <w:p w:rsidR="00E70948" w:rsidRPr="00554DB2" w:rsidRDefault="00E70948" w:rsidP="009C7C08">
            <w:pPr>
              <w:jc w:val="both"/>
              <w:rPr>
                <w:rFonts w:eastAsia="Calibri"/>
                <w:sz w:val="20"/>
                <w:lang w:val="fr-CA"/>
              </w:rPr>
            </w:pPr>
            <w:r w:rsidRPr="00554DB2">
              <w:rPr>
                <w:rFonts w:eastAsia="Calibri"/>
                <w:sz w:val="20"/>
                <w:lang w:val="fr-CA"/>
              </w:rPr>
              <w:t>26 juin 2003</w:t>
            </w:r>
          </w:p>
          <w:p w:rsidR="00E70948" w:rsidRPr="00554DB2" w:rsidRDefault="00E70948" w:rsidP="009C7C08">
            <w:pPr>
              <w:jc w:val="both"/>
              <w:rPr>
                <w:rFonts w:eastAsia="Calibri"/>
                <w:sz w:val="20"/>
                <w:lang w:val="fr-CA"/>
              </w:rPr>
            </w:pPr>
            <w:r w:rsidRPr="00554DB2">
              <w:rPr>
                <w:rFonts w:eastAsia="Calibri"/>
                <w:sz w:val="20"/>
                <w:lang w:val="fr-CA"/>
              </w:rPr>
              <w:t>Cour suprême de la Nouvelle</w:t>
            </w:r>
            <w:r w:rsidRPr="00554DB2">
              <w:rPr>
                <w:rFonts w:eastAsia="Calibri"/>
                <w:sz w:val="20"/>
                <w:lang w:val="fr-CA"/>
              </w:rPr>
              <w:noBreakHyphen/>
              <w:t>Écosse,</w:t>
            </w:r>
          </w:p>
          <w:p w:rsidR="00E70948" w:rsidRPr="00554DB2" w:rsidRDefault="00E70948" w:rsidP="009C7C08">
            <w:pPr>
              <w:jc w:val="both"/>
              <w:rPr>
                <w:rFonts w:eastAsia="Calibri"/>
                <w:sz w:val="20"/>
                <w:lang w:val="fr-CA"/>
              </w:rPr>
            </w:pPr>
            <w:r w:rsidRPr="00554DB2">
              <w:rPr>
                <w:rFonts w:eastAsia="Calibri"/>
                <w:sz w:val="20"/>
                <w:lang w:val="fr-CA"/>
              </w:rPr>
              <w:t>Section de première instance</w:t>
            </w:r>
          </w:p>
          <w:p w:rsidR="00E70948" w:rsidRPr="00554DB2" w:rsidRDefault="00E70948" w:rsidP="009C7C08">
            <w:pPr>
              <w:jc w:val="both"/>
              <w:rPr>
                <w:rFonts w:eastAsia="Calibri"/>
                <w:sz w:val="20"/>
                <w:lang w:val="fr-CA"/>
              </w:rPr>
            </w:pPr>
          </w:p>
        </w:tc>
        <w:tc>
          <w:tcPr>
            <w:tcW w:w="270" w:type="pct"/>
          </w:tcPr>
          <w:p w:rsidR="00E70948" w:rsidRPr="00554DB2" w:rsidRDefault="00E70948" w:rsidP="009C7C08">
            <w:pPr>
              <w:jc w:val="both"/>
              <w:rPr>
                <w:rFonts w:eastAsia="Calibri"/>
                <w:sz w:val="20"/>
                <w:lang w:val="fr-CA"/>
              </w:rPr>
            </w:pPr>
          </w:p>
        </w:tc>
        <w:tc>
          <w:tcPr>
            <w:tcW w:w="2340" w:type="pct"/>
          </w:tcPr>
          <w:p w:rsidR="00E70948" w:rsidRPr="00554DB2" w:rsidRDefault="00E70948" w:rsidP="009C7C08">
            <w:pPr>
              <w:jc w:val="both"/>
              <w:rPr>
                <w:rFonts w:eastAsia="Calibri"/>
                <w:sz w:val="20"/>
                <w:lang w:val="fr-CA"/>
              </w:rPr>
            </w:pPr>
            <w:r w:rsidRPr="00554DB2">
              <w:rPr>
                <w:rFonts w:eastAsia="Calibri"/>
                <w:sz w:val="20"/>
                <w:lang w:val="fr-CA"/>
              </w:rPr>
              <w:t>Déclaration de culpabilité par un jury de meurtre au premier degré et de complot en vue de commettre un meurtre</w:t>
            </w:r>
          </w:p>
        </w:tc>
      </w:tr>
      <w:tr w:rsidR="00E70948" w:rsidRPr="00554DB2" w:rsidTr="009C7C08">
        <w:tblPrEx>
          <w:tblCellMar>
            <w:bottom w:w="0" w:type="dxa"/>
          </w:tblCellMar>
        </w:tblPrEx>
        <w:tc>
          <w:tcPr>
            <w:tcW w:w="2390" w:type="pct"/>
          </w:tcPr>
          <w:p w:rsidR="00E70948" w:rsidRPr="00554DB2" w:rsidRDefault="00E70948" w:rsidP="009C7C08">
            <w:pPr>
              <w:jc w:val="both"/>
              <w:rPr>
                <w:rFonts w:eastAsia="Calibri"/>
                <w:sz w:val="20"/>
                <w:lang w:val="fr-CA"/>
              </w:rPr>
            </w:pPr>
            <w:r w:rsidRPr="00554DB2">
              <w:rPr>
                <w:rFonts w:eastAsia="Calibri"/>
                <w:sz w:val="20"/>
                <w:lang w:val="fr-CA"/>
              </w:rPr>
              <w:t>25 avril 2012</w:t>
            </w:r>
          </w:p>
          <w:p w:rsidR="00E70948" w:rsidRPr="00554DB2" w:rsidRDefault="00E70948" w:rsidP="009C7C08">
            <w:pPr>
              <w:jc w:val="both"/>
              <w:rPr>
                <w:rFonts w:eastAsia="Calibri"/>
                <w:sz w:val="20"/>
                <w:lang w:val="fr-CA"/>
              </w:rPr>
            </w:pPr>
            <w:r w:rsidRPr="00554DB2">
              <w:rPr>
                <w:rFonts w:eastAsia="Calibri"/>
                <w:sz w:val="20"/>
                <w:lang w:val="fr-CA"/>
              </w:rPr>
              <w:t>Cour d'appel de la Nouvelle</w:t>
            </w:r>
            <w:r w:rsidRPr="00554DB2">
              <w:rPr>
                <w:rFonts w:eastAsia="Calibri"/>
                <w:sz w:val="20"/>
                <w:lang w:val="fr-CA"/>
              </w:rPr>
              <w:noBreakHyphen/>
              <w:t xml:space="preserve">Écosse </w:t>
            </w:r>
          </w:p>
          <w:p w:rsidR="00E70948" w:rsidRPr="00554DB2" w:rsidRDefault="00E70948" w:rsidP="009C7C08">
            <w:pPr>
              <w:jc w:val="both"/>
              <w:rPr>
                <w:rFonts w:eastAsia="Calibri"/>
                <w:sz w:val="20"/>
                <w:lang w:val="fr-CA"/>
              </w:rPr>
            </w:pPr>
            <w:r w:rsidRPr="00554DB2">
              <w:rPr>
                <w:rFonts w:eastAsia="Calibri"/>
                <w:sz w:val="20"/>
                <w:lang w:val="fr-CA"/>
              </w:rPr>
              <w:t>(Juges MacDonald, Fichaud et Farrar)</w:t>
            </w:r>
          </w:p>
          <w:p w:rsidR="00E70948" w:rsidRPr="00554DB2" w:rsidRDefault="00E70948" w:rsidP="009C7C08">
            <w:pPr>
              <w:jc w:val="both"/>
              <w:rPr>
                <w:rFonts w:eastAsia="Calibri"/>
                <w:sz w:val="20"/>
                <w:lang w:val="fr-CA"/>
              </w:rPr>
            </w:pPr>
            <w:r w:rsidRPr="00554DB2">
              <w:rPr>
                <w:rFonts w:eastAsia="Calibri"/>
                <w:sz w:val="20"/>
                <w:lang w:val="fr-CA"/>
              </w:rPr>
              <w:t>2012 NSCA 41; CAC 237588</w:t>
            </w:r>
          </w:p>
          <w:p w:rsidR="00E70948" w:rsidRPr="00554DB2" w:rsidRDefault="00E70948" w:rsidP="009C7C08">
            <w:pPr>
              <w:jc w:val="both"/>
              <w:rPr>
                <w:rFonts w:eastAsia="Calibri"/>
                <w:sz w:val="20"/>
                <w:lang w:val="fr-CA"/>
              </w:rPr>
            </w:pPr>
          </w:p>
        </w:tc>
        <w:tc>
          <w:tcPr>
            <w:tcW w:w="270" w:type="pct"/>
          </w:tcPr>
          <w:p w:rsidR="00E70948" w:rsidRPr="00554DB2" w:rsidRDefault="00E70948" w:rsidP="009C7C08">
            <w:pPr>
              <w:jc w:val="both"/>
              <w:rPr>
                <w:rFonts w:eastAsia="Calibri"/>
                <w:sz w:val="20"/>
                <w:lang w:val="fr-CA"/>
              </w:rPr>
            </w:pPr>
          </w:p>
        </w:tc>
        <w:tc>
          <w:tcPr>
            <w:tcW w:w="2340" w:type="pct"/>
          </w:tcPr>
          <w:p w:rsidR="00E70948" w:rsidRPr="00554DB2" w:rsidRDefault="00E70948" w:rsidP="009C7C08">
            <w:pPr>
              <w:jc w:val="both"/>
              <w:rPr>
                <w:rFonts w:eastAsia="Calibri"/>
                <w:sz w:val="20"/>
                <w:lang w:val="fr-CA"/>
              </w:rPr>
            </w:pPr>
            <w:r w:rsidRPr="00554DB2">
              <w:rPr>
                <w:rFonts w:eastAsia="Calibri"/>
                <w:sz w:val="20"/>
                <w:lang w:val="fr-CA"/>
              </w:rPr>
              <w:t>Appel accueilli, nouveau procès ordonné</w:t>
            </w:r>
          </w:p>
          <w:p w:rsidR="00E70948" w:rsidRPr="00554DB2" w:rsidRDefault="00E70948" w:rsidP="009C7C08">
            <w:pPr>
              <w:jc w:val="both"/>
              <w:rPr>
                <w:rFonts w:eastAsia="Calibri"/>
                <w:sz w:val="20"/>
                <w:lang w:val="fr-CA"/>
              </w:rPr>
            </w:pPr>
          </w:p>
        </w:tc>
      </w:tr>
      <w:tr w:rsidR="00E70948" w:rsidRPr="00554DB2" w:rsidTr="009C7C08">
        <w:tblPrEx>
          <w:tblCellMar>
            <w:bottom w:w="0" w:type="dxa"/>
          </w:tblCellMar>
        </w:tblPrEx>
        <w:tc>
          <w:tcPr>
            <w:tcW w:w="2390" w:type="pct"/>
          </w:tcPr>
          <w:p w:rsidR="00E70948" w:rsidRPr="00554DB2" w:rsidRDefault="00E70948" w:rsidP="009C7C08">
            <w:pPr>
              <w:jc w:val="both"/>
              <w:rPr>
                <w:rFonts w:eastAsia="Calibri"/>
                <w:sz w:val="20"/>
                <w:lang w:val="fr-CA"/>
              </w:rPr>
            </w:pPr>
            <w:r w:rsidRPr="00554DB2">
              <w:rPr>
                <w:rFonts w:eastAsia="Calibri"/>
                <w:sz w:val="20"/>
                <w:lang w:val="fr-CA"/>
              </w:rPr>
              <w:t>7 juin 2012</w:t>
            </w:r>
          </w:p>
          <w:p w:rsidR="00E70948" w:rsidRPr="00554DB2" w:rsidRDefault="00E70948" w:rsidP="009C7C08">
            <w:pPr>
              <w:jc w:val="both"/>
              <w:rPr>
                <w:rFonts w:eastAsia="Calibri"/>
                <w:sz w:val="20"/>
                <w:lang w:val="fr-CA"/>
              </w:rPr>
            </w:pPr>
            <w:r w:rsidRPr="00554DB2">
              <w:rPr>
                <w:rFonts w:eastAsia="Calibri"/>
                <w:sz w:val="20"/>
                <w:lang w:val="fr-CA"/>
              </w:rPr>
              <w:t>Cour suprême du Canada</w:t>
            </w:r>
          </w:p>
        </w:tc>
        <w:tc>
          <w:tcPr>
            <w:tcW w:w="270" w:type="pct"/>
          </w:tcPr>
          <w:p w:rsidR="00E70948" w:rsidRPr="00554DB2" w:rsidRDefault="00E70948" w:rsidP="009C7C08">
            <w:pPr>
              <w:jc w:val="both"/>
              <w:rPr>
                <w:rFonts w:eastAsia="Calibri"/>
                <w:sz w:val="20"/>
                <w:lang w:val="fr-CA"/>
              </w:rPr>
            </w:pPr>
          </w:p>
        </w:tc>
        <w:tc>
          <w:tcPr>
            <w:tcW w:w="2340" w:type="pct"/>
          </w:tcPr>
          <w:p w:rsidR="00E70948" w:rsidRPr="00554DB2" w:rsidRDefault="00E70948" w:rsidP="009C7C08">
            <w:pPr>
              <w:jc w:val="both"/>
              <w:rPr>
                <w:rFonts w:eastAsia="Calibri"/>
                <w:sz w:val="20"/>
                <w:lang w:val="fr-CA"/>
              </w:rPr>
            </w:pPr>
            <w:r w:rsidRPr="00554DB2">
              <w:rPr>
                <w:rFonts w:eastAsia="Calibri"/>
                <w:sz w:val="20"/>
                <w:lang w:val="fr-CA"/>
              </w:rPr>
              <w:t>Demande d'autorisation d'appel, déposée</w:t>
            </w:r>
          </w:p>
          <w:p w:rsidR="00E70948" w:rsidRPr="00554DB2" w:rsidRDefault="00E70948"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67"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565D7" w:rsidRPr="00975B77" w:rsidTr="00032CB5">
        <w:trPr>
          <w:cantSplit/>
        </w:trPr>
        <w:tc>
          <w:tcPr>
            <w:tcW w:w="1458" w:type="dxa"/>
          </w:tcPr>
          <w:p w:rsidR="00B565D7" w:rsidRPr="00975B77" w:rsidRDefault="00B565D7" w:rsidP="00032CB5">
            <w:pPr>
              <w:rPr>
                <w:sz w:val="20"/>
                <w:szCs w:val="20"/>
              </w:rPr>
            </w:pPr>
            <w:r w:rsidRPr="00975B77">
              <w:rPr>
                <w:rStyle w:val="SCCFileNumberChar"/>
                <w:sz w:val="20"/>
                <w:szCs w:val="20"/>
              </w:rPr>
              <w:t>34864</w:t>
            </w:r>
          </w:p>
          <w:p w:rsidR="00B565D7" w:rsidRPr="00975B77" w:rsidRDefault="00B565D7" w:rsidP="00032CB5">
            <w:pPr>
              <w:rPr>
                <w:b/>
                <w:sz w:val="20"/>
                <w:szCs w:val="20"/>
                <w:lang w:val="fr-CA"/>
              </w:rPr>
            </w:pPr>
          </w:p>
        </w:tc>
        <w:tc>
          <w:tcPr>
            <w:tcW w:w="8118" w:type="dxa"/>
          </w:tcPr>
          <w:p w:rsidR="00B565D7" w:rsidRPr="00975B77" w:rsidRDefault="00B565D7" w:rsidP="00032CB5">
            <w:pPr>
              <w:rPr>
                <w:sz w:val="20"/>
                <w:szCs w:val="20"/>
              </w:rPr>
            </w:pPr>
            <w:r w:rsidRPr="00B565D7">
              <w:rPr>
                <w:rStyle w:val="SCCLsocChar"/>
                <w:sz w:val="20"/>
                <w:szCs w:val="20"/>
                <w:lang w:val="en-CA"/>
              </w:rPr>
              <w:t>Mohamed C.Z. Khan v. Her Majesty the Queen</w:t>
            </w:r>
            <w:r w:rsidRPr="00975B77">
              <w:rPr>
                <w:sz w:val="20"/>
                <w:szCs w:val="20"/>
              </w:rPr>
              <w:t xml:space="preserve"> (F.C.) (Civil) (By Leave)</w:t>
            </w:r>
          </w:p>
          <w:p w:rsidR="00B565D7" w:rsidRPr="00975B77" w:rsidRDefault="00B565D7" w:rsidP="00032CB5">
            <w:pPr>
              <w:rPr>
                <w:sz w:val="20"/>
                <w:szCs w:val="20"/>
              </w:rPr>
            </w:pPr>
          </w:p>
        </w:tc>
      </w:tr>
      <w:tr w:rsidR="00B565D7" w:rsidRPr="00975B77" w:rsidTr="00032CB5">
        <w:trPr>
          <w:cantSplit/>
        </w:trPr>
        <w:tc>
          <w:tcPr>
            <w:tcW w:w="1458" w:type="dxa"/>
          </w:tcPr>
          <w:p w:rsidR="00B565D7" w:rsidRPr="00975B77" w:rsidRDefault="00B565D7" w:rsidP="00032CB5">
            <w:pPr>
              <w:rPr>
                <w:sz w:val="20"/>
                <w:szCs w:val="20"/>
              </w:rPr>
            </w:pPr>
            <w:r w:rsidRPr="00975B77">
              <w:rPr>
                <w:sz w:val="20"/>
                <w:szCs w:val="20"/>
              </w:rPr>
              <w:t>Coram :</w:t>
            </w:r>
          </w:p>
        </w:tc>
        <w:tc>
          <w:tcPr>
            <w:tcW w:w="8118" w:type="dxa"/>
          </w:tcPr>
          <w:p w:rsidR="00B565D7" w:rsidRPr="00975B77" w:rsidRDefault="00B565D7" w:rsidP="00032CB5">
            <w:pPr>
              <w:rPr>
                <w:sz w:val="20"/>
                <w:szCs w:val="20"/>
              </w:rPr>
            </w:pPr>
            <w:r w:rsidRPr="00B565D7">
              <w:rPr>
                <w:rStyle w:val="SCCCoramChar"/>
                <w:sz w:val="20"/>
                <w:szCs w:val="20"/>
                <w:lang w:val="en-CA"/>
              </w:rPr>
              <w:t>Fish, Rothstein and Karakatsanis JJ.</w:t>
            </w:r>
          </w:p>
          <w:p w:rsidR="00B565D7" w:rsidRPr="00975B77" w:rsidRDefault="00B565D7" w:rsidP="00032CB5">
            <w:pPr>
              <w:rPr>
                <w:sz w:val="20"/>
                <w:szCs w:val="20"/>
                <w:u w:val="single"/>
              </w:rPr>
            </w:pPr>
          </w:p>
        </w:tc>
      </w:tr>
      <w:tr w:rsidR="00B565D7" w:rsidRPr="005571F9" w:rsidTr="00032CB5">
        <w:trPr>
          <w:cantSplit/>
        </w:trPr>
        <w:tc>
          <w:tcPr>
            <w:tcW w:w="9576" w:type="dxa"/>
            <w:gridSpan w:val="2"/>
          </w:tcPr>
          <w:p w:rsidR="00B565D7" w:rsidRPr="00975B77" w:rsidRDefault="00B565D7" w:rsidP="00032CB5">
            <w:pPr>
              <w:pStyle w:val="SCCShortJudgment"/>
              <w:rPr>
                <w:szCs w:val="20"/>
              </w:rPr>
            </w:pPr>
            <w:r w:rsidRPr="00975B77">
              <w:rPr>
                <w:szCs w:val="20"/>
              </w:rPr>
              <w:t>The application for leave to appeal from the judgment of the Federal Court of Appeal, Number A-158-11, dated April 10, 2012, is dismissed with costs.</w:t>
            </w:r>
          </w:p>
          <w:p w:rsidR="00B565D7" w:rsidRPr="00975B77" w:rsidRDefault="00B565D7" w:rsidP="00032CB5">
            <w:pPr>
              <w:pStyle w:val="SCCShortJudgment"/>
              <w:ind w:firstLine="0"/>
              <w:rPr>
                <w:szCs w:val="20"/>
              </w:rPr>
            </w:pPr>
          </w:p>
          <w:p w:rsidR="00B565D7" w:rsidRPr="00975B77" w:rsidRDefault="00B565D7" w:rsidP="00032CB5">
            <w:pPr>
              <w:pStyle w:val="SCCShortJudgment"/>
              <w:rPr>
                <w:szCs w:val="20"/>
                <w:lang w:val="fr-CA"/>
              </w:rPr>
            </w:pPr>
            <w:r w:rsidRPr="00975B77">
              <w:rPr>
                <w:szCs w:val="20"/>
                <w:lang w:val="fr-CA"/>
              </w:rPr>
              <w:t>La demande d’autorisation d’appel de l’arrêt de la Cour d’appel fédérale, numéro A-158-11, daté du 10 avril 2012, est rejetée avec dépens.</w:t>
            </w:r>
          </w:p>
        </w:tc>
      </w:tr>
    </w:tbl>
    <w:p w:rsidR="00FA1074" w:rsidRPr="00B565D7"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F0DEC" w:rsidRPr="00554DB2" w:rsidTr="009C7C08">
        <w:tc>
          <w:tcPr>
            <w:tcW w:w="5000" w:type="pct"/>
            <w:gridSpan w:val="3"/>
          </w:tcPr>
          <w:p w:rsidR="00DF0DEC" w:rsidRPr="00554DB2" w:rsidRDefault="00DF0DEC" w:rsidP="009C7C08">
            <w:pPr>
              <w:jc w:val="both"/>
              <w:rPr>
                <w:rFonts w:eastAsia="Calibri"/>
                <w:sz w:val="20"/>
              </w:rPr>
            </w:pPr>
            <w:r w:rsidRPr="00554DB2">
              <w:rPr>
                <w:rFonts w:eastAsia="Calibri"/>
                <w:sz w:val="20"/>
              </w:rPr>
              <w:t>Civil procedure — Appeal dismissed as constituting an abuse of process — Whether the Court of Appeal erred in dismissing the appeal?</w:t>
            </w:r>
          </w:p>
        </w:tc>
      </w:tr>
      <w:tr w:rsidR="00DF0DEC" w:rsidRPr="00554DB2" w:rsidTr="009C7C08">
        <w:tc>
          <w:tcPr>
            <w:tcW w:w="5000" w:type="pct"/>
            <w:gridSpan w:val="3"/>
          </w:tcPr>
          <w:p w:rsidR="00DF0DEC" w:rsidRPr="00554DB2" w:rsidRDefault="00DF0DEC" w:rsidP="009C7C08">
            <w:pPr>
              <w:jc w:val="both"/>
              <w:rPr>
                <w:rFonts w:eastAsia="Calibri"/>
                <w:sz w:val="20"/>
              </w:rPr>
            </w:pPr>
          </w:p>
        </w:tc>
      </w:tr>
      <w:tr w:rsidR="00DF0DEC" w:rsidRPr="00554DB2" w:rsidTr="009C7C08">
        <w:tc>
          <w:tcPr>
            <w:tcW w:w="5000" w:type="pct"/>
            <w:gridSpan w:val="3"/>
          </w:tcPr>
          <w:p w:rsidR="00DF0DEC" w:rsidRPr="00554DB2" w:rsidRDefault="00DF0DEC" w:rsidP="009C7C08">
            <w:pPr>
              <w:jc w:val="both"/>
              <w:rPr>
                <w:rFonts w:eastAsia="Calibri"/>
                <w:sz w:val="20"/>
              </w:rPr>
            </w:pPr>
            <w:r w:rsidRPr="00554DB2">
              <w:rPr>
                <w:rFonts w:eastAsia="Calibri"/>
                <w:sz w:val="20"/>
              </w:rPr>
              <w:t xml:space="preserve">Mr. Khan filed a statement of claim in the Federal Court, seeking $27.7 million against the respondent.  The claim alleged “wrongful criminal E.I. ‘double-dipping’ fraud prosecution”, defamation and discrimination. </w:t>
            </w:r>
          </w:p>
          <w:p w:rsidR="00DF0DEC" w:rsidRPr="00554DB2" w:rsidRDefault="00DF0DEC" w:rsidP="009C7C08">
            <w:pPr>
              <w:jc w:val="both"/>
              <w:rPr>
                <w:rFonts w:eastAsia="Calibri"/>
                <w:sz w:val="20"/>
              </w:rPr>
            </w:pPr>
          </w:p>
          <w:p w:rsidR="00DF0DEC" w:rsidRPr="00554DB2" w:rsidRDefault="00DF0DEC" w:rsidP="009C7C08">
            <w:pPr>
              <w:jc w:val="both"/>
              <w:rPr>
                <w:rFonts w:eastAsia="Calibri"/>
                <w:sz w:val="20"/>
              </w:rPr>
            </w:pPr>
            <w:r w:rsidRPr="00554DB2">
              <w:rPr>
                <w:rFonts w:eastAsia="Calibri"/>
                <w:sz w:val="20"/>
              </w:rPr>
              <w:t xml:space="preserve">The respondent filed a motion to strike out the claim on the ground that it was </w:t>
            </w:r>
            <w:r w:rsidRPr="00554DB2">
              <w:rPr>
                <w:rFonts w:eastAsia="Calibri"/>
                <w:i/>
                <w:sz w:val="20"/>
              </w:rPr>
              <w:t>res judicata</w:t>
            </w:r>
            <w:r w:rsidRPr="00554DB2">
              <w:rPr>
                <w:rFonts w:eastAsia="Calibri"/>
                <w:sz w:val="20"/>
              </w:rPr>
              <w:t xml:space="preserve"> and was an abuse of process.  The Federal Court granted the respondent’s motion.  Mr. Khan filed a notice of appeal.  Since the parties could not agree on the contents of the appeal book, the court issued an order determining that content. Subsequently, the respondent filed a motion to strike the claim.  The Court of appeal granted the motion.  It noted that Mr. Khan had not complied with the court’s order and that the motion record clearly showed that the claim was abusive.  The Court of Appeal refused to reconsider its decision.</w:t>
            </w:r>
          </w:p>
          <w:p w:rsidR="00DF0DEC" w:rsidRPr="00554DB2" w:rsidRDefault="00DF0DEC" w:rsidP="009C7C08">
            <w:pPr>
              <w:jc w:val="both"/>
              <w:rPr>
                <w:rFonts w:eastAsia="Calibri"/>
                <w:sz w:val="20"/>
              </w:rPr>
            </w:pPr>
          </w:p>
        </w:tc>
      </w:tr>
      <w:tr w:rsidR="00DF0DEC" w:rsidRPr="00554DB2" w:rsidTr="009C7C08">
        <w:tc>
          <w:tcPr>
            <w:tcW w:w="2427" w:type="pct"/>
          </w:tcPr>
          <w:p w:rsidR="00DF0DEC" w:rsidRPr="00554DB2" w:rsidRDefault="00DF0DEC" w:rsidP="009C7C08">
            <w:pPr>
              <w:jc w:val="both"/>
              <w:rPr>
                <w:rFonts w:eastAsia="Calibri"/>
                <w:sz w:val="20"/>
              </w:rPr>
            </w:pPr>
            <w:r w:rsidRPr="00554DB2">
              <w:rPr>
                <w:rFonts w:eastAsia="Calibri"/>
                <w:sz w:val="20"/>
              </w:rPr>
              <w:t>November 22, 2011</w:t>
            </w:r>
          </w:p>
          <w:p w:rsidR="00DF0DEC" w:rsidRPr="00554DB2" w:rsidRDefault="00DF0DEC" w:rsidP="009C7C08">
            <w:pPr>
              <w:jc w:val="both"/>
              <w:rPr>
                <w:rFonts w:eastAsia="Calibri"/>
                <w:sz w:val="20"/>
              </w:rPr>
            </w:pPr>
            <w:r w:rsidRPr="00554DB2">
              <w:rPr>
                <w:rFonts w:eastAsia="Calibri"/>
                <w:sz w:val="20"/>
              </w:rPr>
              <w:t>Federal Court of Appeal</w:t>
            </w:r>
          </w:p>
          <w:p w:rsidR="00DF0DEC" w:rsidRPr="00554DB2" w:rsidRDefault="00DF0DEC" w:rsidP="009C7C08">
            <w:pPr>
              <w:jc w:val="both"/>
              <w:rPr>
                <w:rFonts w:eastAsia="Calibri"/>
                <w:sz w:val="20"/>
              </w:rPr>
            </w:pPr>
            <w:r w:rsidRPr="00554DB2">
              <w:rPr>
                <w:rFonts w:eastAsia="Calibri"/>
                <w:sz w:val="20"/>
              </w:rPr>
              <w:t>(Noël, Nadon and Stratas JJ.A.)</w:t>
            </w:r>
          </w:p>
          <w:p w:rsidR="00DF0DEC" w:rsidRPr="00554DB2" w:rsidRDefault="00DF0DEC" w:rsidP="009C7C08">
            <w:pPr>
              <w:jc w:val="both"/>
              <w:rPr>
                <w:rFonts w:eastAsia="Calibri"/>
                <w:sz w:val="20"/>
              </w:rPr>
            </w:pPr>
            <w:r w:rsidRPr="00554DB2">
              <w:rPr>
                <w:rFonts w:eastAsia="Calibri"/>
                <w:sz w:val="20"/>
              </w:rPr>
              <w:t>A-158-11</w:t>
            </w:r>
          </w:p>
          <w:p w:rsidR="00DF0DEC" w:rsidRPr="00554DB2" w:rsidRDefault="00DF0DEC" w:rsidP="009C7C08">
            <w:pPr>
              <w:jc w:val="both"/>
              <w:rPr>
                <w:rFonts w:eastAsia="Calibri"/>
                <w:sz w:val="20"/>
              </w:rPr>
            </w:pPr>
          </w:p>
        </w:tc>
        <w:tc>
          <w:tcPr>
            <w:tcW w:w="243" w:type="pct"/>
          </w:tcPr>
          <w:p w:rsidR="00DF0DEC" w:rsidRPr="00554DB2" w:rsidRDefault="00DF0DEC" w:rsidP="009C7C08">
            <w:pPr>
              <w:jc w:val="both"/>
              <w:rPr>
                <w:rFonts w:eastAsia="Calibri"/>
                <w:sz w:val="20"/>
              </w:rPr>
            </w:pPr>
          </w:p>
        </w:tc>
        <w:tc>
          <w:tcPr>
            <w:tcW w:w="2330" w:type="pct"/>
          </w:tcPr>
          <w:p w:rsidR="00DF0DEC" w:rsidRPr="00554DB2" w:rsidRDefault="00DF0DEC" w:rsidP="009C7C08">
            <w:pPr>
              <w:jc w:val="both"/>
              <w:rPr>
                <w:rFonts w:eastAsia="Calibri"/>
                <w:sz w:val="20"/>
              </w:rPr>
            </w:pPr>
            <w:r w:rsidRPr="00554DB2">
              <w:rPr>
                <w:rFonts w:eastAsia="Calibri"/>
                <w:sz w:val="20"/>
              </w:rPr>
              <w:t>Appeal from a decision of the Federal Court (February 1, 2011; Mosely J.) dismissed</w:t>
            </w:r>
          </w:p>
          <w:p w:rsidR="00DF0DEC" w:rsidRPr="00554DB2" w:rsidRDefault="00DF0DEC" w:rsidP="009C7C08">
            <w:pPr>
              <w:jc w:val="both"/>
              <w:rPr>
                <w:rFonts w:eastAsia="Calibri"/>
                <w:sz w:val="20"/>
              </w:rPr>
            </w:pPr>
          </w:p>
        </w:tc>
      </w:tr>
      <w:tr w:rsidR="00DF0DEC" w:rsidRPr="00554DB2" w:rsidTr="009C7C08">
        <w:tc>
          <w:tcPr>
            <w:tcW w:w="2427" w:type="pct"/>
          </w:tcPr>
          <w:p w:rsidR="00DF0DEC" w:rsidRPr="00554DB2" w:rsidRDefault="00DF0DEC" w:rsidP="009C7C08">
            <w:pPr>
              <w:jc w:val="both"/>
              <w:rPr>
                <w:rFonts w:eastAsia="Calibri"/>
                <w:sz w:val="20"/>
              </w:rPr>
            </w:pPr>
            <w:r w:rsidRPr="00554DB2">
              <w:rPr>
                <w:rFonts w:eastAsia="Calibri"/>
                <w:sz w:val="20"/>
              </w:rPr>
              <w:t>April 10, 2012</w:t>
            </w:r>
          </w:p>
          <w:p w:rsidR="00DF0DEC" w:rsidRPr="00554DB2" w:rsidRDefault="00DF0DEC" w:rsidP="009C7C08">
            <w:pPr>
              <w:jc w:val="both"/>
              <w:rPr>
                <w:rFonts w:eastAsia="Calibri"/>
                <w:sz w:val="20"/>
              </w:rPr>
            </w:pPr>
            <w:r w:rsidRPr="00554DB2">
              <w:rPr>
                <w:rFonts w:eastAsia="Calibri"/>
                <w:sz w:val="20"/>
              </w:rPr>
              <w:t>Federal Court of Appeal</w:t>
            </w:r>
          </w:p>
          <w:p w:rsidR="00DF0DEC" w:rsidRPr="00554DB2" w:rsidRDefault="00DF0DEC" w:rsidP="009C7C08">
            <w:pPr>
              <w:jc w:val="both"/>
              <w:rPr>
                <w:rFonts w:eastAsia="Calibri"/>
                <w:sz w:val="20"/>
              </w:rPr>
            </w:pPr>
            <w:r w:rsidRPr="00554DB2">
              <w:rPr>
                <w:rFonts w:eastAsia="Calibri"/>
                <w:sz w:val="20"/>
              </w:rPr>
              <w:t>(Noël, Nadon and Stratas JJ.A.)</w:t>
            </w:r>
          </w:p>
          <w:p w:rsidR="00DF0DEC" w:rsidRPr="00554DB2" w:rsidRDefault="00DF0DEC" w:rsidP="009C7C08">
            <w:pPr>
              <w:jc w:val="both"/>
              <w:rPr>
                <w:rFonts w:eastAsia="Calibri"/>
                <w:sz w:val="20"/>
              </w:rPr>
            </w:pPr>
            <w:r w:rsidRPr="00554DB2">
              <w:rPr>
                <w:rFonts w:eastAsia="Calibri"/>
                <w:sz w:val="20"/>
              </w:rPr>
              <w:t>A-158-11</w:t>
            </w:r>
          </w:p>
          <w:p w:rsidR="00DF0DEC" w:rsidRPr="00554DB2" w:rsidRDefault="00DF0DEC" w:rsidP="009C7C08">
            <w:pPr>
              <w:jc w:val="both"/>
              <w:rPr>
                <w:rFonts w:eastAsia="Calibri"/>
                <w:sz w:val="20"/>
              </w:rPr>
            </w:pPr>
          </w:p>
        </w:tc>
        <w:tc>
          <w:tcPr>
            <w:tcW w:w="243" w:type="pct"/>
          </w:tcPr>
          <w:p w:rsidR="00DF0DEC" w:rsidRPr="00554DB2" w:rsidRDefault="00DF0DEC" w:rsidP="009C7C08">
            <w:pPr>
              <w:jc w:val="both"/>
              <w:rPr>
                <w:rFonts w:eastAsia="Calibri"/>
                <w:sz w:val="20"/>
              </w:rPr>
            </w:pPr>
          </w:p>
        </w:tc>
        <w:tc>
          <w:tcPr>
            <w:tcW w:w="2330" w:type="pct"/>
          </w:tcPr>
          <w:p w:rsidR="00DF0DEC" w:rsidRPr="00554DB2" w:rsidRDefault="00DF0DEC" w:rsidP="009C7C08">
            <w:pPr>
              <w:jc w:val="both"/>
              <w:rPr>
                <w:rFonts w:eastAsia="Calibri"/>
                <w:sz w:val="20"/>
              </w:rPr>
            </w:pPr>
            <w:r w:rsidRPr="00554DB2">
              <w:rPr>
                <w:rFonts w:eastAsia="Calibri"/>
                <w:sz w:val="20"/>
              </w:rPr>
              <w:t>Motion for reconsideration dismissed</w:t>
            </w:r>
          </w:p>
          <w:p w:rsidR="00DF0DEC" w:rsidRPr="00554DB2" w:rsidRDefault="00DF0DEC" w:rsidP="009C7C08">
            <w:pPr>
              <w:jc w:val="both"/>
              <w:rPr>
                <w:rFonts w:eastAsia="Calibri"/>
                <w:sz w:val="20"/>
              </w:rPr>
            </w:pPr>
          </w:p>
        </w:tc>
      </w:tr>
      <w:tr w:rsidR="00DF0DEC" w:rsidRPr="00554DB2" w:rsidTr="009C7C08">
        <w:tc>
          <w:tcPr>
            <w:tcW w:w="2427" w:type="pct"/>
          </w:tcPr>
          <w:p w:rsidR="00DF0DEC" w:rsidRPr="00554DB2" w:rsidRDefault="00DF0DEC" w:rsidP="009C7C08">
            <w:pPr>
              <w:jc w:val="both"/>
              <w:rPr>
                <w:rFonts w:eastAsia="Calibri"/>
                <w:sz w:val="20"/>
              </w:rPr>
            </w:pPr>
            <w:r w:rsidRPr="00554DB2">
              <w:rPr>
                <w:rFonts w:eastAsia="Calibri"/>
                <w:sz w:val="20"/>
              </w:rPr>
              <w:t>June 7, 2012</w:t>
            </w:r>
          </w:p>
          <w:p w:rsidR="00DF0DEC" w:rsidRPr="00554DB2" w:rsidRDefault="00DF0DEC" w:rsidP="009C7C08">
            <w:pPr>
              <w:jc w:val="both"/>
              <w:rPr>
                <w:rFonts w:eastAsia="Calibri"/>
                <w:sz w:val="20"/>
              </w:rPr>
            </w:pPr>
            <w:r w:rsidRPr="00554DB2">
              <w:rPr>
                <w:rFonts w:eastAsia="Calibri"/>
                <w:sz w:val="20"/>
              </w:rPr>
              <w:t>Supreme Court of Canada</w:t>
            </w:r>
          </w:p>
        </w:tc>
        <w:tc>
          <w:tcPr>
            <w:tcW w:w="243" w:type="pct"/>
          </w:tcPr>
          <w:p w:rsidR="00DF0DEC" w:rsidRPr="00554DB2" w:rsidRDefault="00DF0DEC" w:rsidP="009C7C08">
            <w:pPr>
              <w:jc w:val="both"/>
              <w:rPr>
                <w:rFonts w:eastAsia="Calibri"/>
                <w:sz w:val="20"/>
              </w:rPr>
            </w:pPr>
          </w:p>
        </w:tc>
        <w:tc>
          <w:tcPr>
            <w:tcW w:w="2330" w:type="pct"/>
          </w:tcPr>
          <w:p w:rsidR="00DF0DEC" w:rsidRPr="00554DB2" w:rsidRDefault="00DF0DEC" w:rsidP="009C7C08">
            <w:pPr>
              <w:jc w:val="both"/>
              <w:rPr>
                <w:rFonts w:eastAsia="Calibri"/>
                <w:sz w:val="20"/>
              </w:rPr>
            </w:pPr>
            <w:r w:rsidRPr="00554DB2">
              <w:rPr>
                <w:rFonts w:eastAsia="Calibri"/>
                <w:sz w:val="20"/>
              </w:rPr>
              <w:t>Application for leave to appeal filed</w:t>
            </w:r>
          </w:p>
          <w:p w:rsidR="00DF0DEC" w:rsidRPr="00554DB2" w:rsidRDefault="00DF0DEC" w:rsidP="009C7C08">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68"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F0DEC" w:rsidRPr="005571F9" w:rsidTr="009C7C08">
        <w:tc>
          <w:tcPr>
            <w:tcW w:w="5000" w:type="pct"/>
            <w:gridSpan w:val="3"/>
          </w:tcPr>
          <w:p w:rsidR="00DF0DEC" w:rsidRPr="00554DB2" w:rsidRDefault="00DF0DEC" w:rsidP="009C7C08">
            <w:pPr>
              <w:jc w:val="both"/>
              <w:rPr>
                <w:rFonts w:eastAsia="Calibri"/>
                <w:sz w:val="20"/>
                <w:lang w:val="fr-CA"/>
              </w:rPr>
            </w:pPr>
            <w:r w:rsidRPr="00554DB2">
              <w:rPr>
                <w:rFonts w:eastAsia="Calibri"/>
                <w:sz w:val="20"/>
                <w:lang w:val="fr-CA"/>
              </w:rPr>
              <w:t>Procédure civile — Appel rejeté comme constituant un abus de procédure — La Cour d’appel a</w:t>
            </w:r>
            <w:r w:rsidRPr="00554DB2">
              <w:rPr>
                <w:rFonts w:eastAsia="Calibri"/>
                <w:sz w:val="20"/>
                <w:lang w:val="fr-CA"/>
              </w:rPr>
              <w:noBreakHyphen/>
              <w:t>t</w:t>
            </w:r>
            <w:r w:rsidRPr="00554DB2">
              <w:rPr>
                <w:rFonts w:eastAsia="Calibri"/>
                <w:sz w:val="20"/>
                <w:lang w:val="fr-CA"/>
              </w:rPr>
              <w:noBreakHyphen/>
              <w:t>elle eu tort de rejeter l’appel?</w:t>
            </w:r>
          </w:p>
        </w:tc>
      </w:tr>
      <w:tr w:rsidR="00DF0DEC" w:rsidRPr="005571F9" w:rsidTr="009C7C08">
        <w:tc>
          <w:tcPr>
            <w:tcW w:w="5000" w:type="pct"/>
            <w:gridSpan w:val="3"/>
          </w:tcPr>
          <w:p w:rsidR="00DF0DEC" w:rsidRPr="00554DB2" w:rsidRDefault="00DF0DEC" w:rsidP="009C7C08">
            <w:pPr>
              <w:jc w:val="both"/>
              <w:rPr>
                <w:rFonts w:eastAsia="Calibri"/>
                <w:sz w:val="20"/>
                <w:lang w:val="fr-CA"/>
              </w:rPr>
            </w:pPr>
          </w:p>
        </w:tc>
      </w:tr>
      <w:tr w:rsidR="00DF0DEC" w:rsidRPr="00554DB2" w:rsidTr="009C7C08">
        <w:tc>
          <w:tcPr>
            <w:tcW w:w="5000" w:type="pct"/>
            <w:gridSpan w:val="3"/>
          </w:tcPr>
          <w:p w:rsidR="00DF0DEC" w:rsidRPr="00554DB2" w:rsidRDefault="00DF0DEC" w:rsidP="009C7C08">
            <w:pPr>
              <w:jc w:val="both"/>
              <w:rPr>
                <w:rFonts w:eastAsia="Calibri"/>
                <w:sz w:val="20"/>
                <w:lang w:val="fr-CA"/>
              </w:rPr>
            </w:pPr>
            <w:r w:rsidRPr="00554DB2">
              <w:rPr>
                <w:rFonts w:eastAsia="Calibri"/>
                <w:sz w:val="20"/>
                <w:lang w:val="fr-CA"/>
              </w:rPr>
              <w:t>Monsieur Khan a déposé une déclaration en Cour fédérale, cherchant à obtenir la somme de 27,7 millions de dollars contre l’intimée. La déclaration renfermait des allégations de [</w:t>
            </w:r>
            <w:r w:rsidRPr="00554DB2">
              <w:rPr>
                <w:rFonts w:eastAsia="Calibri"/>
                <w:smallCaps/>
                <w:sz w:val="20"/>
                <w:lang w:val="fr-CA"/>
              </w:rPr>
              <w:t>traduction</w:t>
            </w:r>
            <w:r w:rsidRPr="00554DB2">
              <w:rPr>
                <w:rFonts w:eastAsia="Calibri"/>
                <w:sz w:val="20"/>
                <w:lang w:val="fr-CA"/>
              </w:rPr>
              <w:t>] « poursuite criminelle illégale pour fraude sous forme de cumul d’avantages de l’assurance</w:t>
            </w:r>
            <w:r w:rsidRPr="00554DB2">
              <w:rPr>
                <w:rFonts w:eastAsia="Calibri"/>
                <w:sz w:val="20"/>
                <w:lang w:val="fr-CA"/>
              </w:rPr>
              <w:noBreakHyphen/>
              <w:t xml:space="preserve">emploi », diffamation et discrimination. </w:t>
            </w:r>
          </w:p>
          <w:p w:rsidR="00DF0DEC" w:rsidRPr="00554DB2" w:rsidRDefault="00DF0DEC" w:rsidP="009C7C08">
            <w:pPr>
              <w:jc w:val="both"/>
              <w:rPr>
                <w:rFonts w:eastAsia="Calibri"/>
                <w:sz w:val="20"/>
                <w:lang w:val="fr-CA"/>
              </w:rPr>
            </w:pPr>
          </w:p>
          <w:p w:rsidR="00DF0DEC" w:rsidRPr="00554DB2" w:rsidRDefault="00DF0DEC" w:rsidP="009C7C08">
            <w:pPr>
              <w:jc w:val="both"/>
              <w:rPr>
                <w:rFonts w:eastAsia="Calibri"/>
                <w:sz w:val="20"/>
                <w:lang w:val="fr-CA"/>
              </w:rPr>
            </w:pPr>
            <w:r w:rsidRPr="00554DB2">
              <w:rPr>
                <w:rFonts w:eastAsia="Calibri"/>
                <w:sz w:val="20"/>
                <w:lang w:val="fr-CA"/>
              </w:rPr>
              <w:t>L’intimée a déposé une requête en radiation de la demande pour cause de chose jugée et d’abus de procédure.  La Cour fédérale a accueilli la requête de l’intimée.  Monsieur Khan a déposé un avis d’appel.  Puisque les parties ne pouvaient s’entendre sur le contenu du dossier d’appel, la Cour a rendu une ordonnance déterminant ce contenu.  Par la suite, l’intimée a déposé une requête en radiation de la demande.  La Cour d’appel a accueilli la requête.  Elle a noté que M. Khan ne s’était pas conformé à l’ordonnance de la Cour et que le dossier de la requête montrait clairement que la demande était abusive.  La Cour d’appel a refusé de réexaminer sa décision.</w:t>
            </w:r>
          </w:p>
          <w:p w:rsidR="00DF0DEC" w:rsidRPr="00554DB2" w:rsidRDefault="00DF0DEC" w:rsidP="009C7C08">
            <w:pPr>
              <w:jc w:val="both"/>
              <w:rPr>
                <w:rFonts w:eastAsia="Calibri"/>
                <w:sz w:val="20"/>
                <w:lang w:val="fr-CA"/>
              </w:rPr>
            </w:pPr>
          </w:p>
        </w:tc>
      </w:tr>
      <w:tr w:rsidR="00DF0DEC" w:rsidRPr="005571F9" w:rsidTr="009C7C08">
        <w:tc>
          <w:tcPr>
            <w:tcW w:w="2427" w:type="pct"/>
          </w:tcPr>
          <w:p w:rsidR="00DF0DEC" w:rsidRPr="00554DB2" w:rsidRDefault="00DF0DEC" w:rsidP="009C7C08">
            <w:pPr>
              <w:jc w:val="both"/>
              <w:rPr>
                <w:rFonts w:eastAsia="Calibri"/>
                <w:sz w:val="20"/>
                <w:lang w:val="fr-CA"/>
              </w:rPr>
            </w:pPr>
            <w:r w:rsidRPr="00554DB2">
              <w:rPr>
                <w:rFonts w:eastAsia="Calibri"/>
                <w:sz w:val="20"/>
                <w:lang w:val="fr-CA"/>
              </w:rPr>
              <w:t>22 novembre 2011</w:t>
            </w:r>
          </w:p>
          <w:p w:rsidR="00DF0DEC" w:rsidRPr="00554DB2" w:rsidRDefault="00DF0DEC" w:rsidP="009C7C08">
            <w:pPr>
              <w:jc w:val="both"/>
              <w:rPr>
                <w:rFonts w:eastAsia="Calibri"/>
                <w:sz w:val="20"/>
                <w:lang w:val="fr-CA"/>
              </w:rPr>
            </w:pPr>
            <w:r w:rsidRPr="00554DB2">
              <w:rPr>
                <w:rFonts w:eastAsia="Calibri"/>
                <w:sz w:val="20"/>
                <w:lang w:val="fr-CA"/>
              </w:rPr>
              <w:t>Cour d’appel fédérale</w:t>
            </w:r>
          </w:p>
          <w:p w:rsidR="00DF0DEC" w:rsidRPr="00554DB2" w:rsidRDefault="00DF0DEC" w:rsidP="009C7C08">
            <w:pPr>
              <w:jc w:val="both"/>
              <w:rPr>
                <w:rFonts w:eastAsia="Calibri"/>
                <w:sz w:val="20"/>
                <w:lang w:val="fr-CA"/>
              </w:rPr>
            </w:pPr>
            <w:r w:rsidRPr="00554DB2">
              <w:rPr>
                <w:rFonts w:eastAsia="Calibri"/>
                <w:sz w:val="20"/>
                <w:lang w:val="fr-CA"/>
              </w:rPr>
              <w:t>(Juges Noël, Nadon et Stratas)</w:t>
            </w:r>
          </w:p>
          <w:p w:rsidR="00DF0DEC" w:rsidRPr="00554DB2" w:rsidRDefault="00DF0DEC" w:rsidP="009C7C08">
            <w:pPr>
              <w:jc w:val="both"/>
              <w:rPr>
                <w:rFonts w:eastAsia="Calibri"/>
                <w:sz w:val="20"/>
                <w:lang w:val="fr-CA"/>
              </w:rPr>
            </w:pPr>
            <w:r w:rsidRPr="00554DB2">
              <w:rPr>
                <w:rFonts w:eastAsia="Calibri"/>
                <w:sz w:val="20"/>
                <w:lang w:val="fr-CA"/>
              </w:rPr>
              <w:t>A</w:t>
            </w:r>
            <w:r w:rsidRPr="00554DB2">
              <w:rPr>
                <w:rFonts w:eastAsia="Calibri"/>
                <w:sz w:val="20"/>
                <w:lang w:val="fr-CA"/>
              </w:rPr>
              <w:noBreakHyphen/>
              <w:t>158</w:t>
            </w:r>
            <w:r w:rsidRPr="00554DB2">
              <w:rPr>
                <w:rFonts w:eastAsia="Calibri"/>
                <w:sz w:val="20"/>
                <w:lang w:val="fr-CA"/>
              </w:rPr>
              <w:noBreakHyphen/>
              <w:t>11</w:t>
            </w:r>
          </w:p>
          <w:p w:rsidR="00DF0DEC" w:rsidRPr="00554DB2" w:rsidRDefault="00DF0DEC" w:rsidP="009C7C08">
            <w:pPr>
              <w:jc w:val="both"/>
              <w:rPr>
                <w:rFonts w:eastAsia="Calibri"/>
                <w:sz w:val="20"/>
                <w:lang w:val="fr-CA"/>
              </w:rPr>
            </w:pPr>
          </w:p>
        </w:tc>
        <w:tc>
          <w:tcPr>
            <w:tcW w:w="243" w:type="pct"/>
          </w:tcPr>
          <w:p w:rsidR="00DF0DEC" w:rsidRPr="00554DB2" w:rsidRDefault="00DF0DEC" w:rsidP="009C7C08">
            <w:pPr>
              <w:jc w:val="both"/>
              <w:rPr>
                <w:rFonts w:eastAsia="Calibri"/>
                <w:sz w:val="20"/>
                <w:lang w:val="fr-CA"/>
              </w:rPr>
            </w:pPr>
          </w:p>
        </w:tc>
        <w:tc>
          <w:tcPr>
            <w:tcW w:w="2330" w:type="pct"/>
          </w:tcPr>
          <w:p w:rsidR="00DF0DEC" w:rsidRPr="00554DB2" w:rsidRDefault="00DF0DEC" w:rsidP="009C7C08">
            <w:pPr>
              <w:jc w:val="both"/>
              <w:rPr>
                <w:rFonts w:eastAsia="Calibri"/>
                <w:sz w:val="20"/>
                <w:lang w:val="fr-CA"/>
              </w:rPr>
            </w:pPr>
            <w:r w:rsidRPr="00554DB2">
              <w:rPr>
                <w:rFonts w:eastAsia="Calibri"/>
                <w:sz w:val="20"/>
                <w:lang w:val="fr-CA"/>
              </w:rPr>
              <w:t>Appel d’une décision de la Cour fédérale (1</w:t>
            </w:r>
            <w:r w:rsidRPr="00554DB2">
              <w:rPr>
                <w:rFonts w:eastAsia="Calibri"/>
                <w:sz w:val="20"/>
                <w:vertAlign w:val="superscript"/>
                <w:lang w:val="fr-CA"/>
              </w:rPr>
              <w:t>er</w:t>
            </w:r>
            <w:r w:rsidRPr="00554DB2">
              <w:rPr>
                <w:rFonts w:eastAsia="Calibri"/>
                <w:sz w:val="20"/>
                <w:lang w:val="fr-CA"/>
              </w:rPr>
              <w:t> février 2011; juge Mosely), rejeté</w:t>
            </w:r>
          </w:p>
          <w:p w:rsidR="00DF0DEC" w:rsidRPr="00554DB2" w:rsidRDefault="00DF0DEC" w:rsidP="009C7C08">
            <w:pPr>
              <w:jc w:val="both"/>
              <w:rPr>
                <w:rFonts w:eastAsia="Calibri"/>
                <w:sz w:val="20"/>
                <w:lang w:val="fr-CA"/>
              </w:rPr>
            </w:pPr>
          </w:p>
        </w:tc>
      </w:tr>
      <w:tr w:rsidR="00DF0DEC" w:rsidRPr="00554DB2" w:rsidTr="00B565D7">
        <w:trPr>
          <w:cantSplit/>
        </w:trPr>
        <w:tc>
          <w:tcPr>
            <w:tcW w:w="2427" w:type="pct"/>
          </w:tcPr>
          <w:p w:rsidR="00DF0DEC" w:rsidRPr="00554DB2" w:rsidRDefault="00DF0DEC" w:rsidP="009C7C08">
            <w:pPr>
              <w:jc w:val="both"/>
              <w:rPr>
                <w:rFonts w:eastAsia="Calibri"/>
                <w:sz w:val="20"/>
                <w:lang w:val="fr-CA"/>
              </w:rPr>
            </w:pPr>
            <w:r w:rsidRPr="00554DB2">
              <w:rPr>
                <w:rFonts w:eastAsia="Calibri"/>
                <w:sz w:val="20"/>
                <w:lang w:val="fr-CA"/>
              </w:rPr>
              <w:t>10 avril 2012</w:t>
            </w:r>
          </w:p>
          <w:p w:rsidR="00DF0DEC" w:rsidRPr="00554DB2" w:rsidRDefault="00DF0DEC" w:rsidP="009C7C08">
            <w:pPr>
              <w:jc w:val="both"/>
              <w:rPr>
                <w:rFonts w:eastAsia="Calibri"/>
                <w:sz w:val="20"/>
                <w:lang w:val="fr-CA"/>
              </w:rPr>
            </w:pPr>
            <w:r w:rsidRPr="00554DB2">
              <w:rPr>
                <w:rFonts w:eastAsia="Calibri"/>
                <w:sz w:val="20"/>
                <w:lang w:val="fr-CA"/>
              </w:rPr>
              <w:t>Cour d’appel fédérale</w:t>
            </w:r>
          </w:p>
          <w:p w:rsidR="00DF0DEC" w:rsidRPr="00554DB2" w:rsidRDefault="00DF0DEC" w:rsidP="009C7C08">
            <w:pPr>
              <w:jc w:val="both"/>
              <w:rPr>
                <w:rFonts w:eastAsia="Calibri"/>
                <w:sz w:val="20"/>
                <w:lang w:val="fr-CA"/>
              </w:rPr>
            </w:pPr>
            <w:r w:rsidRPr="00554DB2">
              <w:rPr>
                <w:rFonts w:eastAsia="Calibri"/>
                <w:sz w:val="20"/>
                <w:lang w:val="fr-CA"/>
              </w:rPr>
              <w:t>(Juges Noël, Nadon et Stratas)</w:t>
            </w:r>
          </w:p>
          <w:p w:rsidR="00DF0DEC" w:rsidRPr="00554DB2" w:rsidRDefault="00DF0DEC" w:rsidP="009C7C08">
            <w:pPr>
              <w:jc w:val="both"/>
              <w:rPr>
                <w:rFonts w:eastAsia="Calibri"/>
                <w:sz w:val="20"/>
                <w:lang w:val="fr-CA"/>
              </w:rPr>
            </w:pPr>
            <w:r w:rsidRPr="00554DB2">
              <w:rPr>
                <w:rFonts w:eastAsia="Calibri"/>
                <w:sz w:val="20"/>
                <w:lang w:val="fr-CA"/>
              </w:rPr>
              <w:t>A</w:t>
            </w:r>
            <w:r w:rsidRPr="00554DB2">
              <w:rPr>
                <w:rFonts w:eastAsia="Calibri"/>
                <w:sz w:val="20"/>
                <w:lang w:val="fr-CA"/>
              </w:rPr>
              <w:noBreakHyphen/>
              <w:t>158</w:t>
            </w:r>
            <w:r w:rsidRPr="00554DB2">
              <w:rPr>
                <w:rFonts w:eastAsia="Calibri"/>
                <w:sz w:val="20"/>
                <w:lang w:val="fr-CA"/>
              </w:rPr>
              <w:noBreakHyphen/>
              <w:t>11</w:t>
            </w:r>
          </w:p>
          <w:p w:rsidR="00DF0DEC" w:rsidRPr="00554DB2" w:rsidRDefault="00DF0DEC" w:rsidP="009C7C08">
            <w:pPr>
              <w:jc w:val="both"/>
              <w:rPr>
                <w:rFonts w:eastAsia="Calibri"/>
                <w:sz w:val="20"/>
                <w:lang w:val="fr-CA"/>
              </w:rPr>
            </w:pPr>
          </w:p>
        </w:tc>
        <w:tc>
          <w:tcPr>
            <w:tcW w:w="243" w:type="pct"/>
          </w:tcPr>
          <w:p w:rsidR="00DF0DEC" w:rsidRPr="00554DB2" w:rsidRDefault="00DF0DEC" w:rsidP="009C7C08">
            <w:pPr>
              <w:jc w:val="both"/>
              <w:rPr>
                <w:rFonts w:eastAsia="Calibri"/>
                <w:sz w:val="20"/>
                <w:lang w:val="fr-CA"/>
              </w:rPr>
            </w:pPr>
          </w:p>
        </w:tc>
        <w:tc>
          <w:tcPr>
            <w:tcW w:w="2330" w:type="pct"/>
          </w:tcPr>
          <w:p w:rsidR="00DF0DEC" w:rsidRPr="00554DB2" w:rsidRDefault="00DF0DEC" w:rsidP="009C7C08">
            <w:pPr>
              <w:jc w:val="both"/>
              <w:rPr>
                <w:rFonts w:eastAsia="Calibri"/>
                <w:sz w:val="20"/>
                <w:lang w:val="fr-CA"/>
              </w:rPr>
            </w:pPr>
            <w:r w:rsidRPr="00554DB2">
              <w:rPr>
                <w:rFonts w:eastAsia="Calibri"/>
                <w:sz w:val="20"/>
                <w:lang w:val="fr-CA"/>
              </w:rPr>
              <w:t>Requête en réexamen, rejetée</w:t>
            </w:r>
          </w:p>
          <w:p w:rsidR="00DF0DEC" w:rsidRPr="00554DB2" w:rsidRDefault="00DF0DEC" w:rsidP="009C7C08">
            <w:pPr>
              <w:jc w:val="both"/>
              <w:rPr>
                <w:rFonts w:eastAsia="Calibri"/>
                <w:sz w:val="20"/>
                <w:lang w:val="fr-CA"/>
              </w:rPr>
            </w:pPr>
          </w:p>
        </w:tc>
      </w:tr>
      <w:tr w:rsidR="00DF0DEC" w:rsidRPr="00554DB2" w:rsidTr="00B565D7">
        <w:trPr>
          <w:cantSplit/>
        </w:trPr>
        <w:tc>
          <w:tcPr>
            <w:tcW w:w="2427" w:type="pct"/>
          </w:tcPr>
          <w:p w:rsidR="00DF0DEC" w:rsidRPr="00554DB2" w:rsidRDefault="00DF0DEC" w:rsidP="009C7C08">
            <w:pPr>
              <w:jc w:val="both"/>
              <w:rPr>
                <w:rFonts w:eastAsia="Calibri"/>
                <w:sz w:val="20"/>
                <w:lang w:val="fr-CA"/>
              </w:rPr>
            </w:pPr>
            <w:r w:rsidRPr="00554DB2">
              <w:rPr>
                <w:rFonts w:eastAsia="Calibri"/>
                <w:sz w:val="20"/>
                <w:lang w:val="fr-CA"/>
              </w:rPr>
              <w:t>7 juin 2012</w:t>
            </w:r>
          </w:p>
          <w:p w:rsidR="00DF0DEC" w:rsidRPr="00554DB2" w:rsidRDefault="00DF0DEC" w:rsidP="009C7C08">
            <w:pPr>
              <w:jc w:val="both"/>
              <w:rPr>
                <w:rFonts w:eastAsia="Calibri"/>
                <w:sz w:val="20"/>
                <w:lang w:val="fr-CA"/>
              </w:rPr>
            </w:pPr>
            <w:r w:rsidRPr="00554DB2">
              <w:rPr>
                <w:rFonts w:eastAsia="Calibri"/>
                <w:sz w:val="20"/>
                <w:lang w:val="fr-CA"/>
              </w:rPr>
              <w:t>Cour suprême du Canada</w:t>
            </w:r>
          </w:p>
        </w:tc>
        <w:tc>
          <w:tcPr>
            <w:tcW w:w="243" w:type="pct"/>
          </w:tcPr>
          <w:p w:rsidR="00DF0DEC" w:rsidRPr="00554DB2" w:rsidRDefault="00DF0DEC" w:rsidP="009C7C08">
            <w:pPr>
              <w:jc w:val="both"/>
              <w:rPr>
                <w:rFonts w:eastAsia="Calibri"/>
                <w:sz w:val="20"/>
                <w:lang w:val="fr-CA"/>
              </w:rPr>
            </w:pPr>
          </w:p>
        </w:tc>
        <w:tc>
          <w:tcPr>
            <w:tcW w:w="2330" w:type="pct"/>
          </w:tcPr>
          <w:p w:rsidR="00DF0DEC" w:rsidRPr="00554DB2" w:rsidRDefault="00DF0DEC" w:rsidP="009C7C08">
            <w:pPr>
              <w:jc w:val="both"/>
              <w:rPr>
                <w:rFonts w:eastAsia="Calibri"/>
                <w:sz w:val="20"/>
                <w:lang w:val="fr-CA"/>
              </w:rPr>
            </w:pPr>
            <w:r w:rsidRPr="00554DB2">
              <w:rPr>
                <w:rFonts w:eastAsia="Calibri"/>
                <w:sz w:val="20"/>
                <w:lang w:val="fr-CA"/>
              </w:rPr>
              <w:t>Demande d’autorisation d’appel, déposée</w:t>
            </w:r>
          </w:p>
          <w:p w:rsidR="00DF0DEC" w:rsidRPr="00554DB2" w:rsidRDefault="00DF0DEC" w:rsidP="009C7C08">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69"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565D7" w:rsidRPr="00975B77" w:rsidTr="00032CB5">
        <w:trPr>
          <w:cantSplit/>
        </w:trPr>
        <w:tc>
          <w:tcPr>
            <w:tcW w:w="1458" w:type="dxa"/>
          </w:tcPr>
          <w:p w:rsidR="00B565D7" w:rsidRPr="00975B77" w:rsidRDefault="00B565D7" w:rsidP="00032CB5">
            <w:pPr>
              <w:rPr>
                <w:sz w:val="20"/>
                <w:szCs w:val="20"/>
              </w:rPr>
            </w:pPr>
            <w:r w:rsidRPr="00975B77">
              <w:rPr>
                <w:rStyle w:val="SCCFileNumberChar"/>
                <w:sz w:val="20"/>
                <w:szCs w:val="20"/>
              </w:rPr>
              <w:t>34866</w:t>
            </w:r>
          </w:p>
          <w:p w:rsidR="00B565D7" w:rsidRPr="00975B77" w:rsidRDefault="00B565D7" w:rsidP="00032CB5">
            <w:pPr>
              <w:rPr>
                <w:b/>
                <w:sz w:val="20"/>
                <w:szCs w:val="20"/>
                <w:lang w:val="fr-CA"/>
              </w:rPr>
            </w:pPr>
          </w:p>
        </w:tc>
        <w:tc>
          <w:tcPr>
            <w:tcW w:w="8118" w:type="dxa"/>
          </w:tcPr>
          <w:p w:rsidR="00B565D7" w:rsidRPr="00975B77" w:rsidRDefault="00B565D7" w:rsidP="00032CB5">
            <w:pPr>
              <w:jc w:val="both"/>
              <w:rPr>
                <w:sz w:val="20"/>
                <w:szCs w:val="20"/>
              </w:rPr>
            </w:pPr>
            <w:r w:rsidRPr="00B565D7">
              <w:rPr>
                <w:rStyle w:val="SCCLsocChar"/>
                <w:sz w:val="20"/>
                <w:szCs w:val="20"/>
                <w:lang w:val="en-CA"/>
              </w:rPr>
              <w:t>Dexter Boyce v. Toronto Police Services Board, Donald Hebert, Aaron Rodrigues, Donavan Smith, Anne-Marie Garisto, Mark McCullagh and various John Does, John Feeney, Thomas Findlay, Kamaljeet Kang and Jeffrey Martin</w:t>
            </w:r>
            <w:r w:rsidRPr="00975B77">
              <w:rPr>
                <w:sz w:val="20"/>
                <w:szCs w:val="20"/>
              </w:rPr>
              <w:t xml:space="preserve"> (Ont.) (Civil) (By Leave)</w:t>
            </w:r>
          </w:p>
          <w:p w:rsidR="00B565D7" w:rsidRPr="00975B77" w:rsidRDefault="00B565D7" w:rsidP="00032CB5">
            <w:pPr>
              <w:rPr>
                <w:sz w:val="20"/>
                <w:szCs w:val="20"/>
              </w:rPr>
            </w:pPr>
          </w:p>
        </w:tc>
      </w:tr>
      <w:tr w:rsidR="00B565D7" w:rsidRPr="00975B77" w:rsidTr="00032CB5">
        <w:trPr>
          <w:cantSplit/>
        </w:trPr>
        <w:tc>
          <w:tcPr>
            <w:tcW w:w="1458" w:type="dxa"/>
          </w:tcPr>
          <w:p w:rsidR="00B565D7" w:rsidRPr="00975B77" w:rsidRDefault="00B565D7" w:rsidP="00032CB5">
            <w:pPr>
              <w:rPr>
                <w:sz w:val="20"/>
                <w:szCs w:val="20"/>
              </w:rPr>
            </w:pPr>
            <w:r w:rsidRPr="00975B77">
              <w:rPr>
                <w:sz w:val="20"/>
                <w:szCs w:val="20"/>
              </w:rPr>
              <w:t>Coram :</w:t>
            </w:r>
          </w:p>
        </w:tc>
        <w:tc>
          <w:tcPr>
            <w:tcW w:w="8118" w:type="dxa"/>
          </w:tcPr>
          <w:p w:rsidR="00B565D7" w:rsidRPr="00975B77" w:rsidRDefault="00B565D7" w:rsidP="00032CB5">
            <w:pPr>
              <w:rPr>
                <w:sz w:val="20"/>
                <w:szCs w:val="20"/>
              </w:rPr>
            </w:pPr>
            <w:r w:rsidRPr="00B565D7">
              <w:rPr>
                <w:rStyle w:val="SCCCoramChar"/>
                <w:sz w:val="20"/>
                <w:szCs w:val="20"/>
                <w:lang w:val="en-CA"/>
              </w:rPr>
              <w:t>Fish, Rothstein and Karakatsanis JJ.</w:t>
            </w:r>
          </w:p>
          <w:p w:rsidR="00B565D7" w:rsidRPr="00975B77" w:rsidRDefault="00B565D7" w:rsidP="00032CB5">
            <w:pPr>
              <w:rPr>
                <w:sz w:val="20"/>
                <w:szCs w:val="20"/>
                <w:u w:val="single"/>
              </w:rPr>
            </w:pPr>
          </w:p>
        </w:tc>
      </w:tr>
      <w:tr w:rsidR="00B565D7" w:rsidRPr="005571F9" w:rsidTr="00032CB5">
        <w:trPr>
          <w:cantSplit/>
        </w:trPr>
        <w:tc>
          <w:tcPr>
            <w:tcW w:w="9576" w:type="dxa"/>
            <w:gridSpan w:val="2"/>
          </w:tcPr>
          <w:p w:rsidR="00B565D7" w:rsidRPr="00975B77" w:rsidRDefault="00B565D7" w:rsidP="00032CB5">
            <w:pPr>
              <w:pStyle w:val="SCCShortJudgment"/>
              <w:rPr>
                <w:szCs w:val="20"/>
              </w:rPr>
            </w:pPr>
            <w:r w:rsidRPr="00975B77">
              <w:rPr>
                <w:szCs w:val="20"/>
              </w:rPr>
              <w:t>The motion for an extension of time to serve and file an application for leave to appeal is granted.  The application for leave to appeal from the judgment of the Court of Appeal for Ontario, Number C53787, 2012 ONCA 230, dated April 5, 2012, is dismissed with costs to the respondents Toronto Police Services Board, Donald Hebert, Aaron Rodrigues, Donavan Smith, Anne-Marie Garisto, Mark McCullagh and various John Does.</w:t>
            </w:r>
          </w:p>
          <w:p w:rsidR="00B565D7" w:rsidRPr="00975B77" w:rsidRDefault="00B565D7" w:rsidP="00032CB5">
            <w:pPr>
              <w:pStyle w:val="SCCShortJudgment"/>
              <w:ind w:firstLine="0"/>
              <w:rPr>
                <w:szCs w:val="20"/>
              </w:rPr>
            </w:pPr>
          </w:p>
          <w:p w:rsidR="00B565D7" w:rsidRPr="00975B77" w:rsidRDefault="00B565D7" w:rsidP="00032CB5">
            <w:pPr>
              <w:pStyle w:val="SCCShortJudgment"/>
              <w:rPr>
                <w:szCs w:val="20"/>
                <w:lang w:val="fr-CA"/>
              </w:rPr>
            </w:pPr>
            <w:r w:rsidRPr="00975B77">
              <w:rPr>
                <w:szCs w:val="20"/>
                <w:lang w:val="fr-CA"/>
              </w:rPr>
              <w:t>La requête en prorogation du délai de signification et de dépôt de la demande d’autorisation d’appel est accueille.  La demande d’autorisation d’appel de l’arrêt de la Cour d’appel de l’Ontario, numéro C53787, 2012 ONCA 230, daté du 5 avril 2012, est rejetée avec dépens en faveur des intimés Commission de services policiers de Toronto, Donald Hebert, Aaron Rodrigues, Donavan Smith, Anne-Marie Garisto, Mark McCullagh et divers Pierre Untel.</w:t>
            </w:r>
          </w:p>
        </w:tc>
      </w:tr>
    </w:tbl>
    <w:p w:rsidR="00FA1074" w:rsidRPr="00B565D7"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F0DEC" w:rsidRPr="00554DB2" w:rsidTr="009C7C08">
        <w:tc>
          <w:tcPr>
            <w:tcW w:w="5000" w:type="pct"/>
            <w:gridSpan w:val="3"/>
          </w:tcPr>
          <w:p w:rsidR="00DF0DEC" w:rsidRPr="00554DB2" w:rsidRDefault="00DF0DEC" w:rsidP="009C7C08">
            <w:pPr>
              <w:jc w:val="both"/>
              <w:rPr>
                <w:rFonts w:eastAsia="Calibri"/>
                <w:sz w:val="20"/>
              </w:rPr>
            </w:pPr>
            <w:r w:rsidRPr="00554DB2">
              <w:rPr>
                <w:rFonts w:eastAsia="Calibri"/>
                <w:sz w:val="20"/>
              </w:rPr>
              <w:t xml:space="preserve">Civil procedure — Limitation period — Civil action begun more than 4½ years after assault alleged to have occurred — Whether the applicant’s action is barred by operation of the </w:t>
            </w:r>
            <w:r w:rsidRPr="00554DB2">
              <w:rPr>
                <w:rFonts w:eastAsia="Calibri"/>
                <w:i/>
                <w:sz w:val="20"/>
              </w:rPr>
              <w:t>Limitations Act, 2002</w:t>
            </w:r>
            <w:r w:rsidRPr="00554DB2">
              <w:rPr>
                <w:rFonts w:eastAsia="Calibri"/>
                <w:sz w:val="20"/>
              </w:rPr>
              <w:t>, S.O. 2002, c. 24, Sched. B — Whether ss. 4 and 5 of the Act</w:t>
            </w:r>
            <w:r w:rsidRPr="00554DB2">
              <w:rPr>
                <w:rFonts w:eastAsia="Calibri"/>
                <w:i/>
                <w:sz w:val="20"/>
              </w:rPr>
              <w:t xml:space="preserve"> </w:t>
            </w:r>
            <w:r w:rsidRPr="00554DB2">
              <w:rPr>
                <w:rFonts w:eastAsia="Calibri"/>
                <w:sz w:val="20"/>
              </w:rPr>
              <w:t xml:space="preserve">operate in violation of the applicant’s rights guaranteed under the </w:t>
            </w:r>
            <w:r w:rsidRPr="00554DB2">
              <w:rPr>
                <w:rFonts w:eastAsia="Calibri"/>
                <w:i/>
                <w:sz w:val="20"/>
              </w:rPr>
              <w:t>Canadian Charter of Rights and Freedoms</w:t>
            </w:r>
            <w:r w:rsidRPr="00554DB2">
              <w:rPr>
                <w:rFonts w:eastAsia="Calibri"/>
                <w:sz w:val="20"/>
              </w:rPr>
              <w:t>.</w:t>
            </w:r>
          </w:p>
        </w:tc>
      </w:tr>
      <w:tr w:rsidR="00DF0DEC" w:rsidRPr="00554DB2" w:rsidTr="009C7C08">
        <w:tc>
          <w:tcPr>
            <w:tcW w:w="5000" w:type="pct"/>
            <w:gridSpan w:val="3"/>
          </w:tcPr>
          <w:p w:rsidR="00DF0DEC" w:rsidRPr="00554DB2" w:rsidRDefault="00DF0DEC" w:rsidP="009C7C08">
            <w:pPr>
              <w:jc w:val="both"/>
              <w:rPr>
                <w:rFonts w:eastAsia="Calibri"/>
                <w:sz w:val="20"/>
              </w:rPr>
            </w:pPr>
          </w:p>
        </w:tc>
      </w:tr>
      <w:tr w:rsidR="00DF0DEC" w:rsidRPr="00554DB2" w:rsidTr="009C7C08">
        <w:tc>
          <w:tcPr>
            <w:tcW w:w="5000" w:type="pct"/>
            <w:gridSpan w:val="3"/>
          </w:tcPr>
          <w:p w:rsidR="00DF0DEC" w:rsidRPr="00554DB2" w:rsidRDefault="00DF0DEC" w:rsidP="009C7C08">
            <w:pPr>
              <w:jc w:val="both"/>
              <w:rPr>
                <w:rFonts w:eastAsia="Calibri"/>
                <w:sz w:val="20"/>
              </w:rPr>
            </w:pPr>
            <w:r w:rsidRPr="00554DB2">
              <w:rPr>
                <w:rFonts w:eastAsia="Calibri"/>
                <w:sz w:val="20"/>
              </w:rPr>
              <w:t xml:space="preserve">The applicant, Mr. Boyce, filed a statement of claim against the respondents on April 16, 2009. In it he alleges that on September 30, 2004, after he entered a guilty plea to a charge of failure to comply with a recognizance and while he was being held in a cell, a number of the individual respondents assaulted him, causing him personal injury.  Mr. Boyce was taken to hospital where he remained for one week.  He remained under a doctor’s care until November 19, 2004.  He claimed damages for assault and battery and for breach of his rights under the </w:t>
            </w:r>
            <w:r w:rsidRPr="00554DB2">
              <w:rPr>
                <w:rFonts w:eastAsia="Calibri"/>
                <w:i/>
                <w:sz w:val="20"/>
              </w:rPr>
              <w:t>Charter</w:t>
            </w:r>
            <w:r w:rsidRPr="00554DB2">
              <w:rPr>
                <w:rFonts w:eastAsia="Calibri"/>
                <w:sz w:val="20"/>
              </w:rPr>
              <w:t>.  The respondents filed a motion for summary dismissal, opposing the claim on the ground that the action was statute</w:t>
            </w:r>
            <w:r w:rsidRPr="00554DB2">
              <w:rPr>
                <w:rFonts w:eastAsia="Calibri"/>
                <w:sz w:val="20"/>
              </w:rPr>
              <w:noBreakHyphen/>
              <w:t xml:space="preserve">barred because it had been commenced more than 2 years after the cause of action arose.  Mr. Boyce claimed, in response, that the </w:t>
            </w:r>
            <w:r w:rsidRPr="00554DB2">
              <w:rPr>
                <w:rFonts w:eastAsia="Calibri"/>
                <w:i/>
                <w:sz w:val="20"/>
              </w:rPr>
              <w:t>Limitations Act, 2002</w:t>
            </w:r>
            <w:r w:rsidRPr="00554DB2">
              <w:rPr>
                <w:rFonts w:eastAsia="Calibri"/>
                <w:sz w:val="20"/>
              </w:rPr>
              <w:t xml:space="preserve"> did not apply because he was seeking a remedy under the </w:t>
            </w:r>
            <w:r w:rsidRPr="00554DB2">
              <w:rPr>
                <w:rFonts w:eastAsia="Calibri"/>
                <w:i/>
                <w:sz w:val="20"/>
              </w:rPr>
              <w:t>Charter</w:t>
            </w:r>
            <w:r w:rsidRPr="00554DB2">
              <w:rPr>
                <w:rFonts w:eastAsia="Calibri"/>
                <w:sz w:val="20"/>
              </w:rPr>
              <w:t>.</w:t>
            </w:r>
          </w:p>
          <w:p w:rsidR="00DF0DEC" w:rsidRPr="00554DB2" w:rsidRDefault="00DF0DEC" w:rsidP="009C7C08">
            <w:pPr>
              <w:jc w:val="both"/>
              <w:rPr>
                <w:rFonts w:eastAsia="Calibri"/>
                <w:sz w:val="20"/>
              </w:rPr>
            </w:pPr>
          </w:p>
        </w:tc>
      </w:tr>
      <w:tr w:rsidR="00DF0DEC" w:rsidRPr="00554DB2" w:rsidTr="009C7C08">
        <w:tc>
          <w:tcPr>
            <w:tcW w:w="2427" w:type="pct"/>
          </w:tcPr>
          <w:p w:rsidR="00DF0DEC" w:rsidRPr="00554DB2" w:rsidRDefault="00DF0DEC" w:rsidP="009C7C08">
            <w:pPr>
              <w:jc w:val="both"/>
              <w:rPr>
                <w:rFonts w:eastAsia="Calibri"/>
                <w:sz w:val="20"/>
              </w:rPr>
            </w:pPr>
            <w:r w:rsidRPr="00554DB2">
              <w:rPr>
                <w:rFonts w:eastAsia="Calibri"/>
                <w:sz w:val="20"/>
              </w:rPr>
              <w:t>January 5 and May 4, 2011</w:t>
            </w:r>
          </w:p>
          <w:p w:rsidR="00DF0DEC" w:rsidRPr="00554DB2" w:rsidRDefault="00DF0DEC" w:rsidP="009C7C08">
            <w:pPr>
              <w:jc w:val="both"/>
              <w:rPr>
                <w:rFonts w:eastAsia="Calibri"/>
                <w:sz w:val="20"/>
              </w:rPr>
            </w:pPr>
            <w:r w:rsidRPr="00554DB2">
              <w:rPr>
                <w:rFonts w:eastAsia="Calibri"/>
                <w:sz w:val="20"/>
              </w:rPr>
              <w:t>Ontario Superior Court of Justice</w:t>
            </w:r>
          </w:p>
          <w:p w:rsidR="00DF0DEC" w:rsidRPr="00554DB2" w:rsidRDefault="00DF0DEC" w:rsidP="009C7C08">
            <w:pPr>
              <w:jc w:val="both"/>
              <w:rPr>
                <w:rFonts w:eastAsia="Calibri"/>
                <w:sz w:val="20"/>
              </w:rPr>
            </w:pPr>
            <w:r w:rsidRPr="00554DB2">
              <w:rPr>
                <w:rFonts w:eastAsia="Calibri"/>
                <w:sz w:val="20"/>
              </w:rPr>
              <w:t>(Low J.)</w:t>
            </w:r>
          </w:p>
          <w:p w:rsidR="00DF0DEC" w:rsidRPr="00554DB2" w:rsidRDefault="00DF0DEC" w:rsidP="009C7C08">
            <w:pPr>
              <w:jc w:val="both"/>
              <w:rPr>
                <w:rFonts w:eastAsia="Calibri"/>
                <w:sz w:val="20"/>
              </w:rPr>
            </w:pPr>
            <w:r w:rsidRPr="00554DB2">
              <w:rPr>
                <w:rFonts w:eastAsia="Calibri"/>
                <w:sz w:val="20"/>
              </w:rPr>
              <w:t>2011 ONSC 53 and 2011 ONSC 2793</w:t>
            </w:r>
          </w:p>
          <w:p w:rsidR="00DF0DEC" w:rsidRPr="00554DB2" w:rsidRDefault="00DF0DEC" w:rsidP="009C7C08">
            <w:pPr>
              <w:jc w:val="both"/>
              <w:rPr>
                <w:rFonts w:eastAsia="Calibri"/>
                <w:sz w:val="20"/>
              </w:rPr>
            </w:pPr>
          </w:p>
        </w:tc>
        <w:tc>
          <w:tcPr>
            <w:tcW w:w="243" w:type="pct"/>
          </w:tcPr>
          <w:p w:rsidR="00DF0DEC" w:rsidRPr="00554DB2" w:rsidRDefault="00DF0DEC" w:rsidP="009C7C08">
            <w:pPr>
              <w:jc w:val="both"/>
              <w:rPr>
                <w:rFonts w:eastAsia="Calibri"/>
                <w:sz w:val="20"/>
              </w:rPr>
            </w:pPr>
          </w:p>
        </w:tc>
        <w:tc>
          <w:tcPr>
            <w:tcW w:w="2330" w:type="pct"/>
          </w:tcPr>
          <w:p w:rsidR="00DF0DEC" w:rsidRPr="00554DB2" w:rsidRDefault="00DF0DEC" w:rsidP="009C7C08">
            <w:pPr>
              <w:jc w:val="both"/>
              <w:rPr>
                <w:rFonts w:eastAsia="Calibri"/>
                <w:sz w:val="20"/>
              </w:rPr>
            </w:pPr>
            <w:r w:rsidRPr="00554DB2">
              <w:rPr>
                <w:rFonts w:eastAsia="Calibri"/>
                <w:sz w:val="20"/>
              </w:rPr>
              <w:t xml:space="preserve">Respondent’s motion for summary dismissal allowed. </w:t>
            </w:r>
          </w:p>
        </w:tc>
      </w:tr>
      <w:tr w:rsidR="00DF0DEC" w:rsidRPr="00554DB2" w:rsidTr="00B565D7">
        <w:trPr>
          <w:cantSplit/>
        </w:trPr>
        <w:tc>
          <w:tcPr>
            <w:tcW w:w="2427" w:type="pct"/>
          </w:tcPr>
          <w:p w:rsidR="00DF0DEC" w:rsidRPr="00554DB2" w:rsidRDefault="00DF0DEC" w:rsidP="009C7C08">
            <w:pPr>
              <w:jc w:val="both"/>
              <w:rPr>
                <w:rFonts w:eastAsia="Calibri"/>
                <w:sz w:val="20"/>
              </w:rPr>
            </w:pPr>
            <w:r w:rsidRPr="00554DB2">
              <w:rPr>
                <w:rFonts w:eastAsia="Calibri"/>
                <w:sz w:val="20"/>
              </w:rPr>
              <w:t>April 5, 2012</w:t>
            </w:r>
          </w:p>
          <w:p w:rsidR="00DF0DEC" w:rsidRPr="00554DB2" w:rsidRDefault="00DF0DEC" w:rsidP="009C7C08">
            <w:pPr>
              <w:jc w:val="both"/>
              <w:rPr>
                <w:rFonts w:eastAsia="Calibri"/>
                <w:sz w:val="20"/>
              </w:rPr>
            </w:pPr>
            <w:r w:rsidRPr="00554DB2">
              <w:rPr>
                <w:rFonts w:eastAsia="Calibri"/>
                <w:sz w:val="20"/>
              </w:rPr>
              <w:t>Court of Appeal for Ontario</w:t>
            </w:r>
          </w:p>
          <w:p w:rsidR="00DF0DEC" w:rsidRPr="00554DB2" w:rsidRDefault="00DF0DEC" w:rsidP="009C7C08">
            <w:pPr>
              <w:jc w:val="both"/>
              <w:rPr>
                <w:rFonts w:eastAsia="Calibri"/>
                <w:sz w:val="20"/>
              </w:rPr>
            </w:pPr>
            <w:r w:rsidRPr="00554DB2">
              <w:rPr>
                <w:rFonts w:eastAsia="Calibri"/>
                <w:sz w:val="20"/>
              </w:rPr>
              <w:t>(Doherty, LaForme JJ.A and Turnbull J. (</w:t>
            </w:r>
            <w:r w:rsidRPr="00554DB2">
              <w:rPr>
                <w:rFonts w:eastAsia="Calibri"/>
                <w:i/>
                <w:sz w:val="20"/>
              </w:rPr>
              <w:t>ad hoc</w:t>
            </w:r>
            <w:r w:rsidRPr="00554DB2">
              <w:rPr>
                <w:rFonts w:eastAsia="Calibri"/>
                <w:sz w:val="20"/>
              </w:rPr>
              <w:t>))</w:t>
            </w:r>
          </w:p>
          <w:p w:rsidR="00DF0DEC" w:rsidRPr="00554DB2" w:rsidRDefault="00DF0DEC" w:rsidP="009C7C08">
            <w:pPr>
              <w:jc w:val="both"/>
              <w:rPr>
                <w:rFonts w:eastAsia="Calibri"/>
                <w:sz w:val="20"/>
              </w:rPr>
            </w:pPr>
            <w:r w:rsidRPr="00554DB2">
              <w:rPr>
                <w:rFonts w:eastAsia="Calibri"/>
                <w:sz w:val="20"/>
              </w:rPr>
              <w:t xml:space="preserve">2012 ONCA 230 </w:t>
            </w:r>
          </w:p>
          <w:p w:rsidR="00DF0DEC" w:rsidRPr="00554DB2" w:rsidRDefault="00DF0DEC" w:rsidP="009C7C08">
            <w:pPr>
              <w:jc w:val="both"/>
              <w:rPr>
                <w:rFonts w:eastAsia="Calibri"/>
                <w:sz w:val="20"/>
              </w:rPr>
            </w:pPr>
          </w:p>
        </w:tc>
        <w:tc>
          <w:tcPr>
            <w:tcW w:w="243" w:type="pct"/>
          </w:tcPr>
          <w:p w:rsidR="00DF0DEC" w:rsidRPr="00554DB2" w:rsidRDefault="00DF0DEC" w:rsidP="009C7C08">
            <w:pPr>
              <w:jc w:val="both"/>
              <w:rPr>
                <w:rFonts w:eastAsia="Calibri"/>
                <w:sz w:val="20"/>
              </w:rPr>
            </w:pPr>
          </w:p>
        </w:tc>
        <w:tc>
          <w:tcPr>
            <w:tcW w:w="2330" w:type="pct"/>
          </w:tcPr>
          <w:p w:rsidR="00DF0DEC" w:rsidRPr="00554DB2" w:rsidRDefault="00DF0DEC" w:rsidP="009C7C08">
            <w:pPr>
              <w:jc w:val="both"/>
              <w:rPr>
                <w:rFonts w:eastAsia="Calibri"/>
                <w:sz w:val="20"/>
              </w:rPr>
            </w:pPr>
            <w:r w:rsidRPr="00554DB2">
              <w:rPr>
                <w:rFonts w:eastAsia="Calibri"/>
                <w:sz w:val="20"/>
              </w:rPr>
              <w:t>Appeal dismissed.</w:t>
            </w:r>
          </w:p>
          <w:p w:rsidR="00DF0DEC" w:rsidRPr="00554DB2" w:rsidRDefault="00DF0DEC" w:rsidP="009C7C08">
            <w:pPr>
              <w:jc w:val="both"/>
              <w:rPr>
                <w:rFonts w:eastAsia="Calibri"/>
                <w:sz w:val="20"/>
              </w:rPr>
            </w:pPr>
          </w:p>
        </w:tc>
      </w:tr>
      <w:tr w:rsidR="00DF0DEC" w:rsidRPr="00554DB2" w:rsidTr="00B565D7">
        <w:trPr>
          <w:cantSplit/>
        </w:trPr>
        <w:tc>
          <w:tcPr>
            <w:tcW w:w="2427" w:type="pct"/>
          </w:tcPr>
          <w:p w:rsidR="00DF0DEC" w:rsidRPr="00554DB2" w:rsidRDefault="00DF0DEC" w:rsidP="009C7C08">
            <w:pPr>
              <w:jc w:val="both"/>
              <w:rPr>
                <w:rFonts w:eastAsia="Calibri"/>
                <w:sz w:val="20"/>
              </w:rPr>
            </w:pPr>
            <w:r w:rsidRPr="00554DB2">
              <w:rPr>
                <w:rFonts w:eastAsia="Calibri"/>
                <w:sz w:val="20"/>
              </w:rPr>
              <w:t>June 12, 2012</w:t>
            </w:r>
          </w:p>
          <w:p w:rsidR="00DF0DEC" w:rsidRPr="00554DB2" w:rsidRDefault="00DF0DEC" w:rsidP="009C7C08">
            <w:pPr>
              <w:jc w:val="both"/>
              <w:rPr>
                <w:rFonts w:eastAsia="Calibri"/>
                <w:sz w:val="20"/>
              </w:rPr>
            </w:pPr>
            <w:r w:rsidRPr="00554DB2">
              <w:rPr>
                <w:rFonts w:eastAsia="Calibri"/>
                <w:sz w:val="20"/>
              </w:rPr>
              <w:t>Supreme Court of Canada</w:t>
            </w:r>
          </w:p>
          <w:p w:rsidR="00DF0DEC" w:rsidRPr="00554DB2" w:rsidRDefault="00DF0DEC" w:rsidP="009C7C08">
            <w:pPr>
              <w:jc w:val="both"/>
              <w:rPr>
                <w:rFonts w:eastAsia="Calibri"/>
                <w:sz w:val="20"/>
              </w:rPr>
            </w:pPr>
          </w:p>
        </w:tc>
        <w:tc>
          <w:tcPr>
            <w:tcW w:w="243" w:type="pct"/>
          </w:tcPr>
          <w:p w:rsidR="00DF0DEC" w:rsidRPr="00554DB2" w:rsidRDefault="00DF0DEC" w:rsidP="009C7C08">
            <w:pPr>
              <w:jc w:val="both"/>
              <w:rPr>
                <w:rFonts w:eastAsia="Calibri"/>
                <w:sz w:val="20"/>
              </w:rPr>
            </w:pPr>
          </w:p>
        </w:tc>
        <w:tc>
          <w:tcPr>
            <w:tcW w:w="2330" w:type="pct"/>
          </w:tcPr>
          <w:p w:rsidR="00DF0DEC" w:rsidRPr="00554DB2" w:rsidRDefault="00DF0DEC" w:rsidP="009C7C08">
            <w:pPr>
              <w:jc w:val="both"/>
              <w:rPr>
                <w:rFonts w:eastAsia="Calibri"/>
                <w:sz w:val="20"/>
              </w:rPr>
            </w:pPr>
            <w:r w:rsidRPr="00554DB2">
              <w:rPr>
                <w:rFonts w:eastAsia="Calibri"/>
                <w:sz w:val="20"/>
              </w:rPr>
              <w:t>Motion for an extension of time to serve and file an application for leave to appeal and application for leave to appeal filed.</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70"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F0DEC" w:rsidRPr="005571F9" w:rsidTr="009C7C08">
        <w:tc>
          <w:tcPr>
            <w:tcW w:w="5000" w:type="pct"/>
            <w:gridSpan w:val="3"/>
          </w:tcPr>
          <w:p w:rsidR="00DF0DEC" w:rsidRPr="00554DB2" w:rsidRDefault="00DF0DEC" w:rsidP="009C7C08">
            <w:pPr>
              <w:jc w:val="both"/>
              <w:rPr>
                <w:rFonts w:eastAsia="Calibri"/>
                <w:sz w:val="20"/>
                <w:lang w:val="fr-CA"/>
              </w:rPr>
            </w:pPr>
            <w:r w:rsidRPr="00554DB2">
              <w:rPr>
                <w:rFonts w:eastAsia="Calibri"/>
                <w:sz w:val="20"/>
                <w:lang w:val="fr-CA"/>
              </w:rPr>
              <w:t>Procédure civile — Prescription — Action au civil intentée plus de quatre ans et demi après l’agression présumée — L’action du demandeur est</w:t>
            </w:r>
            <w:r w:rsidRPr="00554DB2">
              <w:rPr>
                <w:rFonts w:eastAsia="Calibri"/>
                <w:sz w:val="20"/>
                <w:lang w:val="fr-CA"/>
              </w:rPr>
              <w:noBreakHyphen/>
              <w:t xml:space="preserve">elle prescrite en application de la </w:t>
            </w:r>
            <w:r w:rsidRPr="00554DB2">
              <w:rPr>
                <w:rFonts w:eastAsia="Calibri"/>
                <w:i/>
                <w:sz w:val="20"/>
                <w:lang w:val="fr-CA"/>
              </w:rPr>
              <w:t>Loi de 2002 sur la prescription des actions</w:t>
            </w:r>
            <w:r w:rsidRPr="00554DB2">
              <w:rPr>
                <w:rFonts w:eastAsia="Calibri"/>
                <w:sz w:val="20"/>
                <w:lang w:val="fr-CA"/>
              </w:rPr>
              <w:t>, L.O. 2002, ch. 24, annexe B — Les art. 4 et 5 de la loi s’appliquent</w:t>
            </w:r>
            <w:r w:rsidRPr="00554DB2">
              <w:rPr>
                <w:rFonts w:eastAsia="Calibri"/>
                <w:sz w:val="20"/>
                <w:lang w:val="fr-CA"/>
              </w:rPr>
              <w:noBreakHyphen/>
              <w:t xml:space="preserve">ils en violation des droits du demandeur garantis par la </w:t>
            </w:r>
            <w:r w:rsidRPr="00554DB2">
              <w:rPr>
                <w:rFonts w:eastAsia="Calibri"/>
                <w:i/>
                <w:sz w:val="20"/>
                <w:lang w:val="fr-CA"/>
              </w:rPr>
              <w:t>Charte canadienne des droits et libertés</w:t>
            </w:r>
            <w:r w:rsidRPr="00554DB2">
              <w:rPr>
                <w:rFonts w:eastAsia="Calibri"/>
                <w:sz w:val="20"/>
                <w:lang w:val="fr-CA"/>
              </w:rPr>
              <w:t>?</w:t>
            </w:r>
          </w:p>
        </w:tc>
      </w:tr>
      <w:tr w:rsidR="00DF0DEC" w:rsidRPr="005571F9" w:rsidTr="009C7C08">
        <w:tc>
          <w:tcPr>
            <w:tcW w:w="5000" w:type="pct"/>
            <w:gridSpan w:val="3"/>
          </w:tcPr>
          <w:p w:rsidR="00DF0DEC" w:rsidRPr="00554DB2" w:rsidRDefault="00DF0DEC" w:rsidP="009C7C08">
            <w:pPr>
              <w:jc w:val="both"/>
              <w:rPr>
                <w:rFonts w:eastAsia="Calibri"/>
                <w:sz w:val="20"/>
                <w:lang w:val="fr-CA"/>
              </w:rPr>
            </w:pPr>
          </w:p>
        </w:tc>
      </w:tr>
      <w:tr w:rsidR="00DF0DEC" w:rsidRPr="005571F9" w:rsidTr="009C7C08">
        <w:tc>
          <w:tcPr>
            <w:tcW w:w="5000" w:type="pct"/>
            <w:gridSpan w:val="3"/>
          </w:tcPr>
          <w:p w:rsidR="00DF0DEC" w:rsidRPr="00554DB2" w:rsidRDefault="00DF0DEC" w:rsidP="009C7C08">
            <w:pPr>
              <w:jc w:val="both"/>
              <w:rPr>
                <w:rFonts w:eastAsia="Calibri"/>
                <w:sz w:val="20"/>
                <w:lang w:val="fr-CA"/>
              </w:rPr>
            </w:pPr>
            <w:r w:rsidRPr="00554DB2">
              <w:rPr>
                <w:rFonts w:eastAsia="Calibri"/>
                <w:sz w:val="20"/>
                <w:lang w:val="fr-CA"/>
              </w:rPr>
              <w:t>Le demandeur, M. Boyce, a déposé une déclaration contre les intimés le 16 avril 2009.  Il y allègue que le 30 septembre 2004, après qu’il a inscrit un plaidoyer de culpabilité sous une accusation d’avoir manqué à un engagement et pendant qu’il était détenu dans une cellule, certains intimés l’avaient agressé, lui causant des blessures corporelles.  Monsieur Boyce a été transporté à l’hôpital où il est demeuré pendant une semaine.  Il est demeuré sous le soin d’un médecin jusqu’au 19 novembre 2004.  Il a demandé des dommages</w:t>
            </w:r>
            <w:r w:rsidRPr="00554DB2">
              <w:rPr>
                <w:rFonts w:eastAsia="Calibri"/>
                <w:sz w:val="20"/>
                <w:lang w:val="fr-CA"/>
              </w:rPr>
              <w:noBreakHyphen/>
              <w:t xml:space="preserve">intérêts pour voies de fait et batterie et pour atteinte à ses droits garantis par la </w:t>
            </w:r>
            <w:r w:rsidRPr="00554DB2">
              <w:rPr>
                <w:rFonts w:eastAsia="Calibri"/>
                <w:i/>
                <w:sz w:val="20"/>
                <w:lang w:val="fr-CA"/>
              </w:rPr>
              <w:t>Charte</w:t>
            </w:r>
            <w:r w:rsidRPr="00554DB2">
              <w:rPr>
                <w:rFonts w:eastAsia="Calibri"/>
                <w:sz w:val="20"/>
                <w:lang w:val="fr-CA"/>
              </w:rPr>
              <w:t xml:space="preserve">.  Les intimés ont déposé une motion en rejet sommaire, s’opposant à la demande au motif que l’action était prescrite, puisqu’elle avait intentée plus de deux ans après la survenance de la cause d’action.  En réponse, M. Boyce a allégué que la </w:t>
            </w:r>
            <w:r w:rsidRPr="00554DB2">
              <w:rPr>
                <w:rFonts w:eastAsia="Calibri"/>
                <w:i/>
                <w:sz w:val="20"/>
                <w:lang w:val="fr-CA"/>
              </w:rPr>
              <w:t>Loi de 2002 sur la prescription des actions</w:t>
            </w:r>
            <w:r w:rsidRPr="00554DB2">
              <w:rPr>
                <w:rFonts w:eastAsia="Calibri"/>
                <w:sz w:val="20"/>
                <w:lang w:val="fr-CA"/>
              </w:rPr>
              <w:t xml:space="preserve"> ne s’appliquait pas parce qu’il sollicitait une réparation fondée sur la </w:t>
            </w:r>
            <w:r w:rsidRPr="00554DB2">
              <w:rPr>
                <w:rFonts w:eastAsia="Calibri"/>
                <w:i/>
                <w:sz w:val="20"/>
                <w:lang w:val="fr-CA"/>
              </w:rPr>
              <w:t>Charte</w:t>
            </w:r>
            <w:r w:rsidRPr="00554DB2">
              <w:rPr>
                <w:rFonts w:eastAsia="Calibri"/>
                <w:sz w:val="20"/>
                <w:lang w:val="fr-CA"/>
              </w:rPr>
              <w:t>.</w:t>
            </w:r>
          </w:p>
          <w:p w:rsidR="00DF0DEC" w:rsidRPr="00554DB2" w:rsidRDefault="00DF0DEC" w:rsidP="009C7C08">
            <w:pPr>
              <w:jc w:val="both"/>
              <w:rPr>
                <w:rFonts w:eastAsia="Calibri"/>
                <w:sz w:val="20"/>
                <w:lang w:val="fr-CA"/>
              </w:rPr>
            </w:pPr>
          </w:p>
        </w:tc>
      </w:tr>
      <w:tr w:rsidR="00DF0DEC" w:rsidRPr="005571F9" w:rsidTr="009C7C08">
        <w:tc>
          <w:tcPr>
            <w:tcW w:w="2427" w:type="pct"/>
          </w:tcPr>
          <w:p w:rsidR="00DF0DEC" w:rsidRPr="00554DB2" w:rsidRDefault="00DF0DEC" w:rsidP="009C7C08">
            <w:pPr>
              <w:jc w:val="both"/>
              <w:rPr>
                <w:rFonts w:eastAsia="Calibri"/>
                <w:sz w:val="20"/>
                <w:lang w:val="fr-CA"/>
              </w:rPr>
            </w:pPr>
            <w:r w:rsidRPr="00554DB2">
              <w:rPr>
                <w:rFonts w:eastAsia="Calibri"/>
                <w:sz w:val="20"/>
                <w:lang w:val="fr-CA"/>
              </w:rPr>
              <w:t>5 janvier et 4 mai 2011</w:t>
            </w:r>
          </w:p>
          <w:p w:rsidR="00DF0DEC" w:rsidRPr="00554DB2" w:rsidRDefault="00DF0DEC" w:rsidP="009C7C08">
            <w:pPr>
              <w:jc w:val="both"/>
              <w:rPr>
                <w:rFonts w:eastAsia="Calibri"/>
                <w:sz w:val="20"/>
                <w:lang w:val="fr-CA"/>
              </w:rPr>
            </w:pPr>
            <w:r w:rsidRPr="00554DB2">
              <w:rPr>
                <w:rFonts w:eastAsia="Calibri"/>
                <w:sz w:val="20"/>
                <w:lang w:val="fr-CA"/>
              </w:rPr>
              <w:t>Cour supérieure de justice de l’Ontario</w:t>
            </w:r>
          </w:p>
          <w:p w:rsidR="00DF0DEC" w:rsidRPr="00554DB2" w:rsidRDefault="00DF0DEC" w:rsidP="009C7C08">
            <w:pPr>
              <w:jc w:val="both"/>
              <w:rPr>
                <w:rFonts w:eastAsia="Calibri"/>
                <w:sz w:val="20"/>
                <w:lang w:val="fr-CA"/>
              </w:rPr>
            </w:pPr>
            <w:r w:rsidRPr="00554DB2">
              <w:rPr>
                <w:rFonts w:eastAsia="Calibri"/>
                <w:sz w:val="20"/>
                <w:lang w:val="fr-CA"/>
              </w:rPr>
              <w:t>(Juge Low)</w:t>
            </w:r>
          </w:p>
          <w:p w:rsidR="00DF0DEC" w:rsidRPr="00554DB2" w:rsidRDefault="00DF0DEC" w:rsidP="009C7C08">
            <w:pPr>
              <w:jc w:val="both"/>
              <w:rPr>
                <w:rFonts w:eastAsia="Calibri"/>
                <w:sz w:val="20"/>
                <w:lang w:val="fr-CA"/>
              </w:rPr>
            </w:pPr>
            <w:r w:rsidRPr="00554DB2">
              <w:rPr>
                <w:rFonts w:eastAsia="Calibri"/>
                <w:sz w:val="20"/>
                <w:lang w:val="fr-CA"/>
              </w:rPr>
              <w:t>2011 ONSC 53 et 2011 ONSC 2793</w:t>
            </w:r>
          </w:p>
          <w:p w:rsidR="00DF0DEC" w:rsidRPr="00554DB2" w:rsidRDefault="00DF0DEC" w:rsidP="009C7C08">
            <w:pPr>
              <w:jc w:val="both"/>
              <w:rPr>
                <w:rFonts w:eastAsia="Calibri"/>
                <w:sz w:val="20"/>
                <w:lang w:val="fr-CA"/>
              </w:rPr>
            </w:pPr>
          </w:p>
        </w:tc>
        <w:tc>
          <w:tcPr>
            <w:tcW w:w="243" w:type="pct"/>
          </w:tcPr>
          <w:p w:rsidR="00DF0DEC" w:rsidRPr="00554DB2" w:rsidRDefault="00DF0DEC" w:rsidP="009C7C08">
            <w:pPr>
              <w:jc w:val="both"/>
              <w:rPr>
                <w:rFonts w:eastAsia="Calibri"/>
                <w:sz w:val="20"/>
                <w:lang w:val="fr-CA"/>
              </w:rPr>
            </w:pPr>
          </w:p>
        </w:tc>
        <w:tc>
          <w:tcPr>
            <w:tcW w:w="2330" w:type="pct"/>
          </w:tcPr>
          <w:p w:rsidR="00DF0DEC" w:rsidRPr="00554DB2" w:rsidRDefault="00DF0DEC" w:rsidP="009C7C08">
            <w:pPr>
              <w:jc w:val="both"/>
              <w:rPr>
                <w:rFonts w:eastAsia="Calibri"/>
                <w:sz w:val="20"/>
                <w:lang w:val="fr-CA"/>
              </w:rPr>
            </w:pPr>
            <w:r w:rsidRPr="00554DB2">
              <w:rPr>
                <w:rFonts w:eastAsia="Calibri"/>
                <w:sz w:val="20"/>
                <w:lang w:val="fr-CA"/>
              </w:rPr>
              <w:t xml:space="preserve">Motion de l’intimée en rejet sommaire, accueillie. </w:t>
            </w:r>
          </w:p>
        </w:tc>
      </w:tr>
      <w:tr w:rsidR="00DF0DEC" w:rsidRPr="00554DB2" w:rsidTr="009C7C08">
        <w:tc>
          <w:tcPr>
            <w:tcW w:w="2427" w:type="pct"/>
          </w:tcPr>
          <w:p w:rsidR="00DF0DEC" w:rsidRPr="00554DB2" w:rsidRDefault="00DF0DEC" w:rsidP="009C7C08">
            <w:pPr>
              <w:jc w:val="both"/>
              <w:rPr>
                <w:rFonts w:eastAsia="Calibri"/>
                <w:sz w:val="20"/>
                <w:lang w:val="fr-CA"/>
              </w:rPr>
            </w:pPr>
            <w:r w:rsidRPr="00554DB2">
              <w:rPr>
                <w:rFonts w:eastAsia="Calibri"/>
                <w:sz w:val="20"/>
                <w:lang w:val="fr-CA"/>
              </w:rPr>
              <w:t>5 avril 2012</w:t>
            </w:r>
          </w:p>
          <w:p w:rsidR="00DF0DEC" w:rsidRPr="00554DB2" w:rsidRDefault="00DF0DEC" w:rsidP="009C7C08">
            <w:pPr>
              <w:jc w:val="both"/>
              <w:rPr>
                <w:rFonts w:eastAsia="Calibri"/>
                <w:sz w:val="20"/>
                <w:lang w:val="fr-CA"/>
              </w:rPr>
            </w:pPr>
            <w:r w:rsidRPr="00554DB2">
              <w:rPr>
                <w:rFonts w:eastAsia="Calibri"/>
                <w:sz w:val="20"/>
                <w:lang w:val="fr-CA"/>
              </w:rPr>
              <w:t>Cour d’appel de l’Ontario</w:t>
            </w:r>
          </w:p>
          <w:p w:rsidR="00DF0DEC" w:rsidRPr="00554DB2" w:rsidRDefault="00DF0DEC" w:rsidP="009C7C08">
            <w:pPr>
              <w:jc w:val="both"/>
              <w:rPr>
                <w:rFonts w:eastAsia="Calibri"/>
                <w:sz w:val="20"/>
                <w:lang w:val="fr-CA"/>
              </w:rPr>
            </w:pPr>
            <w:r w:rsidRPr="00554DB2">
              <w:rPr>
                <w:rFonts w:eastAsia="Calibri"/>
                <w:sz w:val="20"/>
                <w:lang w:val="fr-CA"/>
              </w:rPr>
              <w:t>(Juges Doherty, LaForme et Turnbull (</w:t>
            </w:r>
            <w:r w:rsidRPr="00554DB2">
              <w:rPr>
                <w:rFonts w:eastAsia="Calibri"/>
                <w:i/>
                <w:sz w:val="20"/>
                <w:lang w:val="fr-CA"/>
              </w:rPr>
              <w:t>ad hoc</w:t>
            </w:r>
            <w:r w:rsidRPr="00554DB2">
              <w:rPr>
                <w:rFonts w:eastAsia="Calibri"/>
                <w:sz w:val="20"/>
                <w:lang w:val="fr-CA"/>
              </w:rPr>
              <w:t>))</w:t>
            </w:r>
          </w:p>
          <w:p w:rsidR="00DF0DEC" w:rsidRPr="00554DB2" w:rsidRDefault="00DF0DEC" w:rsidP="009C7C08">
            <w:pPr>
              <w:jc w:val="both"/>
              <w:rPr>
                <w:rFonts w:eastAsia="Calibri"/>
                <w:sz w:val="20"/>
                <w:lang w:val="fr-CA"/>
              </w:rPr>
            </w:pPr>
            <w:r w:rsidRPr="00554DB2">
              <w:rPr>
                <w:rFonts w:eastAsia="Calibri"/>
                <w:sz w:val="20"/>
                <w:lang w:val="fr-CA"/>
              </w:rPr>
              <w:t xml:space="preserve">2012 ONCA 230 </w:t>
            </w:r>
          </w:p>
          <w:p w:rsidR="00DF0DEC" w:rsidRPr="00554DB2" w:rsidRDefault="00DF0DEC" w:rsidP="009C7C08">
            <w:pPr>
              <w:jc w:val="both"/>
              <w:rPr>
                <w:rFonts w:eastAsia="Calibri"/>
                <w:sz w:val="20"/>
                <w:lang w:val="fr-CA"/>
              </w:rPr>
            </w:pPr>
          </w:p>
        </w:tc>
        <w:tc>
          <w:tcPr>
            <w:tcW w:w="243" w:type="pct"/>
          </w:tcPr>
          <w:p w:rsidR="00DF0DEC" w:rsidRPr="00554DB2" w:rsidRDefault="00DF0DEC" w:rsidP="009C7C08">
            <w:pPr>
              <w:jc w:val="both"/>
              <w:rPr>
                <w:rFonts w:eastAsia="Calibri"/>
                <w:sz w:val="20"/>
                <w:lang w:val="fr-CA"/>
              </w:rPr>
            </w:pPr>
          </w:p>
        </w:tc>
        <w:tc>
          <w:tcPr>
            <w:tcW w:w="2330" w:type="pct"/>
          </w:tcPr>
          <w:p w:rsidR="00DF0DEC" w:rsidRPr="00554DB2" w:rsidRDefault="00DF0DEC" w:rsidP="009C7C08">
            <w:pPr>
              <w:jc w:val="both"/>
              <w:rPr>
                <w:rFonts w:eastAsia="Calibri"/>
                <w:sz w:val="20"/>
                <w:lang w:val="fr-CA"/>
              </w:rPr>
            </w:pPr>
            <w:r w:rsidRPr="00554DB2">
              <w:rPr>
                <w:rFonts w:eastAsia="Calibri"/>
                <w:sz w:val="20"/>
                <w:lang w:val="fr-CA"/>
              </w:rPr>
              <w:t>Appel rejeté.</w:t>
            </w:r>
          </w:p>
          <w:p w:rsidR="00DF0DEC" w:rsidRPr="00554DB2" w:rsidRDefault="00DF0DEC" w:rsidP="009C7C08">
            <w:pPr>
              <w:jc w:val="both"/>
              <w:rPr>
                <w:rFonts w:eastAsia="Calibri"/>
                <w:sz w:val="20"/>
                <w:lang w:val="fr-CA"/>
              </w:rPr>
            </w:pPr>
          </w:p>
        </w:tc>
      </w:tr>
      <w:tr w:rsidR="00DF0DEC" w:rsidRPr="005571F9" w:rsidTr="009C7C08">
        <w:tc>
          <w:tcPr>
            <w:tcW w:w="2427" w:type="pct"/>
          </w:tcPr>
          <w:p w:rsidR="00DF0DEC" w:rsidRPr="00554DB2" w:rsidRDefault="00DF0DEC" w:rsidP="009C7C08">
            <w:pPr>
              <w:jc w:val="both"/>
              <w:rPr>
                <w:rFonts w:eastAsia="Calibri"/>
                <w:sz w:val="20"/>
                <w:lang w:val="fr-CA"/>
              </w:rPr>
            </w:pPr>
            <w:r w:rsidRPr="00554DB2">
              <w:rPr>
                <w:rFonts w:eastAsia="Calibri"/>
                <w:sz w:val="20"/>
                <w:lang w:val="fr-CA"/>
              </w:rPr>
              <w:t>12 juin 2012</w:t>
            </w:r>
          </w:p>
          <w:p w:rsidR="00DF0DEC" w:rsidRPr="00554DB2" w:rsidRDefault="00DF0DEC" w:rsidP="009C7C08">
            <w:pPr>
              <w:jc w:val="both"/>
              <w:rPr>
                <w:rFonts w:eastAsia="Calibri"/>
                <w:sz w:val="20"/>
                <w:lang w:val="fr-CA"/>
              </w:rPr>
            </w:pPr>
            <w:r w:rsidRPr="00554DB2">
              <w:rPr>
                <w:rFonts w:eastAsia="Calibri"/>
                <w:sz w:val="20"/>
                <w:lang w:val="fr-CA"/>
              </w:rPr>
              <w:t>Cour suprême du Canada</w:t>
            </w:r>
          </w:p>
          <w:p w:rsidR="00DF0DEC" w:rsidRPr="00554DB2" w:rsidRDefault="00DF0DEC" w:rsidP="009C7C08">
            <w:pPr>
              <w:jc w:val="both"/>
              <w:rPr>
                <w:rFonts w:eastAsia="Calibri"/>
                <w:sz w:val="20"/>
                <w:lang w:val="fr-CA"/>
              </w:rPr>
            </w:pPr>
          </w:p>
        </w:tc>
        <w:tc>
          <w:tcPr>
            <w:tcW w:w="243" w:type="pct"/>
          </w:tcPr>
          <w:p w:rsidR="00DF0DEC" w:rsidRPr="00554DB2" w:rsidRDefault="00DF0DEC" w:rsidP="009C7C08">
            <w:pPr>
              <w:jc w:val="both"/>
              <w:rPr>
                <w:rFonts w:eastAsia="Calibri"/>
                <w:sz w:val="20"/>
                <w:lang w:val="fr-CA"/>
              </w:rPr>
            </w:pPr>
          </w:p>
        </w:tc>
        <w:tc>
          <w:tcPr>
            <w:tcW w:w="2330" w:type="pct"/>
          </w:tcPr>
          <w:p w:rsidR="00DF0DEC" w:rsidRPr="00554DB2" w:rsidRDefault="00DF0DEC" w:rsidP="009C7C08">
            <w:pPr>
              <w:jc w:val="both"/>
              <w:rPr>
                <w:rFonts w:eastAsia="Calibri"/>
                <w:sz w:val="20"/>
                <w:lang w:val="fr-CA"/>
              </w:rPr>
            </w:pPr>
            <w:r w:rsidRPr="00554DB2">
              <w:rPr>
                <w:rFonts w:eastAsia="Calibri"/>
                <w:sz w:val="20"/>
                <w:lang w:val="fr-CA"/>
              </w:rPr>
              <w:t>Requête en prorogation du délai de signification et de dépôt d’une demande d’autorisation d’appel et demande d’autorisation d’appel, déposées.</w:t>
            </w:r>
          </w:p>
        </w:tc>
      </w:tr>
    </w:tbl>
    <w:p w:rsidR="00FA1074" w:rsidRPr="00DF0DEC" w:rsidRDefault="00FA1074" w:rsidP="00FA1074">
      <w:pPr>
        <w:rPr>
          <w:sz w:val="20"/>
          <w:szCs w:val="20"/>
          <w:lang w:val="fr-CA"/>
        </w:rPr>
      </w:pPr>
    </w:p>
    <w:p w:rsidR="00FA1074" w:rsidRDefault="002048ED" w:rsidP="00FA1074">
      <w:pPr>
        <w:rPr>
          <w:sz w:val="20"/>
          <w:szCs w:val="20"/>
        </w:rPr>
      </w:pPr>
      <w:r w:rsidRPr="002048ED">
        <w:rPr>
          <w:sz w:val="20"/>
          <w:szCs w:val="20"/>
          <w:lang w:val="fr-CA"/>
        </w:rPr>
        <w:pict>
          <v:rect id="_x0000_i1071"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32CB5" w:rsidRPr="00975B77" w:rsidTr="00032CB5">
        <w:trPr>
          <w:cantSplit/>
        </w:trPr>
        <w:tc>
          <w:tcPr>
            <w:tcW w:w="1458" w:type="dxa"/>
          </w:tcPr>
          <w:p w:rsidR="00032CB5" w:rsidRPr="00975B77" w:rsidRDefault="00032CB5" w:rsidP="00032CB5">
            <w:pPr>
              <w:rPr>
                <w:sz w:val="20"/>
                <w:szCs w:val="20"/>
              </w:rPr>
            </w:pPr>
            <w:r w:rsidRPr="00975B77">
              <w:rPr>
                <w:rStyle w:val="SCCFileNumberChar"/>
                <w:sz w:val="20"/>
                <w:szCs w:val="20"/>
              </w:rPr>
              <w:t>34873</w:t>
            </w:r>
          </w:p>
          <w:p w:rsidR="00032CB5" w:rsidRPr="00975B77" w:rsidRDefault="00032CB5" w:rsidP="00032CB5">
            <w:pPr>
              <w:rPr>
                <w:b/>
                <w:sz w:val="20"/>
                <w:szCs w:val="20"/>
                <w:lang w:val="fr-CA"/>
              </w:rPr>
            </w:pPr>
          </w:p>
        </w:tc>
        <w:tc>
          <w:tcPr>
            <w:tcW w:w="8118" w:type="dxa"/>
          </w:tcPr>
          <w:p w:rsidR="00032CB5" w:rsidRPr="00975B77" w:rsidRDefault="00032CB5" w:rsidP="00032CB5">
            <w:pPr>
              <w:jc w:val="both"/>
              <w:rPr>
                <w:sz w:val="20"/>
                <w:szCs w:val="20"/>
              </w:rPr>
            </w:pPr>
            <w:r w:rsidRPr="00032CB5">
              <w:rPr>
                <w:rStyle w:val="SCCLsocChar"/>
                <w:sz w:val="20"/>
                <w:szCs w:val="20"/>
                <w:lang w:val="en-CA"/>
              </w:rPr>
              <w:t>Teva Canada Limited v. Nycomed Canada Inc., Nycomed GMBH and Nycomed International Management GMBH</w:t>
            </w:r>
            <w:r w:rsidRPr="00975B77">
              <w:rPr>
                <w:sz w:val="20"/>
                <w:szCs w:val="20"/>
              </w:rPr>
              <w:t xml:space="preserve"> (F.C.) (Civil) (By Leave)</w:t>
            </w:r>
          </w:p>
          <w:p w:rsidR="00032CB5" w:rsidRPr="00975B77" w:rsidRDefault="00032CB5" w:rsidP="00032CB5">
            <w:pPr>
              <w:rPr>
                <w:sz w:val="20"/>
                <w:szCs w:val="20"/>
              </w:rPr>
            </w:pPr>
          </w:p>
        </w:tc>
      </w:tr>
      <w:tr w:rsidR="00032CB5" w:rsidRPr="00975B77" w:rsidTr="00032CB5">
        <w:trPr>
          <w:cantSplit/>
        </w:trPr>
        <w:tc>
          <w:tcPr>
            <w:tcW w:w="1458" w:type="dxa"/>
          </w:tcPr>
          <w:p w:rsidR="00032CB5" w:rsidRPr="00975B77" w:rsidRDefault="00032CB5" w:rsidP="00032CB5">
            <w:pPr>
              <w:rPr>
                <w:sz w:val="20"/>
                <w:szCs w:val="20"/>
              </w:rPr>
            </w:pPr>
            <w:r w:rsidRPr="00975B77">
              <w:rPr>
                <w:sz w:val="20"/>
                <w:szCs w:val="20"/>
              </w:rPr>
              <w:t>Coram :</w:t>
            </w:r>
          </w:p>
        </w:tc>
        <w:tc>
          <w:tcPr>
            <w:tcW w:w="8118" w:type="dxa"/>
          </w:tcPr>
          <w:p w:rsidR="00032CB5" w:rsidRPr="00975B77" w:rsidRDefault="00032CB5" w:rsidP="00032CB5">
            <w:pPr>
              <w:rPr>
                <w:sz w:val="20"/>
                <w:szCs w:val="20"/>
              </w:rPr>
            </w:pPr>
            <w:r w:rsidRPr="00032CB5">
              <w:rPr>
                <w:rStyle w:val="SCCCoramChar"/>
                <w:sz w:val="20"/>
                <w:szCs w:val="20"/>
                <w:lang w:val="en-CA"/>
              </w:rPr>
              <w:t>McLachlin C.J. and Rothstein and Moldaver JJ.</w:t>
            </w:r>
          </w:p>
          <w:p w:rsidR="00032CB5" w:rsidRPr="00975B77" w:rsidRDefault="00032CB5" w:rsidP="00032CB5">
            <w:pPr>
              <w:rPr>
                <w:sz w:val="20"/>
                <w:szCs w:val="20"/>
                <w:u w:val="single"/>
              </w:rPr>
            </w:pPr>
          </w:p>
        </w:tc>
      </w:tr>
      <w:tr w:rsidR="00032CB5" w:rsidRPr="005571F9" w:rsidTr="00032CB5">
        <w:trPr>
          <w:cantSplit/>
        </w:trPr>
        <w:tc>
          <w:tcPr>
            <w:tcW w:w="9576" w:type="dxa"/>
            <w:gridSpan w:val="2"/>
          </w:tcPr>
          <w:p w:rsidR="00032CB5" w:rsidRPr="00975B77" w:rsidRDefault="00032CB5" w:rsidP="00032CB5">
            <w:pPr>
              <w:pStyle w:val="SCCShortJudgment"/>
              <w:rPr>
                <w:szCs w:val="20"/>
              </w:rPr>
            </w:pPr>
            <w:r w:rsidRPr="00975B77">
              <w:rPr>
                <w:szCs w:val="20"/>
              </w:rPr>
              <w:t>The application for leave to appeal from the judgment of the Federal Court of Appeal, Number A-401-11, 2012 FCA 129, dated April 25, 2012, is dismissed with costs.</w:t>
            </w:r>
          </w:p>
          <w:p w:rsidR="00032CB5" w:rsidRPr="00975B77" w:rsidRDefault="00032CB5" w:rsidP="00032CB5">
            <w:pPr>
              <w:pStyle w:val="SCCShortJudgment"/>
              <w:ind w:firstLine="0"/>
              <w:rPr>
                <w:szCs w:val="20"/>
              </w:rPr>
            </w:pPr>
          </w:p>
          <w:p w:rsidR="00032CB5" w:rsidRPr="00975B77" w:rsidRDefault="00032CB5" w:rsidP="00032CB5">
            <w:pPr>
              <w:pStyle w:val="SCCShortJudgment"/>
              <w:rPr>
                <w:szCs w:val="20"/>
                <w:lang w:val="fr-CA"/>
              </w:rPr>
            </w:pPr>
            <w:r w:rsidRPr="00975B77">
              <w:rPr>
                <w:szCs w:val="20"/>
                <w:lang w:val="fr-CA"/>
              </w:rPr>
              <w:t>La demande d’autorisation d’appel de l’arrêt de la Cour d’appel fédérale, numéro A-401-11, 2012 CAF 129, daté du 25 avril 2012, est rejetée avec dépens.</w:t>
            </w:r>
          </w:p>
        </w:tc>
      </w:tr>
    </w:tbl>
    <w:p w:rsidR="00FA1074" w:rsidRPr="00032CB5"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C7C08" w:rsidRPr="00554DB2" w:rsidTr="009C7C08">
        <w:tc>
          <w:tcPr>
            <w:tcW w:w="5000" w:type="pct"/>
            <w:gridSpan w:val="3"/>
          </w:tcPr>
          <w:p w:rsidR="009C7C08" w:rsidRPr="00554DB2" w:rsidRDefault="009C7C08" w:rsidP="009C7C08">
            <w:pPr>
              <w:jc w:val="both"/>
              <w:rPr>
                <w:rFonts w:eastAsia="Calibri"/>
                <w:sz w:val="20"/>
              </w:rPr>
            </w:pPr>
            <w:r w:rsidRPr="00554DB2">
              <w:rPr>
                <w:rFonts w:eastAsia="Calibri"/>
                <w:sz w:val="20"/>
              </w:rPr>
              <w:t xml:space="preserve">Intellectual property — Patents — Medicines — </w:t>
            </w:r>
            <w:r w:rsidRPr="00554DB2">
              <w:rPr>
                <w:rFonts w:eastAsia="Calibri"/>
                <w:i/>
                <w:sz w:val="20"/>
              </w:rPr>
              <w:t>Patented Medicines (Notice of Compliance) Regulations</w:t>
            </w:r>
            <w:r w:rsidRPr="00554DB2">
              <w:rPr>
                <w:rFonts w:eastAsia="Calibri"/>
                <w:sz w:val="20"/>
              </w:rPr>
              <w:t>, SOR 93/</w:t>
            </w:r>
            <w:r w:rsidRPr="00554DB2">
              <w:rPr>
                <w:rFonts w:eastAsia="Calibri"/>
                <w:sz w:val="20"/>
              </w:rPr>
              <w:noBreakHyphen/>
              <w:t xml:space="preserve">133 — Section 8 damages — Whether a technical, acontextual interpretation of the word “suffered” in the phrase “the first person is liable to the second person for any loss suffered during the period” should be adopted, even though it upsets the careful balance struck by the Governor in Council in section 8 of the </w:t>
            </w:r>
            <w:r w:rsidRPr="00554DB2">
              <w:rPr>
                <w:rFonts w:eastAsia="Calibri"/>
                <w:i/>
                <w:sz w:val="20"/>
              </w:rPr>
              <w:t>Regulations</w:t>
            </w:r>
            <w:r w:rsidRPr="00554DB2">
              <w:rPr>
                <w:rFonts w:eastAsia="Calibri"/>
                <w:sz w:val="20"/>
              </w:rPr>
              <w:t xml:space="preserve"> and is inconsistent with the Legislature’s sovereign intent? — Whether the test in </w:t>
            </w:r>
            <w:r w:rsidRPr="00554DB2">
              <w:rPr>
                <w:rFonts w:eastAsia="Calibri"/>
                <w:i/>
                <w:sz w:val="20"/>
              </w:rPr>
              <w:t>Hunt v. Carey Canada Inc.</w:t>
            </w:r>
            <w:r w:rsidRPr="00554DB2">
              <w:rPr>
                <w:rFonts w:eastAsia="Calibri"/>
                <w:sz w:val="20"/>
              </w:rPr>
              <w:t>, [1990] 2 S.C.R. 959, should be diluted — Whether it can be reasonably asserted that it is “plain and obvious” that the claims struck out in this case cannot succeed — Whether the applicant Teva should be deprived of its right to a determination of this issue at trial.</w:t>
            </w:r>
          </w:p>
        </w:tc>
      </w:tr>
      <w:tr w:rsidR="009C7C08" w:rsidRPr="00554DB2" w:rsidTr="009C7C08">
        <w:tc>
          <w:tcPr>
            <w:tcW w:w="5000" w:type="pct"/>
            <w:gridSpan w:val="3"/>
          </w:tcPr>
          <w:p w:rsidR="009C7C08" w:rsidRPr="00554DB2" w:rsidRDefault="009C7C08" w:rsidP="009C7C08">
            <w:pPr>
              <w:jc w:val="both"/>
              <w:rPr>
                <w:rFonts w:eastAsia="Calibri"/>
                <w:sz w:val="20"/>
              </w:rPr>
            </w:pPr>
          </w:p>
        </w:tc>
      </w:tr>
      <w:tr w:rsidR="009C7C08" w:rsidRPr="00554DB2" w:rsidTr="009C7C08">
        <w:tc>
          <w:tcPr>
            <w:tcW w:w="5000" w:type="pct"/>
            <w:gridSpan w:val="3"/>
          </w:tcPr>
          <w:p w:rsidR="009C7C08" w:rsidRPr="00554DB2" w:rsidRDefault="009C7C08" w:rsidP="009C7C08">
            <w:pPr>
              <w:jc w:val="both"/>
              <w:rPr>
                <w:rFonts w:eastAsia="Calibri"/>
                <w:sz w:val="20"/>
              </w:rPr>
            </w:pPr>
            <w:r w:rsidRPr="00554DB2">
              <w:rPr>
                <w:rFonts w:eastAsia="Calibri"/>
                <w:sz w:val="20"/>
              </w:rPr>
              <w:t xml:space="preserve">The applicant, Teva, filed an action against the respondents under s. 8 of the </w:t>
            </w:r>
            <w:r w:rsidRPr="00554DB2">
              <w:rPr>
                <w:rFonts w:eastAsia="Calibri"/>
                <w:i/>
                <w:sz w:val="20"/>
              </w:rPr>
              <w:t>Patented Medicines (Notice of Compliance) Regulations</w:t>
            </w:r>
            <w:r w:rsidRPr="00554DB2">
              <w:rPr>
                <w:rFonts w:eastAsia="Calibri"/>
                <w:sz w:val="20"/>
              </w:rPr>
              <w:t>, SOR/93</w:t>
            </w:r>
            <w:r w:rsidRPr="00554DB2">
              <w:rPr>
                <w:rFonts w:eastAsia="Calibri"/>
                <w:sz w:val="20"/>
              </w:rPr>
              <w:noBreakHyphen/>
              <w:t>133, seeking compensation for all losses, damages and harm caused by them in delaying the issuance of a notice of compliance for its 20 mg and 40 mg pantoprazole tablets.  The respondents moved to strike all pleadings in relation to Teva’s claims for damages incurred outside the period of liability defined in s. 8(1)(</w:t>
            </w:r>
            <w:r w:rsidRPr="00554DB2">
              <w:rPr>
                <w:rFonts w:eastAsia="Calibri"/>
                <w:i/>
                <w:sz w:val="20"/>
              </w:rPr>
              <w:t>a</w:t>
            </w:r>
            <w:r w:rsidRPr="00554DB2">
              <w:rPr>
                <w:rFonts w:eastAsia="Calibri"/>
                <w:sz w:val="20"/>
              </w:rPr>
              <w:t xml:space="preserve">) of the </w:t>
            </w:r>
            <w:r w:rsidRPr="00554DB2">
              <w:rPr>
                <w:rFonts w:eastAsia="Calibri"/>
                <w:i/>
                <w:sz w:val="20"/>
              </w:rPr>
              <w:t>Regulations</w:t>
            </w:r>
            <w:r w:rsidRPr="00554DB2">
              <w:rPr>
                <w:rFonts w:eastAsia="Calibri"/>
                <w:sz w:val="20"/>
              </w:rPr>
              <w:t>.  The motion was granted and the portions of Teva’s statement of claim relating to permanent loss of market share and damages suffered outside the prescribed liability period were struck.  Teva appealed unsuccessfully to the Federal Court and, subsequently, to the Federal Court of Appeal.  The Federal Court of Appeal held that it was plain and obvious that Teva’s claims for losses suffered outside the prescribed period could not succeed.</w:t>
            </w:r>
          </w:p>
          <w:p w:rsidR="009C7C08" w:rsidRPr="00554DB2" w:rsidRDefault="009C7C08" w:rsidP="009C7C08">
            <w:pPr>
              <w:jc w:val="both"/>
              <w:rPr>
                <w:rFonts w:eastAsia="Calibri"/>
                <w:sz w:val="20"/>
              </w:rPr>
            </w:pPr>
          </w:p>
        </w:tc>
      </w:tr>
      <w:tr w:rsidR="009C7C08" w:rsidRPr="00554DB2" w:rsidTr="009C7C08">
        <w:tc>
          <w:tcPr>
            <w:tcW w:w="2427" w:type="pct"/>
          </w:tcPr>
          <w:p w:rsidR="009C7C08" w:rsidRPr="00554DB2" w:rsidRDefault="009C7C08" w:rsidP="009C7C08">
            <w:pPr>
              <w:jc w:val="both"/>
              <w:rPr>
                <w:rFonts w:eastAsia="Calibri"/>
                <w:sz w:val="20"/>
              </w:rPr>
            </w:pPr>
            <w:r w:rsidRPr="00554DB2">
              <w:rPr>
                <w:rFonts w:eastAsia="Calibri"/>
                <w:sz w:val="20"/>
              </w:rPr>
              <w:t>August 25, 2011</w:t>
            </w:r>
          </w:p>
          <w:p w:rsidR="009C7C08" w:rsidRPr="00554DB2" w:rsidRDefault="009C7C08" w:rsidP="009C7C08">
            <w:pPr>
              <w:jc w:val="both"/>
              <w:rPr>
                <w:rFonts w:eastAsia="Calibri"/>
                <w:sz w:val="20"/>
              </w:rPr>
            </w:pPr>
            <w:r w:rsidRPr="00554DB2">
              <w:rPr>
                <w:rFonts w:eastAsia="Calibri"/>
                <w:sz w:val="20"/>
              </w:rPr>
              <w:t>Federal Court</w:t>
            </w:r>
          </w:p>
          <w:p w:rsidR="009C7C08" w:rsidRPr="00554DB2" w:rsidRDefault="009C7C08" w:rsidP="009C7C08">
            <w:pPr>
              <w:jc w:val="both"/>
              <w:rPr>
                <w:rFonts w:eastAsia="Calibri"/>
                <w:sz w:val="20"/>
              </w:rPr>
            </w:pPr>
            <w:r w:rsidRPr="00554DB2">
              <w:rPr>
                <w:rFonts w:eastAsia="Calibri"/>
                <w:sz w:val="20"/>
              </w:rPr>
              <w:t>(Prothonotary Mikczynski)</w:t>
            </w:r>
          </w:p>
          <w:p w:rsidR="009C7C08" w:rsidRPr="00554DB2" w:rsidRDefault="009C7C08" w:rsidP="009C7C08">
            <w:pPr>
              <w:jc w:val="both"/>
              <w:rPr>
                <w:rFonts w:eastAsia="Calibri"/>
                <w:sz w:val="20"/>
              </w:rPr>
            </w:pPr>
          </w:p>
        </w:tc>
        <w:tc>
          <w:tcPr>
            <w:tcW w:w="243" w:type="pct"/>
          </w:tcPr>
          <w:p w:rsidR="009C7C08" w:rsidRPr="00554DB2" w:rsidRDefault="009C7C08" w:rsidP="009C7C08">
            <w:pPr>
              <w:jc w:val="both"/>
              <w:rPr>
                <w:rFonts w:eastAsia="Calibri"/>
                <w:sz w:val="20"/>
              </w:rPr>
            </w:pPr>
          </w:p>
        </w:tc>
        <w:tc>
          <w:tcPr>
            <w:tcW w:w="2330" w:type="pct"/>
          </w:tcPr>
          <w:p w:rsidR="009C7C08" w:rsidRPr="00554DB2" w:rsidRDefault="009C7C08" w:rsidP="009C7C08">
            <w:pPr>
              <w:jc w:val="both"/>
              <w:rPr>
                <w:rFonts w:eastAsia="Calibri"/>
                <w:sz w:val="20"/>
              </w:rPr>
            </w:pPr>
            <w:r w:rsidRPr="00554DB2">
              <w:rPr>
                <w:rFonts w:eastAsia="Calibri"/>
                <w:sz w:val="20"/>
              </w:rPr>
              <w:t>Portions of applicant’s Statement of Claim struck</w:t>
            </w:r>
          </w:p>
          <w:p w:rsidR="009C7C08" w:rsidRPr="00554DB2" w:rsidRDefault="009C7C08" w:rsidP="009C7C08">
            <w:pPr>
              <w:jc w:val="both"/>
              <w:rPr>
                <w:rFonts w:eastAsia="Calibri"/>
                <w:sz w:val="20"/>
              </w:rPr>
            </w:pPr>
          </w:p>
        </w:tc>
      </w:tr>
      <w:tr w:rsidR="009C7C08" w:rsidRPr="00554DB2" w:rsidTr="009C7C08">
        <w:tc>
          <w:tcPr>
            <w:tcW w:w="2427" w:type="pct"/>
          </w:tcPr>
          <w:p w:rsidR="009C7C08" w:rsidRPr="00554DB2" w:rsidRDefault="009C7C08" w:rsidP="009C7C08">
            <w:pPr>
              <w:jc w:val="both"/>
              <w:rPr>
                <w:rFonts w:eastAsia="Calibri"/>
                <w:sz w:val="20"/>
              </w:rPr>
            </w:pPr>
            <w:r w:rsidRPr="00554DB2">
              <w:rPr>
                <w:rFonts w:eastAsia="Calibri"/>
                <w:sz w:val="20"/>
              </w:rPr>
              <w:t>October 18, 2011</w:t>
            </w:r>
          </w:p>
          <w:p w:rsidR="009C7C08" w:rsidRPr="00554DB2" w:rsidRDefault="009C7C08" w:rsidP="009C7C08">
            <w:pPr>
              <w:jc w:val="both"/>
              <w:rPr>
                <w:rFonts w:eastAsia="Calibri"/>
                <w:sz w:val="20"/>
              </w:rPr>
            </w:pPr>
            <w:r w:rsidRPr="00554DB2">
              <w:rPr>
                <w:rFonts w:eastAsia="Calibri"/>
                <w:sz w:val="20"/>
              </w:rPr>
              <w:t>Federal Court</w:t>
            </w:r>
          </w:p>
          <w:p w:rsidR="009C7C08" w:rsidRPr="00554DB2" w:rsidRDefault="009C7C08" w:rsidP="009C7C08">
            <w:pPr>
              <w:jc w:val="both"/>
              <w:rPr>
                <w:rFonts w:eastAsia="Calibri"/>
                <w:sz w:val="20"/>
              </w:rPr>
            </w:pPr>
            <w:r w:rsidRPr="00554DB2">
              <w:rPr>
                <w:rFonts w:eastAsia="Calibri"/>
                <w:sz w:val="20"/>
              </w:rPr>
              <w:t>(Beaudry J.)</w:t>
            </w:r>
          </w:p>
          <w:p w:rsidR="009C7C08" w:rsidRPr="00554DB2" w:rsidRDefault="009C7C08" w:rsidP="009C7C08">
            <w:pPr>
              <w:jc w:val="both"/>
              <w:rPr>
                <w:rFonts w:eastAsia="Calibri"/>
                <w:sz w:val="20"/>
              </w:rPr>
            </w:pPr>
          </w:p>
        </w:tc>
        <w:tc>
          <w:tcPr>
            <w:tcW w:w="243" w:type="pct"/>
          </w:tcPr>
          <w:p w:rsidR="009C7C08" w:rsidRPr="00554DB2" w:rsidRDefault="009C7C08" w:rsidP="009C7C08">
            <w:pPr>
              <w:jc w:val="both"/>
              <w:rPr>
                <w:rFonts w:eastAsia="Calibri"/>
                <w:sz w:val="20"/>
              </w:rPr>
            </w:pPr>
          </w:p>
        </w:tc>
        <w:tc>
          <w:tcPr>
            <w:tcW w:w="2330" w:type="pct"/>
          </w:tcPr>
          <w:p w:rsidR="009C7C08" w:rsidRPr="00554DB2" w:rsidRDefault="009C7C08" w:rsidP="009C7C08">
            <w:pPr>
              <w:jc w:val="both"/>
              <w:rPr>
                <w:rFonts w:eastAsia="Calibri"/>
                <w:sz w:val="20"/>
              </w:rPr>
            </w:pPr>
            <w:r w:rsidRPr="00554DB2">
              <w:rPr>
                <w:rFonts w:eastAsia="Calibri"/>
                <w:sz w:val="20"/>
              </w:rPr>
              <w:t xml:space="preserve">Appeal dismissed </w:t>
            </w:r>
          </w:p>
          <w:p w:rsidR="009C7C08" w:rsidRPr="00554DB2" w:rsidRDefault="009C7C08" w:rsidP="009C7C08">
            <w:pPr>
              <w:jc w:val="both"/>
              <w:rPr>
                <w:rFonts w:eastAsia="Calibri"/>
                <w:sz w:val="20"/>
              </w:rPr>
            </w:pPr>
          </w:p>
        </w:tc>
      </w:tr>
      <w:tr w:rsidR="009C7C08" w:rsidRPr="00554DB2" w:rsidTr="009C7C08">
        <w:tc>
          <w:tcPr>
            <w:tcW w:w="2427" w:type="pct"/>
          </w:tcPr>
          <w:p w:rsidR="009C7C08" w:rsidRPr="00554DB2" w:rsidRDefault="009C7C08" w:rsidP="009C7C08">
            <w:pPr>
              <w:jc w:val="both"/>
              <w:rPr>
                <w:rFonts w:eastAsia="Calibri"/>
                <w:sz w:val="20"/>
              </w:rPr>
            </w:pPr>
            <w:r w:rsidRPr="00554DB2">
              <w:rPr>
                <w:rFonts w:eastAsia="Calibri"/>
                <w:sz w:val="20"/>
              </w:rPr>
              <w:t>April 25, 2012</w:t>
            </w:r>
          </w:p>
          <w:p w:rsidR="009C7C08" w:rsidRPr="00554DB2" w:rsidRDefault="009C7C08" w:rsidP="009C7C08">
            <w:pPr>
              <w:jc w:val="both"/>
              <w:rPr>
                <w:rFonts w:eastAsia="Calibri"/>
                <w:sz w:val="20"/>
              </w:rPr>
            </w:pPr>
            <w:r w:rsidRPr="00554DB2">
              <w:rPr>
                <w:rFonts w:eastAsia="Calibri"/>
                <w:sz w:val="20"/>
              </w:rPr>
              <w:t>Federal Court of Appeal</w:t>
            </w:r>
          </w:p>
          <w:p w:rsidR="009C7C08" w:rsidRPr="00554DB2" w:rsidRDefault="009C7C08" w:rsidP="009C7C08">
            <w:pPr>
              <w:jc w:val="both"/>
              <w:rPr>
                <w:rFonts w:eastAsia="Calibri"/>
                <w:sz w:val="20"/>
              </w:rPr>
            </w:pPr>
            <w:r w:rsidRPr="00554DB2">
              <w:rPr>
                <w:rFonts w:eastAsia="Calibri"/>
                <w:sz w:val="20"/>
              </w:rPr>
              <w:t>(Evans, Dawson and Stratas JJ.A.)</w:t>
            </w:r>
          </w:p>
          <w:p w:rsidR="009C7C08" w:rsidRPr="00554DB2" w:rsidRDefault="009C7C08" w:rsidP="009C7C08">
            <w:pPr>
              <w:jc w:val="both"/>
              <w:rPr>
                <w:rFonts w:eastAsia="Calibri"/>
                <w:sz w:val="20"/>
              </w:rPr>
            </w:pPr>
            <w:r w:rsidRPr="00554DB2">
              <w:rPr>
                <w:rFonts w:eastAsia="Calibri"/>
                <w:sz w:val="20"/>
              </w:rPr>
              <w:t>2012 FCA 129</w:t>
            </w:r>
          </w:p>
          <w:p w:rsidR="009C7C08" w:rsidRPr="00554DB2" w:rsidRDefault="009C7C08" w:rsidP="009C7C08">
            <w:pPr>
              <w:jc w:val="both"/>
              <w:rPr>
                <w:rFonts w:eastAsia="Calibri"/>
                <w:sz w:val="20"/>
              </w:rPr>
            </w:pPr>
          </w:p>
        </w:tc>
        <w:tc>
          <w:tcPr>
            <w:tcW w:w="243" w:type="pct"/>
          </w:tcPr>
          <w:p w:rsidR="009C7C08" w:rsidRPr="00554DB2" w:rsidRDefault="009C7C08" w:rsidP="009C7C08">
            <w:pPr>
              <w:jc w:val="both"/>
              <w:rPr>
                <w:rFonts w:eastAsia="Calibri"/>
                <w:sz w:val="20"/>
              </w:rPr>
            </w:pPr>
          </w:p>
        </w:tc>
        <w:tc>
          <w:tcPr>
            <w:tcW w:w="2330" w:type="pct"/>
          </w:tcPr>
          <w:p w:rsidR="009C7C08" w:rsidRPr="00554DB2" w:rsidRDefault="009C7C08" w:rsidP="009C7C08">
            <w:pPr>
              <w:jc w:val="both"/>
              <w:rPr>
                <w:rFonts w:eastAsia="Calibri"/>
                <w:sz w:val="20"/>
              </w:rPr>
            </w:pPr>
            <w:r w:rsidRPr="00554DB2">
              <w:rPr>
                <w:rFonts w:eastAsia="Calibri"/>
                <w:sz w:val="20"/>
              </w:rPr>
              <w:t>Appeal dismissed</w:t>
            </w:r>
          </w:p>
        </w:tc>
      </w:tr>
      <w:tr w:rsidR="009C7C08" w:rsidRPr="00554DB2" w:rsidTr="009C7C08">
        <w:tc>
          <w:tcPr>
            <w:tcW w:w="2427" w:type="pct"/>
          </w:tcPr>
          <w:p w:rsidR="009C7C08" w:rsidRPr="00554DB2" w:rsidRDefault="009C7C08" w:rsidP="009C7C08">
            <w:pPr>
              <w:jc w:val="both"/>
              <w:rPr>
                <w:rFonts w:eastAsia="Calibri"/>
                <w:sz w:val="20"/>
              </w:rPr>
            </w:pPr>
            <w:r w:rsidRPr="00554DB2">
              <w:rPr>
                <w:rFonts w:eastAsia="Calibri"/>
                <w:sz w:val="20"/>
              </w:rPr>
              <w:t>June 15, 2012</w:t>
            </w:r>
          </w:p>
          <w:p w:rsidR="009C7C08" w:rsidRPr="00554DB2" w:rsidRDefault="009C7C08" w:rsidP="009C7C08">
            <w:pPr>
              <w:jc w:val="both"/>
              <w:rPr>
                <w:rFonts w:eastAsia="Calibri"/>
                <w:sz w:val="20"/>
              </w:rPr>
            </w:pPr>
            <w:r w:rsidRPr="00554DB2">
              <w:rPr>
                <w:rFonts w:eastAsia="Calibri"/>
                <w:sz w:val="20"/>
              </w:rPr>
              <w:t>Supreme Court of Canada</w:t>
            </w:r>
          </w:p>
          <w:p w:rsidR="009C7C08" w:rsidRPr="00554DB2" w:rsidRDefault="009C7C08" w:rsidP="009C7C08">
            <w:pPr>
              <w:jc w:val="both"/>
              <w:rPr>
                <w:rFonts w:eastAsia="Calibri"/>
                <w:sz w:val="20"/>
              </w:rPr>
            </w:pPr>
          </w:p>
        </w:tc>
        <w:tc>
          <w:tcPr>
            <w:tcW w:w="243" w:type="pct"/>
          </w:tcPr>
          <w:p w:rsidR="009C7C08" w:rsidRPr="00554DB2" w:rsidRDefault="009C7C08" w:rsidP="009C7C08">
            <w:pPr>
              <w:jc w:val="both"/>
              <w:rPr>
                <w:rFonts w:eastAsia="Calibri"/>
                <w:sz w:val="20"/>
              </w:rPr>
            </w:pPr>
          </w:p>
        </w:tc>
        <w:tc>
          <w:tcPr>
            <w:tcW w:w="2330" w:type="pct"/>
          </w:tcPr>
          <w:p w:rsidR="009C7C08" w:rsidRPr="00554DB2" w:rsidRDefault="009C7C08" w:rsidP="009C7C08">
            <w:pPr>
              <w:jc w:val="both"/>
              <w:rPr>
                <w:rFonts w:eastAsia="Calibri"/>
                <w:sz w:val="20"/>
              </w:rPr>
            </w:pPr>
            <w:r w:rsidRPr="00554DB2">
              <w:rPr>
                <w:rFonts w:eastAsia="Calibri"/>
                <w:sz w:val="20"/>
              </w:rPr>
              <w:t>Motion to expedite and application for leave to appeal filed</w:t>
            </w:r>
          </w:p>
          <w:p w:rsidR="009C7C08" w:rsidRPr="00554DB2" w:rsidRDefault="009C7C08" w:rsidP="009C7C08">
            <w:pPr>
              <w:jc w:val="both"/>
              <w:rPr>
                <w:rFonts w:eastAsia="Calibri"/>
                <w:sz w:val="20"/>
              </w:rPr>
            </w:pPr>
          </w:p>
        </w:tc>
      </w:tr>
      <w:tr w:rsidR="009C7C08" w:rsidRPr="00554DB2" w:rsidTr="009C7C08">
        <w:tc>
          <w:tcPr>
            <w:tcW w:w="2427" w:type="pct"/>
          </w:tcPr>
          <w:p w:rsidR="009C7C08" w:rsidRPr="00554DB2" w:rsidRDefault="009C7C08" w:rsidP="009C7C08">
            <w:pPr>
              <w:jc w:val="both"/>
              <w:rPr>
                <w:rFonts w:eastAsia="Calibri"/>
                <w:sz w:val="20"/>
              </w:rPr>
            </w:pPr>
            <w:r w:rsidRPr="00554DB2">
              <w:rPr>
                <w:rFonts w:eastAsia="Calibri"/>
                <w:sz w:val="20"/>
              </w:rPr>
              <w:t xml:space="preserve">July 31, 2012 </w:t>
            </w:r>
          </w:p>
          <w:p w:rsidR="009C7C08" w:rsidRPr="00554DB2" w:rsidRDefault="009C7C08" w:rsidP="009C7C08">
            <w:pPr>
              <w:jc w:val="both"/>
              <w:rPr>
                <w:rFonts w:eastAsia="Calibri"/>
                <w:sz w:val="20"/>
              </w:rPr>
            </w:pPr>
            <w:r w:rsidRPr="00554DB2">
              <w:rPr>
                <w:rFonts w:eastAsia="Calibri"/>
                <w:sz w:val="20"/>
              </w:rPr>
              <w:t>Supreme Court of Canada</w:t>
            </w:r>
          </w:p>
        </w:tc>
        <w:tc>
          <w:tcPr>
            <w:tcW w:w="243" w:type="pct"/>
          </w:tcPr>
          <w:p w:rsidR="009C7C08" w:rsidRPr="00554DB2" w:rsidRDefault="009C7C08" w:rsidP="009C7C08">
            <w:pPr>
              <w:jc w:val="both"/>
              <w:rPr>
                <w:rFonts w:eastAsia="Calibri"/>
                <w:sz w:val="20"/>
              </w:rPr>
            </w:pPr>
          </w:p>
        </w:tc>
        <w:tc>
          <w:tcPr>
            <w:tcW w:w="2330" w:type="pct"/>
          </w:tcPr>
          <w:p w:rsidR="009C7C08" w:rsidRPr="00554DB2" w:rsidRDefault="009C7C08" w:rsidP="009C7C08">
            <w:pPr>
              <w:jc w:val="both"/>
              <w:rPr>
                <w:rFonts w:eastAsia="Calibri"/>
                <w:sz w:val="20"/>
              </w:rPr>
            </w:pPr>
            <w:r w:rsidRPr="00554DB2">
              <w:rPr>
                <w:rFonts w:eastAsia="Calibri"/>
                <w:sz w:val="20"/>
              </w:rPr>
              <w:t>Motion to expedite dismissed</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72"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C7C08" w:rsidRPr="008234C5" w:rsidTr="009C7C08">
        <w:tc>
          <w:tcPr>
            <w:tcW w:w="5000" w:type="pct"/>
            <w:gridSpan w:val="3"/>
          </w:tcPr>
          <w:p w:rsidR="009C7C08" w:rsidRPr="00554DB2" w:rsidRDefault="009C7C08" w:rsidP="009C7C08">
            <w:pPr>
              <w:jc w:val="both"/>
              <w:rPr>
                <w:sz w:val="20"/>
                <w:lang w:val="fr-CA"/>
              </w:rPr>
            </w:pPr>
            <w:r w:rsidRPr="00554DB2">
              <w:rPr>
                <w:sz w:val="20"/>
                <w:lang w:val="fr-CA"/>
              </w:rPr>
              <w:t>Propriété intellectuelle — Brevets — Médicaments —</w:t>
            </w:r>
            <w:r w:rsidRPr="00554DB2">
              <w:rPr>
                <w:i/>
                <w:sz w:val="20"/>
                <w:lang w:val="fr-CA"/>
              </w:rPr>
              <w:t xml:space="preserve"> Règlement sur les médicaments brevetés (avis de conformité)</w:t>
            </w:r>
            <w:r w:rsidRPr="00554DB2">
              <w:rPr>
                <w:sz w:val="20"/>
                <w:lang w:val="fr-CA"/>
              </w:rPr>
              <w:t>, DORS 93/</w:t>
            </w:r>
            <w:r w:rsidRPr="00554DB2">
              <w:rPr>
                <w:sz w:val="20"/>
                <w:lang w:val="fr-CA"/>
              </w:rPr>
              <w:noBreakHyphen/>
              <w:t>133 — Dommages</w:t>
            </w:r>
            <w:r w:rsidRPr="00554DB2">
              <w:rPr>
                <w:sz w:val="20"/>
                <w:lang w:val="fr-CA"/>
              </w:rPr>
              <w:noBreakHyphen/>
              <w:t>intérêts en vertu de l'art. 8 — Y a</w:t>
            </w:r>
            <w:r w:rsidRPr="00554DB2">
              <w:rPr>
                <w:sz w:val="20"/>
                <w:lang w:val="fr-CA"/>
              </w:rPr>
              <w:noBreakHyphen/>
              <w:t>t</w:t>
            </w:r>
            <w:r w:rsidRPr="00554DB2">
              <w:rPr>
                <w:sz w:val="20"/>
                <w:lang w:val="fr-CA"/>
              </w:rPr>
              <w:noBreakHyphen/>
              <w:t>il lieu d'adopter une interprétation technique, indépendante du contexte, du mot « subie » dans la phrase « la première personne est responsable envers la seconde personne de toute perte subie au cours de la période », même si une telle interprétation rompt l'équilibre soigneusement recherché par le gouverneur en conseil à l'article 8 du</w:t>
            </w:r>
            <w:r w:rsidRPr="00554DB2">
              <w:rPr>
                <w:i/>
                <w:sz w:val="20"/>
                <w:lang w:val="fr-CA"/>
              </w:rPr>
              <w:t xml:space="preserve"> Règlement</w:t>
            </w:r>
            <w:r w:rsidRPr="00554DB2">
              <w:rPr>
                <w:sz w:val="20"/>
                <w:lang w:val="fr-CA"/>
              </w:rPr>
              <w:t xml:space="preserve"> et même si elle est incompatible avec l'intention souveraine du législateur? — Le critère établi dans l'arrêt </w:t>
            </w:r>
            <w:r w:rsidRPr="00554DB2">
              <w:rPr>
                <w:i/>
                <w:sz w:val="20"/>
                <w:lang w:val="fr-CA"/>
              </w:rPr>
              <w:t>Hunt c. Carey Canada Inc.</w:t>
            </w:r>
            <w:r w:rsidRPr="00554DB2">
              <w:rPr>
                <w:sz w:val="20"/>
                <w:lang w:val="fr-CA"/>
              </w:rPr>
              <w:t>, [1990] 2 R.C.S. 959, devrait</w:t>
            </w:r>
            <w:r w:rsidRPr="00554DB2">
              <w:rPr>
                <w:sz w:val="20"/>
                <w:lang w:val="fr-CA"/>
              </w:rPr>
              <w:noBreakHyphen/>
              <w:t>il être assoupli? — Peut</w:t>
            </w:r>
            <w:r w:rsidRPr="00554DB2">
              <w:rPr>
                <w:sz w:val="20"/>
                <w:lang w:val="fr-CA"/>
              </w:rPr>
              <w:noBreakHyphen/>
              <w:t xml:space="preserve">on raisonnablement </w:t>
            </w:r>
            <w:proofErr w:type="gramStart"/>
            <w:r w:rsidRPr="00554DB2">
              <w:rPr>
                <w:sz w:val="20"/>
                <w:lang w:val="fr-CA"/>
              </w:rPr>
              <w:t>affirmer</w:t>
            </w:r>
            <w:proofErr w:type="gramEnd"/>
            <w:r w:rsidRPr="00554DB2">
              <w:rPr>
                <w:sz w:val="20"/>
                <w:lang w:val="fr-CA"/>
              </w:rPr>
              <w:t xml:space="preserve"> qu'il est « manifeste et évident » que les réclamations radiées en l'espèce ne peuvent être admises? — La demanderesse Teva devrait</w:t>
            </w:r>
            <w:r w:rsidRPr="00554DB2">
              <w:rPr>
                <w:sz w:val="20"/>
                <w:lang w:val="fr-CA"/>
              </w:rPr>
              <w:noBreakHyphen/>
              <w:t>elle être privée de son droit à ce qu’il soit statué sur cette question au terme d'un procès?</w:t>
            </w:r>
          </w:p>
        </w:tc>
      </w:tr>
      <w:tr w:rsidR="009C7C08" w:rsidRPr="008234C5" w:rsidTr="009C7C08">
        <w:tc>
          <w:tcPr>
            <w:tcW w:w="5000" w:type="pct"/>
            <w:gridSpan w:val="3"/>
          </w:tcPr>
          <w:p w:rsidR="009C7C08" w:rsidRPr="00554DB2" w:rsidRDefault="009C7C08" w:rsidP="009C7C08">
            <w:pPr>
              <w:jc w:val="both"/>
              <w:rPr>
                <w:sz w:val="20"/>
                <w:lang w:val="fr-CA"/>
              </w:rPr>
            </w:pPr>
          </w:p>
        </w:tc>
      </w:tr>
      <w:tr w:rsidR="009C7C08" w:rsidRPr="005571F9" w:rsidTr="009C7C08">
        <w:tc>
          <w:tcPr>
            <w:tcW w:w="5000" w:type="pct"/>
            <w:gridSpan w:val="3"/>
          </w:tcPr>
          <w:p w:rsidR="009C7C08" w:rsidRPr="00554DB2" w:rsidRDefault="009C7C08" w:rsidP="009C7C08">
            <w:pPr>
              <w:jc w:val="both"/>
              <w:rPr>
                <w:sz w:val="20"/>
                <w:lang w:val="fr-CA"/>
              </w:rPr>
            </w:pPr>
            <w:r w:rsidRPr="00554DB2">
              <w:rPr>
                <w:sz w:val="20"/>
                <w:lang w:val="fr-CA"/>
              </w:rPr>
              <w:t xml:space="preserve">La demanderesse, Teva, a intenté une action contre les intimées en vertu de l'art. 8 du </w:t>
            </w:r>
            <w:r w:rsidRPr="00554DB2">
              <w:rPr>
                <w:i/>
                <w:sz w:val="20"/>
                <w:lang w:val="fr-CA"/>
              </w:rPr>
              <w:t>Règlement sur les médicaments brevetés (avis de conformité)</w:t>
            </w:r>
            <w:r w:rsidRPr="00554DB2">
              <w:rPr>
                <w:sz w:val="20"/>
                <w:lang w:val="fr-CA"/>
              </w:rPr>
              <w:t>, DORS 93/</w:t>
            </w:r>
            <w:r w:rsidRPr="00554DB2">
              <w:rPr>
                <w:sz w:val="20"/>
                <w:lang w:val="fr-CA"/>
              </w:rPr>
              <w:noBreakHyphen/>
              <w:t>133, pour se faire indemniser de tous les pertes, dommages et préjudices qu’elles lui ont causés en retardant la délivrance d'un avis de conformité relativement à ses comprimés de pantoprazole de 20 mg et 40 mg.  Les intimées ont demandé par requête la radiation de tous les actes de procédure en lien avec les réclamations de Teva  se rapportant aux pertes, dommages et préjudices subis en dehors de la période de responsabilité définie à l’al. 8(1)</w:t>
            </w:r>
            <w:r w:rsidRPr="00554DB2">
              <w:rPr>
                <w:i/>
                <w:sz w:val="20"/>
                <w:lang w:val="fr-CA"/>
              </w:rPr>
              <w:t>a</w:t>
            </w:r>
            <w:r w:rsidRPr="00554DB2">
              <w:rPr>
                <w:sz w:val="20"/>
                <w:lang w:val="fr-CA"/>
              </w:rPr>
              <w:t>) du</w:t>
            </w:r>
            <w:r w:rsidRPr="00554DB2">
              <w:rPr>
                <w:i/>
                <w:sz w:val="20"/>
                <w:lang w:val="fr-CA"/>
              </w:rPr>
              <w:t xml:space="preserve"> Règlement</w:t>
            </w:r>
            <w:r w:rsidRPr="00554DB2">
              <w:rPr>
                <w:sz w:val="20"/>
                <w:lang w:val="fr-CA"/>
              </w:rPr>
              <w:t>.  La requête a été accueillie et certains passages de la déclaration de Teva se rapportant à la perte permanente de part de marché et aux dommages subis en dehors de la période de responsabilité prescrite ont été radiés.  Teva a interjeté appel à la Cour fédérale, puis à la Cour d'appel fédérale et a été déboutée dans les deux cas.  La Cour d'appel fédérale a statué qu’il était manifeste et évident que la réclamation de Teva pour pertes subies en dehors de la période prescrite ne pouvait être admise.</w:t>
            </w:r>
          </w:p>
          <w:p w:rsidR="009C7C08" w:rsidRPr="00554DB2" w:rsidRDefault="009C7C08" w:rsidP="009C7C08">
            <w:pPr>
              <w:jc w:val="both"/>
              <w:rPr>
                <w:sz w:val="20"/>
                <w:lang w:val="fr-CA"/>
              </w:rPr>
            </w:pPr>
          </w:p>
        </w:tc>
      </w:tr>
      <w:tr w:rsidR="009C7C08" w:rsidRPr="005571F9" w:rsidTr="009C7C08">
        <w:tc>
          <w:tcPr>
            <w:tcW w:w="2427" w:type="pct"/>
          </w:tcPr>
          <w:p w:rsidR="009C7C08" w:rsidRPr="00554DB2" w:rsidRDefault="009C7C08" w:rsidP="009C7C08">
            <w:pPr>
              <w:jc w:val="both"/>
              <w:rPr>
                <w:sz w:val="20"/>
                <w:lang w:val="fr-CA"/>
              </w:rPr>
            </w:pPr>
            <w:r w:rsidRPr="00554DB2">
              <w:rPr>
                <w:sz w:val="20"/>
                <w:lang w:val="fr-CA"/>
              </w:rPr>
              <w:t>25 août 2011</w:t>
            </w:r>
          </w:p>
          <w:p w:rsidR="009C7C08" w:rsidRPr="00554DB2" w:rsidRDefault="009C7C08" w:rsidP="009C7C08">
            <w:pPr>
              <w:jc w:val="both"/>
              <w:rPr>
                <w:sz w:val="20"/>
                <w:lang w:val="fr-CA"/>
              </w:rPr>
            </w:pPr>
            <w:r w:rsidRPr="00554DB2">
              <w:rPr>
                <w:sz w:val="20"/>
                <w:lang w:val="fr-CA"/>
              </w:rPr>
              <w:t xml:space="preserve">Cour fédérale </w:t>
            </w:r>
          </w:p>
          <w:p w:rsidR="009C7C08" w:rsidRPr="00554DB2" w:rsidRDefault="009C7C08" w:rsidP="009C7C08">
            <w:pPr>
              <w:jc w:val="both"/>
              <w:rPr>
                <w:sz w:val="20"/>
                <w:lang w:val="fr-CA"/>
              </w:rPr>
            </w:pPr>
            <w:r w:rsidRPr="00554DB2">
              <w:rPr>
                <w:sz w:val="20"/>
                <w:lang w:val="fr-CA"/>
              </w:rPr>
              <w:t>(Protonotaire Mikczynski)</w:t>
            </w:r>
          </w:p>
          <w:p w:rsidR="009C7C08" w:rsidRPr="00554DB2" w:rsidRDefault="009C7C08" w:rsidP="009C7C08">
            <w:pPr>
              <w:jc w:val="both"/>
              <w:rPr>
                <w:sz w:val="20"/>
                <w:lang w:val="fr-CA"/>
              </w:rPr>
            </w:pPr>
          </w:p>
        </w:tc>
        <w:tc>
          <w:tcPr>
            <w:tcW w:w="243" w:type="pct"/>
          </w:tcPr>
          <w:p w:rsidR="009C7C08" w:rsidRPr="00554DB2" w:rsidRDefault="009C7C08" w:rsidP="009C7C08">
            <w:pPr>
              <w:rPr>
                <w:sz w:val="20"/>
                <w:lang w:val="fr-CA"/>
              </w:rPr>
            </w:pPr>
          </w:p>
        </w:tc>
        <w:tc>
          <w:tcPr>
            <w:tcW w:w="2330" w:type="pct"/>
          </w:tcPr>
          <w:p w:rsidR="009C7C08" w:rsidRPr="00554DB2" w:rsidRDefault="009C7C08" w:rsidP="009C7C08">
            <w:pPr>
              <w:jc w:val="both"/>
              <w:rPr>
                <w:sz w:val="20"/>
                <w:lang w:val="fr-CA"/>
              </w:rPr>
            </w:pPr>
            <w:r w:rsidRPr="00554DB2">
              <w:rPr>
                <w:sz w:val="20"/>
                <w:lang w:val="fr-CA"/>
              </w:rPr>
              <w:t xml:space="preserve">Radiation de certains passages de la déclaration de la demanderesse </w:t>
            </w:r>
          </w:p>
          <w:p w:rsidR="009C7C08" w:rsidRPr="00554DB2" w:rsidRDefault="009C7C08" w:rsidP="009C7C08">
            <w:pPr>
              <w:jc w:val="both"/>
              <w:rPr>
                <w:sz w:val="20"/>
                <w:lang w:val="fr-CA"/>
              </w:rPr>
            </w:pPr>
          </w:p>
        </w:tc>
      </w:tr>
      <w:tr w:rsidR="009C7C08" w:rsidRPr="00554DB2" w:rsidTr="009C7C08">
        <w:tc>
          <w:tcPr>
            <w:tcW w:w="2427" w:type="pct"/>
          </w:tcPr>
          <w:p w:rsidR="009C7C08" w:rsidRPr="00554DB2" w:rsidRDefault="009C7C08" w:rsidP="009C7C08">
            <w:pPr>
              <w:jc w:val="both"/>
              <w:rPr>
                <w:sz w:val="20"/>
                <w:lang w:val="fr-CA"/>
              </w:rPr>
            </w:pPr>
            <w:r w:rsidRPr="00554DB2">
              <w:rPr>
                <w:sz w:val="20"/>
                <w:lang w:val="fr-CA"/>
              </w:rPr>
              <w:t>18 octobre 2011</w:t>
            </w:r>
          </w:p>
          <w:p w:rsidR="009C7C08" w:rsidRPr="00554DB2" w:rsidRDefault="009C7C08" w:rsidP="009C7C08">
            <w:pPr>
              <w:jc w:val="both"/>
              <w:rPr>
                <w:sz w:val="20"/>
                <w:lang w:val="fr-CA"/>
              </w:rPr>
            </w:pPr>
            <w:r w:rsidRPr="00554DB2">
              <w:rPr>
                <w:sz w:val="20"/>
                <w:lang w:val="fr-CA"/>
              </w:rPr>
              <w:t>Cour fédérale</w:t>
            </w:r>
          </w:p>
          <w:p w:rsidR="009C7C08" w:rsidRPr="00554DB2" w:rsidRDefault="009C7C08" w:rsidP="009C7C08">
            <w:pPr>
              <w:jc w:val="both"/>
              <w:rPr>
                <w:sz w:val="20"/>
                <w:lang w:val="fr-CA"/>
              </w:rPr>
            </w:pPr>
            <w:r w:rsidRPr="00554DB2">
              <w:rPr>
                <w:sz w:val="20"/>
                <w:lang w:val="fr-CA"/>
              </w:rPr>
              <w:t>(Juge Beaudry)</w:t>
            </w:r>
          </w:p>
          <w:p w:rsidR="009C7C08" w:rsidRPr="00554DB2" w:rsidRDefault="009C7C08" w:rsidP="009C7C08">
            <w:pPr>
              <w:jc w:val="both"/>
              <w:rPr>
                <w:sz w:val="20"/>
                <w:lang w:val="fr-CA"/>
              </w:rPr>
            </w:pPr>
          </w:p>
        </w:tc>
        <w:tc>
          <w:tcPr>
            <w:tcW w:w="243" w:type="pct"/>
          </w:tcPr>
          <w:p w:rsidR="009C7C08" w:rsidRPr="00554DB2" w:rsidRDefault="009C7C08" w:rsidP="009C7C08">
            <w:pPr>
              <w:rPr>
                <w:sz w:val="20"/>
                <w:lang w:val="fr-CA"/>
              </w:rPr>
            </w:pPr>
          </w:p>
        </w:tc>
        <w:tc>
          <w:tcPr>
            <w:tcW w:w="2330" w:type="pct"/>
          </w:tcPr>
          <w:p w:rsidR="009C7C08" w:rsidRPr="00554DB2" w:rsidRDefault="009C7C08" w:rsidP="009C7C08">
            <w:pPr>
              <w:jc w:val="both"/>
              <w:rPr>
                <w:sz w:val="20"/>
                <w:lang w:val="fr-CA"/>
              </w:rPr>
            </w:pPr>
            <w:r w:rsidRPr="00554DB2">
              <w:rPr>
                <w:sz w:val="20"/>
                <w:lang w:val="fr-CA"/>
              </w:rPr>
              <w:t>Appel rejeté</w:t>
            </w:r>
          </w:p>
          <w:p w:rsidR="009C7C08" w:rsidRPr="00554DB2" w:rsidRDefault="009C7C08" w:rsidP="009C7C08">
            <w:pPr>
              <w:jc w:val="both"/>
              <w:rPr>
                <w:sz w:val="20"/>
                <w:lang w:val="fr-CA"/>
              </w:rPr>
            </w:pPr>
          </w:p>
        </w:tc>
      </w:tr>
      <w:tr w:rsidR="009C7C08" w:rsidRPr="00554DB2" w:rsidTr="009C7C08">
        <w:tc>
          <w:tcPr>
            <w:tcW w:w="2427" w:type="pct"/>
          </w:tcPr>
          <w:p w:rsidR="009C7C08" w:rsidRPr="00554DB2" w:rsidRDefault="009C7C08" w:rsidP="009C7C08">
            <w:pPr>
              <w:jc w:val="both"/>
              <w:rPr>
                <w:sz w:val="20"/>
                <w:lang w:val="fr-CA"/>
              </w:rPr>
            </w:pPr>
            <w:r w:rsidRPr="00554DB2">
              <w:rPr>
                <w:sz w:val="20"/>
                <w:lang w:val="fr-CA"/>
              </w:rPr>
              <w:t>25 avril 2012</w:t>
            </w:r>
          </w:p>
          <w:p w:rsidR="009C7C08" w:rsidRPr="00554DB2" w:rsidRDefault="009C7C08" w:rsidP="009C7C08">
            <w:pPr>
              <w:jc w:val="both"/>
              <w:rPr>
                <w:sz w:val="20"/>
                <w:lang w:val="fr-CA"/>
              </w:rPr>
            </w:pPr>
            <w:r w:rsidRPr="00554DB2">
              <w:rPr>
                <w:sz w:val="20"/>
                <w:lang w:val="fr-CA"/>
              </w:rPr>
              <w:t xml:space="preserve">Cour d'appel fédérale </w:t>
            </w:r>
          </w:p>
          <w:p w:rsidR="009C7C08" w:rsidRPr="00554DB2" w:rsidRDefault="009C7C08" w:rsidP="009C7C08">
            <w:pPr>
              <w:jc w:val="both"/>
              <w:rPr>
                <w:sz w:val="20"/>
                <w:lang w:val="fr-CA"/>
              </w:rPr>
            </w:pPr>
            <w:r w:rsidRPr="00554DB2">
              <w:rPr>
                <w:sz w:val="20"/>
                <w:lang w:val="fr-CA"/>
              </w:rPr>
              <w:t>(Juges Evans, Dawson et Stratas)</w:t>
            </w:r>
          </w:p>
          <w:p w:rsidR="009C7C08" w:rsidRPr="00554DB2" w:rsidRDefault="009C7C08" w:rsidP="009C7C08">
            <w:pPr>
              <w:jc w:val="both"/>
              <w:rPr>
                <w:sz w:val="20"/>
                <w:lang w:val="fr-CA"/>
              </w:rPr>
            </w:pPr>
            <w:r w:rsidRPr="00554DB2">
              <w:rPr>
                <w:sz w:val="20"/>
                <w:lang w:val="fr-CA"/>
              </w:rPr>
              <w:t>2012 FCA 129</w:t>
            </w:r>
          </w:p>
          <w:p w:rsidR="009C7C08" w:rsidRPr="00554DB2" w:rsidRDefault="009C7C08" w:rsidP="009C7C08">
            <w:pPr>
              <w:jc w:val="both"/>
              <w:rPr>
                <w:sz w:val="20"/>
                <w:lang w:val="fr-CA"/>
              </w:rPr>
            </w:pPr>
          </w:p>
        </w:tc>
        <w:tc>
          <w:tcPr>
            <w:tcW w:w="243" w:type="pct"/>
          </w:tcPr>
          <w:p w:rsidR="009C7C08" w:rsidRPr="00554DB2" w:rsidRDefault="009C7C08" w:rsidP="009C7C08">
            <w:pPr>
              <w:rPr>
                <w:sz w:val="20"/>
                <w:lang w:val="fr-CA"/>
              </w:rPr>
            </w:pPr>
          </w:p>
        </w:tc>
        <w:tc>
          <w:tcPr>
            <w:tcW w:w="2330" w:type="pct"/>
          </w:tcPr>
          <w:p w:rsidR="009C7C08" w:rsidRPr="00554DB2" w:rsidRDefault="009C7C08" w:rsidP="009C7C08">
            <w:pPr>
              <w:jc w:val="both"/>
              <w:rPr>
                <w:sz w:val="20"/>
                <w:lang w:val="fr-CA"/>
              </w:rPr>
            </w:pPr>
            <w:r w:rsidRPr="00554DB2">
              <w:rPr>
                <w:sz w:val="20"/>
                <w:lang w:val="fr-CA"/>
              </w:rPr>
              <w:t>Appel rejeté</w:t>
            </w:r>
          </w:p>
        </w:tc>
      </w:tr>
      <w:tr w:rsidR="009C7C08" w:rsidRPr="005571F9" w:rsidTr="009C7C08">
        <w:tc>
          <w:tcPr>
            <w:tcW w:w="2427" w:type="pct"/>
          </w:tcPr>
          <w:p w:rsidR="009C7C08" w:rsidRPr="00554DB2" w:rsidRDefault="009C7C08" w:rsidP="009C7C08">
            <w:pPr>
              <w:jc w:val="both"/>
              <w:rPr>
                <w:sz w:val="20"/>
                <w:lang w:val="fr-CA"/>
              </w:rPr>
            </w:pPr>
            <w:r w:rsidRPr="00554DB2">
              <w:rPr>
                <w:sz w:val="20"/>
                <w:lang w:val="fr-CA"/>
              </w:rPr>
              <w:t>15 juin 2012</w:t>
            </w:r>
          </w:p>
          <w:p w:rsidR="009C7C08" w:rsidRPr="00554DB2" w:rsidRDefault="009C7C08" w:rsidP="009C7C08">
            <w:pPr>
              <w:jc w:val="both"/>
              <w:rPr>
                <w:sz w:val="20"/>
                <w:lang w:val="fr-CA"/>
              </w:rPr>
            </w:pPr>
            <w:r w:rsidRPr="00554DB2">
              <w:rPr>
                <w:sz w:val="20"/>
                <w:lang w:val="fr-CA"/>
              </w:rPr>
              <w:t>Cour suprême du Canada</w:t>
            </w:r>
          </w:p>
          <w:p w:rsidR="009C7C08" w:rsidRPr="00554DB2" w:rsidRDefault="009C7C08" w:rsidP="009C7C08">
            <w:pPr>
              <w:jc w:val="both"/>
              <w:rPr>
                <w:sz w:val="20"/>
                <w:lang w:val="fr-CA"/>
              </w:rPr>
            </w:pPr>
          </w:p>
        </w:tc>
        <w:tc>
          <w:tcPr>
            <w:tcW w:w="243" w:type="pct"/>
          </w:tcPr>
          <w:p w:rsidR="009C7C08" w:rsidRPr="00554DB2" w:rsidRDefault="009C7C08" w:rsidP="009C7C08">
            <w:pPr>
              <w:rPr>
                <w:sz w:val="20"/>
                <w:lang w:val="fr-CA"/>
              </w:rPr>
            </w:pPr>
          </w:p>
        </w:tc>
        <w:tc>
          <w:tcPr>
            <w:tcW w:w="2330" w:type="pct"/>
          </w:tcPr>
          <w:p w:rsidR="009C7C08" w:rsidRPr="00554DB2" w:rsidRDefault="009C7C08" w:rsidP="009C7C08">
            <w:pPr>
              <w:jc w:val="both"/>
              <w:rPr>
                <w:sz w:val="20"/>
                <w:lang w:val="fr-CA"/>
              </w:rPr>
            </w:pPr>
            <w:r w:rsidRPr="00554DB2">
              <w:rPr>
                <w:sz w:val="20"/>
                <w:lang w:val="fr-CA"/>
              </w:rPr>
              <w:t>Requête pour accélérer la demande d’autorisation d’appel et demande d'autorisation d'appel, déposées</w:t>
            </w:r>
          </w:p>
          <w:p w:rsidR="009C7C08" w:rsidRPr="00554DB2" w:rsidRDefault="009C7C08" w:rsidP="009C7C08">
            <w:pPr>
              <w:jc w:val="both"/>
              <w:rPr>
                <w:sz w:val="20"/>
                <w:lang w:val="fr-CA"/>
              </w:rPr>
            </w:pPr>
          </w:p>
        </w:tc>
      </w:tr>
      <w:tr w:rsidR="009C7C08" w:rsidRPr="005571F9" w:rsidTr="009C7C08">
        <w:tc>
          <w:tcPr>
            <w:tcW w:w="2427" w:type="pct"/>
          </w:tcPr>
          <w:p w:rsidR="009C7C08" w:rsidRPr="00554DB2" w:rsidRDefault="009C7C08" w:rsidP="009C7C08">
            <w:pPr>
              <w:jc w:val="both"/>
              <w:rPr>
                <w:sz w:val="20"/>
                <w:lang w:val="fr-CA"/>
              </w:rPr>
            </w:pPr>
            <w:r w:rsidRPr="00554DB2">
              <w:rPr>
                <w:sz w:val="20"/>
                <w:lang w:val="fr-CA"/>
              </w:rPr>
              <w:t xml:space="preserve">31 juillet 2012 </w:t>
            </w:r>
          </w:p>
          <w:p w:rsidR="009C7C08" w:rsidRPr="00554DB2" w:rsidRDefault="009C7C08" w:rsidP="009C7C08">
            <w:pPr>
              <w:jc w:val="both"/>
              <w:rPr>
                <w:sz w:val="20"/>
                <w:lang w:val="fr-CA"/>
              </w:rPr>
            </w:pPr>
            <w:r w:rsidRPr="00554DB2">
              <w:rPr>
                <w:sz w:val="20"/>
                <w:lang w:val="fr-CA"/>
              </w:rPr>
              <w:t>Cour suprême du Canada</w:t>
            </w:r>
          </w:p>
        </w:tc>
        <w:tc>
          <w:tcPr>
            <w:tcW w:w="243" w:type="pct"/>
          </w:tcPr>
          <w:p w:rsidR="009C7C08" w:rsidRPr="00554DB2" w:rsidRDefault="009C7C08" w:rsidP="009C7C08">
            <w:pPr>
              <w:rPr>
                <w:sz w:val="20"/>
                <w:lang w:val="fr-CA"/>
              </w:rPr>
            </w:pPr>
          </w:p>
        </w:tc>
        <w:tc>
          <w:tcPr>
            <w:tcW w:w="2330" w:type="pct"/>
          </w:tcPr>
          <w:p w:rsidR="009C7C08" w:rsidRPr="00554DB2" w:rsidRDefault="009C7C08" w:rsidP="009C7C08">
            <w:pPr>
              <w:jc w:val="both"/>
              <w:rPr>
                <w:sz w:val="20"/>
                <w:lang w:val="fr-CA"/>
              </w:rPr>
            </w:pPr>
            <w:r w:rsidRPr="00554DB2">
              <w:rPr>
                <w:sz w:val="20"/>
                <w:lang w:val="fr-CA"/>
              </w:rPr>
              <w:t>Requête pour accélérer la demande d’autorisation d’appel, rejetée</w:t>
            </w:r>
          </w:p>
        </w:tc>
      </w:tr>
    </w:tbl>
    <w:p w:rsidR="00FA1074" w:rsidRPr="009C7C08" w:rsidRDefault="00FA1074" w:rsidP="00FA1074">
      <w:pPr>
        <w:rPr>
          <w:sz w:val="20"/>
          <w:szCs w:val="20"/>
          <w:lang w:val="fr-CA"/>
        </w:rPr>
      </w:pPr>
    </w:p>
    <w:p w:rsidR="00FA1074" w:rsidRDefault="002048ED" w:rsidP="00FA1074">
      <w:pPr>
        <w:rPr>
          <w:sz w:val="20"/>
          <w:szCs w:val="20"/>
        </w:rPr>
      </w:pPr>
      <w:r w:rsidRPr="002048ED">
        <w:rPr>
          <w:sz w:val="20"/>
          <w:szCs w:val="20"/>
          <w:lang w:val="fr-CA"/>
        </w:rPr>
        <w:pict>
          <v:rect id="_x0000_i1073"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32CB5" w:rsidRPr="00975B77" w:rsidTr="00032CB5">
        <w:trPr>
          <w:cantSplit/>
        </w:trPr>
        <w:tc>
          <w:tcPr>
            <w:tcW w:w="1458" w:type="dxa"/>
          </w:tcPr>
          <w:p w:rsidR="00032CB5" w:rsidRPr="00975B77" w:rsidRDefault="00032CB5" w:rsidP="00032CB5">
            <w:pPr>
              <w:rPr>
                <w:sz w:val="20"/>
                <w:szCs w:val="20"/>
              </w:rPr>
            </w:pPr>
            <w:r w:rsidRPr="00975B77">
              <w:rPr>
                <w:rStyle w:val="SCCFileNumberChar"/>
                <w:sz w:val="20"/>
                <w:szCs w:val="20"/>
              </w:rPr>
              <w:t>34886</w:t>
            </w:r>
          </w:p>
          <w:p w:rsidR="00032CB5" w:rsidRPr="00975B77" w:rsidRDefault="00032CB5" w:rsidP="00032CB5">
            <w:pPr>
              <w:rPr>
                <w:b/>
                <w:sz w:val="20"/>
                <w:szCs w:val="20"/>
                <w:lang w:val="fr-CA"/>
              </w:rPr>
            </w:pPr>
          </w:p>
        </w:tc>
        <w:tc>
          <w:tcPr>
            <w:tcW w:w="8118" w:type="dxa"/>
          </w:tcPr>
          <w:p w:rsidR="00032CB5" w:rsidRPr="00975B77" w:rsidRDefault="00032CB5" w:rsidP="00032CB5">
            <w:pPr>
              <w:jc w:val="both"/>
              <w:rPr>
                <w:sz w:val="20"/>
                <w:szCs w:val="20"/>
              </w:rPr>
            </w:pPr>
            <w:r w:rsidRPr="00032CB5">
              <w:rPr>
                <w:rStyle w:val="SCCLsocChar"/>
                <w:sz w:val="20"/>
                <w:szCs w:val="20"/>
                <w:lang w:val="en-CA"/>
              </w:rPr>
              <w:t>Murray Schneider</w:t>
            </w:r>
            <w:r>
              <w:rPr>
                <w:rStyle w:val="SCCLsocChar"/>
                <w:sz w:val="20"/>
                <w:szCs w:val="20"/>
                <w:lang w:val="en-CA"/>
              </w:rPr>
              <w:t xml:space="preserve"> and</w:t>
            </w:r>
            <w:r w:rsidRPr="00032CB5">
              <w:rPr>
                <w:rStyle w:val="SCCLsocChar"/>
                <w:sz w:val="20"/>
                <w:szCs w:val="20"/>
                <w:lang w:val="en-CA"/>
              </w:rPr>
              <w:t xml:space="preserve"> Murray Schneider carrying on business under the firm name and style of Fort Chiropractic Centre v. Ireneusz Eric Malinowski</w:t>
            </w:r>
            <w:r w:rsidRPr="00975B77">
              <w:rPr>
                <w:sz w:val="20"/>
                <w:szCs w:val="20"/>
              </w:rPr>
              <w:t xml:space="preserve"> (Alta.) (Civil) (By Leave)</w:t>
            </w:r>
          </w:p>
          <w:p w:rsidR="00032CB5" w:rsidRPr="00975B77" w:rsidRDefault="00032CB5" w:rsidP="00032CB5">
            <w:pPr>
              <w:rPr>
                <w:sz w:val="20"/>
                <w:szCs w:val="20"/>
              </w:rPr>
            </w:pPr>
          </w:p>
        </w:tc>
      </w:tr>
      <w:tr w:rsidR="00032CB5" w:rsidRPr="00975B77" w:rsidTr="00032CB5">
        <w:trPr>
          <w:cantSplit/>
        </w:trPr>
        <w:tc>
          <w:tcPr>
            <w:tcW w:w="1458" w:type="dxa"/>
          </w:tcPr>
          <w:p w:rsidR="00032CB5" w:rsidRPr="00975B77" w:rsidRDefault="00032CB5" w:rsidP="00032CB5">
            <w:pPr>
              <w:rPr>
                <w:sz w:val="20"/>
                <w:szCs w:val="20"/>
              </w:rPr>
            </w:pPr>
            <w:r w:rsidRPr="00975B77">
              <w:rPr>
                <w:sz w:val="20"/>
                <w:szCs w:val="20"/>
              </w:rPr>
              <w:t>Coram :</w:t>
            </w:r>
          </w:p>
        </w:tc>
        <w:tc>
          <w:tcPr>
            <w:tcW w:w="8118" w:type="dxa"/>
          </w:tcPr>
          <w:p w:rsidR="00032CB5" w:rsidRPr="00975B77" w:rsidRDefault="00032CB5" w:rsidP="00032CB5">
            <w:pPr>
              <w:rPr>
                <w:sz w:val="20"/>
                <w:szCs w:val="20"/>
              </w:rPr>
            </w:pPr>
            <w:r w:rsidRPr="00032CB5">
              <w:rPr>
                <w:rStyle w:val="SCCCoramChar"/>
                <w:sz w:val="20"/>
                <w:szCs w:val="20"/>
                <w:lang w:val="en-CA"/>
              </w:rPr>
              <w:t>LeBel, Abella and Cromwell JJ.</w:t>
            </w:r>
          </w:p>
          <w:p w:rsidR="00032CB5" w:rsidRPr="00975B77" w:rsidRDefault="00032CB5" w:rsidP="00032CB5">
            <w:pPr>
              <w:rPr>
                <w:sz w:val="20"/>
                <w:szCs w:val="20"/>
                <w:u w:val="single"/>
              </w:rPr>
            </w:pPr>
          </w:p>
        </w:tc>
      </w:tr>
      <w:tr w:rsidR="00032CB5" w:rsidRPr="005571F9" w:rsidTr="00032CB5">
        <w:trPr>
          <w:cantSplit/>
        </w:trPr>
        <w:tc>
          <w:tcPr>
            <w:tcW w:w="9576" w:type="dxa"/>
            <w:gridSpan w:val="2"/>
          </w:tcPr>
          <w:p w:rsidR="00032CB5" w:rsidRPr="00975B77" w:rsidRDefault="00032CB5" w:rsidP="00032CB5">
            <w:pPr>
              <w:pStyle w:val="SCCShortJudgment"/>
              <w:rPr>
                <w:szCs w:val="20"/>
              </w:rPr>
            </w:pPr>
            <w:r w:rsidRPr="00975B77">
              <w:rPr>
                <w:szCs w:val="20"/>
              </w:rPr>
              <w:t>The application for leave to appeal from the judgment of the Court of Appeal of Alberta (Edmonton), Number 1103-0142-AC, 2012 ABCA 125, dated April 27, 2012, is dismissed with costs.</w:t>
            </w:r>
          </w:p>
          <w:p w:rsidR="00032CB5" w:rsidRPr="00975B77" w:rsidRDefault="00032CB5" w:rsidP="00032CB5">
            <w:pPr>
              <w:pStyle w:val="SCCShortJudgment"/>
              <w:ind w:firstLine="0"/>
              <w:rPr>
                <w:szCs w:val="20"/>
              </w:rPr>
            </w:pPr>
          </w:p>
          <w:p w:rsidR="00032CB5" w:rsidRPr="00975B77" w:rsidRDefault="00032CB5" w:rsidP="00032CB5">
            <w:pPr>
              <w:pStyle w:val="SCCShortJudgment"/>
              <w:rPr>
                <w:szCs w:val="20"/>
                <w:lang w:val="fr-CA"/>
              </w:rPr>
            </w:pPr>
            <w:r w:rsidRPr="00975B77">
              <w:rPr>
                <w:szCs w:val="20"/>
                <w:lang w:val="fr-CA"/>
              </w:rPr>
              <w:t>La demande d’autorisation d’appel de l’arrêt de la Cour d’appel de l’Alberta (Edmonton), numéro 1103-0142-AC, 2012 ABCA 125, daté du 27 avril 2012, est rejetée avec dépens.</w:t>
            </w:r>
          </w:p>
        </w:tc>
      </w:tr>
    </w:tbl>
    <w:p w:rsidR="00FA1074" w:rsidRPr="00032CB5"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1529E" w:rsidRPr="00554DB2" w:rsidTr="00266477">
        <w:trPr>
          <w:trHeight w:val="783"/>
        </w:trPr>
        <w:tc>
          <w:tcPr>
            <w:tcW w:w="5000" w:type="pct"/>
            <w:gridSpan w:val="3"/>
          </w:tcPr>
          <w:p w:rsidR="0081529E" w:rsidRPr="00554DB2" w:rsidRDefault="0081529E" w:rsidP="00266477">
            <w:pPr>
              <w:jc w:val="both"/>
              <w:rPr>
                <w:rFonts w:eastAsia="Calibri"/>
                <w:sz w:val="20"/>
              </w:rPr>
            </w:pPr>
            <w:r w:rsidRPr="00554DB2">
              <w:rPr>
                <w:rFonts w:eastAsia="Calibri"/>
                <w:sz w:val="20"/>
              </w:rPr>
              <w:t>Torts — Negligence — Informed consent — Standard of Care — What possibilities of risks give rise to an obligation on non-physician medical practitioners such as a chiropractor to inform and disclose to patients a risk of harm arising from treatment — Whether trial judges can select a standard of care for particular injuries that is not based on a professional body of opinion.</w:t>
            </w:r>
          </w:p>
        </w:tc>
      </w:tr>
      <w:tr w:rsidR="0081529E" w:rsidRPr="00554DB2" w:rsidTr="00266477">
        <w:tc>
          <w:tcPr>
            <w:tcW w:w="5000" w:type="pct"/>
            <w:gridSpan w:val="3"/>
          </w:tcPr>
          <w:p w:rsidR="0081529E" w:rsidRPr="00554DB2" w:rsidRDefault="0081529E" w:rsidP="00266477">
            <w:pPr>
              <w:jc w:val="both"/>
              <w:rPr>
                <w:rFonts w:eastAsia="Calibri"/>
                <w:sz w:val="20"/>
              </w:rPr>
            </w:pPr>
          </w:p>
        </w:tc>
      </w:tr>
      <w:tr w:rsidR="0081529E" w:rsidRPr="00554DB2" w:rsidTr="00266477">
        <w:tc>
          <w:tcPr>
            <w:tcW w:w="5000" w:type="pct"/>
            <w:gridSpan w:val="3"/>
          </w:tcPr>
          <w:p w:rsidR="0081529E" w:rsidRPr="00554DB2" w:rsidRDefault="0081529E" w:rsidP="00266477">
            <w:pPr>
              <w:jc w:val="both"/>
              <w:rPr>
                <w:rFonts w:eastAsia="Calibri"/>
                <w:sz w:val="20"/>
              </w:rPr>
            </w:pPr>
            <w:r w:rsidRPr="00554DB2">
              <w:rPr>
                <w:rFonts w:eastAsia="Calibri"/>
                <w:sz w:val="20"/>
              </w:rPr>
              <w:t>In 2002, the respondent injured his back pulling heavy cable while working as an apprentice electrician. The next day, he was unable to resume work and was taken by his employer to the applicant’s chiropractic clinic.  The applicant diagnosed a sacroiliac joint sprain with a differential diagnosis of injury to a lumbar intervertebral disc.  The applicant performed spinal manipulation therapy.  The next day the respondent returned without improvement.  After an interactive reassessment, the applicant performed a second chiropractic adjustment</w:t>
            </w:r>
            <w:r w:rsidRPr="00554DB2">
              <w:rPr>
                <w:rFonts w:eastAsia="Calibri"/>
                <w:color w:val="000000"/>
                <w:sz w:val="20"/>
              </w:rPr>
              <w:t xml:space="preserve">.  </w:t>
            </w:r>
            <w:r w:rsidRPr="00554DB2">
              <w:rPr>
                <w:rFonts w:eastAsia="Calibri"/>
                <w:sz w:val="20"/>
              </w:rPr>
              <w:t xml:space="preserve">Two days later the respondent experienced numbness in his saddle area and could not feel his legs.  He was taken to the hospital by ambulance and was diagnosed with cauda equine syndrome, a rare neurological condition.  Although intervertebral disc injury was mentioned in a consent form signed by the respondent and mentioned in discussions with the respondent, the risk of CES was not disclosed.  After emergency surgery, the respondent suffers permanent impairment to his lower body functions, chronic pain, periodic bladder and bowel incontinence, and partial sexual dysfunction, leg weakness, failed back syndrome, lower back stiffness and spasms.  He has not worked since September 27, 2002. </w:t>
            </w:r>
          </w:p>
          <w:p w:rsidR="0081529E" w:rsidRPr="00554DB2" w:rsidRDefault="0081529E" w:rsidP="00266477">
            <w:pPr>
              <w:jc w:val="both"/>
              <w:rPr>
                <w:rFonts w:eastAsia="Calibri"/>
                <w:sz w:val="20"/>
              </w:rPr>
            </w:pPr>
          </w:p>
        </w:tc>
      </w:tr>
      <w:tr w:rsidR="0081529E" w:rsidRPr="00554DB2" w:rsidTr="00266477">
        <w:tc>
          <w:tcPr>
            <w:tcW w:w="2427" w:type="pct"/>
          </w:tcPr>
          <w:p w:rsidR="0081529E" w:rsidRPr="00554DB2" w:rsidRDefault="0081529E" w:rsidP="00266477">
            <w:pPr>
              <w:jc w:val="both"/>
              <w:rPr>
                <w:rFonts w:eastAsia="Calibri"/>
                <w:sz w:val="20"/>
              </w:rPr>
            </w:pPr>
            <w:r w:rsidRPr="00554DB2">
              <w:rPr>
                <w:rFonts w:eastAsia="Calibri"/>
                <w:sz w:val="20"/>
              </w:rPr>
              <w:t>November 24, 2010</w:t>
            </w:r>
          </w:p>
          <w:p w:rsidR="0081529E" w:rsidRPr="00554DB2" w:rsidRDefault="0081529E" w:rsidP="00266477">
            <w:pPr>
              <w:jc w:val="both"/>
              <w:rPr>
                <w:rFonts w:eastAsia="Calibri"/>
                <w:sz w:val="20"/>
              </w:rPr>
            </w:pPr>
            <w:r w:rsidRPr="00554DB2">
              <w:rPr>
                <w:rFonts w:eastAsia="Calibri"/>
                <w:sz w:val="20"/>
              </w:rPr>
              <w:t>Court of Queen’s Bench of Alberta</w:t>
            </w:r>
          </w:p>
          <w:p w:rsidR="0081529E" w:rsidRPr="00554DB2" w:rsidRDefault="0081529E" w:rsidP="00266477">
            <w:pPr>
              <w:jc w:val="both"/>
              <w:rPr>
                <w:rFonts w:eastAsia="Calibri"/>
                <w:sz w:val="20"/>
              </w:rPr>
            </w:pPr>
            <w:r w:rsidRPr="00554DB2">
              <w:rPr>
                <w:rFonts w:eastAsia="Calibri"/>
                <w:sz w:val="20"/>
              </w:rPr>
              <w:t xml:space="preserve">(Shelley J.) </w:t>
            </w:r>
          </w:p>
          <w:p w:rsidR="0081529E" w:rsidRPr="00554DB2" w:rsidRDefault="0081529E" w:rsidP="00266477">
            <w:pPr>
              <w:jc w:val="both"/>
              <w:rPr>
                <w:rFonts w:eastAsia="Calibri"/>
                <w:sz w:val="20"/>
              </w:rPr>
            </w:pPr>
            <w:r w:rsidRPr="00554DB2">
              <w:rPr>
                <w:rFonts w:eastAsia="Calibri"/>
                <w:sz w:val="20"/>
              </w:rPr>
              <w:t>2010 ABQB 734</w:t>
            </w:r>
          </w:p>
          <w:p w:rsidR="0081529E" w:rsidRPr="00554DB2" w:rsidRDefault="0081529E" w:rsidP="00266477">
            <w:pPr>
              <w:jc w:val="both"/>
              <w:rPr>
                <w:rFonts w:eastAsia="Calibri"/>
                <w:sz w:val="20"/>
              </w:rPr>
            </w:pPr>
          </w:p>
        </w:tc>
        <w:tc>
          <w:tcPr>
            <w:tcW w:w="243" w:type="pct"/>
          </w:tcPr>
          <w:p w:rsidR="0081529E" w:rsidRPr="00554DB2" w:rsidRDefault="0081529E" w:rsidP="00266477">
            <w:pPr>
              <w:jc w:val="both"/>
              <w:rPr>
                <w:rFonts w:eastAsia="Calibri"/>
                <w:sz w:val="20"/>
              </w:rPr>
            </w:pPr>
          </w:p>
        </w:tc>
        <w:tc>
          <w:tcPr>
            <w:tcW w:w="2330" w:type="pct"/>
          </w:tcPr>
          <w:p w:rsidR="0081529E" w:rsidRPr="00554DB2" w:rsidRDefault="0081529E" w:rsidP="00266477">
            <w:pPr>
              <w:jc w:val="both"/>
              <w:rPr>
                <w:rFonts w:eastAsia="Calibri"/>
                <w:sz w:val="20"/>
              </w:rPr>
            </w:pPr>
            <w:r w:rsidRPr="00554DB2">
              <w:rPr>
                <w:rFonts w:eastAsia="Calibri"/>
                <w:sz w:val="20"/>
              </w:rPr>
              <w:t>Respondent’s action in negligence allowed, Damages of $1,328,203.33 awarded</w:t>
            </w:r>
          </w:p>
          <w:p w:rsidR="0081529E" w:rsidRPr="00554DB2" w:rsidRDefault="0081529E" w:rsidP="00266477">
            <w:pPr>
              <w:jc w:val="both"/>
              <w:rPr>
                <w:rFonts w:eastAsia="Calibri"/>
                <w:sz w:val="20"/>
              </w:rPr>
            </w:pPr>
          </w:p>
        </w:tc>
      </w:tr>
      <w:tr w:rsidR="0081529E" w:rsidRPr="00554DB2" w:rsidTr="00266477">
        <w:tc>
          <w:tcPr>
            <w:tcW w:w="2427" w:type="pct"/>
          </w:tcPr>
          <w:p w:rsidR="0081529E" w:rsidRPr="00554DB2" w:rsidRDefault="0081529E" w:rsidP="00266477">
            <w:pPr>
              <w:jc w:val="both"/>
              <w:rPr>
                <w:rFonts w:eastAsia="Calibri"/>
                <w:sz w:val="20"/>
              </w:rPr>
            </w:pPr>
            <w:r w:rsidRPr="00554DB2">
              <w:rPr>
                <w:rFonts w:eastAsia="Calibri"/>
                <w:sz w:val="20"/>
              </w:rPr>
              <w:t>April 27, 2012</w:t>
            </w:r>
          </w:p>
          <w:p w:rsidR="0081529E" w:rsidRPr="00554DB2" w:rsidRDefault="0081529E" w:rsidP="00266477">
            <w:pPr>
              <w:jc w:val="both"/>
              <w:rPr>
                <w:rFonts w:eastAsia="Calibri"/>
                <w:sz w:val="20"/>
              </w:rPr>
            </w:pPr>
            <w:r w:rsidRPr="00554DB2">
              <w:rPr>
                <w:rFonts w:eastAsia="Calibri"/>
                <w:sz w:val="20"/>
              </w:rPr>
              <w:t>Court of Appeal of Alberta (Edmonton)</w:t>
            </w:r>
          </w:p>
          <w:p w:rsidR="0081529E" w:rsidRPr="00554DB2" w:rsidRDefault="0081529E" w:rsidP="00266477">
            <w:pPr>
              <w:jc w:val="both"/>
              <w:rPr>
                <w:rFonts w:eastAsia="Calibri"/>
                <w:sz w:val="20"/>
              </w:rPr>
            </w:pPr>
            <w:r w:rsidRPr="00554DB2">
              <w:rPr>
                <w:rFonts w:eastAsia="Calibri"/>
                <w:sz w:val="20"/>
              </w:rPr>
              <w:t>(Berger, Paperny, Rowbotham JJ.A.)</w:t>
            </w:r>
          </w:p>
          <w:p w:rsidR="0081529E" w:rsidRPr="00554DB2" w:rsidRDefault="0081529E" w:rsidP="00266477">
            <w:pPr>
              <w:jc w:val="both"/>
              <w:rPr>
                <w:rFonts w:eastAsia="Calibri"/>
                <w:sz w:val="20"/>
              </w:rPr>
            </w:pPr>
            <w:r w:rsidRPr="00554DB2">
              <w:rPr>
                <w:rFonts w:eastAsia="Calibri"/>
                <w:sz w:val="20"/>
              </w:rPr>
              <w:t>2012 ABCA 125; 1103-0142-AC</w:t>
            </w:r>
          </w:p>
          <w:p w:rsidR="0081529E" w:rsidRPr="00554DB2" w:rsidRDefault="0081529E" w:rsidP="00266477">
            <w:pPr>
              <w:jc w:val="both"/>
              <w:rPr>
                <w:rFonts w:eastAsia="Calibri"/>
                <w:sz w:val="20"/>
              </w:rPr>
            </w:pPr>
          </w:p>
        </w:tc>
        <w:tc>
          <w:tcPr>
            <w:tcW w:w="243" w:type="pct"/>
          </w:tcPr>
          <w:p w:rsidR="0081529E" w:rsidRPr="00554DB2" w:rsidRDefault="0081529E" w:rsidP="00266477">
            <w:pPr>
              <w:jc w:val="both"/>
              <w:rPr>
                <w:rFonts w:eastAsia="Calibri"/>
                <w:sz w:val="20"/>
              </w:rPr>
            </w:pPr>
          </w:p>
        </w:tc>
        <w:tc>
          <w:tcPr>
            <w:tcW w:w="2330" w:type="pct"/>
          </w:tcPr>
          <w:p w:rsidR="0081529E" w:rsidRPr="00554DB2" w:rsidRDefault="0081529E" w:rsidP="00266477">
            <w:pPr>
              <w:jc w:val="both"/>
              <w:rPr>
                <w:rFonts w:eastAsia="Calibri"/>
                <w:sz w:val="20"/>
              </w:rPr>
            </w:pPr>
            <w:r w:rsidRPr="00554DB2">
              <w:rPr>
                <w:rFonts w:eastAsia="Calibri"/>
                <w:sz w:val="20"/>
              </w:rPr>
              <w:t>Appeal dismissed</w:t>
            </w:r>
          </w:p>
          <w:p w:rsidR="0081529E" w:rsidRPr="00554DB2" w:rsidRDefault="0081529E" w:rsidP="00266477">
            <w:pPr>
              <w:jc w:val="both"/>
              <w:rPr>
                <w:rFonts w:eastAsia="Calibri"/>
                <w:sz w:val="20"/>
              </w:rPr>
            </w:pPr>
          </w:p>
        </w:tc>
      </w:tr>
      <w:tr w:rsidR="0081529E" w:rsidRPr="00554DB2" w:rsidTr="00266477">
        <w:tc>
          <w:tcPr>
            <w:tcW w:w="2427" w:type="pct"/>
          </w:tcPr>
          <w:p w:rsidR="0081529E" w:rsidRPr="00554DB2" w:rsidRDefault="0081529E" w:rsidP="00266477">
            <w:pPr>
              <w:jc w:val="both"/>
              <w:rPr>
                <w:rFonts w:eastAsia="Calibri"/>
                <w:sz w:val="20"/>
              </w:rPr>
            </w:pPr>
            <w:r w:rsidRPr="00554DB2">
              <w:rPr>
                <w:rFonts w:eastAsia="Calibri"/>
                <w:sz w:val="20"/>
              </w:rPr>
              <w:t>June 25, 2012</w:t>
            </w:r>
          </w:p>
          <w:p w:rsidR="0081529E" w:rsidRPr="00554DB2" w:rsidRDefault="0081529E" w:rsidP="00266477">
            <w:pPr>
              <w:jc w:val="both"/>
              <w:rPr>
                <w:rFonts w:eastAsia="Calibri"/>
                <w:sz w:val="20"/>
              </w:rPr>
            </w:pPr>
            <w:r w:rsidRPr="00554DB2">
              <w:rPr>
                <w:rFonts w:eastAsia="Calibri"/>
                <w:sz w:val="20"/>
              </w:rPr>
              <w:t>Supreme Court of Canada</w:t>
            </w:r>
          </w:p>
        </w:tc>
        <w:tc>
          <w:tcPr>
            <w:tcW w:w="243" w:type="pct"/>
          </w:tcPr>
          <w:p w:rsidR="0081529E" w:rsidRPr="00554DB2" w:rsidRDefault="0081529E" w:rsidP="00266477">
            <w:pPr>
              <w:jc w:val="both"/>
              <w:rPr>
                <w:rFonts w:eastAsia="Calibri"/>
                <w:sz w:val="20"/>
              </w:rPr>
            </w:pPr>
          </w:p>
        </w:tc>
        <w:tc>
          <w:tcPr>
            <w:tcW w:w="2330" w:type="pct"/>
          </w:tcPr>
          <w:p w:rsidR="0081529E" w:rsidRPr="00554DB2" w:rsidRDefault="0081529E" w:rsidP="00266477">
            <w:pPr>
              <w:jc w:val="both"/>
              <w:rPr>
                <w:rFonts w:eastAsia="Calibri"/>
                <w:sz w:val="20"/>
              </w:rPr>
            </w:pPr>
            <w:r w:rsidRPr="00554DB2">
              <w:rPr>
                <w:rFonts w:eastAsia="Calibri"/>
                <w:sz w:val="20"/>
              </w:rPr>
              <w:t>Application for leave to appeal filed</w:t>
            </w:r>
          </w:p>
          <w:p w:rsidR="0081529E" w:rsidRPr="00554DB2" w:rsidRDefault="0081529E" w:rsidP="00266477">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74"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1529E" w:rsidRPr="005571F9" w:rsidTr="00266477">
        <w:trPr>
          <w:trHeight w:val="783"/>
        </w:trPr>
        <w:tc>
          <w:tcPr>
            <w:tcW w:w="5000" w:type="pct"/>
            <w:gridSpan w:val="3"/>
          </w:tcPr>
          <w:p w:rsidR="0081529E" w:rsidRPr="00554DB2" w:rsidRDefault="0081529E" w:rsidP="00266477">
            <w:pPr>
              <w:jc w:val="both"/>
              <w:rPr>
                <w:rFonts w:eastAsia="Calibri"/>
                <w:sz w:val="20"/>
                <w:lang w:val="fr-CA"/>
              </w:rPr>
            </w:pPr>
            <w:r w:rsidRPr="00554DB2">
              <w:rPr>
                <w:rFonts w:eastAsia="Calibri"/>
                <w:sz w:val="20"/>
                <w:lang w:val="fr-CA"/>
              </w:rPr>
              <w:t>Responsabilité civile — Négligence — Consentement éclairé — Norme de diligence — Quelles possibilités de risques ont pour effet d’imposer aux professionnels de la santé autres que les médecins, par exemple les chiropraticiens, l’obligation d'informer les patients du risque de préjudice que pose un traitement? — Les juges de première instance peuvent</w:t>
            </w:r>
            <w:r w:rsidRPr="00554DB2">
              <w:rPr>
                <w:rFonts w:eastAsia="Calibri"/>
                <w:sz w:val="20"/>
                <w:lang w:val="fr-CA"/>
              </w:rPr>
              <w:noBreakHyphen/>
              <w:t>ils choisir une norme de diligence applicable à des préjudices en particulier et qui n’est pas fondée sur un courant d’opinion de professionnels?</w:t>
            </w:r>
          </w:p>
        </w:tc>
      </w:tr>
      <w:tr w:rsidR="0081529E" w:rsidRPr="005571F9" w:rsidTr="00266477">
        <w:tc>
          <w:tcPr>
            <w:tcW w:w="5000" w:type="pct"/>
            <w:gridSpan w:val="3"/>
          </w:tcPr>
          <w:p w:rsidR="0081529E" w:rsidRPr="00554DB2" w:rsidRDefault="0081529E" w:rsidP="00266477">
            <w:pPr>
              <w:jc w:val="both"/>
              <w:rPr>
                <w:rFonts w:eastAsia="Calibri"/>
                <w:sz w:val="20"/>
                <w:lang w:val="fr-CA"/>
              </w:rPr>
            </w:pPr>
          </w:p>
        </w:tc>
      </w:tr>
      <w:tr w:rsidR="0081529E" w:rsidRPr="00554DB2" w:rsidTr="00266477">
        <w:tc>
          <w:tcPr>
            <w:tcW w:w="5000" w:type="pct"/>
            <w:gridSpan w:val="3"/>
          </w:tcPr>
          <w:p w:rsidR="0081529E" w:rsidRPr="00554DB2" w:rsidRDefault="0081529E" w:rsidP="00266477">
            <w:pPr>
              <w:jc w:val="both"/>
              <w:rPr>
                <w:rFonts w:eastAsia="Calibri"/>
                <w:sz w:val="20"/>
                <w:lang w:val="fr-CA"/>
              </w:rPr>
            </w:pPr>
            <w:r w:rsidRPr="00554DB2">
              <w:rPr>
                <w:rFonts w:eastAsia="Calibri"/>
                <w:sz w:val="20"/>
                <w:lang w:val="fr-CA"/>
              </w:rPr>
              <w:t>En 2002, l'intimé s'est blessé au dos en tirant un câble lourd alors qu'il travaillait comme apprenti électricien.  Le lendemain, il a été incapable de reprendre le travail et son employeur l’a conduit à la clinique de chiropractie du demandeur.  Le demandeur a diagnostiqué une entorse de l'articulation sacro</w:t>
            </w:r>
            <w:r w:rsidRPr="00554DB2">
              <w:rPr>
                <w:rFonts w:eastAsia="Calibri"/>
                <w:sz w:val="20"/>
                <w:lang w:val="fr-CA"/>
              </w:rPr>
              <w:noBreakHyphen/>
              <w:t>iliaque avec un diagnostic différentiel de blessure à un disque intervertébral lombaire.  Le demandeur a administré une thérapie de manipulation vertébrale. Le jour suivant, l'intimé est retourné le voir sans amélioration.  À la suite d'une réévaluation interactive, le demandeur a effectué un deuxième ajustement chiropratique</w:t>
            </w:r>
            <w:r w:rsidRPr="00554DB2">
              <w:rPr>
                <w:rFonts w:eastAsia="Calibri"/>
                <w:color w:val="000000"/>
                <w:sz w:val="20"/>
                <w:lang w:val="fr-CA"/>
              </w:rPr>
              <w:t>.</w:t>
            </w:r>
            <w:r w:rsidRPr="00554DB2">
              <w:rPr>
                <w:rFonts w:eastAsia="Calibri"/>
                <w:sz w:val="20"/>
                <w:lang w:val="fr-CA"/>
              </w:rPr>
              <w:t xml:space="preserve">  Deux jours plus tard, l'intimé a ressenti un engourdissement au niveau de la selle et il n'avait plus de sensations aux jambes.  Il a été conduit à l'hôpital en ambulance et on lui a diagnostiqué le syndrome de la queue de cheval, une pathologie neurologique rare.  Même si la blessure aux disques intervertébraux avait été mentionnée dans le formulaire de consentement signé par l'intimé et mentionnée dans des discussions avec l'intimé, le risque de SQC n'avait pas été évoqué.  Après une chirurgie d'urgence, l'intimé souffre de déficience permanente des fonctions du tronc inférieur, de douleurs chroniques, d'incontinence vésicale et anale périodique, de dysfonction sexuelle partielle, de faiblesse aux jambes, de séquelles du traitement chirurgical rachidien, de raideur dans le bas du dos et de spasmes.  Il ne travaille pas depuis le 27 septembre 2002. </w:t>
            </w:r>
          </w:p>
          <w:p w:rsidR="0081529E" w:rsidRPr="00554DB2" w:rsidRDefault="0081529E" w:rsidP="00266477">
            <w:pPr>
              <w:jc w:val="both"/>
              <w:rPr>
                <w:rFonts w:eastAsia="Calibri"/>
                <w:sz w:val="20"/>
                <w:lang w:val="fr-CA"/>
              </w:rPr>
            </w:pPr>
          </w:p>
        </w:tc>
      </w:tr>
      <w:tr w:rsidR="0081529E" w:rsidRPr="005571F9" w:rsidTr="00266477">
        <w:tc>
          <w:tcPr>
            <w:tcW w:w="2427" w:type="pct"/>
          </w:tcPr>
          <w:p w:rsidR="0081529E" w:rsidRPr="00554DB2" w:rsidRDefault="0081529E" w:rsidP="00266477">
            <w:pPr>
              <w:jc w:val="both"/>
              <w:rPr>
                <w:rFonts w:eastAsia="Calibri"/>
                <w:sz w:val="20"/>
                <w:lang w:val="fr-CA"/>
              </w:rPr>
            </w:pPr>
            <w:r w:rsidRPr="00554DB2">
              <w:rPr>
                <w:rFonts w:eastAsia="Calibri"/>
                <w:sz w:val="20"/>
                <w:lang w:val="fr-CA"/>
              </w:rPr>
              <w:t>24 novembre 2010</w:t>
            </w:r>
          </w:p>
          <w:p w:rsidR="0081529E" w:rsidRPr="00554DB2" w:rsidRDefault="0081529E" w:rsidP="00266477">
            <w:pPr>
              <w:jc w:val="both"/>
              <w:rPr>
                <w:rFonts w:eastAsia="Calibri"/>
                <w:sz w:val="20"/>
                <w:lang w:val="fr-CA"/>
              </w:rPr>
            </w:pPr>
            <w:r w:rsidRPr="00554DB2">
              <w:rPr>
                <w:rFonts w:eastAsia="Calibri"/>
                <w:sz w:val="20"/>
                <w:lang w:val="fr-CA"/>
              </w:rPr>
              <w:t xml:space="preserve">Cour du Banc de la Reine de l'Alberta </w:t>
            </w:r>
          </w:p>
          <w:p w:rsidR="0081529E" w:rsidRPr="00554DB2" w:rsidRDefault="0081529E" w:rsidP="00266477">
            <w:pPr>
              <w:jc w:val="both"/>
              <w:rPr>
                <w:rFonts w:eastAsia="Calibri"/>
                <w:sz w:val="20"/>
                <w:lang w:val="fr-CA"/>
              </w:rPr>
            </w:pPr>
            <w:r w:rsidRPr="00554DB2">
              <w:rPr>
                <w:rFonts w:eastAsia="Calibri"/>
                <w:sz w:val="20"/>
                <w:lang w:val="fr-CA"/>
              </w:rPr>
              <w:t xml:space="preserve">(Juge Shelley) </w:t>
            </w:r>
          </w:p>
          <w:p w:rsidR="0081529E" w:rsidRPr="00554DB2" w:rsidRDefault="0081529E" w:rsidP="00266477">
            <w:pPr>
              <w:jc w:val="both"/>
              <w:rPr>
                <w:rFonts w:eastAsia="Calibri"/>
                <w:sz w:val="20"/>
                <w:lang w:val="fr-CA"/>
              </w:rPr>
            </w:pPr>
            <w:r w:rsidRPr="00554DB2">
              <w:rPr>
                <w:rFonts w:eastAsia="Calibri"/>
                <w:sz w:val="20"/>
                <w:lang w:val="fr-CA"/>
              </w:rPr>
              <w:t>2010 ABQB 734</w:t>
            </w:r>
          </w:p>
          <w:p w:rsidR="0081529E" w:rsidRPr="00554DB2" w:rsidRDefault="0081529E" w:rsidP="00266477">
            <w:pPr>
              <w:jc w:val="both"/>
              <w:rPr>
                <w:rFonts w:eastAsia="Calibri"/>
                <w:sz w:val="20"/>
                <w:lang w:val="fr-CA"/>
              </w:rPr>
            </w:pPr>
          </w:p>
        </w:tc>
        <w:tc>
          <w:tcPr>
            <w:tcW w:w="243" w:type="pct"/>
          </w:tcPr>
          <w:p w:rsidR="0081529E" w:rsidRPr="00554DB2" w:rsidRDefault="0081529E" w:rsidP="00266477">
            <w:pPr>
              <w:jc w:val="both"/>
              <w:rPr>
                <w:rFonts w:eastAsia="Calibri"/>
                <w:sz w:val="20"/>
                <w:lang w:val="fr-CA"/>
              </w:rPr>
            </w:pPr>
          </w:p>
        </w:tc>
        <w:tc>
          <w:tcPr>
            <w:tcW w:w="2330" w:type="pct"/>
          </w:tcPr>
          <w:p w:rsidR="0081529E" w:rsidRPr="00554DB2" w:rsidRDefault="0081529E" w:rsidP="00266477">
            <w:pPr>
              <w:jc w:val="both"/>
              <w:rPr>
                <w:rFonts w:eastAsia="Calibri"/>
                <w:sz w:val="20"/>
                <w:lang w:val="fr-CA"/>
              </w:rPr>
            </w:pPr>
            <w:r w:rsidRPr="00554DB2">
              <w:rPr>
                <w:rFonts w:eastAsia="Calibri"/>
                <w:sz w:val="20"/>
                <w:lang w:val="fr-CA"/>
              </w:rPr>
              <w:t>Action en négligence de l'intimé, accueillie, dommages</w:t>
            </w:r>
            <w:r w:rsidRPr="00554DB2">
              <w:rPr>
                <w:rFonts w:eastAsia="Calibri"/>
                <w:sz w:val="20"/>
                <w:lang w:val="fr-CA"/>
              </w:rPr>
              <w:noBreakHyphen/>
              <w:t>intérêts de 1 328 203,33 $ accordés</w:t>
            </w:r>
          </w:p>
          <w:p w:rsidR="0081529E" w:rsidRPr="00554DB2" w:rsidRDefault="0081529E" w:rsidP="00266477">
            <w:pPr>
              <w:jc w:val="both"/>
              <w:rPr>
                <w:rFonts w:eastAsia="Calibri"/>
                <w:sz w:val="20"/>
                <w:lang w:val="fr-CA"/>
              </w:rPr>
            </w:pPr>
          </w:p>
        </w:tc>
      </w:tr>
      <w:tr w:rsidR="0081529E" w:rsidRPr="00554DB2" w:rsidTr="00266477">
        <w:tc>
          <w:tcPr>
            <w:tcW w:w="2427" w:type="pct"/>
          </w:tcPr>
          <w:p w:rsidR="0081529E" w:rsidRPr="00554DB2" w:rsidRDefault="0081529E" w:rsidP="00266477">
            <w:pPr>
              <w:jc w:val="both"/>
              <w:rPr>
                <w:rFonts w:eastAsia="Calibri"/>
                <w:sz w:val="20"/>
                <w:lang w:val="fr-CA"/>
              </w:rPr>
            </w:pPr>
            <w:r w:rsidRPr="00554DB2">
              <w:rPr>
                <w:rFonts w:eastAsia="Calibri"/>
                <w:sz w:val="20"/>
                <w:lang w:val="fr-CA"/>
              </w:rPr>
              <w:t>27 avril 2012</w:t>
            </w:r>
          </w:p>
          <w:p w:rsidR="0081529E" w:rsidRPr="00554DB2" w:rsidRDefault="0081529E" w:rsidP="00266477">
            <w:pPr>
              <w:jc w:val="both"/>
              <w:rPr>
                <w:rFonts w:eastAsia="Calibri"/>
                <w:sz w:val="20"/>
                <w:lang w:val="fr-CA"/>
              </w:rPr>
            </w:pPr>
            <w:r w:rsidRPr="00554DB2">
              <w:rPr>
                <w:rFonts w:eastAsia="Calibri"/>
                <w:sz w:val="20"/>
                <w:lang w:val="fr-CA"/>
              </w:rPr>
              <w:t>Cour d'appel de l’Alberta (Edmonton)</w:t>
            </w:r>
          </w:p>
          <w:p w:rsidR="0081529E" w:rsidRPr="00554DB2" w:rsidRDefault="0081529E" w:rsidP="00266477">
            <w:pPr>
              <w:jc w:val="both"/>
              <w:rPr>
                <w:rFonts w:eastAsia="Calibri"/>
                <w:sz w:val="20"/>
                <w:lang w:val="fr-CA"/>
              </w:rPr>
            </w:pPr>
            <w:r w:rsidRPr="00554DB2">
              <w:rPr>
                <w:rFonts w:eastAsia="Calibri"/>
                <w:sz w:val="20"/>
                <w:lang w:val="fr-CA"/>
              </w:rPr>
              <w:t>(Juges Berger, Paperny et Rowbotham)</w:t>
            </w:r>
          </w:p>
          <w:p w:rsidR="0081529E" w:rsidRPr="00554DB2" w:rsidRDefault="0081529E" w:rsidP="00266477">
            <w:pPr>
              <w:jc w:val="both"/>
              <w:rPr>
                <w:rFonts w:eastAsia="Calibri"/>
                <w:sz w:val="20"/>
                <w:lang w:val="fr-CA"/>
              </w:rPr>
            </w:pPr>
            <w:r w:rsidRPr="00554DB2">
              <w:rPr>
                <w:rFonts w:eastAsia="Calibri"/>
                <w:sz w:val="20"/>
                <w:lang w:val="fr-CA"/>
              </w:rPr>
              <w:t>2012 ABCA 125; 1103</w:t>
            </w:r>
            <w:r w:rsidRPr="00554DB2">
              <w:rPr>
                <w:rFonts w:eastAsia="Calibri"/>
                <w:sz w:val="20"/>
                <w:lang w:val="fr-CA"/>
              </w:rPr>
              <w:noBreakHyphen/>
              <w:t>0142</w:t>
            </w:r>
            <w:r w:rsidRPr="00554DB2">
              <w:rPr>
                <w:rFonts w:eastAsia="Calibri"/>
                <w:sz w:val="20"/>
                <w:lang w:val="fr-CA"/>
              </w:rPr>
              <w:noBreakHyphen/>
              <w:t>AC</w:t>
            </w:r>
          </w:p>
          <w:p w:rsidR="0081529E" w:rsidRPr="00554DB2" w:rsidRDefault="0081529E" w:rsidP="00266477">
            <w:pPr>
              <w:jc w:val="both"/>
              <w:rPr>
                <w:rFonts w:eastAsia="Calibri"/>
                <w:sz w:val="20"/>
                <w:lang w:val="fr-CA"/>
              </w:rPr>
            </w:pPr>
          </w:p>
        </w:tc>
        <w:tc>
          <w:tcPr>
            <w:tcW w:w="243" w:type="pct"/>
          </w:tcPr>
          <w:p w:rsidR="0081529E" w:rsidRPr="00554DB2" w:rsidRDefault="0081529E" w:rsidP="00266477">
            <w:pPr>
              <w:jc w:val="both"/>
              <w:rPr>
                <w:rFonts w:eastAsia="Calibri"/>
                <w:sz w:val="20"/>
                <w:lang w:val="fr-CA"/>
              </w:rPr>
            </w:pPr>
          </w:p>
        </w:tc>
        <w:tc>
          <w:tcPr>
            <w:tcW w:w="2330" w:type="pct"/>
          </w:tcPr>
          <w:p w:rsidR="0081529E" w:rsidRPr="00554DB2" w:rsidRDefault="0081529E" w:rsidP="00266477">
            <w:pPr>
              <w:jc w:val="both"/>
              <w:rPr>
                <w:rFonts w:eastAsia="Calibri"/>
                <w:sz w:val="20"/>
                <w:lang w:val="fr-CA"/>
              </w:rPr>
            </w:pPr>
            <w:r w:rsidRPr="00554DB2">
              <w:rPr>
                <w:rFonts w:eastAsia="Calibri"/>
                <w:sz w:val="20"/>
                <w:lang w:val="fr-CA"/>
              </w:rPr>
              <w:t>Appel rejeté</w:t>
            </w:r>
          </w:p>
          <w:p w:rsidR="0081529E" w:rsidRPr="00554DB2" w:rsidRDefault="0081529E" w:rsidP="00266477">
            <w:pPr>
              <w:jc w:val="both"/>
              <w:rPr>
                <w:rFonts w:eastAsia="Calibri"/>
                <w:sz w:val="20"/>
                <w:lang w:val="fr-CA"/>
              </w:rPr>
            </w:pPr>
          </w:p>
        </w:tc>
      </w:tr>
      <w:tr w:rsidR="0081529E" w:rsidRPr="00554DB2" w:rsidTr="00266477">
        <w:tc>
          <w:tcPr>
            <w:tcW w:w="2427" w:type="pct"/>
          </w:tcPr>
          <w:p w:rsidR="0081529E" w:rsidRPr="00554DB2" w:rsidRDefault="0081529E" w:rsidP="00266477">
            <w:pPr>
              <w:jc w:val="both"/>
              <w:rPr>
                <w:rFonts w:eastAsia="Calibri"/>
                <w:sz w:val="20"/>
                <w:lang w:val="fr-CA"/>
              </w:rPr>
            </w:pPr>
            <w:r w:rsidRPr="00554DB2">
              <w:rPr>
                <w:rFonts w:eastAsia="Calibri"/>
                <w:sz w:val="20"/>
                <w:lang w:val="fr-CA"/>
              </w:rPr>
              <w:t>25 juin 2012</w:t>
            </w:r>
          </w:p>
          <w:p w:rsidR="0081529E" w:rsidRPr="00554DB2" w:rsidRDefault="0081529E" w:rsidP="00266477">
            <w:pPr>
              <w:jc w:val="both"/>
              <w:rPr>
                <w:rFonts w:eastAsia="Calibri"/>
                <w:sz w:val="20"/>
                <w:lang w:val="fr-CA"/>
              </w:rPr>
            </w:pPr>
            <w:r w:rsidRPr="00554DB2">
              <w:rPr>
                <w:rFonts w:eastAsia="Calibri"/>
                <w:sz w:val="20"/>
                <w:lang w:val="fr-CA"/>
              </w:rPr>
              <w:t>Cour suprême du Canada</w:t>
            </w:r>
          </w:p>
        </w:tc>
        <w:tc>
          <w:tcPr>
            <w:tcW w:w="243" w:type="pct"/>
          </w:tcPr>
          <w:p w:rsidR="0081529E" w:rsidRPr="00554DB2" w:rsidRDefault="0081529E" w:rsidP="00266477">
            <w:pPr>
              <w:jc w:val="both"/>
              <w:rPr>
                <w:rFonts w:eastAsia="Calibri"/>
                <w:sz w:val="20"/>
                <w:lang w:val="fr-CA"/>
              </w:rPr>
            </w:pPr>
          </w:p>
        </w:tc>
        <w:tc>
          <w:tcPr>
            <w:tcW w:w="2330" w:type="pct"/>
          </w:tcPr>
          <w:p w:rsidR="0081529E" w:rsidRPr="00554DB2" w:rsidRDefault="0081529E" w:rsidP="00266477">
            <w:pPr>
              <w:jc w:val="both"/>
              <w:rPr>
                <w:rFonts w:eastAsia="Calibri"/>
                <w:sz w:val="20"/>
                <w:lang w:val="fr-CA"/>
              </w:rPr>
            </w:pPr>
            <w:r w:rsidRPr="00554DB2">
              <w:rPr>
                <w:rFonts w:eastAsia="Calibri"/>
                <w:sz w:val="20"/>
                <w:lang w:val="fr-CA"/>
              </w:rPr>
              <w:t>Demande d'autorisation d'appel, déposée</w:t>
            </w:r>
          </w:p>
          <w:p w:rsidR="0081529E" w:rsidRPr="00554DB2" w:rsidRDefault="0081529E" w:rsidP="00266477">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75"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E61D2" w:rsidRPr="008E61D2" w:rsidTr="006B3BA7">
        <w:trPr>
          <w:cantSplit/>
        </w:trPr>
        <w:tc>
          <w:tcPr>
            <w:tcW w:w="1458" w:type="dxa"/>
          </w:tcPr>
          <w:p w:rsidR="008E61D2" w:rsidRPr="008E61D2" w:rsidRDefault="008E61D2" w:rsidP="006B3BA7">
            <w:pPr>
              <w:rPr>
                <w:sz w:val="20"/>
                <w:szCs w:val="20"/>
              </w:rPr>
            </w:pPr>
            <w:r w:rsidRPr="008E61D2">
              <w:rPr>
                <w:rStyle w:val="SCCFileNumberChar"/>
                <w:sz w:val="20"/>
                <w:szCs w:val="20"/>
              </w:rPr>
              <w:t>34888</w:t>
            </w:r>
          </w:p>
          <w:p w:rsidR="008E61D2" w:rsidRPr="008E61D2" w:rsidRDefault="008E61D2" w:rsidP="006B3BA7">
            <w:pPr>
              <w:rPr>
                <w:b/>
                <w:sz w:val="20"/>
                <w:szCs w:val="20"/>
                <w:lang w:val="fr-CA"/>
              </w:rPr>
            </w:pPr>
          </w:p>
        </w:tc>
        <w:tc>
          <w:tcPr>
            <w:tcW w:w="8118" w:type="dxa"/>
          </w:tcPr>
          <w:p w:rsidR="008E61D2" w:rsidRPr="008E61D2" w:rsidRDefault="008E61D2" w:rsidP="006B3BA7">
            <w:pPr>
              <w:jc w:val="both"/>
              <w:rPr>
                <w:sz w:val="20"/>
                <w:szCs w:val="20"/>
              </w:rPr>
            </w:pPr>
            <w:r w:rsidRPr="008E61D2">
              <w:rPr>
                <w:rStyle w:val="SCCLsocChar"/>
                <w:sz w:val="20"/>
                <w:szCs w:val="20"/>
                <w:lang w:val="en-CA"/>
              </w:rPr>
              <w:t>BCF S.E.N.C.R.L. v. Spirits International B.V.</w:t>
            </w:r>
            <w:r>
              <w:rPr>
                <w:rStyle w:val="SCCLsocChar"/>
                <w:sz w:val="20"/>
                <w:szCs w:val="20"/>
                <w:lang w:val="en-CA"/>
              </w:rPr>
              <w:t xml:space="preserve"> and</w:t>
            </w:r>
            <w:r w:rsidRPr="008E61D2">
              <w:rPr>
                <w:rStyle w:val="SCCLsocChar"/>
                <w:sz w:val="20"/>
                <w:szCs w:val="20"/>
                <w:lang w:val="en-CA"/>
              </w:rPr>
              <w:t xml:space="preserve"> Registrar of Trade-Marks</w:t>
            </w:r>
            <w:r w:rsidRPr="008E61D2">
              <w:rPr>
                <w:sz w:val="20"/>
                <w:szCs w:val="20"/>
              </w:rPr>
              <w:t xml:space="preserve"> (F.C.) (Civil) (By Leave)</w:t>
            </w:r>
          </w:p>
          <w:p w:rsidR="008E61D2" w:rsidRPr="008E61D2" w:rsidRDefault="008E61D2" w:rsidP="006B3BA7">
            <w:pPr>
              <w:rPr>
                <w:sz w:val="20"/>
                <w:szCs w:val="20"/>
              </w:rPr>
            </w:pPr>
          </w:p>
        </w:tc>
      </w:tr>
      <w:tr w:rsidR="008E61D2" w:rsidRPr="008E61D2" w:rsidTr="006B3BA7">
        <w:trPr>
          <w:cantSplit/>
        </w:trPr>
        <w:tc>
          <w:tcPr>
            <w:tcW w:w="1458" w:type="dxa"/>
          </w:tcPr>
          <w:p w:rsidR="008E61D2" w:rsidRPr="008E61D2" w:rsidRDefault="008E61D2" w:rsidP="006B3BA7">
            <w:pPr>
              <w:rPr>
                <w:sz w:val="20"/>
                <w:szCs w:val="20"/>
              </w:rPr>
            </w:pPr>
            <w:r w:rsidRPr="008E61D2">
              <w:rPr>
                <w:sz w:val="20"/>
                <w:szCs w:val="20"/>
              </w:rPr>
              <w:t>Coram :</w:t>
            </w:r>
          </w:p>
        </w:tc>
        <w:tc>
          <w:tcPr>
            <w:tcW w:w="8118" w:type="dxa"/>
          </w:tcPr>
          <w:p w:rsidR="008E61D2" w:rsidRPr="008E61D2" w:rsidRDefault="008E61D2" w:rsidP="006B3BA7">
            <w:pPr>
              <w:rPr>
                <w:sz w:val="20"/>
                <w:szCs w:val="20"/>
              </w:rPr>
            </w:pPr>
            <w:r w:rsidRPr="008E61D2">
              <w:rPr>
                <w:rStyle w:val="SCCCoramChar"/>
                <w:sz w:val="20"/>
                <w:szCs w:val="20"/>
                <w:lang w:val="en-CA"/>
              </w:rPr>
              <w:t>Fish, Rothstein and Karakatsanis JJ.</w:t>
            </w:r>
          </w:p>
          <w:p w:rsidR="008E61D2" w:rsidRPr="008E61D2" w:rsidRDefault="008E61D2" w:rsidP="006B3BA7">
            <w:pPr>
              <w:rPr>
                <w:sz w:val="20"/>
                <w:szCs w:val="20"/>
                <w:u w:val="single"/>
              </w:rPr>
            </w:pPr>
          </w:p>
        </w:tc>
      </w:tr>
      <w:tr w:rsidR="008E61D2" w:rsidRPr="005571F9" w:rsidTr="006B3BA7">
        <w:trPr>
          <w:cantSplit/>
        </w:trPr>
        <w:tc>
          <w:tcPr>
            <w:tcW w:w="9576" w:type="dxa"/>
            <w:gridSpan w:val="2"/>
          </w:tcPr>
          <w:p w:rsidR="008E61D2" w:rsidRPr="008E61D2" w:rsidRDefault="008E61D2" w:rsidP="006B3BA7">
            <w:pPr>
              <w:pStyle w:val="SCCShortJudgment"/>
              <w:rPr>
                <w:szCs w:val="20"/>
              </w:rPr>
            </w:pPr>
            <w:r w:rsidRPr="008E61D2">
              <w:rPr>
                <w:szCs w:val="20"/>
              </w:rPr>
              <w:t>The application for leave to appeal from the judgment of the Federal Court of Appeal, Number A-357-11, 2012 FCA 131, dated April 27, 2012, is dismissed with costs to the respondent Spirits International B.V.</w:t>
            </w:r>
          </w:p>
          <w:p w:rsidR="008E61D2" w:rsidRPr="008E61D2" w:rsidRDefault="008E61D2" w:rsidP="006B3BA7">
            <w:pPr>
              <w:pStyle w:val="SCCShortJudgment"/>
              <w:ind w:firstLine="0"/>
              <w:rPr>
                <w:szCs w:val="20"/>
              </w:rPr>
            </w:pPr>
          </w:p>
          <w:p w:rsidR="008E61D2" w:rsidRPr="008E61D2" w:rsidRDefault="008E61D2" w:rsidP="006B3BA7">
            <w:pPr>
              <w:pStyle w:val="SCCShortJudgment"/>
              <w:rPr>
                <w:szCs w:val="20"/>
                <w:lang w:val="fr-CA"/>
              </w:rPr>
            </w:pPr>
            <w:r w:rsidRPr="008E61D2">
              <w:rPr>
                <w:szCs w:val="20"/>
                <w:lang w:val="fr-CA"/>
              </w:rPr>
              <w:t>La demande d’autorisation d’appel de l’arrêt de la Cour d’appel fédérale, numéro A-357-11, 2012 CAF 131, daté du 27 avril 2012, est rejetée avec dépens en faveur de l’intimée Spirits International B.V.</w:t>
            </w:r>
          </w:p>
        </w:tc>
      </w:tr>
    </w:tbl>
    <w:p w:rsidR="00FA1074" w:rsidRPr="008E61D2"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22A6" w:rsidRPr="00554DB2" w:rsidTr="00266477">
        <w:tc>
          <w:tcPr>
            <w:tcW w:w="5000" w:type="pct"/>
            <w:gridSpan w:val="3"/>
          </w:tcPr>
          <w:p w:rsidR="00C022A6" w:rsidRPr="00554DB2" w:rsidRDefault="00C022A6" w:rsidP="00266477">
            <w:pPr>
              <w:jc w:val="both"/>
              <w:rPr>
                <w:sz w:val="20"/>
              </w:rPr>
            </w:pPr>
            <w:r w:rsidRPr="00554DB2">
              <w:rPr>
                <w:sz w:val="20"/>
              </w:rPr>
              <w:t>Intellectual property — Trade</w:t>
            </w:r>
            <w:r w:rsidRPr="00554DB2">
              <w:rPr>
                <w:sz w:val="20"/>
              </w:rPr>
              <w:noBreakHyphen/>
              <w:t>marks — Expungement — Registrar of trade</w:t>
            </w:r>
            <w:r w:rsidRPr="00554DB2">
              <w:rPr>
                <w:sz w:val="20"/>
              </w:rPr>
              <w:noBreakHyphen/>
              <w:t>marks expunging Respondent’s trade</w:t>
            </w:r>
            <w:r w:rsidRPr="00554DB2">
              <w:rPr>
                <w:sz w:val="20"/>
              </w:rPr>
              <w:noBreakHyphen/>
              <w:t xml:space="preserve">mark from the register under s. 45 of </w:t>
            </w:r>
            <w:r w:rsidRPr="00554DB2">
              <w:rPr>
                <w:i/>
                <w:sz w:val="20"/>
              </w:rPr>
              <w:t>Trade</w:t>
            </w:r>
            <w:r w:rsidRPr="00554DB2">
              <w:rPr>
                <w:i/>
                <w:sz w:val="20"/>
              </w:rPr>
              <w:noBreakHyphen/>
              <w:t>Marks Act</w:t>
            </w:r>
            <w:r w:rsidRPr="00554DB2">
              <w:rPr>
                <w:sz w:val="20"/>
              </w:rPr>
              <w:t>, R.S.C. 1985, c. T</w:t>
            </w:r>
            <w:r w:rsidRPr="00554DB2">
              <w:rPr>
                <w:sz w:val="20"/>
              </w:rPr>
              <w:noBreakHyphen/>
              <w:t>13 — What is the burden of proof to be discharged by a registered trade</w:t>
            </w:r>
            <w:r w:rsidRPr="00554DB2">
              <w:rPr>
                <w:sz w:val="20"/>
              </w:rPr>
              <w:noBreakHyphen/>
              <w:t xml:space="preserve">mark owner responding to a s. 45 notice issued by the Registrar? — Whether deficiencies or ambiguities in the evidence submitted by a registered owner in support of its registration should be resolved in favour of or against the registered owner — What is the scope of issues that may be determined in </w:t>
            </w:r>
            <w:proofErr w:type="gramStart"/>
            <w:r w:rsidRPr="00554DB2">
              <w:rPr>
                <w:sz w:val="20"/>
              </w:rPr>
              <w:t>a</w:t>
            </w:r>
            <w:proofErr w:type="gramEnd"/>
            <w:r w:rsidRPr="00554DB2">
              <w:rPr>
                <w:sz w:val="20"/>
              </w:rPr>
              <w:t xml:space="preserve"> s. 45 case? — Whether and when a reviewing court is required to apply </w:t>
            </w:r>
            <w:proofErr w:type="gramStart"/>
            <w:r w:rsidRPr="00554DB2">
              <w:rPr>
                <w:sz w:val="20"/>
              </w:rPr>
              <w:t>a reasonableness</w:t>
            </w:r>
            <w:proofErr w:type="gramEnd"/>
            <w:r w:rsidRPr="00554DB2">
              <w:rPr>
                <w:sz w:val="20"/>
              </w:rPr>
              <w:t xml:space="preserve"> versus a correctness standard of appellate review to a Registrar’s decision under s. 45 in light of any new evidence submitted on appeal.</w:t>
            </w:r>
          </w:p>
        </w:tc>
      </w:tr>
      <w:tr w:rsidR="00C022A6" w:rsidRPr="00554DB2" w:rsidTr="00266477">
        <w:tc>
          <w:tcPr>
            <w:tcW w:w="5000" w:type="pct"/>
            <w:gridSpan w:val="3"/>
          </w:tcPr>
          <w:p w:rsidR="00C022A6" w:rsidRPr="00554DB2" w:rsidRDefault="00C022A6" w:rsidP="00266477">
            <w:pPr>
              <w:jc w:val="both"/>
              <w:rPr>
                <w:sz w:val="20"/>
              </w:rPr>
            </w:pPr>
          </w:p>
        </w:tc>
      </w:tr>
      <w:tr w:rsidR="00C022A6" w:rsidRPr="00554DB2" w:rsidTr="00266477">
        <w:tc>
          <w:tcPr>
            <w:tcW w:w="5000" w:type="pct"/>
            <w:gridSpan w:val="3"/>
          </w:tcPr>
          <w:p w:rsidR="00C022A6" w:rsidRPr="00554DB2" w:rsidRDefault="00C022A6" w:rsidP="00266477">
            <w:pPr>
              <w:pStyle w:val="loose"/>
              <w:spacing w:before="0"/>
              <w:jc w:val="both"/>
              <w:rPr>
                <w:color w:val="000000"/>
                <w:sz w:val="20"/>
                <w:szCs w:val="20"/>
              </w:rPr>
            </w:pPr>
            <w:r w:rsidRPr="00554DB2">
              <w:rPr>
                <w:color w:val="000000"/>
                <w:sz w:val="20"/>
                <w:szCs w:val="20"/>
              </w:rPr>
              <w:t>In June 2008, at the request of the Applicant, BCF S.E.N.C.R.L. (“BCF”), the Registrar of trade</w:t>
            </w:r>
            <w:r w:rsidRPr="00554DB2">
              <w:rPr>
                <w:color w:val="000000"/>
                <w:sz w:val="20"/>
                <w:szCs w:val="20"/>
              </w:rPr>
              <w:noBreakHyphen/>
              <w:t>marks gave notice to the Respondent, Spirits International B.V. (“Spirits”), requiring it to show that its trade</w:t>
            </w:r>
            <w:r w:rsidRPr="00554DB2">
              <w:rPr>
                <w:color w:val="000000"/>
                <w:sz w:val="20"/>
                <w:szCs w:val="20"/>
              </w:rPr>
              <w:noBreakHyphen/>
              <w:t>mark for a brand of vodka had been used in Canada in the prior three years.  In response, Spirits submitted an affidavit from one of its managers that indicated that the company, defined in his affidavit as including Spirits and affiliated companies, had acquired the trade</w:t>
            </w:r>
            <w:r w:rsidRPr="00554DB2">
              <w:rPr>
                <w:color w:val="000000"/>
                <w:sz w:val="20"/>
                <w:szCs w:val="20"/>
              </w:rPr>
              <w:noBreakHyphen/>
              <w:t>mark from a predecessor in relation to vodka sold in Canada and that it had sold vodka in Canada bearing the trade</w:t>
            </w:r>
            <w:r w:rsidRPr="00554DB2">
              <w:rPr>
                <w:color w:val="000000"/>
                <w:sz w:val="20"/>
                <w:szCs w:val="20"/>
              </w:rPr>
              <w:noBreakHyphen/>
              <w:t>mark in the past three years.  The Registrar concluded that Spirits had not provided sufficient evidence of control to allow him to conclude that the sales of registered wares in association with the trade</w:t>
            </w:r>
            <w:r w:rsidRPr="00554DB2">
              <w:rPr>
                <w:color w:val="000000"/>
                <w:sz w:val="20"/>
                <w:szCs w:val="20"/>
              </w:rPr>
              <w:noBreakHyphen/>
              <w:t xml:space="preserve">mark by Spirits, or any of the affiliated </w:t>
            </w:r>
            <w:proofErr w:type="gramStart"/>
            <w:r w:rsidRPr="00554DB2">
              <w:rPr>
                <w:color w:val="000000"/>
                <w:sz w:val="20"/>
                <w:szCs w:val="20"/>
              </w:rPr>
              <w:t>companies,</w:t>
            </w:r>
            <w:proofErr w:type="gramEnd"/>
            <w:r w:rsidRPr="00554DB2">
              <w:rPr>
                <w:color w:val="000000"/>
                <w:sz w:val="20"/>
                <w:szCs w:val="20"/>
              </w:rPr>
              <w:t xml:space="preserve"> would enure to Spirits’ benefit.  He ordered that the trade</w:t>
            </w:r>
            <w:r w:rsidRPr="00554DB2">
              <w:rPr>
                <w:color w:val="000000"/>
                <w:sz w:val="20"/>
                <w:szCs w:val="20"/>
              </w:rPr>
              <w:noBreakHyphen/>
              <w:t>mark be expunged. Spirits appealed on the basis that the Registrar erred in finding that the use of the trade</w:t>
            </w:r>
            <w:r w:rsidRPr="00554DB2">
              <w:rPr>
                <w:color w:val="000000"/>
                <w:sz w:val="20"/>
                <w:szCs w:val="20"/>
              </w:rPr>
              <w:noBreakHyphen/>
              <w:t xml:space="preserve">mark by Spirits or its licensee had not been shown.  In support of its appeal, Spirits submitted an additional affidavit that provided more information. </w:t>
            </w:r>
          </w:p>
          <w:p w:rsidR="00C022A6" w:rsidRPr="00554DB2" w:rsidRDefault="00C022A6" w:rsidP="00266477">
            <w:pPr>
              <w:jc w:val="both"/>
              <w:rPr>
                <w:sz w:val="20"/>
              </w:rPr>
            </w:pPr>
          </w:p>
        </w:tc>
      </w:tr>
      <w:tr w:rsidR="00C022A6" w:rsidRPr="00554DB2" w:rsidTr="00266477">
        <w:tc>
          <w:tcPr>
            <w:tcW w:w="2427" w:type="pct"/>
          </w:tcPr>
          <w:p w:rsidR="00C022A6" w:rsidRPr="00554DB2" w:rsidRDefault="00C022A6" w:rsidP="00266477">
            <w:pPr>
              <w:jc w:val="both"/>
              <w:rPr>
                <w:sz w:val="20"/>
              </w:rPr>
            </w:pPr>
            <w:r w:rsidRPr="00554DB2">
              <w:rPr>
                <w:sz w:val="20"/>
              </w:rPr>
              <w:t>June 30, 2011</w:t>
            </w:r>
          </w:p>
          <w:p w:rsidR="00C022A6" w:rsidRPr="00554DB2" w:rsidRDefault="00C022A6" w:rsidP="00266477">
            <w:pPr>
              <w:jc w:val="both"/>
              <w:rPr>
                <w:sz w:val="20"/>
              </w:rPr>
            </w:pPr>
            <w:r w:rsidRPr="00554DB2">
              <w:rPr>
                <w:sz w:val="20"/>
              </w:rPr>
              <w:t>Federal Court</w:t>
            </w:r>
          </w:p>
          <w:p w:rsidR="00C022A6" w:rsidRPr="00554DB2" w:rsidRDefault="00C022A6" w:rsidP="00266477">
            <w:pPr>
              <w:jc w:val="both"/>
              <w:rPr>
                <w:sz w:val="20"/>
              </w:rPr>
            </w:pPr>
            <w:r w:rsidRPr="00554DB2">
              <w:rPr>
                <w:sz w:val="20"/>
              </w:rPr>
              <w:t>(Scott J.)</w:t>
            </w:r>
          </w:p>
          <w:p w:rsidR="00C022A6" w:rsidRPr="00554DB2" w:rsidRDefault="00C022A6" w:rsidP="00266477">
            <w:pPr>
              <w:jc w:val="both"/>
              <w:rPr>
                <w:sz w:val="20"/>
              </w:rPr>
            </w:pPr>
            <w:r w:rsidRPr="00554DB2">
              <w:rPr>
                <w:sz w:val="20"/>
              </w:rPr>
              <w:t xml:space="preserve">2011 FC 805 </w:t>
            </w:r>
          </w:p>
          <w:p w:rsidR="00C022A6" w:rsidRPr="00554DB2" w:rsidRDefault="00C022A6" w:rsidP="00266477">
            <w:pPr>
              <w:jc w:val="both"/>
              <w:rPr>
                <w:sz w:val="20"/>
              </w:rPr>
            </w:pPr>
          </w:p>
        </w:tc>
        <w:tc>
          <w:tcPr>
            <w:tcW w:w="243" w:type="pct"/>
          </w:tcPr>
          <w:p w:rsidR="00C022A6" w:rsidRPr="00554DB2" w:rsidRDefault="00C022A6" w:rsidP="00266477">
            <w:pPr>
              <w:jc w:val="both"/>
              <w:rPr>
                <w:sz w:val="20"/>
              </w:rPr>
            </w:pPr>
          </w:p>
        </w:tc>
        <w:tc>
          <w:tcPr>
            <w:tcW w:w="2330" w:type="pct"/>
          </w:tcPr>
          <w:p w:rsidR="00C022A6" w:rsidRPr="00554DB2" w:rsidRDefault="00C022A6" w:rsidP="00266477">
            <w:pPr>
              <w:jc w:val="both"/>
              <w:rPr>
                <w:sz w:val="20"/>
              </w:rPr>
            </w:pPr>
            <w:r w:rsidRPr="00554DB2">
              <w:rPr>
                <w:sz w:val="20"/>
              </w:rPr>
              <w:t>Respondent’s appeal from expungement order dismissed</w:t>
            </w:r>
          </w:p>
          <w:p w:rsidR="00C022A6" w:rsidRPr="00554DB2" w:rsidRDefault="00C022A6" w:rsidP="00266477">
            <w:pPr>
              <w:jc w:val="both"/>
              <w:rPr>
                <w:sz w:val="20"/>
              </w:rPr>
            </w:pPr>
          </w:p>
        </w:tc>
      </w:tr>
      <w:tr w:rsidR="00C022A6" w:rsidRPr="00554DB2" w:rsidTr="00266477">
        <w:tc>
          <w:tcPr>
            <w:tcW w:w="2427" w:type="pct"/>
          </w:tcPr>
          <w:p w:rsidR="00C022A6" w:rsidRPr="00554DB2" w:rsidRDefault="00C022A6" w:rsidP="00266477">
            <w:pPr>
              <w:jc w:val="both"/>
              <w:rPr>
                <w:sz w:val="20"/>
              </w:rPr>
            </w:pPr>
            <w:r w:rsidRPr="00554DB2">
              <w:rPr>
                <w:sz w:val="20"/>
              </w:rPr>
              <w:t>April 27, 2012</w:t>
            </w:r>
          </w:p>
          <w:p w:rsidR="00C022A6" w:rsidRPr="00554DB2" w:rsidRDefault="00C022A6" w:rsidP="00266477">
            <w:pPr>
              <w:jc w:val="both"/>
              <w:rPr>
                <w:sz w:val="20"/>
              </w:rPr>
            </w:pPr>
            <w:r w:rsidRPr="00554DB2">
              <w:rPr>
                <w:sz w:val="20"/>
              </w:rPr>
              <w:t>Federal Court of Appeal</w:t>
            </w:r>
          </w:p>
          <w:p w:rsidR="00C022A6" w:rsidRPr="00554DB2" w:rsidRDefault="00C022A6" w:rsidP="00266477">
            <w:pPr>
              <w:jc w:val="both"/>
              <w:rPr>
                <w:sz w:val="20"/>
              </w:rPr>
            </w:pPr>
            <w:r w:rsidRPr="00554DB2">
              <w:rPr>
                <w:sz w:val="20"/>
              </w:rPr>
              <w:t>(Evans, Sharlow and Dawson JJ.A.)</w:t>
            </w:r>
          </w:p>
          <w:p w:rsidR="00C022A6" w:rsidRPr="00554DB2" w:rsidRDefault="00C022A6" w:rsidP="00266477">
            <w:pPr>
              <w:jc w:val="both"/>
              <w:rPr>
                <w:sz w:val="20"/>
              </w:rPr>
            </w:pPr>
            <w:r w:rsidRPr="00554DB2">
              <w:rPr>
                <w:sz w:val="20"/>
              </w:rPr>
              <w:t>2012 FCA 131</w:t>
            </w:r>
          </w:p>
          <w:p w:rsidR="00C022A6" w:rsidRPr="00554DB2" w:rsidRDefault="00C022A6" w:rsidP="00266477">
            <w:pPr>
              <w:jc w:val="both"/>
              <w:rPr>
                <w:sz w:val="20"/>
              </w:rPr>
            </w:pPr>
          </w:p>
        </w:tc>
        <w:tc>
          <w:tcPr>
            <w:tcW w:w="243" w:type="pct"/>
          </w:tcPr>
          <w:p w:rsidR="00C022A6" w:rsidRPr="00554DB2" w:rsidRDefault="00C022A6" w:rsidP="00266477">
            <w:pPr>
              <w:jc w:val="both"/>
              <w:rPr>
                <w:sz w:val="20"/>
              </w:rPr>
            </w:pPr>
          </w:p>
        </w:tc>
        <w:tc>
          <w:tcPr>
            <w:tcW w:w="2330" w:type="pct"/>
          </w:tcPr>
          <w:p w:rsidR="00C022A6" w:rsidRPr="00554DB2" w:rsidRDefault="00C022A6" w:rsidP="00266477">
            <w:pPr>
              <w:jc w:val="both"/>
              <w:rPr>
                <w:sz w:val="20"/>
              </w:rPr>
            </w:pPr>
            <w:r w:rsidRPr="00554DB2">
              <w:rPr>
                <w:sz w:val="20"/>
              </w:rPr>
              <w:t xml:space="preserve">Respondent’s appeal allowed </w:t>
            </w:r>
          </w:p>
          <w:p w:rsidR="00C022A6" w:rsidRPr="00554DB2" w:rsidRDefault="00C022A6" w:rsidP="00266477">
            <w:pPr>
              <w:jc w:val="both"/>
              <w:rPr>
                <w:sz w:val="20"/>
              </w:rPr>
            </w:pPr>
          </w:p>
        </w:tc>
      </w:tr>
      <w:tr w:rsidR="00C022A6" w:rsidRPr="00554DB2" w:rsidTr="00266477">
        <w:tc>
          <w:tcPr>
            <w:tcW w:w="2427" w:type="pct"/>
          </w:tcPr>
          <w:p w:rsidR="00C022A6" w:rsidRPr="00554DB2" w:rsidRDefault="00C022A6" w:rsidP="00266477">
            <w:pPr>
              <w:jc w:val="both"/>
              <w:rPr>
                <w:sz w:val="20"/>
              </w:rPr>
            </w:pPr>
            <w:r w:rsidRPr="00554DB2">
              <w:rPr>
                <w:sz w:val="20"/>
              </w:rPr>
              <w:t>June 26, 2012</w:t>
            </w:r>
          </w:p>
          <w:p w:rsidR="00C022A6" w:rsidRPr="00554DB2" w:rsidRDefault="00C022A6" w:rsidP="00266477">
            <w:pPr>
              <w:jc w:val="both"/>
              <w:rPr>
                <w:sz w:val="20"/>
              </w:rPr>
            </w:pPr>
            <w:r w:rsidRPr="00554DB2">
              <w:rPr>
                <w:sz w:val="20"/>
              </w:rPr>
              <w:t>Supreme Court of Canada</w:t>
            </w:r>
          </w:p>
        </w:tc>
        <w:tc>
          <w:tcPr>
            <w:tcW w:w="243" w:type="pct"/>
          </w:tcPr>
          <w:p w:rsidR="00C022A6" w:rsidRPr="00554DB2" w:rsidRDefault="00C022A6" w:rsidP="00266477">
            <w:pPr>
              <w:jc w:val="both"/>
              <w:rPr>
                <w:sz w:val="20"/>
              </w:rPr>
            </w:pPr>
          </w:p>
        </w:tc>
        <w:tc>
          <w:tcPr>
            <w:tcW w:w="2330" w:type="pct"/>
          </w:tcPr>
          <w:p w:rsidR="00C022A6" w:rsidRPr="00554DB2" w:rsidRDefault="00C022A6" w:rsidP="00266477">
            <w:pPr>
              <w:jc w:val="both"/>
              <w:rPr>
                <w:sz w:val="20"/>
              </w:rPr>
            </w:pPr>
            <w:r w:rsidRPr="00554DB2">
              <w:rPr>
                <w:sz w:val="20"/>
              </w:rPr>
              <w:t>Application for leave to appeal filed</w:t>
            </w:r>
          </w:p>
          <w:p w:rsidR="00C022A6" w:rsidRPr="00554DB2" w:rsidRDefault="00C022A6" w:rsidP="00266477">
            <w:pPr>
              <w:jc w:val="both"/>
              <w:rPr>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76"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022A6" w:rsidRPr="005571F9" w:rsidTr="00266477">
        <w:tc>
          <w:tcPr>
            <w:tcW w:w="5000" w:type="pct"/>
            <w:gridSpan w:val="3"/>
          </w:tcPr>
          <w:p w:rsidR="00C022A6" w:rsidRPr="00554DB2" w:rsidRDefault="00C022A6" w:rsidP="00266477">
            <w:pPr>
              <w:jc w:val="both"/>
              <w:rPr>
                <w:sz w:val="20"/>
                <w:lang w:val="fr-CA"/>
              </w:rPr>
            </w:pPr>
            <w:r w:rsidRPr="00554DB2">
              <w:rPr>
                <w:sz w:val="20"/>
                <w:lang w:val="fr-CA"/>
              </w:rPr>
              <w:t>Propriété intellectuelle — Marques de commerce — Radiation — Le registraire des marques de commerce a radié du registre la marque de commerce de l'intimée en vertu de l'art. 45 de la</w:t>
            </w:r>
            <w:r w:rsidRPr="00554DB2">
              <w:rPr>
                <w:i/>
                <w:sz w:val="20"/>
                <w:lang w:val="fr-CA"/>
              </w:rPr>
              <w:t xml:space="preserve"> Loi sur les marques de commerce</w:t>
            </w:r>
            <w:r w:rsidRPr="00554DB2">
              <w:rPr>
                <w:sz w:val="20"/>
                <w:lang w:val="fr-CA"/>
              </w:rPr>
              <w:t>, L.R.C. 1985, ch. T</w:t>
            </w:r>
            <w:r w:rsidRPr="00554DB2">
              <w:rPr>
                <w:sz w:val="20"/>
                <w:lang w:val="fr-CA"/>
              </w:rPr>
              <w:noBreakHyphen/>
              <w:t xml:space="preserve">13 </w:t>
            </w:r>
            <w:r w:rsidRPr="00554DB2">
              <w:rPr>
                <w:i/>
                <w:smallCaps/>
                <w:sz w:val="20"/>
                <w:lang w:val="fr-CA"/>
              </w:rPr>
              <w:t>—</w:t>
            </w:r>
            <w:r w:rsidRPr="00554DB2">
              <w:rPr>
                <w:smallCaps/>
                <w:sz w:val="20"/>
                <w:lang w:val="fr-CA"/>
              </w:rPr>
              <w:t xml:space="preserve"> </w:t>
            </w:r>
            <w:r w:rsidRPr="00554DB2">
              <w:rPr>
                <w:sz w:val="20"/>
                <w:lang w:val="fr-CA"/>
              </w:rPr>
              <w:t xml:space="preserve">Quel est le fardeau de la preuve dont doit s'acquitter le propriétaire d'une marque de commerce déposée en réponse à un avis délivré par le registraire en application de l'art. 45? </w:t>
            </w:r>
            <w:r w:rsidRPr="00554DB2">
              <w:rPr>
                <w:i/>
                <w:smallCaps/>
                <w:sz w:val="20"/>
                <w:lang w:val="fr-CA"/>
              </w:rPr>
              <w:t>—</w:t>
            </w:r>
            <w:r w:rsidRPr="00554DB2">
              <w:rPr>
                <w:smallCaps/>
                <w:sz w:val="20"/>
                <w:lang w:val="fr-CA"/>
              </w:rPr>
              <w:t xml:space="preserve"> </w:t>
            </w:r>
            <w:r w:rsidRPr="00554DB2">
              <w:rPr>
                <w:sz w:val="20"/>
                <w:lang w:val="fr-CA"/>
              </w:rPr>
              <w:t>Les déficiences ou les ambiguïtés dans la preuve présentée par le propriétaire inscrit au soutien de son enregistrement doivent</w:t>
            </w:r>
            <w:r w:rsidRPr="00554DB2">
              <w:rPr>
                <w:sz w:val="20"/>
                <w:lang w:val="fr-CA"/>
              </w:rPr>
              <w:noBreakHyphen/>
              <w:t xml:space="preserve">elles être réglées en faveur ou contre le propriétaire inscrit? </w:t>
            </w:r>
            <w:r w:rsidRPr="00554DB2">
              <w:rPr>
                <w:i/>
                <w:smallCaps/>
                <w:sz w:val="20"/>
                <w:lang w:val="fr-CA"/>
              </w:rPr>
              <w:t>—</w:t>
            </w:r>
            <w:r w:rsidRPr="00554DB2">
              <w:rPr>
                <w:smallCaps/>
                <w:sz w:val="20"/>
                <w:lang w:val="fr-CA"/>
              </w:rPr>
              <w:t xml:space="preserve"> </w:t>
            </w:r>
            <w:r w:rsidRPr="00554DB2">
              <w:rPr>
                <w:sz w:val="20"/>
                <w:lang w:val="fr-CA"/>
              </w:rPr>
              <w:t xml:space="preserve">Quelle est la portée des questions qui peuvent être tranchées dans une affaire fondée sur l'art. 45? </w:t>
            </w:r>
            <w:r w:rsidRPr="00554DB2">
              <w:rPr>
                <w:i/>
                <w:smallCaps/>
                <w:sz w:val="20"/>
                <w:lang w:val="fr-CA"/>
              </w:rPr>
              <w:t>—</w:t>
            </w:r>
            <w:r w:rsidRPr="00554DB2">
              <w:rPr>
                <w:smallCaps/>
                <w:sz w:val="20"/>
                <w:lang w:val="fr-CA"/>
              </w:rPr>
              <w:t xml:space="preserve"> </w:t>
            </w:r>
            <w:r w:rsidRPr="00554DB2">
              <w:rPr>
                <w:sz w:val="20"/>
                <w:lang w:val="fr-CA"/>
              </w:rPr>
              <w:t>Une cour de révision est</w:t>
            </w:r>
            <w:r w:rsidRPr="00554DB2">
              <w:rPr>
                <w:sz w:val="20"/>
                <w:lang w:val="fr-CA"/>
              </w:rPr>
              <w:noBreakHyphen/>
              <w:t>elle tenue d'appliquer la norme de la révision en appel de la décision raisonnable plutôt que la norme de la décision correcte à une décision du registraire en application de l'art. 45 à la lumière de nouveaux éléments de preuve présentés en appel?</w:t>
            </w:r>
          </w:p>
        </w:tc>
      </w:tr>
      <w:tr w:rsidR="00C022A6" w:rsidRPr="005571F9" w:rsidTr="00266477">
        <w:tc>
          <w:tcPr>
            <w:tcW w:w="5000" w:type="pct"/>
            <w:gridSpan w:val="3"/>
          </w:tcPr>
          <w:p w:rsidR="00C022A6" w:rsidRPr="00554DB2" w:rsidRDefault="00C022A6" w:rsidP="00266477">
            <w:pPr>
              <w:jc w:val="both"/>
              <w:rPr>
                <w:sz w:val="20"/>
                <w:lang w:val="fr-CA"/>
              </w:rPr>
            </w:pPr>
          </w:p>
        </w:tc>
      </w:tr>
      <w:tr w:rsidR="00C022A6" w:rsidRPr="005571F9" w:rsidTr="00266477">
        <w:tc>
          <w:tcPr>
            <w:tcW w:w="5000" w:type="pct"/>
            <w:gridSpan w:val="3"/>
          </w:tcPr>
          <w:p w:rsidR="00C022A6" w:rsidRPr="00554DB2" w:rsidRDefault="00C022A6" w:rsidP="00266477">
            <w:pPr>
              <w:pStyle w:val="loose"/>
              <w:spacing w:before="0"/>
              <w:jc w:val="both"/>
              <w:rPr>
                <w:color w:val="000000"/>
                <w:sz w:val="20"/>
                <w:szCs w:val="20"/>
                <w:lang w:val="fr-CA"/>
              </w:rPr>
            </w:pPr>
            <w:r w:rsidRPr="00554DB2">
              <w:rPr>
                <w:color w:val="000000"/>
                <w:sz w:val="20"/>
                <w:szCs w:val="20"/>
                <w:lang w:val="fr-CA"/>
              </w:rPr>
              <w:t xml:space="preserve">En juin 2008, à la demande de la demanderesse, BCF S.E.N.C.R.L. (« BCF »), le registraire des marques de commerce a donné un avis à l'intimée, Spirits International B.V. (« Spirits »), lui enjoignant de montrer que sa marque de commerce pour une marque de vodka avait été employée au Canada pendant les trois années précédentes.  En réponse, Spirits a présenté un affidavit d'un de ses directeurs qui indiquait que la compagnie, définie dans son affidavit comme comprenant Spirits et ses sociétés affiliées, avait acquis la marque de commerce d'une société remplacée en liaison avec de la vodka vendue au Canada et qu'elle avait vendu de la vodka au Canada portant la marque de commerce au cours des trois dernières années.  Le registraire a conclu que Spirits n’avait pas fourni suffisamment d’éléments de preuve au sujet du contrôle pour lui permettre de conclure que les ventes des marchandises visées par l’enregistrement en liaison avec la marque de commerce par Spirits, ou par l’une des sociétés affiliées, profiteraient à Spirits.  Il a ordonné la radiation de la marque de commerce. Spirits a interjeté appel, plaidant que le registraire avait eu tort de conclure que l'emploi de la marque de commerce par Spirits ou sa licenciée n'avait pas été prouvée.  Au soutien de son appel, Spirits a présenté un autre affidavit qui renfermait des renseignements supplémentaires. </w:t>
            </w:r>
          </w:p>
          <w:p w:rsidR="00C022A6" w:rsidRPr="00554DB2" w:rsidRDefault="00C022A6" w:rsidP="00266477">
            <w:pPr>
              <w:jc w:val="both"/>
              <w:rPr>
                <w:sz w:val="20"/>
                <w:lang w:val="fr-CA"/>
              </w:rPr>
            </w:pPr>
          </w:p>
        </w:tc>
      </w:tr>
      <w:tr w:rsidR="00C022A6" w:rsidRPr="005571F9" w:rsidTr="00AC492E">
        <w:trPr>
          <w:cantSplit/>
        </w:trPr>
        <w:tc>
          <w:tcPr>
            <w:tcW w:w="2427" w:type="pct"/>
          </w:tcPr>
          <w:p w:rsidR="00C022A6" w:rsidRPr="00554DB2" w:rsidRDefault="00C022A6" w:rsidP="00266477">
            <w:pPr>
              <w:jc w:val="both"/>
              <w:rPr>
                <w:sz w:val="20"/>
                <w:lang w:val="fr-CA"/>
              </w:rPr>
            </w:pPr>
            <w:r w:rsidRPr="00554DB2">
              <w:rPr>
                <w:sz w:val="20"/>
                <w:lang w:val="fr-CA"/>
              </w:rPr>
              <w:t>30 juin 2011</w:t>
            </w:r>
          </w:p>
          <w:p w:rsidR="00C022A6" w:rsidRPr="00554DB2" w:rsidRDefault="00C022A6" w:rsidP="00266477">
            <w:pPr>
              <w:jc w:val="both"/>
              <w:rPr>
                <w:sz w:val="20"/>
                <w:lang w:val="fr-CA"/>
              </w:rPr>
            </w:pPr>
            <w:r w:rsidRPr="00554DB2">
              <w:rPr>
                <w:sz w:val="20"/>
                <w:lang w:val="fr-CA"/>
              </w:rPr>
              <w:t xml:space="preserve">Cour fédérale </w:t>
            </w:r>
          </w:p>
          <w:p w:rsidR="00C022A6" w:rsidRPr="00554DB2" w:rsidRDefault="00C022A6" w:rsidP="00266477">
            <w:pPr>
              <w:jc w:val="both"/>
              <w:rPr>
                <w:sz w:val="20"/>
                <w:lang w:val="fr-CA"/>
              </w:rPr>
            </w:pPr>
            <w:r w:rsidRPr="00554DB2">
              <w:rPr>
                <w:sz w:val="20"/>
                <w:lang w:val="fr-CA"/>
              </w:rPr>
              <w:t>(Juge Scott)</w:t>
            </w:r>
          </w:p>
          <w:p w:rsidR="00C022A6" w:rsidRPr="00554DB2" w:rsidRDefault="00C022A6" w:rsidP="00266477">
            <w:pPr>
              <w:jc w:val="both"/>
              <w:rPr>
                <w:sz w:val="20"/>
                <w:lang w:val="fr-CA"/>
              </w:rPr>
            </w:pPr>
            <w:r w:rsidRPr="00554DB2">
              <w:rPr>
                <w:sz w:val="20"/>
                <w:lang w:val="fr-CA"/>
              </w:rPr>
              <w:t xml:space="preserve">2011 FC 805 </w:t>
            </w:r>
          </w:p>
          <w:p w:rsidR="00C022A6" w:rsidRPr="00554DB2" w:rsidRDefault="00C022A6" w:rsidP="00266477">
            <w:pPr>
              <w:jc w:val="both"/>
              <w:rPr>
                <w:sz w:val="20"/>
                <w:lang w:val="fr-CA"/>
              </w:rPr>
            </w:pPr>
          </w:p>
        </w:tc>
        <w:tc>
          <w:tcPr>
            <w:tcW w:w="243" w:type="pct"/>
          </w:tcPr>
          <w:p w:rsidR="00C022A6" w:rsidRPr="00554DB2" w:rsidRDefault="00C022A6" w:rsidP="00266477">
            <w:pPr>
              <w:jc w:val="both"/>
              <w:rPr>
                <w:sz w:val="20"/>
                <w:lang w:val="fr-CA"/>
              </w:rPr>
            </w:pPr>
          </w:p>
        </w:tc>
        <w:tc>
          <w:tcPr>
            <w:tcW w:w="2330" w:type="pct"/>
          </w:tcPr>
          <w:p w:rsidR="00C022A6" w:rsidRPr="00554DB2" w:rsidRDefault="00C022A6" w:rsidP="00266477">
            <w:pPr>
              <w:jc w:val="both"/>
              <w:rPr>
                <w:sz w:val="20"/>
                <w:lang w:val="fr-CA"/>
              </w:rPr>
            </w:pPr>
            <w:r w:rsidRPr="00554DB2">
              <w:rPr>
                <w:sz w:val="20"/>
                <w:lang w:val="fr-CA"/>
              </w:rPr>
              <w:t>Appel de l'ordonnance de radiation interjeté par l'intimée, rejeté</w:t>
            </w:r>
          </w:p>
          <w:p w:rsidR="00C022A6" w:rsidRPr="00554DB2" w:rsidRDefault="00C022A6" w:rsidP="00266477">
            <w:pPr>
              <w:jc w:val="both"/>
              <w:rPr>
                <w:sz w:val="20"/>
                <w:lang w:val="fr-CA"/>
              </w:rPr>
            </w:pPr>
          </w:p>
        </w:tc>
      </w:tr>
      <w:tr w:rsidR="00C022A6" w:rsidRPr="00554DB2" w:rsidTr="00AC492E">
        <w:trPr>
          <w:cantSplit/>
        </w:trPr>
        <w:tc>
          <w:tcPr>
            <w:tcW w:w="2427" w:type="pct"/>
          </w:tcPr>
          <w:p w:rsidR="00C022A6" w:rsidRPr="00554DB2" w:rsidRDefault="00C022A6" w:rsidP="00266477">
            <w:pPr>
              <w:jc w:val="both"/>
              <w:rPr>
                <w:sz w:val="20"/>
                <w:lang w:val="fr-CA"/>
              </w:rPr>
            </w:pPr>
            <w:r w:rsidRPr="00554DB2">
              <w:rPr>
                <w:sz w:val="20"/>
                <w:lang w:val="fr-CA"/>
              </w:rPr>
              <w:t>27 avril 2012</w:t>
            </w:r>
          </w:p>
          <w:p w:rsidR="00C022A6" w:rsidRPr="00554DB2" w:rsidRDefault="00C022A6" w:rsidP="00266477">
            <w:pPr>
              <w:jc w:val="both"/>
              <w:rPr>
                <w:sz w:val="20"/>
                <w:lang w:val="fr-CA"/>
              </w:rPr>
            </w:pPr>
            <w:r w:rsidRPr="00554DB2">
              <w:rPr>
                <w:sz w:val="20"/>
                <w:lang w:val="fr-CA"/>
              </w:rPr>
              <w:t xml:space="preserve">Cour d'appel fédérale </w:t>
            </w:r>
          </w:p>
          <w:p w:rsidR="00C022A6" w:rsidRPr="00554DB2" w:rsidRDefault="00C022A6" w:rsidP="00266477">
            <w:pPr>
              <w:jc w:val="both"/>
              <w:rPr>
                <w:sz w:val="20"/>
                <w:lang w:val="fr-CA"/>
              </w:rPr>
            </w:pPr>
            <w:r w:rsidRPr="00554DB2">
              <w:rPr>
                <w:sz w:val="20"/>
                <w:lang w:val="fr-CA"/>
              </w:rPr>
              <w:t>(Juges Evans, Sharlow et Dawson)</w:t>
            </w:r>
          </w:p>
          <w:p w:rsidR="00C022A6" w:rsidRPr="00554DB2" w:rsidRDefault="00C022A6" w:rsidP="00266477">
            <w:pPr>
              <w:jc w:val="both"/>
              <w:rPr>
                <w:sz w:val="20"/>
                <w:lang w:val="fr-CA"/>
              </w:rPr>
            </w:pPr>
            <w:r w:rsidRPr="00554DB2">
              <w:rPr>
                <w:sz w:val="20"/>
                <w:lang w:val="fr-CA"/>
              </w:rPr>
              <w:t>2012 FCA 131</w:t>
            </w:r>
          </w:p>
          <w:p w:rsidR="00C022A6" w:rsidRPr="00554DB2" w:rsidRDefault="00C022A6" w:rsidP="00266477">
            <w:pPr>
              <w:jc w:val="both"/>
              <w:rPr>
                <w:sz w:val="20"/>
                <w:lang w:val="fr-CA"/>
              </w:rPr>
            </w:pPr>
          </w:p>
        </w:tc>
        <w:tc>
          <w:tcPr>
            <w:tcW w:w="243" w:type="pct"/>
          </w:tcPr>
          <w:p w:rsidR="00C022A6" w:rsidRPr="00554DB2" w:rsidRDefault="00C022A6" w:rsidP="00266477">
            <w:pPr>
              <w:jc w:val="both"/>
              <w:rPr>
                <w:sz w:val="20"/>
                <w:lang w:val="fr-CA"/>
              </w:rPr>
            </w:pPr>
          </w:p>
        </w:tc>
        <w:tc>
          <w:tcPr>
            <w:tcW w:w="2330" w:type="pct"/>
          </w:tcPr>
          <w:p w:rsidR="00C022A6" w:rsidRPr="00554DB2" w:rsidRDefault="00C022A6" w:rsidP="00266477">
            <w:pPr>
              <w:jc w:val="both"/>
              <w:rPr>
                <w:sz w:val="20"/>
                <w:lang w:val="fr-CA"/>
              </w:rPr>
            </w:pPr>
            <w:r w:rsidRPr="00554DB2">
              <w:rPr>
                <w:sz w:val="20"/>
                <w:lang w:val="fr-CA"/>
              </w:rPr>
              <w:t>Appel de l'intimée, accueilli</w:t>
            </w:r>
          </w:p>
          <w:p w:rsidR="00C022A6" w:rsidRPr="00554DB2" w:rsidRDefault="00C022A6" w:rsidP="00266477">
            <w:pPr>
              <w:jc w:val="both"/>
              <w:rPr>
                <w:sz w:val="20"/>
                <w:lang w:val="fr-CA"/>
              </w:rPr>
            </w:pPr>
          </w:p>
        </w:tc>
      </w:tr>
      <w:tr w:rsidR="00C022A6" w:rsidRPr="00554DB2" w:rsidTr="00AC492E">
        <w:trPr>
          <w:cantSplit/>
        </w:trPr>
        <w:tc>
          <w:tcPr>
            <w:tcW w:w="2427" w:type="pct"/>
          </w:tcPr>
          <w:p w:rsidR="00C022A6" w:rsidRPr="00554DB2" w:rsidRDefault="00C022A6" w:rsidP="00266477">
            <w:pPr>
              <w:jc w:val="both"/>
              <w:rPr>
                <w:sz w:val="20"/>
                <w:lang w:val="fr-CA"/>
              </w:rPr>
            </w:pPr>
            <w:r w:rsidRPr="00554DB2">
              <w:rPr>
                <w:sz w:val="20"/>
                <w:lang w:val="fr-CA"/>
              </w:rPr>
              <w:t>26 juin 2012</w:t>
            </w:r>
          </w:p>
          <w:p w:rsidR="00C022A6" w:rsidRPr="00554DB2" w:rsidRDefault="00C022A6" w:rsidP="00266477">
            <w:pPr>
              <w:jc w:val="both"/>
              <w:rPr>
                <w:sz w:val="20"/>
                <w:lang w:val="fr-CA"/>
              </w:rPr>
            </w:pPr>
            <w:r w:rsidRPr="00554DB2">
              <w:rPr>
                <w:sz w:val="20"/>
                <w:lang w:val="fr-CA"/>
              </w:rPr>
              <w:t>Cour suprême du Canada</w:t>
            </w:r>
          </w:p>
        </w:tc>
        <w:tc>
          <w:tcPr>
            <w:tcW w:w="243" w:type="pct"/>
          </w:tcPr>
          <w:p w:rsidR="00C022A6" w:rsidRPr="00554DB2" w:rsidRDefault="00C022A6" w:rsidP="00266477">
            <w:pPr>
              <w:jc w:val="both"/>
              <w:rPr>
                <w:sz w:val="20"/>
                <w:lang w:val="fr-CA"/>
              </w:rPr>
            </w:pPr>
          </w:p>
        </w:tc>
        <w:tc>
          <w:tcPr>
            <w:tcW w:w="2330" w:type="pct"/>
          </w:tcPr>
          <w:p w:rsidR="00C022A6" w:rsidRPr="00554DB2" w:rsidRDefault="00C022A6" w:rsidP="00266477">
            <w:pPr>
              <w:jc w:val="both"/>
              <w:rPr>
                <w:sz w:val="20"/>
                <w:lang w:val="fr-CA"/>
              </w:rPr>
            </w:pPr>
            <w:r w:rsidRPr="00554DB2">
              <w:rPr>
                <w:sz w:val="20"/>
                <w:lang w:val="fr-CA"/>
              </w:rPr>
              <w:t>Demande d'autorisation d'appel, déposée</w:t>
            </w: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77"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492E" w:rsidRPr="005571F9" w:rsidTr="006B3BA7">
        <w:trPr>
          <w:cantSplit/>
        </w:trPr>
        <w:tc>
          <w:tcPr>
            <w:tcW w:w="1458" w:type="dxa"/>
          </w:tcPr>
          <w:p w:rsidR="00AC492E" w:rsidRPr="00E05D03" w:rsidRDefault="00AC492E" w:rsidP="006B3BA7">
            <w:pPr>
              <w:rPr>
                <w:sz w:val="20"/>
                <w:szCs w:val="20"/>
              </w:rPr>
            </w:pPr>
            <w:r w:rsidRPr="00E05D03">
              <w:rPr>
                <w:rStyle w:val="SCCFileNumberChar"/>
                <w:sz w:val="20"/>
                <w:szCs w:val="20"/>
              </w:rPr>
              <w:t>34893</w:t>
            </w:r>
          </w:p>
          <w:p w:rsidR="00AC492E" w:rsidRPr="00E05D03" w:rsidRDefault="00AC492E" w:rsidP="006B3BA7">
            <w:pPr>
              <w:rPr>
                <w:b/>
                <w:sz w:val="20"/>
                <w:szCs w:val="20"/>
                <w:lang w:val="fr-CA"/>
              </w:rPr>
            </w:pPr>
          </w:p>
        </w:tc>
        <w:tc>
          <w:tcPr>
            <w:tcW w:w="8118" w:type="dxa"/>
          </w:tcPr>
          <w:p w:rsidR="00AC492E" w:rsidRPr="00E05D03" w:rsidRDefault="00AC492E" w:rsidP="006B3BA7">
            <w:pPr>
              <w:jc w:val="both"/>
              <w:rPr>
                <w:sz w:val="20"/>
                <w:szCs w:val="20"/>
                <w:lang w:val="fr-CA"/>
              </w:rPr>
            </w:pPr>
            <w:r w:rsidRPr="00E05D03">
              <w:rPr>
                <w:rStyle w:val="SCCLsocChar"/>
                <w:sz w:val="20"/>
                <w:szCs w:val="20"/>
              </w:rPr>
              <w:t>Ordre des chimistes du Québec c. Biomedco Services Inc.</w:t>
            </w:r>
            <w:r>
              <w:rPr>
                <w:rStyle w:val="SCCLsocChar"/>
                <w:sz w:val="20"/>
                <w:szCs w:val="20"/>
              </w:rPr>
              <w:t xml:space="preserve"> et</w:t>
            </w:r>
            <w:r w:rsidRPr="00E05D03">
              <w:rPr>
                <w:rStyle w:val="SCCLsocChar"/>
                <w:sz w:val="20"/>
                <w:szCs w:val="20"/>
              </w:rPr>
              <w:t xml:space="preserve"> Drasko Pekovic</w:t>
            </w:r>
            <w:r w:rsidRPr="00E05D03">
              <w:rPr>
                <w:sz w:val="20"/>
                <w:szCs w:val="20"/>
                <w:lang w:val="fr-CA"/>
              </w:rPr>
              <w:t xml:space="preserve"> (Qc) (Civile) (Autorisation)</w:t>
            </w:r>
          </w:p>
          <w:p w:rsidR="00AC492E" w:rsidRPr="00E05D03" w:rsidRDefault="00AC492E" w:rsidP="006B3BA7">
            <w:pPr>
              <w:rPr>
                <w:sz w:val="20"/>
                <w:szCs w:val="20"/>
                <w:lang w:val="fr-CA"/>
              </w:rPr>
            </w:pPr>
          </w:p>
        </w:tc>
      </w:tr>
      <w:tr w:rsidR="00AC492E" w:rsidRPr="005571F9" w:rsidTr="006B3BA7">
        <w:trPr>
          <w:cantSplit/>
        </w:trPr>
        <w:tc>
          <w:tcPr>
            <w:tcW w:w="1458" w:type="dxa"/>
          </w:tcPr>
          <w:p w:rsidR="00AC492E" w:rsidRPr="00AC492E" w:rsidRDefault="00AC492E" w:rsidP="006B3BA7">
            <w:pPr>
              <w:rPr>
                <w:sz w:val="20"/>
                <w:szCs w:val="20"/>
                <w:lang w:val="fr-CA"/>
              </w:rPr>
            </w:pPr>
            <w:r w:rsidRPr="00AC492E">
              <w:rPr>
                <w:sz w:val="20"/>
                <w:szCs w:val="20"/>
                <w:lang w:val="fr-CA"/>
              </w:rPr>
              <w:t>Coram :</w:t>
            </w:r>
          </w:p>
        </w:tc>
        <w:tc>
          <w:tcPr>
            <w:tcW w:w="8118" w:type="dxa"/>
          </w:tcPr>
          <w:p w:rsidR="00AC492E" w:rsidRPr="00E05D03" w:rsidRDefault="00AC492E" w:rsidP="006B3BA7">
            <w:pPr>
              <w:rPr>
                <w:sz w:val="20"/>
                <w:szCs w:val="20"/>
                <w:lang w:val="fr-CA"/>
              </w:rPr>
            </w:pPr>
            <w:r w:rsidRPr="00E05D03">
              <w:rPr>
                <w:rStyle w:val="SCCCoramChar"/>
                <w:sz w:val="20"/>
                <w:szCs w:val="20"/>
              </w:rPr>
              <w:t>Les juges LeBel, Fish et Karakatsanis</w:t>
            </w:r>
          </w:p>
          <w:p w:rsidR="00AC492E" w:rsidRPr="00E05D03" w:rsidRDefault="00AC492E" w:rsidP="006B3BA7">
            <w:pPr>
              <w:rPr>
                <w:sz w:val="20"/>
                <w:szCs w:val="20"/>
                <w:u w:val="single"/>
                <w:lang w:val="fr-CA"/>
              </w:rPr>
            </w:pPr>
          </w:p>
        </w:tc>
      </w:tr>
      <w:tr w:rsidR="00AC492E" w:rsidRPr="00E05D03" w:rsidTr="006B3BA7">
        <w:trPr>
          <w:cantSplit/>
        </w:trPr>
        <w:tc>
          <w:tcPr>
            <w:tcW w:w="9576" w:type="dxa"/>
            <w:gridSpan w:val="2"/>
          </w:tcPr>
          <w:p w:rsidR="00AC492E" w:rsidRPr="00E05D03" w:rsidRDefault="00AC492E" w:rsidP="006B3BA7">
            <w:pPr>
              <w:pStyle w:val="SCCShortJudgment"/>
              <w:rPr>
                <w:szCs w:val="20"/>
                <w:lang w:val="fr-CA"/>
              </w:rPr>
            </w:pPr>
            <w:r w:rsidRPr="00E05D03">
              <w:rPr>
                <w:szCs w:val="20"/>
                <w:lang w:val="fr-CA"/>
              </w:rPr>
              <w:t>La demande d’autorisation d’appel de l’arrêt de la Cour d’appel du Québec (Montréal), numéro 500-10-004863-112, 2012 QCCA 785, daté du 30 avril 2012, est rejetée sans dépens.</w:t>
            </w:r>
          </w:p>
          <w:p w:rsidR="00AC492E" w:rsidRPr="00E05D03" w:rsidRDefault="00AC492E" w:rsidP="006B3BA7">
            <w:pPr>
              <w:pStyle w:val="SCCShortJudgment"/>
              <w:ind w:firstLine="0"/>
              <w:rPr>
                <w:szCs w:val="20"/>
                <w:lang w:val="fr-CA"/>
              </w:rPr>
            </w:pPr>
          </w:p>
          <w:p w:rsidR="00AC492E" w:rsidRPr="00E05D03" w:rsidRDefault="00AC492E" w:rsidP="006B3BA7">
            <w:pPr>
              <w:pStyle w:val="SCCShortJudgment"/>
              <w:rPr>
                <w:szCs w:val="20"/>
              </w:rPr>
            </w:pPr>
            <w:r w:rsidRPr="00E05D03">
              <w:rPr>
                <w:szCs w:val="20"/>
              </w:rPr>
              <w:t>The application for leave to appeal from the judgment of the Court of Appeal of Quebec (Montréal), Number 500-10-004863-112, 2012 QCCA 785, dated April 30, 2012, is dismissed without costs.</w:t>
            </w:r>
          </w:p>
        </w:tc>
      </w:tr>
    </w:tbl>
    <w:p w:rsidR="00FA1074" w:rsidRDefault="00FA1074" w:rsidP="00FA1074">
      <w:pPr>
        <w:rPr>
          <w:sz w:val="20"/>
          <w:szCs w:val="20"/>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22A6" w:rsidRPr="00554DB2" w:rsidTr="00266477">
        <w:tc>
          <w:tcPr>
            <w:tcW w:w="5000" w:type="pct"/>
            <w:gridSpan w:val="3"/>
          </w:tcPr>
          <w:p w:rsidR="00C022A6" w:rsidRPr="00554DB2" w:rsidRDefault="00C022A6" w:rsidP="00266477">
            <w:pPr>
              <w:shd w:val="clear" w:color="auto" w:fill="FFFFFF"/>
              <w:jc w:val="both"/>
              <w:rPr>
                <w:rFonts w:eastAsia="Calibri"/>
                <w:sz w:val="20"/>
              </w:rPr>
            </w:pPr>
            <w:r w:rsidRPr="00554DB2">
              <w:rPr>
                <w:rFonts w:eastAsia="Calibri"/>
                <w:sz w:val="20"/>
              </w:rPr>
              <w:t xml:space="preserve">Legislation – Interpretation – </w:t>
            </w:r>
            <w:r w:rsidRPr="00554DB2">
              <w:rPr>
                <w:rFonts w:eastAsia="Calibri"/>
                <w:i/>
                <w:sz w:val="20"/>
              </w:rPr>
              <w:t>Professional Chemists Act</w:t>
            </w:r>
            <w:r w:rsidRPr="00554DB2">
              <w:rPr>
                <w:rFonts w:eastAsia="Calibri"/>
                <w:sz w:val="20"/>
              </w:rPr>
              <w:t>, R.S.Q., c. C</w:t>
            </w:r>
            <w:r w:rsidRPr="00554DB2">
              <w:rPr>
                <w:rFonts w:eastAsia="Calibri"/>
                <w:sz w:val="20"/>
              </w:rPr>
              <w:noBreakHyphen/>
              <w:t>15, ss. 1(</w:t>
            </w:r>
            <w:r w:rsidRPr="00554DB2">
              <w:rPr>
                <w:rFonts w:eastAsia="Calibri"/>
                <w:i/>
                <w:sz w:val="20"/>
              </w:rPr>
              <w:t>b</w:t>
            </w:r>
            <w:r w:rsidRPr="00554DB2">
              <w:rPr>
                <w:rFonts w:eastAsia="Calibri"/>
                <w:sz w:val="20"/>
              </w:rPr>
              <w:t>), 1(</w:t>
            </w:r>
            <w:r w:rsidRPr="00554DB2">
              <w:rPr>
                <w:rFonts w:eastAsia="Calibri"/>
                <w:i/>
                <w:sz w:val="20"/>
              </w:rPr>
              <w:t>b</w:t>
            </w:r>
            <w:r w:rsidRPr="00554DB2">
              <w:rPr>
                <w:rFonts w:eastAsia="Calibri"/>
                <w:sz w:val="20"/>
              </w:rPr>
              <w:t xml:space="preserve">) </w:t>
            </w:r>
            <w:r w:rsidRPr="00554DB2">
              <w:rPr>
                <w:rFonts w:eastAsia="Calibri"/>
                <w:i/>
                <w:sz w:val="20"/>
              </w:rPr>
              <w:t>in fine</w:t>
            </w:r>
            <w:r w:rsidRPr="00554DB2">
              <w:rPr>
                <w:rFonts w:eastAsia="Calibri"/>
                <w:sz w:val="20"/>
              </w:rPr>
              <w:t xml:space="preserve"> and 16 – Exception to exclusive right to practise professional chemistry in case of execution of chemical or physical tests based on known methods to determine quality of product or to control manufacturing process – Whether Court of Appeal erred in deciding solely on basis of interpretation sub</w:t>
            </w:r>
            <w:r w:rsidRPr="00554DB2">
              <w:rPr>
                <w:rFonts w:eastAsia="Calibri"/>
                <w:sz w:val="20"/>
              </w:rPr>
              <w:noBreakHyphen/>
              <w:t xml:space="preserve">rules, namely principle for interpreting exception and principle of exception for statute creating monopoly over exercise of profession, and in completely avoiding modern approach to interpretation set out in </w:t>
            </w:r>
            <w:r w:rsidRPr="00554DB2">
              <w:rPr>
                <w:rFonts w:eastAsia="Calibri"/>
                <w:i/>
                <w:sz w:val="20"/>
              </w:rPr>
              <w:t>Bell ExpressVu Limited Partnership v. Rex</w:t>
            </w:r>
            <w:r w:rsidRPr="00554DB2">
              <w:rPr>
                <w:rFonts w:eastAsia="Calibri"/>
                <w:sz w:val="20"/>
              </w:rPr>
              <w:t>, [2002] 2 S.C.R. 559, 2002 SCC 42 – Whether Court of Appeal erred in holding that exception to field of exclusive practice for members of regulated profession must be interpreted broadly and liberally.</w:t>
            </w:r>
          </w:p>
        </w:tc>
      </w:tr>
      <w:tr w:rsidR="00C022A6" w:rsidRPr="00554DB2" w:rsidTr="00266477">
        <w:tc>
          <w:tcPr>
            <w:tcW w:w="5000" w:type="pct"/>
            <w:gridSpan w:val="3"/>
          </w:tcPr>
          <w:p w:rsidR="00C022A6" w:rsidRPr="00554DB2" w:rsidRDefault="00C022A6" w:rsidP="00266477">
            <w:pPr>
              <w:jc w:val="both"/>
              <w:rPr>
                <w:rFonts w:eastAsia="Calibri"/>
                <w:sz w:val="20"/>
              </w:rPr>
            </w:pPr>
          </w:p>
        </w:tc>
      </w:tr>
      <w:tr w:rsidR="00C022A6" w:rsidRPr="00554DB2" w:rsidTr="00266477">
        <w:tc>
          <w:tcPr>
            <w:tcW w:w="5000" w:type="pct"/>
            <w:gridSpan w:val="3"/>
          </w:tcPr>
          <w:p w:rsidR="00C022A6" w:rsidRPr="00554DB2" w:rsidRDefault="00C022A6" w:rsidP="00266477">
            <w:pPr>
              <w:jc w:val="both"/>
              <w:rPr>
                <w:rFonts w:eastAsia="Calibri"/>
                <w:sz w:val="20"/>
              </w:rPr>
            </w:pPr>
            <w:r w:rsidRPr="00554DB2">
              <w:rPr>
                <w:rFonts w:eastAsia="Calibri"/>
                <w:sz w:val="20"/>
              </w:rPr>
              <w:t xml:space="preserve">The applicant laid charges for unlawful practice of the profession of chemist against the respondents, Drasko Pekovic, a Ph.D. in microbiology, and Biomedco Services Inc., a company of which Mr. Pekovic was the majority shareholder.  As part of the services they offered, the respondents were paid to test the water quality of public pools.  Charges were laid against them on the ground that they had engaged in activities reserved for members of the Ordre des chimistes (“the Order”) under the </w:t>
            </w:r>
            <w:r w:rsidRPr="00554DB2">
              <w:rPr>
                <w:rFonts w:eastAsia="Calibri"/>
                <w:i/>
                <w:sz w:val="20"/>
              </w:rPr>
              <w:t>Professional Chemists Act</w:t>
            </w:r>
            <w:r w:rsidRPr="00554DB2">
              <w:rPr>
                <w:rFonts w:eastAsia="Calibri"/>
                <w:sz w:val="20"/>
              </w:rPr>
              <w:t>, R.S.Q., c. C</w:t>
            </w:r>
            <w:r w:rsidRPr="00554DB2">
              <w:rPr>
                <w:rFonts w:eastAsia="Calibri"/>
                <w:sz w:val="20"/>
              </w:rPr>
              <w:noBreakHyphen/>
              <w:t>15.  Neither Mr. Pekovic nor his employees were members of the Order</w:t>
            </w:r>
            <w:bookmarkStart w:id="1" w:name="_ftnref2"/>
            <w:r w:rsidRPr="00554DB2">
              <w:rPr>
                <w:rFonts w:eastAsia="Calibri"/>
                <w:sz w:val="20"/>
              </w:rPr>
              <w:t xml:space="preserve">, and the respondents were not </w:t>
            </w:r>
            <w:bookmarkEnd w:id="1"/>
            <w:r w:rsidRPr="00554DB2">
              <w:rPr>
                <w:rFonts w:eastAsia="Calibri"/>
                <w:sz w:val="20"/>
              </w:rPr>
              <w:t>part of the categories of professionals for whom the Act made an exception for the performance of certain activities normally reserved for members of the Order.</w:t>
            </w:r>
          </w:p>
          <w:p w:rsidR="00C022A6" w:rsidRPr="00554DB2" w:rsidRDefault="00C022A6" w:rsidP="00266477">
            <w:pPr>
              <w:jc w:val="both"/>
              <w:rPr>
                <w:rFonts w:eastAsia="Calibri"/>
                <w:sz w:val="20"/>
              </w:rPr>
            </w:pPr>
          </w:p>
        </w:tc>
      </w:tr>
      <w:tr w:rsidR="00C022A6" w:rsidRPr="00554DB2" w:rsidTr="00266477">
        <w:tc>
          <w:tcPr>
            <w:tcW w:w="2427" w:type="pct"/>
          </w:tcPr>
          <w:p w:rsidR="00C022A6" w:rsidRPr="00554DB2" w:rsidRDefault="00C022A6" w:rsidP="00266477">
            <w:pPr>
              <w:jc w:val="both"/>
              <w:rPr>
                <w:rFonts w:eastAsia="Calibri"/>
                <w:sz w:val="20"/>
              </w:rPr>
            </w:pPr>
            <w:r w:rsidRPr="00554DB2">
              <w:rPr>
                <w:rFonts w:eastAsia="Calibri"/>
                <w:sz w:val="20"/>
              </w:rPr>
              <w:t>April 28, 2010</w:t>
            </w:r>
          </w:p>
          <w:p w:rsidR="00C022A6" w:rsidRPr="00554DB2" w:rsidRDefault="00C022A6" w:rsidP="00266477">
            <w:pPr>
              <w:jc w:val="both"/>
              <w:rPr>
                <w:rFonts w:eastAsia="Calibri"/>
                <w:sz w:val="20"/>
              </w:rPr>
            </w:pPr>
            <w:r w:rsidRPr="00554DB2">
              <w:rPr>
                <w:rFonts w:eastAsia="Calibri"/>
                <w:sz w:val="20"/>
              </w:rPr>
              <w:t>Court of Québec</w:t>
            </w:r>
          </w:p>
          <w:p w:rsidR="00C022A6" w:rsidRPr="00554DB2" w:rsidRDefault="00C022A6" w:rsidP="00266477">
            <w:pPr>
              <w:jc w:val="both"/>
              <w:rPr>
                <w:rFonts w:eastAsia="Calibri"/>
                <w:sz w:val="20"/>
              </w:rPr>
            </w:pPr>
            <w:r w:rsidRPr="00554DB2">
              <w:rPr>
                <w:rFonts w:eastAsia="Calibri"/>
                <w:sz w:val="20"/>
              </w:rPr>
              <w:t>(Judge Boyer)</w:t>
            </w:r>
          </w:p>
          <w:p w:rsidR="00C022A6" w:rsidRPr="00554DB2" w:rsidRDefault="00C022A6" w:rsidP="00266477">
            <w:pPr>
              <w:jc w:val="both"/>
              <w:rPr>
                <w:rFonts w:eastAsia="Calibri"/>
                <w:sz w:val="20"/>
              </w:rPr>
            </w:pPr>
            <w:r w:rsidRPr="00554DB2">
              <w:rPr>
                <w:rFonts w:eastAsia="Calibri"/>
                <w:sz w:val="20"/>
              </w:rPr>
              <w:t>No. 500-61-228002-078</w:t>
            </w:r>
          </w:p>
          <w:p w:rsidR="00C022A6" w:rsidRPr="00554DB2" w:rsidRDefault="00C022A6" w:rsidP="00266477">
            <w:pPr>
              <w:jc w:val="both"/>
              <w:rPr>
                <w:rFonts w:eastAsia="Calibri"/>
                <w:sz w:val="20"/>
              </w:rPr>
            </w:pPr>
            <w:r w:rsidRPr="00554DB2">
              <w:rPr>
                <w:rFonts w:eastAsia="Calibri"/>
                <w:sz w:val="20"/>
              </w:rPr>
              <w:t>No. 500-61-228003-076</w:t>
            </w:r>
          </w:p>
          <w:p w:rsidR="00C022A6" w:rsidRPr="00554DB2" w:rsidRDefault="00C022A6" w:rsidP="00266477">
            <w:pPr>
              <w:jc w:val="both"/>
              <w:rPr>
                <w:rFonts w:eastAsia="Calibri"/>
                <w:sz w:val="20"/>
              </w:rPr>
            </w:pPr>
          </w:p>
        </w:tc>
        <w:tc>
          <w:tcPr>
            <w:tcW w:w="243" w:type="pct"/>
          </w:tcPr>
          <w:p w:rsidR="00C022A6" w:rsidRPr="00554DB2" w:rsidRDefault="00C022A6" w:rsidP="00266477">
            <w:pPr>
              <w:jc w:val="both"/>
              <w:rPr>
                <w:rFonts w:eastAsia="Calibri"/>
                <w:sz w:val="20"/>
              </w:rPr>
            </w:pPr>
          </w:p>
        </w:tc>
        <w:tc>
          <w:tcPr>
            <w:tcW w:w="2330" w:type="pct"/>
          </w:tcPr>
          <w:p w:rsidR="00C022A6" w:rsidRPr="00554DB2" w:rsidRDefault="00C022A6" w:rsidP="00266477">
            <w:pPr>
              <w:jc w:val="both"/>
              <w:rPr>
                <w:rFonts w:eastAsia="Calibri"/>
                <w:sz w:val="20"/>
              </w:rPr>
            </w:pPr>
            <w:r w:rsidRPr="00554DB2">
              <w:rPr>
                <w:rFonts w:eastAsia="Calibri"/>
                <w:sz w:val="20"/>
              </w:rPr>
              <w:t>Respondents acquitted of charges relating to unlawful practice of profession</w:t>
            </w:r>
          </w:p>
          <w:p w:rsidR="00C022A6" w:rsidRPr="00554DB2" w:rsidRDefault="00C022A6" w:rsidP="00266477">
            <w:pPr>
              <w:jc w:val="both"/>
              <w:rPr>
                <w:rFonts w:eastAsia="Calibri"/>
                <w:sz w:val="20"/>
              </w:rPr>
            </w:pPr>
          </w:p>
        </w:tc>
      </w:tr>
      <w:tr w:rsidR="00C022A6" w:rsidRPr="00554DB2" w:rsidTr="00266477">
        <w:tc>
          <w:tcPr>
            <w:tcW w:w="2427" w:type="pct"/>
          </w:tcPr>
          <w:p w:rsidR="00C022A6" w:rsidRPr="00554DB2" w:rsidRDefault="00C022A6" w:rsidP="00266477">
            <w:pPr>
              <w:jc w:val="both"/>
              <w:rPr>
                <w:rFonts w:eastAsia="Calibri"/>
                <w:sz w:val="20"/>
              </w:rPr>
            </w:pPr>
            <w:r w:rsidRPr="00554DB2">
              <w:rPr>
                <w:rFonts w:eastAsia="Calibri"/>
                <w:sz w:val="20"/>
              </w:rPr>
              <w:t>January 17, 2011</w:t>
            </w:r>
          </w:p>
          <w:p w:rsidR="00C022A6" w:rsidRPr="00554DB2" w:rsidRDefault="00C022A6" w:rsidP="00266477">
            <w:pPr>
              <w:jc w:val="both"/>
              <w:rPr>
                <w:rFonts w:eastAsia="Calibri"/>
                <w:sz w:val="20"/>
              </w:rPr>
            </w:pPr>
            <w:r w:rsidRPr="00554DB2">
              <w:rPr>
                <w:rFonts w:eastAsia="Calibri"/>
                <w:sz w:val="20"/>
              </w:rPr>
              <w:t>Quebec Superior Court</w:t>
            </w:r>
          </w:p>
          <w:p w:rsidR="00C022A6" w:rsidRPr="00554DB2" w:rsidRDefault="00C022A6" w:rsidP="00266477">
            <w:pPr>
              <w:jc w:val="both"/>
              <w:rPr>
                <w:rFonts w:eastAsia="Calibri"/>
                <w:sz w:val="20"/>
              </w:rPr>
            </w:pPr>
            <w:r w:rsidRPr="00554DB2">
              <w:rPr>
                <w:rFonts w:eastAsia="Calibri"/>
                <w:sz w:val="20"/>
              </w:rPr>
              <w:t>(Charbonneau J.)</w:t>
            </w:r>
          </w:p>
          <w:p w:rsidR="00C022A6" w:rsidRPr="00554DB2" w:rsidRDefault="00C022A6" w:rsidP="00266477">
            <w:pPr>
              <w:jc w:val="both"/>
              <w:rPr>
                <w:rFonts w:eastAsia="Calibri"/>
                <w:sz w:val="20"/>
              </w:rPr>
            </w:pPr>
            <w:r w:rsidRPr="00554DB2">
              <w:rPr>
                <w:rFonts w:eastAsia="Calibri"/>
                <w:sz w:val="20"/>
              </w:rPr>
              <w:t>2011 QCCS 105</w:t>
            </w:r>
          </w:p>
          <w:p w:rsidR="00C022A6" w:rsidRPr="00554DB2" w:rsidRDefault="00C022A6" w:rsidP="00266477">
            <w:pPr>
              <w:jc w:val="both"/>
              <w:rPr>
                <w:rFonts w:eastAsia="Calibri"/>
                <w:sz w:val="20"/>
              </w:rPr>
            </w:pPr>
            <w:r w:rsidRPr="00554DB2">
              <w:rPr>
                <w:rFonts w:eastAsia="Calibri"/>
                <w:sz w:val="20"/>
              </w:rPr>
              <w:t>No. 500-36-005439-107</w:t>
            </w:r>
          </w:p>
          <w:p w:rsidR="00C022A6" w:rsidRPr="00554DB2" w:rsidRDefault="00C022A6" w:rsidP="00266477">
            <w:pPr>
              <w:jc w:val="both"/>
              <w:rPr>
                <w:rFonts w:eastAsia="Calibri"/>
                <w:sz w:val="20"/>
              </w:rPr>
            </w:pPr>
            <w:r w:rsidRPr="00554DB2">
              <w:rPr>
                <w:rFonts w:eastAsia="Calibri"/>
                <w:sz w:val="20"/>
              </w:rPr>
              <w:t>No. 500-61-228002-078</w:t>
            </w:r>
          </w:p>
          <w:p w:rsidR="00C022A6" w:rsidRPr="00554DB2" w:rsidRDefault="00C022A6" w:rsidP="00266477">
            <w:pPr>
              <w:jc w:val="both"/>
              <w:rPr>
                <w:rFonts w:eastAsia="Calibri"/>
                <w:sz w:val="20"/>
              </w:rPr>
            </w:pPr>
            <w:r w:rsidRPr="00554DB2">
              <w:rPr>
                <w:rFonts w:eastAsia="Calibri"/>
                <w:sz w:val="20"/>
              </w:rPr>
              <w:t>No. 500-61-228003-076</w:t>
            </w:r>
          </w:p>
          <w:p w:rsidR="00C022A6" w:rsidRPr="00554DB2" w:rsidRDefault="00C022A6" w:rsidP="00266477">
            <w:pPr>
              <w:jc w:val="both"/>
              <w:rPr>
                <w:rFonts w:eastAsia="Calibri"/>
                <w:sz w:val="20"/>
              </w:rPr>
            </w:pPr>
          </w:p>
        </w:tc>
        <w:tc>
          <w:tcPr>
            <w:tcW w:w="243" w:type="pct"/>
          </w:tcPr>
          <w:p w:rsidR="00C022A6" w:rsidRPr="00554DB2" w:rsidRDefault="00C022A6" w:rsidP="00266477">
            <w:pPr>
              <w:jc w:val="both"/>
              <w:rPr>
                <w:rFonts w:eastAsia="Calibri"/>
                <w:sz w:val="20"/>
              </w:rPr>
            </w:pPr>
          </w:p>
        </w:tc>
        <w:tc>
          <w:tcPr>
            <w:tcW w:w="2330" w:type="pct"/>
          </w:tcPr>
          <w:p w:rsidR="00C022A6" w:rsidRPr="00554DB2" w:rsidRDefault="00C022A6" w:rsidP="00266477">
            <w:pPr>
              <w:jc w:val="both"/>
              <w:rPr>
                <w:rFonts w:eastAsia="Calibri"/>
                <w:sz w:val="20"/>
              </w:rPr>
            </w:pPr>
            <w:r w:rsidRPr="00554DB2">
              <w:rPr>
                <w:rFonts w:eastAsia="Calibri"/>
                <w:sz w:val="20"/>
              </w:rPr>
              <w:t>Appeal allowed; respondents convicted of charges relating to unlawful practice of profession; judgment corrected on February 15, 2011 as regards amount of fines payable on each count</w:t>
            </w:r>
          </w:p>
        </w:tc>
      </w:tr>
      <w:tr w:rsidR="00C022A6" w:rsidRPr="00554DB2" w:rsidTr="00266477">
        <w:tc>
          <w:tcPr>
            <w:tcW w:w="2427" w:type="pct"/>
          </w:tcPr>
          <w:p w:rsidR="00C022A6" w:rsidRPr="00554DB2" w:rsidRDefault="00C022A6" w:rsidP="00266477">
            <w:pPr>
              <w:jc w:val="both"/>
              <w:rPr>
                <w:rFonts w:eastAsia="Calibri"/>
                <w:sz w:val="20"/>
              </w:rPr>
            </w:pPr>
            <w:r w:rsidRPr="00554DB2">
              <w:rPr>
                <w:rFonts w:eastAsia="Calibri"/>
                <w:sz w:val="20"/>
              </w:rPr>
              <w:t>April 30, 2012</w:t>
            </w:r>
          </w:p>
          <w:p w:rsidR="00C022A6" w:rsidRPr="00554DB2" w:rsidRDefault="00C022A6" w:rsidP="00266477">
            <w:pPr>
              <w:jc w:val="both"/>
              <w:rPr>
                <w:rFonts w:eastAsia="Calibri"/>
                <w:sz w:val="20"/>
              </w:rPr>
            </w:pPr>
            <w:r w:rsidRPr="00554DB2">
              <w:rPr>
                <w:rFonts w:eastAsia="Calibri"/>
                <w:sz w:val="20"/>
              </w:rPr>
              <w:t>Quebec Court of Appeal (Montréal)</w:t>
            </w:r>
          </w:p>
          <w:p w:rsidR="00C022A6" w:rsidRPr="00554DB2" w:rsidRDefault="00C022A6" w:rsidP="00266477">
            <w:pPr>
              <w:jc w:val="both"/>
              <w:rPr>
                <w:rFonts w:eastAsia="Calibri"/>
                <w:sz w:val="20"/>
              </w:rPr>
            </w:pPr>
            <w:r w:rsidRPr="00554DB2">
              <w:rPr>
                <w:rFonts w:eastAsia="Calibri"/>
                <w:sz w:val="20"/>
              </w:rPr>
              <w:t>(Hilton, Bouchard and Fournier JJ.A.)</w:t>
            </w:r>
          </w:p>
          <w:p w:rsidR="00C022A6" w:rsidRPr="00554DB2" w:rsidRDefault="00C022A6" w:rsidP="00266477">
            <w:pPr>
              <w:jc w:val="both"/>
              <w:rPr>
                <w:rFonts w:eastAsia="Calibri"/>
                <w:sz w:val="20"/>
              </w:rPr>
            </w:pPr>
            <w:r w:rsidRPr="00554DB2">
              <w:rPr>
                <w:rFonts w:eastAsia="Calibri"/>
                <w:sz w:val="20"/>
              </w:rPr>
              <w:t>2012 QCCA 785</w:t>
            </w:r>
          </w:p>
          <w:p w:rsidR="00C022A6" w:rsidRPr="00554DB2" w:rsidRDefault="00C022A6" w:rsidP="00266477">
            <w:pPr>
              <w:jc w:val="both"/>
              <w:rPr>
                <w:rFonts w:eastAsia="Calibri"/>
                <w:sz w:val="20"/>
              </w:rPr>
            </w:pPr>
            <w:r w:rsidRPr="00554DB2">
              <w:rPr>
                <w:rFonts w:eastAsia="Calibri"/>
                <w:sz w:val="20"/>
              </w:rPr>
              <w:t xml:space="preserve">No. </w:t>
            </w:r>
            <w:bookmarkStart w:id="2" w:name="NoDossier"/>
            <w:r w:rsidRPr="00554DB2">
              <w:rPr>
                <w:rFonts w:eastAsia="Calibri"/>
                <w:sz w:val="20"/>
              </w:rPr>
              <w:t>500-10-004863-112</w:t>
            </w:r>
            <w:bookmarkEnd w:id="2"/>
          </w:p>
          <w:p w:rsidR="00C022A6" w:rsidRPr="00554DB2" w:rsidRDefault="00C022A6" w:rsidP="00266477">
            <w:pPr>
              <w:jc w:val="both"/>
              <w:rPr>
                <w:rFonts w:eastAsia="Calibri"/>
                <w:sz w:val="20"/>
              </w:rPr>
            </w:pPr>
          </w:p>
        </w:tc>
        <w:tc>
          <w:tcPr>
            <w:tcW w:w="243" w:type="pct"/>
          </w:tcPr>
          <w:p w:rsidR="00C022A6" w:rsidRPr="00554DB2" w:rsidRDefault="00C022A6" w:rsidP="00266477">
            <w:pPr>
              <w:jc w:val="both"/>
              <w:rPr>
                <w:rFonts w:eastAsia="Calibri"/>
                <w:sz w:val="20"/>
              </w:rPr>
            </w:pPr>
          </w:p>
        </w:tc>
        <w:tc>
          <w:tcPr>
            <w:tcW w:w="2330" w:type="pct"/>
          </w:tcPr>
          <w:p w:rsidR="00C022A6" w:rsidRPr="00554DB2" w:rsidRDefault="00C022A6" w:rsidP="00266477">
            <w:pPr>
              <w:jc w:val="both"/>
              <w:rPr>
                <w:rFonts w:eastAsia="Calibri"/>
                <w:sz w:val="20"/>
              </w:rPr>
            </w:pPr>
            <w:r w:rsidRPr="00554DB2">
              <w:rPr>
                <w:rFonts w:eastAsia="Calibri"/>
                <w:sz w:val="20"/>
              </w:rPr>
              <w:t>Appeal allowed; verdicts of acquittal restored</w:t>
            </w:r>
          </w:p>
        </w:tc>
      </w:tr>
      <w:tr w:rsidR="00C022A6" w:rsidRPr="00554DB2" w:rsidTr="00266477">
        <w:tc>
          <w:tcPr>
            <w:tcW w:w="2427" w:type="pct"/>
          </w:tcPr>
          <w:p w:rsidR="00C022A6" w:rsidRPr="00554DB2" w:rsidRDefault="00C022A6" w:rsidP="00266477">
            <w:pPr>
              <w:jc w:val="both"/>
              <w:rPr>
                <w:rFonts w:eastAsia="Calibri"/>
                <w:sz w:val="20"/>
              </w:rPr>
            </w:pPr>
            <w:r w:rsidRPr="00554DB2">
              <w:rPr>
                <w:rFonts w:eastAsia="Calibri"/>
                <w:sz w:val="20"/>
              </w:rPr>
              <w:t>June 29, 2012</w:t>
            </w:r>
          </w:p>
          <w:p w:rsidR="00C022A6" w:rsidRPr="00554DB2" w:rsidRDefault="00C022A6" w:rsidP="00266477">
            <w:pPr>
              <w:jc w:val="both"/>
              <w:rPr>
                <w:rFonts w:eastAsia="Calibri"/>
                <w:sz w:val="20"/>
              </w:rPr>
            </w:pPr>
            <w:r w:rsidRPr="00554DB2">
              <w:rPr>
                <w:rFonts w:eastAsia="Calibri"/>
                <w:sz w:val="20"/>
              </w:rPr>
              <w:t>Supreme Court of Canada</w:t>
            </w:r>
          </w:p>
        </w:tc>
        <w:tc>
          <w:tcPr>
            <w:tcW w:w="243" w:type="pct"/>
          </w:tcPr>
          <w:p w:rsidR="00C022A6" w:rsidRPr="00554DB2" w:rsidRDefault="00C022A6" w:rsidP="00266477">
            <w:pPr>
              <w:jc w:val="both"/>
              <w:rPr>
                <w:rFonts w:eastAsia="Calibri"/>
                <w:sz w:val="20"/>
              </w:rPr>
            </w:pPr>
          </w:p>
        </w:tc>
        <w:tc>
          <w:tcPr>
            <w:tcW w:w="2330" w:type="pct"/>
          </w:tcPr>
          <w:p w:rsidR="00C022A6" w:rsidRPr="00554DB2" w:rsidRDefault="00C022A6" w:rsidP="00266477">
            <w:pPr>
              <w:jc w:val="both"/>
              <w:rPr>
                <w:rFonts w:eastAsia="Calibri"/>
                <w:sz w:val="20"/>
              </w:rPr>
            </w:pPr>
            <w:r w:rsidRPr="00554DB2">
              <w:rPr>
                <w:rFonts w:eastAsia="Calibri"/>
                <w:sz w:val="20"/>
              </w:rPr>
              <w:t>Application for leave to appeal filed</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78"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22A6" w:rsidRPr="005571F9" w:rsidTr="00266477">
        <w:tc>
          <w:tcPr>
            <w:tcW w:w="5000" w:type="pct"/>
            <w:gridSpan w:val="3"/>
          </w:tcPr>
          <w:p w:rsidR="00C022A6" w:rsidRPr="00554DB2" w:rsidRDefault="00C022A6" w:rsidP="00266477">
            <w:pPr>
              <w:shd w:val="clear" w:color="auto" w:fill="FFFFFF"/>
              <w:jc w:val="both"/>
              <w:rPr>
                <w:sz w:val="20"/>
                <w:lang w:val="fr-CA"/>
              </w:rPr>
            </w:pPr>
            <w:r w:rsidRPr="00554DB2">
              <w:rPr>
                <w:sz w:val="20"/>
                <w:lang w:val="fr-CA"/>
              </w:rPr>
              <w:t xml:space="preserve">Législation — Interprétation — </w:t>
            </w:r>
            <w:r w:rsidRPr="00554DB2">
              <w:rPr>
                <w:i/>
                <w:sz w:val="20"/>
                <w:lang w:val="fr-CA"/>
              </w:rPr>
              <w:t>Loi sur les chimistes professionnels</w:t>
            </w:r>
            <w:r w:rsidRPr="00554DB2">
              <w:rPr>
                <w:sz w:val="20"/>
                <w:lang w:val="fr-CA"/>
              </w:rPr>
              <w:t>, L.R.Q., c. C</w:t>
            </w:r>
            <w:r w:rsidRPr="00554DB2">
              <w:rPr>
                <w:sz w:val="20"/>
                <w:lang w:val="fr-CA"/>
              </w:rPr>
              <w:noBreakHyphen/>
              <w:t xml:space="preserve">15, art. 1(b), art. 1(b) </w:t>
            </w:r>
            <w:r w:rsidRPr="00554DB2">
              <w:rPr>
                <w:i/>
                <w:sz w:val="20"/>
                <w:lang w:val="fr-CA"/>
              </w:rPr>
              <w:t>in fine</w:t>
            </w:r>
            <w:r w:rsidRPr="00554DB2">
              <w:rPr>
                <w:sz w:val="20"/>
                <w:lang w:val="fr-CA"/>
              </w:rPr>
              <w:t xml:space="preserve"> et art. 16 — Exception au droit exclusif d’exercice de la chimie professionnelle en cas d’exécution d’essais chimiques ou physiques basés sur des méthodes connues dans le but de déterminer la qualité d’un produit ou de suivre un procédé de fabrication — La Cour d’appel a</w:t>
            </w:r>
            <w:r w:rsidRPr="00554DB2">
              <w:rPr>
                <w:sz w:val="20"/>
                <w:lang w:val="fr-CA"/>
              </w:rPr>
              <w:noBreakHyphen/>
              <w:t>t</w:t>
            </w:r>
            <w:r w:rsidRPr="00554DB2">
              <w:rPr>
                <w:sz w:val="20"/>
                <w:lang w:val="fr-CA"/>
              </w:rPr>
              <w:noBreakHyphen/>
              <w:t xml:space="preserve">elle erré en statuant uniquement sur la base de règles d’interprétation secondaires, à savoir le principe d’interprétation d’une exception et le principe d’exception d’une loi créant un monopole d’exercice professionnel, et en éludant complètement la méthode moderne d’interprétation énoncée dans </w:t>
            </w:r>
            <w:r w:rsidRPr="00554DB2">
              <w:rPr>
                <w:i/>
                <w:sz w:val="20"/>
                <w:lang w:val="fr-CA"/>
              </w:rPr>
              <w:t>Bell ExpressVu Limited Partnership c. Rex</w:t>
            </w:r>
            <w:r w:rsidRPr="00554DB2">
              <w:rPr>
                <w:sz w:val="20"/>
                <w:lang w:val="fr-CA"/>
              </w:rPr>
              <w:t>, [2002] 2 R.C.S. 559, 2002 CSC 42? — La Cour d’appel a</w:t>
            </w:r>
            <w:r w:rsidRPr="00554DB2">
              <w:rPr>
                <w:sz w:val="20"/>
                <w:lang w:val="fr-CA"/>
              </w:rPr>
              <w:noBreakHyphen/>
              <w:t>t</w:t>
            </w:r>
            <w:r w:rsidRPr="00554DB2">
              <w:rPr>
                <w:sz w:val="20"/>
                <w:lang w:val="fr-CA"/>
              </w:rPr>
              <w:noBreakHyphen/>
              <w:t>elle erré en statuant qu’une exception au champ d’exercice exclusif aux membres d’une profession règlementée doit être interprétée de façon large et libérale?</w:t>
            </w:r>
          </w:p>
        </w:tc>
      </w:tr>
      <w:tr w:rsidR="00C022A6" w:rsidRPr="005571F9" w:rsidTr="00266477">
        <w:tc>
          <w:tcPr>
            <w:tcW w:w="5000" w:type="pct"/>
            <w:gridSpan w:val="3"/>
          </w:tcPr>
          <w:p w:rsidR="00C022A6" w:rsidRPr="00554DB2" w:rsidRDefault="00C022A6" w:rsidP="00266477">
            <w:pPr>
              <w:jc w:val="both"/>
              <w:rPr>
                <w:sz w:val="20"/>
                <w:lang w:val="fr-CA"/>
              </w:rPr>
            </w:pPr>
          </w:p>
        </w:tc>
      </w:tr>
      <w:tr w:rsidR="00C022A6" w:rsidRPr="005571F9" w:rsidTr="00266477">
        <w:tc>
          <w:tcPr>
            <w:tcW w:w="5000" w:type="pct"/>
            <w:gridSpan w:val="3"/>
          </w:tcPr>
          <w:p w:rsidR="00C022A6" w:rsidRPr="00554DB2" w:rsidRDefault="00C022A6" w:rsidP="00266477">
            <w:pPr>
              <w:jc w:val="both"/>
              <w:rPr>
                <w:sz w:val="20"/>
                <w:lang w:val="fr-CA"/>
              </w:rPr>
            </w:pPr>
            <w:r w:rsidRPr="00554DB2">
              <w:rPr>
                <w:sz w:val="20"/>
                <w:lang w:val="fr-CA"/>
              </w:rPr>
              <w:t xml:space="preserve">Le demandeur a porté des accusations d’exercice illégal de la profession de chimiste à l’encontre des intimés, à savoir Drasko Pekovic, lequel est docteur en microbiologie, et la société Biomedco Services Inc. dont M. Pekovic est l’actionnaire majoritaire.  Dans le cadre des services qu’ils offrent, les intimés ont entre autres réalisé des analyses rémunérées sur la qualité de l’eau de piscines publiques et des chefs d’accusation ont été portés contre eux au motif qu’ils se seraient livrés à des activités réservées aux membres de l’Ordre des chimistes en vertu de la </w:t>
            </w:r>
            <w:r w:rsidRPr="00554DB2">
              <w:rPr>
                <w:i/>
                <w:sz w:val="20"/>
                <w:lang w:val="fr-CA"/>
              </w:rPr>
              <w:t>Loi sur les chimistes professionnels</w:t>
            </w:r>
            <w:r w:rsidRPr="00554DB2">
              <w:rPr>
                <w:sz w:val="20"/>
                <w:lang w:val="fr-CA"/>
              </w:rPr>
              <w:t>, L.R.Q., c. C</w:t>
            </w:r>
            <w:r w:rsidRPr="00554DB2">
              <w:rPr>
                <w:sz w:val="20"/>
                <w:lang w:val="fr-CA"/>
              </w:rPr>
              <w:noBreakHyphen/>
              <w:t>15.  Ni M. Pekovic ni ses employés ne sont membres de l’Ordre des chimistes du Québec, et les intimés ne font pas partie des catégories de professionnels à l’égard desquels la Loi prévoit une exception relative à l’exercice de certaines activités normalement réservées aux membres de l’Ordre des chimistes.</w:t>
            </w:r>
          </w:p>
          <w:p w:rsidR="00C022A6" w:rsidRPr="00554DB2" w:rsidRDefault="00C022A6" w:rsidP="00266477">
            <w:pPr>
              <w:jc w:val="both"/>
              <w:rPr>
                <w:sz w:val="20"/>
                <w:lang w:val="fr-CA"/>
              </w:rPr>
            </w:pPr>
          </w:p>
        </w:tc>
      </w:tr>
      <w:tr w:rsidR="00C022A6" w:rsidRPr="005571F9" w:rsidTr="00266477">
        <w:tc>
          <w:tcPr>
            <w:tcW w:w="2427" w:type="pct"/>
          </w:tcPr>
          <w:p w:rsidR="00C022A6" w:rsidRPr="00554DB2" w:rsidRDefault="00C022A6" w:rsidP="00266477">
            <w:pPr>
              <w:jc w:val="both"/>
              <w:rPr>
                <w:sz w:val="20"/>
                <w:lang w:val="fr-CA"/>
              </w:rPr>
            </w:pPr>
            <w:r w:rsidRPr="00554DB2">
              <w:rPr>
                <w:sz w:val="20"/>
                <w:lang w:val="fr-CA"/>
              </w:rPr>
              <w:t>Le 28 avril 2010</w:t>
            </w:r>
          </w:p>
          <w:p w:rsidR="00C022A6" w:rsidRPr="00554DB2" w:rsidRDefault="00C022A6" w:rsidP="00266477">
            <w:pPr>
              <w:jc w:val="both"/>
              <w:rPr>
                <w:sz w:val="20"/>
                <w:lang w:val="fr-CA"/>
              </w:rPr>
            </w:pPr>
            <w:r w:rsidRPr="00554DB2">
              <w:rPr>
                <w:sz w:val="20"/>
                <w:lang w:val="fr-CA"/>
              </w:rPr>
              <w:t>Cour du Québec</w:t>
            </w:r>
          </w:p>
          <w:p w:rsidR="00C022A6" w:rsidRPr="00554DB2" w:rsidRDefault="00C022A6" w:rsidP="00266477">
            <w:pPr>
              <w:jc w:val="both"/>
              <w:rPr>
                <w:sz w:val="20"/>
                <w:lang w:val="fr-CA"/>
              </w:rPr>
            </w:pPr>
            <w:r w:rsidRPr="00554DB2">
              <w:rPr>
                <w:sz w:val="20"/>
                <w:lang w:val="fr-CA"/>
              </w:rPr>
              <w:t>(Le juge Boyer)</w:t>
            </w:r>
          </w:p>
          <w:p w:rsidR="00C022A6" w:rsidRPr="00554DB2" w:rsidRDefault="00C022A6" w:rsidP="00266477">
            <w:pPr>
              <w:jc w:val="both"/>
              <w:rPr>
                <w:sz w:val="20"/>
              </w:rPr>
            </w:pPr>
            <w:r w:rsidRPr="00554DB2">
              <w:rPr>
                <w:sz w:val="20"/>
              </w:rPr>
              <w:t>No. 500</w:t>
            </w:r>
            <w:r w:rsidRPr="00554DB2">
              <w:rPr>
                <w:sz w:val="20"/>
              </w:rPr>
              <w:noBreakHyphen/>
              <w:t>61</w:t>
            </w:r>
            <w:r w:rsidRPr="00554DB2">
              <w:rPr>
                <w:sz w:val="20"/>
              </w:rPr>
              <w:noBreakHyphen/>
              <w:t>228002</w:t>
            </w:r>
            <w:r w:rsidRPr="00554DB2">
              <w:rPr>
                <w:sz w:val="20"/>
              </w:rPr>
              <w:noBreakHyphen/>
              <w:t>078</w:t>
            </w:r>
          </w:p>
          <w:p w:rsidR="00C022A6" w:rsidRPr="00554DB2" w:rsidRDefault="00C022A6" w:rsidP="00266477">
            <w:pPr>
              <w:jc w:val="both"/>
              <w:rPr>
                <w:sz w:val="20"/>
              </w:rPr>
            </w:pPr>
            <w:r w:rsidRPr="00554DB2">
              <w:rPr>
                <w:sz w:val="20"/>
              </w:rPr>
              <w:t>No. 500</w:t>
            </w:r>
            <w:r w:rsidRPr="00554DB2">
              <w:rPr>
                <w:sz w:val="20"/>
              </w:rPr>
              <w:noBreakHyphen/>
              <w:t>61</w:t>
            </w:r>
            <w:r w:rsidRPr="00554DB2">
              <w:rPr>
                <w:sz w:val="20"/>
              </w:rPr>
              <w:noBreakHyphen/>
              <w:t>228003</w:t>
            </w:r>
            <w:r w:rsidRPr="00554DB2">
              <w:rPr>
                <w:sz w:val="20"/>
              </w:rPr>
              <w:noBreakHyphen/>
              <w:t>076</w:t>
            </w:r>
          </w:p>
          <w:p w:rsidR="00C022A6" w:rsidRPr="00554DB2" w:rsidRDefault="00C022A6" w:rsidP="00266477">
            <w:pPr>
              <w:jc w:val="both"/>
              <w:rPr>
                <w:sz w:val="20"/>
              </w:rPr>
            </w:pPr>
          </w:p>
        </w:tc>
        <w:tc>
          <w:tcPr>
            <w:tcW w:w="243" w:type="pct"/>
          </w:tcPr>
          <w:p w:rsidR="00C022A6" w:rsidRPr="00554DB2" w:rsidRDefault="00C022A6" w:rsidP="00266477">
            <w:pPr>
              <w:jc w:val="both"/>
              <w:rPr>
                <w:sz w:val="20"/>
              </w:rPr>
            </w:pPr>
          </w:p>
        </w:tc>
        <w:tc>
          <w:tcPr>
            <w:tcW w:w="2330" w:type="pct"/>
          </w:tcPr>
          <w:p w:rsidR="00C022A6" w:rsidRPr="00554DB2" w:rsidRDefault="00C022A6" w:rsidP="00266477">
            <w:pPr>
              <w:jc w:val="both"/>
              <w:rPr>
                <w:sz w:val="20"/>
                <w:lang w:val="fr-CA"/>
              </w:rPr>
            </w:pPr>
            <w:r w:rsidRPr="00554DB2">
              <w:rPr>
                <w:sz w:val="20"/>
                <w:lang w:val="fr-CA"/>
              </w:rPr>
              <w:t>Acquittement des intimés de chefs d’accusation relatifs à l’exercice illégal de la profession.</w:t>
            </w:r>
          </w:p>
          <w:p w:rsidR="00C022A6" w:rsidRPr="00554DB2" w:rsidRDefault="00C022A6" w:rsidP="00266477">
            <w:pPr>
              <w:jc w:val="both"/>
              <w:rPr>
                <w:sz w:val="20"/>
                <w:lang w:val="fr-CA"/>
              </w:rPr>
            </w:pPr>
          </w:p>
        </w:tc>
      </w:tr>
      <w:tr w:rsidR="00C022A6" w:rsidRPr="005571F9" w:rsidTr="00AC492E">
        <w:trPr>
          <w:cantSplit/>
        </w:trPr>
        <w:tc>
          <w:tcPr>
            <w:tcW w:w="2427" w:type="pct"/>
          </w:tcPr>
          <w:p w:rsidR="00C022A6" w:rsidRPr="00554DB2" w:rsidRDefault="00C022A6" w:rsidP="00266477">
            <w:pPr>
              <w:jc w:val="both"/>
              <w:rPr>
                <w:sz w:val="20"/>
                <w:lang w:val="fr-CA"/>
              </w:rPr>
            </w:pPr>
            <w:r w:rsidRPr="00554DB2">
              <w:rPr>
                <w:sz w:val="20"/>
                <w:lang w:val="fr-CA"/>
              </w:rPr>
              <w:t>Le 17 janvier 2011</w:t>
            </w:r>
          </w:p>
          <w:p w:rsidR="00C022A6" w:rsidRPr="00554DB2" w:rsidRDefault="00C022A6" w:rsidP="00266477">
            <w:pPr>
              <w:jc w:val="both"/>
              <w:rPr>
                <w:sz w:val="20"/>
                <w:lang w:val="fr-CA"/>
              </w:rPr>
            </w:pPr>
            <w:r w:rsidRPr="00554DB2">
              <w:rPr>
                <w:sz w:val="20"/>
                <w:lang w:val="fr-CA"/>
              </w:rPr>
              <w:t>Cour supérieure du Québec</w:t>
            </w:r>
          </w:p>
          <w:p w:rsidR="00C022A6" w:rsidRPr="00554DB2" w:rsidRDefault="00C022A6" w:rsidP="00266477">
            <w:pPr>
              <w:jc w:val="both"/>
              <w:rPr>
                <w:sz w:val="20"/>
                <w:lang w:val="fr-CA"/>
              </w:rPr>
            </w:pPr>
            <w:r w:rsidRPr="00554DB2">
              <w:rPr>
                <w:sz w:val="20"/>
                <w:lang w:val="fr-CA"/>
              </w:rPr>
              <w:t>(La juge Charbonneau)</w:t>
            </w:r>
          </w:p>
          <w:p w:rsidR="00C022A6" w:rsidRPr="00554DB2" w:rsidRDefault="00C022A6" w:rsidP="00266477">
            <w:pPr>
              <w:jc w:val="both"/>
              <w:rPr>
                <w:sz w:val="20"/>
                <w:lang w:val="fr-CA"/>
              </w:rPr>
            </w:pPr>
            <w:r w:rsidRPr="00554DB2">
              <w:rPr>
                <w:sz w:val="20"/>
                <w:lang w:val="fr-CA"/>
              </w:rPr>
              <w:t>2011 QCCS 105</w:t>
            </w:r>
          </w:p>
          <w:p w:rsidR="00C022A6" w:rsidRPr="00554DB2" w:rsidRDefault="00C022A6" w:rsidP="00266477">
            <w:pPr>
              <w:jc w:val="both"/>
              <w:rPr>
                <w:sz w:val="20"/>
                <w:lang w:val="fr-CA"/>
              </w:rPr>
            </w:pPr>
            <w:r w:rsidRPr="00554DB2">
              <w:rPr>
                <w:sz w:val="20"/>
                <w:lang w:val="fr-CA"/>
              </w:rPr>
              <w:t>No. 500</w:t>
            </w:r>
            <w:r w:rsidRPr="00554DB2">
              <w:rPr>
                <w:sz w:val="20"/>
                <w:lang w:val="fr-CA"/>
              </w:rPr>
              <w:noBreakHyphen/>
              <w:t>36</w:t>
            </w:r>
            <w:r w:rsidRPr="00554DB2">
              <w:rPr>
                <w:sz w:val="20"/>
                <w:lang w:val="fr-CA"/>
              </w:rPr>
              <w:noBreakHyphen/>
              <w:t>005439</w:t>
            </w:r>
            <w:r w:rsidRPr="00554DB2">
              <w:rPr>
                <w:sz w:val="20"/>
                <w:lang w:val="fr-CA"/>
              </w:rPr>
              <w:noBreakHyphen/>
              <w:t>107</w:t>
            </w:r>
          </w:p>
          <w:p w:rsidR="00C022A6" w:rsidRPr="00554DB2" w:rsidRDefault="00C022A6" w:rsidP="00266477">
            <w:pPr>
              <w:jc w:val="both"/>
              <w:rPr>
                <w:sz w:val="20"/>
              </w:rPr>
            </w:pPr>
            <w:r w:rsidRPr="00554DB2">
              <w:rPr>
                <w:sz w:val="20"/>
              </w:rPr>
              <w:t>No. 500</w:t>
            </w:r>
            <w:r w:rsidRPr="00554DB2">
              <w:rPr>
                <w:sz w:val="20"/>
              </w:rPr>
              <w:noBreakHyphen/>
              <w:t>61</w:t>
            </w:r>
            <w:r w:rsidRPr="00554DB2">
              <w:rPr>
                <w:sz w:val="20"/>
              </w:rPr>
              <w:noBreakHyphen/>
              <w:t>228002</w:t>
            </w:r>
            <w:r w:rsidRPr="00554DB2">
              <w:rPr>
                <w:sz w:val="20"/>
              </w:rPr>
              <w:noBreakHyphen/>
              <w:t>078</w:t>
            </w:r>
          </w:p>
          <w:p w:rsidR="00C022A6" w:rsidRPr="00554DB2" w:rsidRDefault="00C022A6" w:rsidP="00266477">
            <w:pPr>
              <w:jc w:val="both"/>
              <w:rPr>
                <w:sz w:val="20"/>
              </w:rPr>
            </w:pPr>
            <w:r w:rsidRPr="00554DB2">
              <w:rPr>
                <w:sz w:val="20"/>
              </w:rPr>
              <w:t>No. 500</w:t>
            </w:r>
            <w:r w:rsidRPr="00554DB2">
              <w:rPr>
                <w:sz w:val="20"/>
              </w:rPr>
              <w:noBreakHyphen/>
              <w:t>61</w:t>
            </w:r>
            <w:r w:rsidRPr="00554DB2">
              <w:rPr>
                <w:sz w:val="20"/>
              </w:rPr>
              <w:noBreakHyphen/>
              <w:t>228003</w:t>
            </w:r>
            <w:r w:rsidRPr="00554DB2">
              <w:rPr>
                <w:sz w:val="20"/>
              </w:rPr>
              <w:noBreakHyphen/>
              <w:t>076</w:t>
            </w:r>
          </w:p>
          <w:p w:rsidR="00C022A6" w:rsidRPr="00554DB2" w:rsidRDefault="00C022A6" w:rsidP="00266477">
            <w:pPr>
              <w:jc w:val="both"/>
              <w:rPr>
                <w:sz w:val="20"/>
              </w:rPr>
            </w:pPr>
          </w:p>
        </w:tc>
        <w:tc>
          <w:tcPr>
            <w:tcW w:w="243" w:type="pct"/>
          </w:tcPr>
          <w:p w:rsidR="00C022A6" w:rsidRPr="00554DB2" w:rsidRDefault="00C022A6" w:rsidP="00266477">
            <w:pPr>
              <w:jc w:val="both"/>
              <w:rPr>
                <w:sz w:val="20"/>
              </w:rPr>
            </w:pPr>
          </w:p>
        </w:tc>
        <w:tc>
          <w:tcPr>
            <w:tcW w:w="2330" w:type="pct"/>
          </w:tcPr>
          <w:p w:rsidR="00C022A6" w:rsidRPr="00554DB2" w:rsidRDefault="00C022A6" w:rsidP="00266477">
            <w:pPr>
              <w:jc w:val="both"/>
              <w:rPr>
                <w:sz w:val="20"/>
                <w:lang w:val="fr-CA"/>
              </w:rPr>
            </w:pPr>
            <w:r w:rsidRPr="00554DB2">
              <w:rPr>
                <w:sz w:val="20"/>
                <w:lang w:val="fr-CA"/>
              </w:rPr>
              <w:t>Appel accueilli; intimés condamnés conformément aux chefs d’accusation relatifs à l’exercice illégal de la profession; jugement rectifié le 15 février 2011 quant aux montants des amendes payables pour chacun des chefs d’accusation.</w:t>
            </w:r>
          </w:p>
        </w:tc>
      </w:tr>
      <w:tr w:rsidR="00C022A6" w:rsidRPr="005571F9" w:rsidTr="00AC492E">
        <w:trPr>
          <w:cantSplit/>
          <w:trHeight w:val="432"/>
        </w:trPr>
        <w:tc>
          <w:tcPr>
            <w:tcW w:w="2427" w:type="pct"/>
          </w:tcPr>
          <w:p w:rsidR="00C022A6" w:rsidRPr="00554DB2" w:rsidRDefault="00C022A6" w:rsidP="00266477">
            <w:pPr>
              <w:jc w:val="both"/>
              <w:rPr>
                <w:sz w:val="20"/>
                <w:lang w:val="fr-CA"/>
              </w:rPr>
            </w:pPr>
            <w:r w:rsidRPr="00554DB2">
              <w:rPr>
                <w:sz w:val="20"/>
                <w:lang w:val="fr-CA"/>
              </w:rPr>
              <w:t>Le 30 avril 2012</w:t>
            </w:r>
          </w:p>
          <w:p w:rsidR="00C022A6" w:rsidRPr="00554DB2" w:rsidRDefault="00C022A6" w:rsidP="00266477">
            <w:pPr>
              <w:jc w:val="both"/>
              <w:rPr>
                <w:sz w:val="20"/>
                <w:lang w:val="fr-CA"/>
              </w:rPr>
            </w:pPr>
            <w:r w:rsidRPr="00554DB2">
              <w:rPr>
                <w:sz w:val="20"/>
                <w:lang w:val="fr-CA"/>
              </w:rPr>
              <w:t>Cour d’appel du Québec (Montréal)</w:t>
            </w:r>
          </w:p>
          <w:p w:rsidR="00C022A6" w:rsidRPr="00554DB2" w:rsidRDefault="00C022A6" w:rsidP="00266477">
            <w:pPr>
              <w:jc w:val="both"/>
              <w:rPr>
                <w:sz w:val="20"/>
                <w:lang w:val="fr-CA"/>
              </w:rPr>
            </w:pPr>
            <w:r w:rsidRPr="00554DB2">
              <w:rPr>
                <w:sz w:val="20"/>
                <w:lang w:val="fr-CA"/>
              </w:rPr>
              <w:t>(Les jutes Hilton, Bouchard et Fournier)</w:t>
            </w:r>
          </w:p>
          <w:p w:rsidR="00C022A6" w:rsidRPr="00554DB2" w:rsidRDefault="00C022A6" w:rsidP="00266477">
            <w:pPr>
              <w:jc w:val="both"/>
              <w:rPr>
                <w:sz w:val="20"/>
              </w:rPr>
            </w:pPr>
            <w:r w:rsidRPr="00554DB2">
              <w:rPr>
                <w:sz w:val="20"/>
              </w:rPr>
              <w:t>2012 QCCA 785</w:t>
            </w:r>
          </w:p>
          <w:p w:rsidR="00C022A6" w:rsidRPr="00554DB2" w:rsidRDefault="00C022A6" w:rsidP="00266477">
            <w:pPr>
              <w:jc w:val="both"/>
              <w:rPr>
                <w:sz w:val="20"/>
              </w:rPr>
            </w:pPr>
            <w:r w:rsidRPr="00554DB2">
              <w:rPr>
                <w:sz w:val="20"/>
              </w:rPr>
              <w:t>No. 500</w:t>
            </w:r>
            <w:r w:rsidRPr="00554DB2">
              <w:rPr>
                <w:sz w:val="20"/>
              </w:rPr>
              <w:noBreakHyphen/>
              <w:t>10</w:t>
            </w:r>
            <w:r w:rsidRPr="00554DB2">
              <w:rPr>
                <w:sz w:val="20"/>
              </w:rPr>
              <w:noBreakHyphen/>
              <w:t>004863</w:t>
            </w:r>
            <w:r w:rsidRPr="00554DB2">
              <w:rPr>
                <w:sz w:val="20"/>
              </w:rPr>
              <w:noBreakHyphen/>
              <w:t>112</w:t>
            </w:r>
          </w:p>
          <w:p w:rsidR="00C022A6" w:rsidRPr="00554DB2" w:rsidRDefault="00C022A6" w:rsidP="00266477">
            <w:pPr>
              <w:jc w:val="both"/>
              <w:rPr>
                <w:sz w:val="20"/>
              </w:rPr>
            </w:pPr>
          </w:p>
        </w:tc>
        <w:tc>
          <w:tcPr>
            <w:tcW w:w="243" w:type="pct"/>
          </w:tcPr>
          <w:p w:rsidR="00C022A6" w:rsidRPr="00554DB2" w:rsidRDefault="00C022A6" w:rsidP="00266477">
            <w:pPr>
              <w:jc w:val="both"/>
              <w:rPr>
                <w:sz w:val="20"/>
              </w:rPr>
            </w:pPr>
          </w:p>
        </w:tc>
        <w:tc>
          <w:tcPr>
            <w:tcW w:w="2330" w:type="pct"/>
          </w:tcPr>
          <w:p w:rsidR="00C022A6" w:rsidRPr="00554DB2" w:rsidRDefault="00C022A6" w:rsidP="00266477">
            <w:pPr>
              <w:jc w:val="both"/>
              <w:rPr>
                <w:sz w:val="20"/>
                <w:lang w:val="fr-CA"/>
              </w:rPr>
            </w:pPr>
            <w:r w:rsidRPr="00554DB2">
              <w:rPr>
                <w:sz w:val="20"/>
                <w:lang w:val="fr-CA"/>
              </w:rPr>
              <w:t>Appel accueilli; verdicts d’acquittement rétabli.</w:t>
            </w:r>
          </w:p>
        </w:tc>
      </w:tr>
      <w:tr w:rsidR="00C022A6" w:rsidRPr="00554DB2" w:rsidTr="00AC492E">
        <w:trPr>
          <w:cantSplit/>
          <w:trHeight w:val="20"/>
        </w:trPr>
        <w:tc>
          <w:tcPr>
            <w:tcW w:w="2427" w:type="pct"/>
          </w:tcPr>
          <w:p w:rsidR="00C022A6" w:rsidRPr="00554DB2" w:rsidRDefault="00C022A6" w:rsidP="00266477">
            <w:pPr>
              <w:jc w:val="both"/>
              <w:rPr>
                <w:sz w:val="20"/>
                <w:lang w:val="fr-CA"/>
              </w:rPr>
            </w:pPr>
            <w:r w:rsidRPr="00554DB2">
              <w:rPr>
                <w:sz w:val="20"/>
                <w:lang w:val="fr-CA"/>
              </w:rPr>
              <w:t>Le 29 juin 2012</w:t>
            </w:r>
          </w:p>
          <w:p w:rsidR="00C022A6" w:rsidRPr="00554DB2" w:rsidRDefault="00C022A6" w:rsidP="00266477">
            <w:pPr>
              <w:jc w:val="both"/>
              <w:rPr>
                <w:sz w:val="20"/>
                <w:lang w:val="fr-CA"/>
              </w:rPr>
            </w:pPr>
            <w:r w:rsidRPr="00554DB2">
              <w:rPr>
                <w:sz w:val="20"/>
                <w:lang w:val="fr-CA"/>
              </w:rPr>
              <w:t>Cour suprême du Canada</w:t>
            </w:r>
          </w:p>
        </w:tc>
        <w:tc>
          <w:tcPr>
            <w:tcW w:w="243" w:type="pct"/>
          </w:tcPr>
          <w:p w:rsidR="00C022A6" w:rsidRPr="00554DB2" w:rsidRDefault="00C022A6" w:rsidP="00266477">
            <w:pPr>
              <w:jc w:val="both"/>
              <w:rPr>
                <w:sz w:val="20"/>
                <w:lang w:val="fr-CA"/>
              </w:rPr>
            </w:pPr>
          </w:p>
        </w:tc>
        <w:tc>
          <w:tcPr>
            <w:tcW w:w="2330" w:type="pct"/>
          </w:tcPr>
          <w:p w:rsidR="00C022A6" w:rsidRPr="00C022A6" w:rsidRDefault="00C022A6" w:rsidP="00266477">
            <w:pPr>
              <w:jc w:val="both"/>
              <w:rPr>
                <w:sz w:val="20"/>
                <w:lang w:val="fr-CA"/>
              </w:rPr>
            </w:pPr>
            <w:r w:rsidRPr="00C022A6">
              <w:rPr>
                <w:sz w:val="20"/>
                <w:lang w:val="fr-CA"/>
              </w:rPr>
              <w:t>Demande d'autorisation d'appel déposée.</w:t>
            </w: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79"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C492E" w:rsidRPr="00E05D03" w:rsidTr="006B3BA7">
        <w:trPr>
          <w:cantSplit/>
        </w:trPr>
        <w:tc>
          <w:tcPr>
            <w:tcW w:w="1458" w:type="dxa"/>
          </w:tcPr>
          <w:p w:rsidR="00AC492E" w:rsidRPr="00E05D03" w:rsidRDefault="00AC492E" w:rsidP="006B3BA7">
            <w:pPr>
              <w:rPr>
                <w:sz w:val="20"/>
                <w:szCs w:val="20"/>
              </w:rPr>
            </w:pPr>
            <w:r w:rsidRPr="00E05D03">
              <w:rPr>
                <w:rStyle w:val="SCCFileNumberChar"/>
                <w:sz w:val="20"/>
                <w:szCs w:val="20"/>
              </w:rPr>
              <w:t>34905</w:t>
            </w:r>
          </w:p>
          <w:p w:rsidR="00AC492E" w:rsidRPr="00E05D03" w:rsidRDefault="00AC492E" w:rsidP="006B3BA7">
            <w:pPr>
              <w:rPr>
                <w:b/>
                <w:sz w:val="20"/>
                <w:szCs w:val="20"/>
                <w:lang w:val="fr-CA"/>
              </w:rPr>
            </w:pPr>
          </w:p>
        </w:tc>
        <w:tc>
          <w:tcPr>
            <w:tcW w:w="8118" w:type="dxa"/>
          </w:tcPr>
          <w:p w:rsidR="00AC492E" w:rsidRPr="00E05D03" w:rsidRDefault="00AC492E" w:rsidP="006B3BA7">
            <w:pPr>
              <w:jc w:val="both"/>
              <w:rPr>
                <w:sz w:val="20"/>
                <w:szCs w:val="20"/>
              </w:rPr>
            </w:pPr>
            <w:r w:rsidRPr="00AC492E">
              <w:rPr>
                <w:rStyle w:val="SCCLsocChar"/>
                <w:sz w:val="20"/>
                <w:szCs w:val="20"/>
                <w:lang w:val="en-CA"/>
              </w:rPr>
              <w:t>Amec Americas Limited, dba: AMEC Earth &amp; Environmental, a body corporate v. Lee MacWilliams</w:t>
            </w:r>
            <w:r w:rsidRPr="00E05D03">
              <w:rPr>
                <w:sz w:val="20"/>
                <w:szCs w:val="20"/>
              </w:rPr>
              <w:t xml:space="preserve"> (N.B.) (Civil) (By Leave)</w:t>
            </w:r>
          </w:p>
          <w:p w:rsidR="00AC492E" w:rsidRPr="00E05D03" w:rsidRDefault="00AC492E" w:rsidP="006B3BA7">
            <w:pPr>
              <w:rPr>
                <w:sz w:val="20"/>
                <w:szCs w:val="20"/>
              </w:rPr>
            </w:pPr>
          </w:p>
        </w:tc>
      </w:tr>
      <w:tr w:rsidR="00AC492E" w:rsidRPr="00E05D03" w:rsidTr="006B3BA7">
        <w:trPr>
          <w:cantSplit/>
        </w:trPr>
        <w:tc>
          <w:tcPr>
            <w:tcW w:w="1458" w:type="dxa"/>
          </w:tcPr>
          <w:p w:rsidR="00AC492E" w:rsidRPr="00E05D03" w:rsidRDefault="00AC492E" w:rsidP="006B3BA7">
            <w:pPr>
              <w:rPr>
                <w:sz w:val="20"/>
                <w:szCs w:val="20"/>
              </w:rPr>
            </w:pPr>
            <w:r w:rsidRPr="00E05D03">
              <w:rPr>
                <w:sz w:val="20"/>
                <w:szCs w:val="20"/>
              </w:rPr>
              <w:t>Coram :</w:t>
            </w:r>
          </w:p>
        </w:tc>
        <w:tc>
          <w:tcPr>
            <w:tcW w:w="8118" w:type="dxa"/>
          </w:tcPr>
          <w:p w:rsidR="00AC492E" w:rsidRPr="00E05D03" w:rsidRDefault="00AC492E" w:rsidP="006B3BA7">
            <w:pPr>
              <w:rPr>
                <w:sz w:val="20"/>
                <w:szCs w:val="20"/>
              </w:rPr>
            </w:pPr>
            <w:r w:rsidRPr="00AC492E">
              <w:rPr>
                <w:rStyle w:val="SCCCoramChar"/>
                <w:sz w:val="20"/>
                <w:szCs w:val="20"/>
                <w:lang w:val="en-CA"/>
              </w:rPr>
              <w:t>Fish, Cromwell and Karakatsanis JJ.</w:t>
            </w:r>
          </w:p>
          <w:p w:rsidR="00AC492E" w:rsidRPr="00E05D03" w:rsidRDefault="00AC492E" w:rsidP="006B3BA7">
            <w:pPr>
              <w:rPr>
                <w:sz w:val="20"/>
                <w:szCs w:val="20"/>
                <w:u w:val="single"/>
              </w:rPr>
            </w:pPr>
          </w:p>
        </w:tc>
      </w:tr>
      <w:tr w:rsidR="00AC492E" w:rsidRPr="005571F9" w:rsidTr="006B3BA7">
        <w:trPr>
          <w:cantSplit/>
        </w:trPr>
        <w:tc>
          <w:tcPr>
            <w:tcW w:w="9576" w:type="dxa"/>
            <w:gridSpan w:val="2"/>
          </w:tcPr>
          <w:p w:rsidR="00AC492E" w:rsidRPr="00E05D03" w:rsidRDefault="00AC492E" w:rsidP="006B3BA7">
            <w:pPr>
              <w:pStyle w:val="SCCShortJudgment"/>
              <w:rPr>
                <w:szCs w:val="20"/>
              </w:rPr>
            </w:pPr>
            <w:r w:rsidRPr="00E05D03">
              <w:rPr>
                <w:szCs w:val="20"/>
              </w:rPr>
              <w:t>The application for leave to appeal from the judgment of the Court of Appeal of New Brunswick, Number 143-11-CA, 2012 NBCA 46, dated May 17, 2012, is dismissed with costs.</w:t>
            </w:r>
          </w:p>
          <w:p w:rsidR="00AC492E" w:rsidRPr="00E05D03" w:rsidRDefault="00AC492E" w:rsidP="006B3BA7">
            <w:pPr>
              <w:pStyle w:val="SCCShortJudgment"/>
              <w:ind w:firstLine="0"/>
              <w:rPr>
                <w:szCs w:val="20"/>
              </w:rPr>
            </w:pPr>
          </w:p>
          <w:p w:rsidR="00AC492E" w:rsidRPr="00E05D03" w:rsidRDefault="00AC492E" w:rsidP="006B3BA7">
            <w:pPr>
              <w:pStyle w:val="SCCShortJudgment"/>
              <w:rPr>
                <w:szCs w:val="20"/>
                <w:lang w:val="fr-CA"/>
              </w:rPr>
            </w:pPr>
            <w:r w:rsidRPr="00E05D03">
              <w:rPr>
                <w:szCs w:val="20"/>
                <w:lang w:val="fr-CA"/>
              </w:rPr>
              <w:t>La demande d’autorisation d’appel de l’arrêt de la Cour d’appel du Nouveau-Brunswick, numéro 143-11-CA, 2012 NBCA 46, daté du 17 mai 2012, est rejetée avec dépens.</w:t>
            </w:r>
          </w:p>
        </w:tc>
      </w:tr>
    </w:tbl>
    <w:p w:rsidR="00FA1074" w:rsidRPr="00AC492E"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22A6" w:rsidRPr="00554DB2" w:rsidTr="00266477">
        <w:tc>
          <w:tcPr>
            <w:tcW w:w="5000" w:type="pct"/>
            <w:gridSpan w:val="3"/>
          </w:tcPr>
          <w:p w:rsidR="00C022A6" w:rsidRPr="00554DB2" w:rsidRDefault="00C022A6" w:rsidP="00266477">
            <w:pPr>
              <w:jc w:val="both"/>
              <w:rPr>
                <w:rFonts w:eastAsia="Calibri"/>
                <w:sz w:val="20"/>
              </w:rPr>
            </w:pPr>
            <w:r w:rsidRPr="00554DB2">
              <w:rPr>
                <w:rFonts w:eastAsia="Calibri"/>
                <w:sz w:val="20"/>
              </w:rPr>
              <w:t>Employment law — Unjust dismissal — Whether the Court of Appeal erred in determining that the employer bore the burden of establishing what the employee earned in mitigation during the reasonable notice period — Whether the Court of Appeal erred in not finding that the employee failed to meet his “duty” to mitigate — Whether the Court of Appeal erred in finding that the failure to give notice of termination was a breach of the contract of employment for which damages could flow — Whether the Court of Appeal erred in finding that pleadings were a sufficient replacement for evidence at trial with respect to liability or the quantum of loss claimed.</w:t>
            </w:r>
          </w:p>
        </w:tc>
      </w:tr>
      <w:tr w:rsidR="00C022A6" w:rsidRPr="00554DB2" w:rsidTr="00266477">
        <w:tc>
          <w:tcPr>
            <w:tcW w:w="5000" w:type="pct"/>
            <w:gridSpan w:val="3"/>
          </w:tcPr>
          <w:p w:rsidR="00C022A6" w:rsidRPr="00554DB2" w:rsidRDefault="00C022A6" w:rsidP="00266477">
            <w:pPr>
              <w:jc w:val="both"/>
              <w:rPr>
                <w:rFonts w:eastAsia="Calibri"/>
                <w:sz w:val="20"/>
              </w:rPr>
            </w:pPr>
          </w:p>
        </w:tc>
      </w:tr>
      <w:tr w:rsidR="00C022A6" w:rsidRPr="00554DB2" w:rsidTr="00266477">
        <w:tc>
          <w:tcPr>
            <w:tcW w:w="5000" w:type="pct"/>
            <w:gridSpan w:val="3"/>
          </w:tcPr>
          <w:p w:rsidR="00C022A6" w:rsidRPr="00554DB2" w:rsidRDefault="00C022A6" w:rsidP="00266477">
            <w:pPr>
              <w:jc w:val="both"/>
              <w:rPr>
                <w:rFonts w:eastAsia="Calibri"/>
                <w:sz w:val="20"/>
              </w:rPr>
            </w:pPr>
            <w:r w:rsidRPr="00554DB2">
              <w:rPr>
                <w:rFonts w:eastAsia="Calibri"/>
                <w:sz w:val="20"/>
              </w:rPr>
              <w:t xml:space="preserve">The Applicant, AMEC Americas Limited, doing business as AMEC Earth and Environmental (“AMEC”) is in the business of engineering and product management.  The Respondent, MacWilliams commenced full-time employment with AMEC in 1991 and was hired for an indefinite term.  On February 15, 2010, AMEC dismissed MacWilliams from his employment as Head of Client Services at its Fredericton office.  He was 42 years old.  AMEC’s termination letter did not allege just cause.  AMEC paid 4 weeks’ salary pursuant to the </w:t>
            </w:r>
            <w:r w:rsidRPr="00554DB2">
              <w:rPr>
                <w:rFonts w:eastAsia="Calibri"/>
                <w:i/>
                <w:sz w:val="20"/>
              </w:rPr>
              <w:t>Employment Standard Act</w:t>
            </w:r>
            <w:r w:rsidRPr="00554DB2">
              <w:rPr>
                <w:rFonts w:eastAsia="Calibri"/>
                <w:sz w:val="20"/>
              </w:rPr>
              <w:t xml:space="preserve">, S.N.B. 1982, </w:t>
            </w:r>
            <w:proofErr w:type="gramStart"/>
            <w:r w:rsidRPr="00554DB2">
              <w:rPr>
                <w:rFonts w:eastAsia="Calibri"/>
                <w:sz w:val="20"/>
              </w:rPr>
              <w:t>c</w:t>
            </w:r>
            <w:proofErr w:type="gramEnd"/>
            <w:r w:rsidRPr="00554DB2">
              <w:rPr>
                <w:rFonts w:eastAsia="Calibri"/>
                <w:sz w:val="20"/>
              </w:rPr>
              <w:t>. E-7.2.  It also offered to settle MacWilliams’ potential claim by paying his salary for a maximum of 12 months.  The offer was subject to the condition that AMEC would only pay 50% of full salary if and when MacWilliams entered into any employment commitment, regardless of its actual terms and conditions.  MacWilliams did not accept this offer to settle.  Between February 15, 2010 and April 1, 2010, AMEC continued to pay MacWilliams’ base salary, as well as RRSP contributions and health and dental coverage.  On April 1, 2010, AMEC made a second settlement offer.  AMEC would continue to pay MacWilliams’ salary for 16 months but the payout would be reduced to 30% should he secure an employment commitment regardless of its actual terms and conditions.  MacWilliams rejected this offer of settlement.  AMEC continued to pay MacWilliams’ base salary, RRSP contributions and health and dental coverage until May 6, 2010.  On this date, AMEC renewed the second settlement offer and informed MacWilliams that unless he accepted this offer, his employment benefits would cease the next day.  MacWilliams rejected this final offer of settlement and AMEC terminated his employment benefits on May 7, 2010.</w:t>
            </w:r>
          </w:p>
          <w:p w:rsidR="00C022A6" w:rsidRPr="00554DB2" w:rsidRDefault="00C022A6" w:rsidP="00266477">
            <w:pPr>
              <w:jc w:val="both"/>
              <w:rPr>
                <w:rFonts w:eastAsia="Calibri"/>
                <w:sz w:val="20"/>
              </w:rPr>
            </w:pPr>
          </w:p>
          <w:p w:rsidR="00C022A6" w:rsidRPr="00554DB2" w:rsidRDefault="00C022A6" w:rsidP="00266477">
            <w:pPr>
              <w:jc w:val="both"/>
              <w:rPr>
                <w:rFonts w:eastAsia="Calibri"/>
                <w:sz w:val="20"/>
              </w:rPr>
            </w:pPr>
            <w:r w:rsidRPr="00554DB2">
              <w:rPr>
                <w:rFonts w:eastAsia="Calibri"/>
                <w:sz w:val="20"/>
              </w:rPr>
              <w:t>On October 4, 2010, MacWilliams was granted summary judgment with respect to the issue of whether he was dismissed without notice.  AMEC’s defence that MacWilliams had failed to accept an offer to settle and by doing so failed to mitigate and was therefore not entitled to relief was not accepted.  At trial, MacWilliams was found to be entitled to 20 months notice.  AMEC was directed to pay MacWilliams all amounts to which he would have been entitled during that period.  AMEC’s appeal was allowed but only for the limited purpose of assessing MacWilliams’ damages.</w:t>
            </w:r>
          </w:p>
          <w:p w:rsidR="00C022A6" w:rsidRPr="00554DB2" w:rsidRDefault="00C022A6" w:rsidP="00266477">
            <w:pPr>
              <w:jc w:val="both"/>
              <w:rPr>
                <w:rFonts w:eastAsia="Calibri"/>
                <w:sz w:val="20"/>
              </w:rPr>
            </w:pPr>
          </w:p>
        </w:tc>
      </w:tr>
      <w:tr w:rsidR="00C022A6" w:rsidRPr="00554DB2" w:rsidTr="00266477">
        <w:tc>
          <w:tcPr>
            <w:tcW w:w="2427" w:type="pct"/>
          </w:tcPr>
          <w:p w:rsidR="00C022A6" w:rsidRPr="00554DB2" w:rsidRDefault="00C022A6" w:rsidP="00266477">
            <w:pPr>
              <w:jc w:val="both"/>
              <w:rPr>
                <w:rFonts w:eastAsia="Calibri"/>
                <w:sz w:val="20"/>
              </w:rPr>
            </w:pPr>
            <w:r w:rsidRPr="00554DB2">
              <w:rPr>
                <w:rFonts w:eastAsia="Calibri"/>
                <w:sz w:val="20"/>
              </w:rPr>
              <w:t>October 3, 2011</w:t>
            </w:r>
          </w:p>
          <w:p w:rsidR="00C022A6" w:rsidRPr="00554DB2" w:rsidRDefault="00C022A6" w:rsidP="00266477">
            <w:pPr>
              <w:jc w:val="both"/>
              <w:rPr>
                <w:rFonts w:eastAsia="Calibri"/>
                <w:sz w:val="20"/>
              </w:rPr>
            </w:pPr>
            <w:r w:rsidRPr="00554DB2">
              <w:rPr>
                <w:rFonts w:eastAsia="Calibri"/>
                <w:sz w:val="20"/>
              </w:rPr>
              <w:t>Court of Queen’s Bench of New Brunswick</w:t>
            </w:r>
          </w:p>
          <w:p w:rsidR="00C022A6" w:rsidRPr="00554DB2" w:rsidRDefault="00C022A6" w:rsidP="00266477">
            <w:pPr>
              <w:jc w:val="both"/>
              <w:rPr>
                <w:rFonts w:eastAsia="Calibri"/>
                <w:sz w:val="20"/>
              </w:rPr>
            </w:pPr>
            <w:r w:rsidRPr="00554DB2">
              <w:rPr>
                <w:rFonts w:eastAsia="Calibri"/>
                <w:sz w:val="20"/>
              </w:rPr>
              <w:t>(Garnett J.)</w:t>
            </w:r>
          </w:p>
          <w:p w:rsidR="00C022A6" w:rsidRPr="00554DB2" w:rsidRDefault="00C022A6" w:rsidP="00266477">
            <w:pPr>
              <w:jc w:val="both"/>
              <w:rPr>
                <w:rFonts w:eastAsia="Calibri"/>
                <w:sz w:val="20"/>
              </w:rPr>
            </w:pPr>
            <w:r w:rsidRPr="00554DB2">
              <w:rPr>
                <w:rFonts w:eastAsia="Calibri"/>
                <w:sz w:val="20"/>
              </w:rPr>
              <w:t>2011 NBQB 272</w:t>
            </w:r>
          </w:p>
          <w:p w:rsidR="00C022A6" w:rsidRPr="00554DB2" w:rsidRDefault="00C022A6" w:rsidP="00266477">
            <w:pPr>
              <w:jc w:val="both"/>
              <w:rPr>
                <w:rFonts w:eastAsia="Calibri"/>
                <w:sz w:val="20"/>
              </w:rPr>
            </w:pPr>
          </w:p>
        </w:tc>
        <w:tc>
          <w:tcPr>
            <w:tcW w:w="243" w:type="pct"/>
          </w:tcPr>
          <w:p w:rsidR="00C022A6" w:rsidRPr="00554DB2" w:rsidRDefault="00C022A6" w:rsidP="00266477">
            <w:pPr>
              <w:jc w:val="both"/>
              <w:rPr>
                <w:rFonts w:eastAsia="Calibri"/>
                <w:sz w:val="20"/>
              </w:rPr>
            </w:pPr>
          </w:p>
        </w:tc>
        <w:tc>
          <w:tcPr>
            <w:tcW w:w="2330" w:type="pct"/>
          </w:tcPr>
          <w:p w:rsidR="00C022A6" w:rsidRPr="00554DB2" w:rsidRDefault="00C022A6" w:rsidP="00266477">
            <w:pPr>
              <w:jc w:val="both"/>
              <w:rPr>
                <w:rFonts w:eastAsia="Calibri"/>
                <w:sz w:val="20"/>
              </w:rPr>
            </w:pPr>
            <w:r w:rsidRPr="00554DB2">
              <w:rPr>
                <w:rFonts w:eastAsia="Calibri"/>
                <w:sz w:val="20"/>
              </w:rPr>
              <w:t>Respondent entitled to 20 months notice</w:t>
            </w:r>
          </w:p>
          <w:p w:rsidR="00C022A6" w:rsidRPr="00554DB2" w:rsidRDefault="00C022A6" w:rsidP="00266477">
            <w:pPr>
              <w:jc w:val="both"/>
              <w:rPr>
                <w:rFonts w:eastAsia="Calibri"/>
                <w:sz w:val="20"/>
              </w:rPr>
            </w:pPr>
          </w:p>
        </w:tc>
      </w:tr>
      <w:tr w:rsidR="00C022A6" w:rsidRPr="00554DB2" w:rsidTr="00266477">
        <w:tc>
          <w:tcPr>
            <w:tcW w:w="2427" w:type="pct"/>
          </w:tcPr>
          <w:p w:rsidR="00C022A6" w:rsidRPr="00554DB2" w:rsidRDefault="00C022A6" w:rsidP="00266477">
            <w:pPr>
              <w:jc w:val="both"/>
              <w:rPr>
                <w:rFonts w:eastAsia="Calibri"/>
                <w:sz w:val="20"/>
              </w:rPr>
            </w:pPr>
            <w:r w:rsidRPr="00554DB2">
              <w:rPr>
                <w:rFonts w:eastAsia="Calibri"/>
                <w:sz w:val="20"/>
              </w:rPr>
              <w:t>May 17, 2012</w:t>
            </w:r>
          </w:p>
          <w:p w:rsidR="00C022A6" w:rsidRPr="00554DB2" w:rsidRDefault="00C022A6" w:rsidP="00266477">
            <w:pPr>
              <w:jc w:val="both"/>
              <w:rPr>
                <w:rFonts w:eastAsia="Calibri"/>
                <w:sz w:val="20"/>
              </w:rPr>
            </w:pPr>
            <w:r w:rsidRPr="00554DB2">
              <w:rPr>
                <w:rFonts w:eastAsia="Calibri"/>
                <w:sz w:val="20"/>
              </w:rPr>
              <w:t>Court of Appeal of New Brunswick</w:t>
            </w:r>
          </w:p>
          <w:p w:rsidR="00C022A6" w:rsidRPr="00554DB2" w:rsidRDefault="00C022A6" w:rsidP="00266477">
            <w:pPr>
              <w:jc w:val="both"/>
              <w:rPr>
                <w:rFonts w:eastAsia="Calibri"/>
                <w:sz w:val="20"/>
              </w:rPr>
            </w:pPr>
            <w:r w:rsidRPr="00554DB2">
              <w:rPr>
                <w:rFonts w:eastAsia="Calibri"/>
                <w:sz w:val="20"/>
              </w:rPr>
              <w:t>(Drapeau C.J. and Quigg and Green JJ.A.)</w:t>
            </w:r>
          </w:p>
          <w:p w:rsidR="00C022A6" w:rsidRPr="00554DB2" w:rsidRDefault="00C022A6" w:rsidP="00266477">
            <w:pPr>
              <w:jc w:val="both"/>
              <w:rPr>
                <w:rFonts w:eastAsia="Calibri"/>
                <w:sz w:val="20"/>
              </w:rPr>
            </w:pPr>
            <w:r w:rsidRPr="00554DB2">
              <w:rPr>
                <w:rFonts w:eastAsia="Calibri"/>
                <w:sz w:val="20"/>
              </w:rPr>
              <w:t>2012 NBCA 46; 143-11-CA</w:t>
            </w:r>
          </w:p>
          <w:p w:rsidR="00C022A6" w:rsidRPr="00554DB2" w:rsidRDefault="00C022A6" w:rsidP="00266477">
            <w:pPr>
              <w:jc w:val="both"/>
              <w:rPr>
                <w:rFonts w:eastAsia="Calibri"/>
                <w:sz w:val="20"/>
              </w:rPr>
            </w:pPr>
          </w:p>
        </w:tc>
        <w:tc>
          <w:tcPr>
            <w:tcW w:w="243" w:type="pct"/>
          </w:tcPr>
          <w:p w:rsidR="00C022A6" w:rsidRPr="00554DB2" w:rsidRDefault="00C022A6" w:rsidP="00266477">
            <w:pPr>
              <w:jc w:val="both"/>
              <w:rPr>
                <w:rFonts w:eastAsia="Calibri"/>
                <w:sz w:val="20"/>
              </w:rPr>
            </w:pPr>
          </w:p>
        </w:tc>
        <w:tc>
          <w:tcPr>
            <w:tcW w:w="2330" w:type="pct"/>
          </w:tcPr>
          <w:p w:rsidR="00C022A6" w:rsidRPr="00554DB2" w:rsidRDefault="00C022A6" w:rsidP="00266477">
            <w:pPr>
              <w:jc w:val="both"/>
              <w:rPr>
                <w:rFonts w:eastAsia="Calibri"/>
                <w:sz w:val="20"/>
              </w:rPr>
            </w:pPr>
            <w:r w:rsidRPr="00554DB2">
              <w:rPr>
                <w:rFonts w:eastAsia="Calibri"/>
                <w:sz w:val="20"/>
              </w:rPr>
              <w:t>Appeal allowed solely for the purpose of assessing damages</w:t>
            </w:r>
          </w:p>
          <w:p w:rsidR="00C022A6" w:rsidRPr="00554DB2" w:rsidRDefault="00C022A6" w:rsidP="00266477">
            <w:pPr>
              <w:jc w:val="both"/>
              <w:rPr>
                <w:rFonts w:eastAsia="Calibri"/>
                <w:sz w:val="20"/>
              </w:rPr>
            </w:pPr>
          </w:p>
        </w:tc>
      </w:tr>
      <w:tr w:rsidR="00C022A6" w:rsidRPr="00554DB2" w:rsidTr="00266477">
        <w:tc>
          <w:tcPr>
            <w:tcW w:w="2427" w:type="pct"/>
          </w:tcPr>
          <w:p w:rsidR="00C022A6" w:rsidRPr="00554DB2" w:rsidRDefault="00C022A6" w:rsidP="00266477">
            <w:pPr>
              <w:jc w:val="both"/>
              <w:rPr>
                <w:rFonts w:eastAsia="Calibri"/>
                <w:sz w:val="20"/>
              </w:rPr>
            </w:pPr>
            <w:r w:rsidRPr="00554DB2">
              <w:rPr>
                <w:rFonts w:eastAsia="Calibri"/>
                <w:sz w:val="20"/>
              </w:rPr>
              <w:t>July 26, 2012</w:t>
            </w:r>
          </w:p>
          <w:p w:rsidR="00C022A6" w:rsidRPr="00554DB2" w:rsidRDefault="00C022A6" w:rsidP="00266477">
            <w:pPr>
              <w:jc w:val="both"/>
              <w:rPr>
                <w:rFonts w:eastAsia="Calibri"/>
                <w:sz w:val="20"/>
              </w:rPr>
            </w:pPr>
            <w:r w:rsidRPr="00554DB2">
              <w:rPr>
                <w:rFonts w:eastAsia="Calibri"/>
                <w:sz w:val="20"/>
              </w:rPr>
              <w:t>Supreme Court of Canada</w:t>
            </w:r>
          </w:p>
        </w:tc>
        <w:tc>
          <w:tcPr>
            <w:tcW w:w="243" w:type="pct"/>
          </w:tcPr>
          <w:p w:rsidR="00C022A6" w:rsidRPr="00554DB2" w:rsidRDefault="00C022A6" w:rsidP="00266477">
            <w:pPr>
              <w:jc w:val="both"/>
              <w:rPr>
                <w:rFonts w:eastAsia="Calibri"/>
                <w:sz w:val="20"/>
              </w:rPr>
            </w:pPr>
          </w:p>
        </w:tc>
        <w:tc>
          <w:tcPr>
            <w:tcW w:w="2330" w:type="pct"/>
          </w:tcPr>
          <w:p w:rsidR="00C022A6" w:rsidRPr="00554DB2" w:rsidRDefault="00C022A6" w:rsidP="00266477">
            <w:pPr>
              <w:jc w:val="both"/>
              <w:rPr>
                <w:rFonts w:eastAsia="Calibri"/>
                <w:sz w:val="20"/>
              </w:rPr>
            </w:pPr>
            <w:r w:rsidRPr="00554DB2">
              <w:rPr>
                <w:rFonts w:eastAsia="Calibri"/>
                <w:sz w:val="20"/>
              </w:rPr>
              <w:t>Application for leave to appeal filed</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80"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022A6" w:rsidRPr="005571F9" w:rsidTr="00266477">
        <w:tc>
          <w:tcPr>
            <w:tcW w:w="5000" w:type="pct"/>
            <w:gridSpan w:val="3"/>
          </w:tcPr>
          <w:p w:rsidR="00C022A6" w:rsidRPr="00554DB2" w:rsidRDefault="00C022A6" w:rsidP="00266477">
            <w:pPr>
              <w:jc w:val="both"/>
              <w:rPr>
                <w:rFonts w:eastAsia="Calibri"/>
                <w:sz w:val="20"/>
                <w:lang w:val="fr-CA"/>
              </w:rPr>
            </w:pPr>
            <w:r w:rsidRPr="00554DB2">
              <w:rPr>
                <w:rFonts w:eastAsia="Calibri"/>
                <w:sz w:val="20"/>
                <w:lang w:val="fr-CA"/>
              </w:rPr>
              <w:t>Droit de l’emploi — Congédiement injustifié — La Cour d’appel a</w:t>
            </w:r>
            <w:r w:rsidRPr="00554DB2">
              <w:rPr>
                <w:rFonts w:eastAsia="Calibri"/>
                <w:sz w:val="20"/>
                <w:lang w:val="fr-CA"/>
              </w:rPr>
              <w:noBreakHyphen/>
              <w:t>t</w:t>
            </w:r>
            <w:r w:rsidRPr="00554DB2">
              <w:rPr>
                <w:rFonts w:eastAsia="Calibri"/>
                <w:sz w:val="20"/>
                <w:lang w:val="fr-CA"/>
              </w:rPr>
              <w:noBreakHyphen/>
              <w:t>elle eu tort de conclure que l’employeur avait le fardeau d’établir ce que l’employé avait gagné en atténuation pendant le délai de préavis raisonnable? — La Cour d’appel a</w:t>
            </w:r>
            <w:r w:rsidRPr="00554DB2">
              <w:rPr>
                <w:rFonts w:eastAsia="Calibri"/>
                <w:sz w:val="20"/>
                <w:lang w:val="fr-CA"/>
              </w:rPr>
              <w:noBreakHyphen/>
              <w:t>t</w:t>
            </w:r>
            <w:r w:rsidRPr="00554DB2">
              <w:rPr>
                <w:rFonts w:eastAsia="Calibri"/>
                <w:sz w:val="20"/>
                <w:lang w:val="fr-CA"/>
              </w:rPr>
              <w:noBreakHyphen/>
              <w:t>elle eu tort de ne pas conclure que l’employé avait manqué à son « obligation » d’atténuer ses pertes? — La Cour d’appel a</w:t>
            </w:r>
            <w:r w:rsidRPr="00554DB2">
              <w:rPr>
                <w:rFonts w:eastAsia="Calibri"/>
                <w:sz w:val="20"/>
                <w:lang w:val="fr-CA"/>
              </w:rPr>
              <w:noBreakHyphen/>
              <w:t>t</w:t>
            </w:r>
            <w:r w:rsidRPr="00554DB2">
              <w:rPr>
                <w:rFonts w:eastAsia="Calibri"/>
                <w:sz w:val="20"/>
                <w:lang w:val="fr-CA"/>
              </w:rPr>
              <w:noBreakHyphen/>
              <w:t>elle eu tort de conclure que l’omission de donner un préavis de cessation d’emploi était une violation du contrat d’emploi qui pouvait donner droit à des dommages</w:t>
            </w:r>
            <w:r w:rsidRPr="00554DB2">
              <w:rPr>
                <w:rFonts w:eastAsia="Calibri"/>
                <w:sz w:val="20"/>
                <w:lang w:val="fr-CA"/>
              </w:rPr>
              <w:noBreakHyphen/>
              <w:t>intérêts? — La Cour d’appel a</w:t>
            </w:r>
            <w:r w:rsidRPr="00554DB2">
              <w:rPr>
                <w:rFonts w:eastAsia="Calibri"/>
                <w:sz w:val="20"/>
                <w:lang w:val="fr-CA"/>
              </w:rPr>
              <w:noBreakHyphen/>
              <w:t>t</w:t>
            </w:r>
            <w:r w:rsidRPr="00554DB2">
              <w:rPr>
                <w:rFonts w:eastAsia="Calibri"/>
                <w:sz w:val="20"/>
                <w:lang w:val="fr-CA"/>
              </w:rPr>
              <w:noBreakHyphen/>
              <w:t>elle eu tort de conclure que les actes de procédure pouvaient tenir lieu de preuve au procès en ce qui a trait à la responsabilité ou au montant de la perte alléguée?</w:t>
            </w:r>
          </w:p>
        </w:tc>
      </w:tr>
      <w:tr w:rsidR="00C022A6" w:rsidRPr="005571F9" w:rsidTr="00266477">
        <w:tc>
          <w:tcPr>
            <w:tcW w:w="5000" w:type="pct"/>
            <w:gridSpan w:val="3"/>
          </w:tcPr>
          <w:p w:rsidR="00C022A6" w:rsidRPr="00554DB2" w:rsidRDefault="00C022A6" w:rsidP="00266477">
            <w:pPr>
              <w:jc w:val="both"/>
              <w:rPr>
                <w:rFonts w:eastAsia="Calibri"/>
                <w:sz w:val="20"/>
                <w:lang w:val="fr-CA"/>
              </w:rPr>
            </w:pPr>
          </w:p>
        </w:tc>
      </w:tr>
      <w:tr w:rsidR="00C022A6" w:rsidRPr="005571F9" w:rsidTr="00266477">
        <w:tc>
          <w:tcPr>
            <w:tcW w:w="5000" w:type="pct"/>
            <w:gridSpan w:val="3"/>
          </w:tcPr>
          <w:p w:rsidR="00C022A6" w:rsidRPr="00554DB2" w:rsidRDefault="00C022A6" w:rsidP="00266477">
            <w:pPr>
              <w:jc w:val="both"/>
              <w:rPr>
                <w:rFonts w:eastAsia="Calibri"/>
                <w:sz w:val="20"/>
                <w:lang w:val="fr-CA"/>
              </w:rPr>
            </w:pPr>
            <w:r w:rsidRPr="00554DB2">
              <w:rPr>
                <w:rFonts w:eastAsia="Calibri"/>
                <w:sz w:val="20"/>
                <w:lang w:val="fr-CA"/>
              </w:rPr>
              <w:t>La demanderesse, AMEC Amériques Limitée, faisant affaire sous le nom d’AMEC Earth &amp; Environmental (« AMEC »), est un fournisseur de services d’ingénierie et de gestion de projets. L’intimé, M. MacWilliams a commencé à travailler à temps plein à AMEC en 1991 et il avait été engagé pour une durée indéterminée.  Le 15 février 2010, AMEC a congédié M. MacWilliams de son poste de directeur des services à la clientèle au bureau de Fredericton. Il était âgé de quarante</w:t>
            </w:r>
            <w:r w:rsidRPr="00554DB2">
              <w:rPr>
                <w:rFonts w:eastAsia="Calibri"/>
                <w:sz w:val="20"/>
                <w:lang w:val="fr-CA"/>
              </w:rPr>
              <w:noBreakHyphen/>
              <w:t xml:space="preserve">deux ans.  La lettre de cessation d’emploi d’AMEC n’invoquait aucun motif valable de congédiement. AMEC lui a versé quatre semaines de salaire conformément à la </w:t>
            </w:r>
            <w:r w:rsidRPr="00554DB2">
              <w:rPr>
                <w:rFonts w:eastAsia="Calibri"/>
                <w:i/>
                <w:iCs/>
                <w:sz w:val="20"/>
                <w:lang w:val="fr-CA"/>
              </w:rPr>
              <w:t>Loi sur les normes d’emploi</w:t>
            </w:r>
            <w:r w:rsidRPr="00554DB2">
              <w:rPr>
                <w:rFonts w:eastAsia="Calibri"/>
                <w:sz w:val="20"/>
                <w:lang w:val="fr-CA"/>
              </w:rPr>
              <w:t>, L.N.</w:t>
            </w:r>
            <w:r w:rsidRPr="00554DB2">
              <w:rPr>
                <w:rFonts w:eastAsia="Calibri"/>
                <w:sz w:val="20"/>
                <w:lang w:val="fr-CA"/>
              </w:rPr>
              <w:noBreakHyphen/>
              <w:t>B. 1982, ch. E</w:t>
            </w:r>
            <w:r w:rsidRPr="00554DB2">
              <w:rPr>
                <w:rFonts w:eastAsia="Calibri"/>
                <w:sz w:val="20"/>
                <w:lang w:val="fr-CA"/>
              </w:rPr>
              <w:noBreakHyphen/>
              <w:t>7.2.  Elle a également offert de régler à l’amiable toute demande éventuelle de M. MacWilliams en lui versant son traitement pour une période maximale de douze mois. L’offre était accompagnée de la condition selon laquelle AMEC ne verserait que la moitié du salaire intégral dès lors que M. MacWilliams s’obligerait par voie d’engagement professionnel ou de contrat d’emploi, quelles qu’en soit les clauses et conditions.  Monsieur MacWilliams n’a pas accepté cette offre de règlement.  Entre le 15 février et le 1</w:t>
            </w:r>
            <w:r w:rsidRPr="00554DB2">
              <w:rPr>
                <w:rFonts w:eastAsia="Calibri"/>
                <w:sz w:val="20"/>
                <w:vertAlign w:val="superscript"/>
                <w:lang w:val="fr-CA"/>
              </w:rPr>
              <w:t>er</w:t>
            </w:r>
            <w:r w:rsidRPr="00554DB2">
              <w:rPr>
                <w:rFonts w:eastAsia="Calibri"/>
                <w:sz w:val="20"/>
                <w:lang w:val="fr-CA"/>
              </w:rPr>
              <w:t> avril 2010, AMEC a continué à verser à M. MacWilliams son traitement de base et à payer les cotisations au REER et les primes d’assurance</w:t>
            </w:r>
            <w:r w:rsidRPr="00554DB2">
              <w:rPr>
                <w:rFonts w:eastAsia="Calibri"/>
                <w:sz w:val="20"/>
                <w:lang w:val="fr-CA"/>
              </w:rPr>
              <w:noBreakHyphen/>
              <w:t>maladie et d’assurance dentaire.  Le 1</w:t>
            </w:r>
            <w:r w:rsidRPr="00554DB2">
              <w:rPr>
                <w:rFonts w:eastAsia="Calibri"/>
                <w:sz w:val="20"/>
                <w:vertAlign w:val="superscript"/>
                <w:lang w:val="fr-CA"/>
              </w:rPr>
              <w:t>er</w:t>
            </w:r>
            <w:r w:rsidRPr="00554DB2">
              <w:rPr>
                <w:rFonts w:eastAsia="Calibri"/>
                <w:sz w:val="20"/>
                <w:lang w:val="fr-CA"/>
              </w:rPr>
              <w:t> avril 2010, AMEC a fait une deuxième offre de règlement amiable. AMEC continuerait à verser son salaire à M. MacWilliams pendant seize mois, mais le paiement serait ramené à 30 % pour le cas où il s’obligerait  par voie d’engagement professionnel ou de contrat d’emploi, quelles qu’en soit les clauses et conditions.  Monsieur MacWilliams a rejeté cette offre de règlement.  AMEC a continué à verser à M. MacWilliams son traitement de base et à payer ses cotisations au REER et ses primes d’assurance</w:t>
            </w:r>
            <w:r w:rsidRPr="00554DB2">
              <w:rPr>
                <w:rFonts w:eastAsia="Calibri"/>
                <w:sz w:val="20"/>
                <w:lang w:val="fr-CA"/>
              </w:rPr>
              <w:noBreakHyphen/>
              <w:t>maladie et d’assurance dentaire jusqu’au 6 mai 2010.  À cette date, AMEC a réitéré la deuxième offre de règlement amiable et a informé M. MacWilliams qu’à moins qu’il n’accepte cette offre, les avantages liés à son emploi prendraient fin le lendemain.  Monsieur MacWilliams a rejeté cette offre de règlement finale et AMEC a mis fin aux avantages liés à son emploi le 7 mai 2010.</w:t>
            </w:r>
          </w:p>
          <w:p w:rsidR="00C022A6" w:rsidRPr="00554DB2" w:rsidRDefault="00C022A6" w:rsidP="00266477">
            <w:pPr>
              <w:jc w:val="both"/>
              <w:rPr>
                <w:rFonts w:eastAsia="Calibri"/>
                <w:sz w:val="20"/>
                <w:lang w:val="fr-CA"/>
              </w:rPr>
            </w:pPr>
          </w:p>
          <w:p w:rsidR="00C022A6" w:rsidRPr="00554DB2" w:rsidRDefault="00C022A6" w:rsidP="00266477">
            <w:pPr>
              <w:jc w:val="both"/>
              <w:rPr>
                <w:rFonts w:eastAsia="Calibri"/>
                <w:sz w:val="20"/>
                <w:lang w:val="fr-CA"/>
              </w:rPr>
            </w:pPr>
            <w:r w:rsidRPr="00554DB2">
              <w:rPr>
                <w:rFonts w:eastAsia="Calibri"/>
                <w:sz w:val="20"/>
                <w:lang w:val="fr-CA"/>
              </w:rPr>
              <w:t>Le 4 octobre 2010, M. MacWilliams s’est vu accorder un jugement sommaire relativement à la question de savoir s’il avait été congédié sans préavis.  Le tribunal a rejeté la défense d’AMEC selon laquelle M. MacWilliams avait omis d’accepter une offre de règlement amiable et ce faisant, il avait omis d’atténuer ses pertes, si bien qu’il n’avait pas droit à une réparation.  Au procès, le tribunal a conclu que M. MacWilliams avait droit à un préavis de vingt mois.  Le tribunal a ordonné à AMEC de payer  à M. MacWilliams tous les montants auxquels il aurait eu droit pendant cette période.  L’appel d’AMEC a été accueilli, mais à seule fin d’évaluer les dommages</w:t>
            </w:r>
            <w:r w:rsidRPr="00554DB2">
              <w:rPr>
                <w:rFonts w:eastAsia="Calibri"/>
                <w:sz w:val="20"/>
                <w:lang w:val="fr-CA"/>
              </w:rPr>
              <w:noBreakHyphen/>
              <w:t>intérêts de M. MacWilliams.</w:t>
            </w:r>
          </w:p>
          <w:p w:rsidR="00C022A6" w:rsidRPr="00554DB2" w:rsidRDefault="00C022A6" w:rsidP="00266477">
            <w:pPr>
              <w:jc w:val="both"/>
              <w:rPr>
                <w:rFonts w:eastAsia="Calibri"/>
                <w:sz w:val="20"/>
                <w:lang w:val="fr-CA"/>
              </w:rPr>
            </w:pPr>
          </w:p>
        </w:tc>
      </w:tr>
      <w:tr w:rsidR="00C022A6" w:rsidRPr="005571F9" w:rsidTr="00266477">
        <w:tc>
          <w:tcPr>
            <w:tcW w:w="2427" w:type="pct"/>
          </w:tcPr>
          <w:p w:rsidR="00C022A6" w:rsidRPr="00554DB2" w:rsidRDefault="00C022A6" w:rsidP="00266477">
            <w:pPr>
              <w:jc w:val="both"/>
              <w:rPr>
                <w:rFonts w:eastAsia="Calibri"/>
                <w:sz w:val="20"/>
                <w:lang w:val="fr-CA"/>
              </w:rPr>
            </w:pPr>
            <w:r w:rsidRPr="00554DB2">
              <w:rPr>
                <w:rFonts w:eastAsia="Calibri"/>
                <w:sz w:val="20"/>
                <w:lang w:val="fr-CA"/>
              </w:rPr>
              <w:t>3 octobre 2011</w:t>
            </w:r>
          </w:p>
          <w:p w:rsidR="00C022A6" w:rsidRPr="00554DB2" w:rsidRDefault="00C022A6" w:rsidP="00266477">
            <w:pPr>
              <w:jc w:val="both"/>
              <w:rPr>
                <w:rFonts w:eastAsia="Calibri"/>
                <w:sz w:val="20"/>
                <w:lang w:val="fr-CA"/>
              </w:rPr>
            </w:pPr>
            <w:r w:rsidRPr="00554DB2">
              <w:rPr>
                <w:rFonts w:eastAsia="Calibri"/>
                <w:sz w:val="20"/>
                <w:lang w:val="fr-CA"/>
              </w:rPr>
              <w:t>Cour du Banc de la Reine du Nouveau</w:t>
            </w:r>
            <w:r w:rsidRPr="00554DB2">
              <w:rPr>
                <w:rFonts w:eastAsia="Calibri"/>
                <w:sz w:val="20"/>
                <w:lang w:val="fr-CA"/>
              </w:rPr>
              <w:noBreakHyphen/>
              <w:t>Brunswick</w:t>
            </w:r>
          </w:p>
          <w:p w:rsidR="00C022A6" w:rsidRPr="00554DB2" w:rsidRDefault="00C022A6" w:rsidP="00266477">
            <w:pPr>
              <w:jc w:val="both"/>
              <w:rPr>
                <w:rFonts w:eastAsia="Calibri"/>
                <w:sz w:val="20"/>
                <w:lang w:val="fr-CA"/>
              </w:rPr>
            </w:pPr>
            <w:r w:rsidRPr="00554DB2">
              <w:rPr>
                <w:rFonts w:eastAsia="Calibri"/>
                <w:sz w:val="20"/>
                <w:lang w:val="fr-CA"/>
              </w:rPr>
              <w:t>(Juge Garnett)</w:t>
            </w:r>
          </w:p>
          <w:p w:rsidR="00C022A6" w:rsidRPr="00554DB2" w:rsidRDefault="00C022A6" w:rsidP="00266477">
            <w:pPr>
              <w:jc w:val="both"/>
              <w:rPr>
                <w:rFonts w:eastAsia="Calibri"/>
                <w:sz w:val="20"/>
                <w:lang w:val="fr-CA"/>
              </w:rPr>
            </w:pPr>
            <w:r w:rsidRPr="00554DB2">
              <w:rPr>
                <w:rFonts w:eastAsia="Calibri"/>
                <w:sz w:val="20"/>
                <w:lang w:val="fr-CA"/>
              </w:rPr>
              <w:t>2011 NBQB 272</w:t>
            </w:r>
          </w:p>
          <w:p w:rsidR="00C022A6" w:rsidRPr="00554DB2" w:rsidRDefault="00C022A6" w:rsidP="00266477">
            <w:pPr>
              <w:jc w:val="both"/>
              <w:rPr>
                <w:rFonts w:eastAsia="Calibri"/>
                <w:sz w:val="20"/>
                <w:lang w:val="fr-CA"/>
              </w:rPr>
            </w:pPr>
          </w:p>
        </w:tc>
        <w:tc>
          <w:tcPr>
            <w:tcW w:w="243" w:type="pct"/>
          </w:tcPr>
          <w:p w:rsidR="00C022A6" w:rsidRPr="00554DB2" w:rsidRDefault="00C022A6" w:rsidP="00266477">
            <w:pPr>
              <w:jc w:val="both"/>
              <w:rPr>
                <w:rFonts w:eastAsia="Calibri"/>
                <w:sz w:val="20"/>
                <w:lang w:val="fr-CA"/>
              </w:rPr>
            </w:pPr>
          </w:p>
        </w:tc>
        <w:tc>
          <w:tcPr>
            <w:tcW w:w="2330" w:type="pct"/>
          </w:tcPr>
          <w:p w:rsidR="00C022A6" w:rsidRPr="00554DB2" w:rsidRDefault="00C022A6" w:rsidP="00266477">
            <w:pPr>
              <w:jc w:val="both"/>
              <w:rPr>
                <w:rFonts w:eastAsia="Calibri"/>
                <w:sz w:val="20"/>
                <w:lang w:val="fr-CA"/>
              </w:rPr>
            </w:pPr>
            <w:r w:rsidRPr="00554DB2">
              <w:rPr>
                <w:rFonts w:eastAsia="Calibri"/>
                <w:sz w:val="20"/>
                <w:lang w:val="fr-CA"/>
              </w:rPr>
              <w:t>L'intimé a le droit à un préavis de vingt mois</w:t>
            </w:r>
          </w:p>
          <w:p w:rsidR="00C022A6" w:rsidRPr="00554DB2" w:rsidRDefault="00C022A6" w:rsidP="00266477">
            <w:pPr>
              <w:jc w:val="both"/>
              <w:rPr>
                <w:rFonts w:eastAsia="Calibri"/>
                <w:sz w:val="20"/>
                <w:lang w:val="fr-CA"/>
              </w:rPr>
            </w:pPr>
          </w:p>
        </w:tc>
      </w:tr>
      <w:tr w:rsidR="00C022A6" w:rsidRPr="005571F9" w:rsidTr="00266477">
        <w:tc>
          <w:tcPr>
            <w:tcW w:w="2427" w:type="pct"/>
          </w:tcPr>
          <w:p w:rsidR="00C022A6" w:rsidRPr="00554DB2" w:rsidRDefault="00C022A6" w:rsidP="00266477">
            <w:pPr>
              <w:jc w:val="both"/>
              <w:rPr>
                <w:rFonts w:eastAsia="Calibri"/>
                <w:sz w:val="20"/>
                <w:lang w:val="fr-CA"/>
              </w:rPr>
            </w:pPr>
            <w:r w:rsidRPr="00554DB2">
              <w:rPr>
                <w:rFonts w:eastAsia="Calibri"/>
                <w:sz w:val="20"/>
                <w:lang w:val="fr-CA"/>
              </w:rPr>
              <w:t>17 mai 2012</w:t>
            </w:r>
          </w:p>
          <w:p w:rsidR="00C022A6" w:rsidRPr="00554DB2" w:rsidRDefault="00C022A6" w:rsidP="00266477">
            <w:pPr>
              <w:jc w:val="both"/>
              <w:rPr>
                <w:rFonts w:eastAsia="Calibri"/>
                <w:sz w:val="20"/>
                <w:lang w:val="fr-CA"/>
              </w:rPr>
            </w:pPr>
            <w:r w:rsidRPr="00554DB2">
              <w:rPr>
                <w:rFonts w:eastAsia="Calibri"/>
                <w:sz w:val="20"/>
                <w:lang w:val="fr-CA"/>
              </w:rPr>
              <w:t>Cour d'appel du Nouveau</w:t>
            </w:r>
            <w:r w:rsidRPr="00554DB2">
              <w:rPr>
                <w:rFonts w:eastAsia="Calibri"/>
                <w:sz w:val="20"/>
                <w:lang w:val="fr-CA"/>
              </w:rPr>
              <w:noBreakHyphen/>
              <w:t xml:space="preserve">Brunswick </w:t>
            </w:r>
          </w:p>
          <w:p w:rsidR="00C022A6" w:rsidRPr="00554DB2" w:rsidRDefault="00C022A6" w:rsidP="00266477">
            <w:pPr>
              <w:jc w:val="both"/>
              <w:rPr>
                <w:rFonts w:eastAsia="Calibri"/>
                <w:sz w:val="20"/>
                <w:lang w:val="fr-CA"/>
              </w:rPr>
            </w:pPr>
            <w:r w:rsidRPr="00554DB2">
              <w:rPr>
                <w:rFonts w:eastAsia="Calibri"/>
                <w:sz w:val="20"/>
                <w:lang w:val="fr-CA"/>
              </w:rPr>
              <w:t>(Juge en chef Drapeau, juges Quigg et Green)</w:t>
            </w:r>
          </w:p>
          <w:p w:rsidR="00C022A6" w:rsidRPr="00554DB2" w:rsidRDefault="00C022A6" w:rsidP="00266477">
            <w:pPr>
              <w:jc w:val="both"/>
              <w:rPr>
                <w:rFonts w:eastAsia="Calibri"/>
                <w:sz w:val="20"/>
                <w:lang w:val="fr-CA"/>
              </w:rPr>
            </w:pPr>
            <w:r w:rsidRPr="00554DB2">
              <w:rPr>
                <w:rFonts w:eastAsia="Calibri"/>
                <w:sz w:val="20"/>
                <w:lang w:val="fr-CA"/>
              </w:rPr>
              <w:t>2012 NBCA 46; 143</w:t>
            </w:r>
            <w:r w:rsidRPr="00554DB2">
              <w:rPr>
                <w:rFonts w:eastAsia="Calibri"/>
                <w:sz w:val="20"/>
                <w:lang w:val="fr-CA"/>
              </w:rPr>
              <w:noBreakHyphen/>
              <w:t>11</w:t>
            </w:r>
            <w:r w:rsidRPr="00554DB2">
              <w:rPr>
                <w:rFonts w:eastAsia="Calibri"/>
                <w:sz w:val="20"/>
                <w:lang w:val="fr-CA"/>
              </w:rPr>
              <w:noBreakHyphen/>
              <w:t>CA</w:t>
            </w:r>
          </w:p>
          <w:p w:rsidR="00C022A6" w:rsidRPr="00554DB2" w:rsidRDefault="00C022A6" w:rsidP="00266477">
            <w:pPr>
              <w:jc w:val="both"/>
              <w:rPr>
                <w:rFonts w:eastAsia="Calibri"/>
                <w:sz w:val="20"/>
                <w:lang w:val="fr-CA"/>
              </w:rPr>
            </w:pPr>
          </w:p>
        </w:tc>
        <w:tc>
          <w:tcPr>
            <w:tcW w:w="243" w:type="pct"/>
          </w:tcPr>
          <w:p w:rsidR="00C022A6" w:rsidRPr="00554DB2" w:rsidRDefault="00C022A6" w:rsidP="00266477">
            <w:pPr>
              <w:jc w:val="both"/>
              <w:rPr>
                <w:rFonts w:eastAsia="Calibri"/>
                <w:sz w:val="20"/>
                <w:lang w:val="fr-CA"/>
              </w:rPr>
            </w:pPr>
          </w:p>
        </w:tc>
        <w:tc>
          <w:tcPr>
            <w:tcW w:w="2330" w:type="pct"/>
          </w:tcPr>
          <w:p w:rsidR="00C022A6" w:rsidRPr="00554DB2" w:rsidRDefault="00C022A6" w:rsidP="00266477">
            <w:pPr>
              <w:jc w:val="both"/>
              <w:rPr>
                <w:rFonts w:eastAsia="Calibri"/>
                <w:sz w:val="20"/>
                <w:lang w:val="fr-CA"/>
              </w:rPr>
            </w:pPr>
            <w:r w:rsidRPr="00554DB2">
              <w:rPr>
                <w:rFonts w:eastAsia="Calibri"/>
                <w:sz w:val="20"/>
                <w:lang w:val="fr-CA"/>
              </w:rPr>
              <w:t>Appel accueilli à seule fin d’évaluer les dommages</w:t>
            </w:r>
            <w:r w:rsidRPr="00554DB2">
              <w:rPr>
                <w:rFonts w:eastAsia="Calibri"/>
                <w:sz w:val="20"/>
                <w:lang w:val="fr-CA"/>
              </w:rPr>
              <w:noBreakHyphen/>
              <w:t>intérêts</w:t>
            </w:r>
          </w:p>
          <w:p w:rsidR="00C022A6" w:rsidRPr="00554DB2" w:rsidRDefault="00C022A6" w:rsidP="00266477">
            <w:pPr>
              <w:jc w:val="both"/>
              <w:rPr>
                <w:rFonts w:eastAsia="Calibri"/>
                <w:sz w:val="20"/>
                <w:lang w:val="fr-CA"/>
              </w:rPr>
            </w:pPr>
          </w:p>
        </w:tc>
      </w:tr>
      <w:tr w:rsidR="00C022A6" w:rsidRPr="00554DB2" w:rsidTr="00266477">
        <w:tc>
          <w:tcPr>
            <w:tcW w:w="2427" w:type="pct"/>
          </w:tcPr>
          <w:p w:rsidR="00C022A6" w:rsidRPr="00554DB2" w:rsidRDefault="00C022A6" w:rsidP="00266477">
            <w:pPr>
              <w:jc w:val="both"/>
              <w:rPr>
                <w:rFonts w:eastAsia="Calibri"/>
                <w:sz w:val="20"/>
                <w:lang w:val="fr-CA"/>
              </w:rPr>
            </w:pPr>
            <w:r w:rsidRPr="00554DB2">
              <w:rPr>
                <w:rFonts w:eastAsia="Calibri"/>
                <w:sz w:val="20"/>
                <w:lang w:val="fr-CA"/>
              </w:rPr>
              <w:t>26 juillet 2012</w:t>
            </w:r>
          </w:p>
          <w:p w:rsidR="00C022A6" w:rsidRPr="00554DB2" w:rsidRDefault="00C022A6" w:rsidP="00266477">
            <w:pPr>
              <w:jc w:val="both"/>
              <w:rPr>
                <w:rFonts w:eastAsia="Calibri"/>
                <w:sz w:val="20"/>
                <w:lang w:val="fr-CA"/>
              </w:rPr>
            </w:pPr>
            <w:r w:rsidRPr="00554DB2">
              <w:rPr>
                <w:rFonts w:eastAsia="Calibri"/>
                <w:sz w:val="20"/>
                <w:lang w:val="fr-CA"/>
              </w:rPr>
              <w:t>Cour suprême du Canada</w:t>
            </w:r>
          </w:p>
        </w:tc>
        <w:tc>
          <w:tcPr>
            <w:tcW w:w="243" w:type="pct"/>
          </w:tcPr>
          <w:p w:rsidR="00C022A6" w:rsidRPr="00554DB2" w:rsidRDefault="00C022A6" w:rsidP="00266477">
            <w:pPr>
              <w:jc w:val="both"/>
              <w:rPr>
                <w:rFonts w:eastAsia="Calibri"/>
                <w:sz w:val="20"/>
                <w:lang w:val="fr-CA"/>
              </w:rPr>
            </w:pPr>
          </w:p>
        </w:tc>
        <w:tc>
          <w:tcPr>
            <w:tcW w:w="2330" w:type="pct"/>
          </w:tcPr>
          <w:p w:rsidR="00C022A6" w:rsidRPr="00554DB2" w:rsidRDefault="00C022A6" w:rsidP="00266477">
            <w:pPr>
              <w:jc w:val="both"/>
              <w:rPr>
                <w:rFonts w:eastAsia="Calibri"/>
                <w:sz w:val="20"/>
                <w:lang w:val="fr-CA"/>
              </w:rPr>
            </w:pPr>
            <w:r w:rsidRPr="00554DB2">
              <w:rPr>
                <w:rFonts w:eastAsia="Calibri"/>
                <w:sz w:val="20"/>
                <w:lang w:val="fr-CA"/>
              </w:rPr>
              <w:t>Demande d'autorisation d'appel, déposée</w:t>
            </w: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81"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10721" w:rsidRPr="005571F9" w:rsidTr="006B3BA7">
        <w:trPr>
          <w:cantSplit/>
        </w:trPr>
        <w:tc>
          <w:tcPr>
            <w:tcW w:w="1458" w:type="dxa"/>
          </w:tcPr>
          <w:p w:rsidR="00910721" w:rsidRPr="00E05D03" w:rsidRDefault="00910721" w:rsidP="006B3BA7">
            <w:pPr>
              <w:rPr>
                <w:sz w:val="20"/>
                <w:szCs w:val="20"/>
              </w:rPr>
            </w:pPr>
            <w:r w:rsidRPr="00E05D03">
              <w:rPr>
                <w:rStyle w:val="SCCFileNumberChar"/>
                <w:sz w:val="20"/>
                <w:szCs w:val="20"/>
              </w:rPr>
              <w:t>34921</w:t>
            </w:r>
          </w:p>
          <w:p w:rsidR="00910721" w:rsidRPr="00E05D03" w:rsidRDefault="00910721" w:rsidP="006B3BA7">
            <w:pPr>
              <w:rPr>
                <w:b/>
                <w:sz w:val="20"/>
                <w:szCs w:val="20"/>
                <w:lang w:val="fr-CA"/>
              </w:rPr>
            </w:pPr>
          </w:p>
        </w:tc>
        <w:tc>
          <w:tcPr>
            <w:tcW w:w="8118" w:type="dxa"/>
          </w:tcPr>
          <w:p w:rsidR="00910721" w:rsidRPr="00E05D03" w:rsidRDefault="00910721" w:rsidP="006B3BA7">
            <w:pPr>
              <w:jc w:val="both"/>
              <w:rPr>
                <w:sz w:val="20"/>
                <w:szCs w:val="20"/>
                <w:lang w:val="fr-CA"/>
              </w:rPr>
            </w:pPr>
            <w:r w:rsidRPr="00E05D03">
              <w:rPr>
                <w:rStyle w:val="SCCLsocChar"/>
                <w:sz w:val="20"/>
                <w:szCs w:val="20"/>
              </w:rPr>
              <w:t>Diane Bouchard c. Réjean Lebel, ès qualités de syndic adjoint</w:t>
            </w:r>
            <w:r>
              <w:rPr>
                <w:rStyle w:val="SCCLsocChar"/>
                <w:sz w:val="20"/>
                <w:szCs w:val="20"/>
              </w:rPr>
              <w:t xml:space="preserve"> et</w:t>
            </w:r>
            <w:r w:rsidRPr="00E05D03">
              <w:rPr>
                <w:rStyle w:val="SCCLsocChar"/>
                <w:sz w:val="20"/>
                <w:szCs w:val="20"/>
              </w:rPr>
              <w:t xml:space="preserve"> Comité de discipline de l'organisme d'autoréglementation du courtage immobilier du Québec</w:t>
            </w:r>
            <w:r w:rsidRPr="00E05D03">
              <w:rPr>
                <w:sz w:val="20"/>
                <w:szCs w:val="20"/>
                <w:lang w:val="fr-CA"/>
              </w:rPr>
              <w:t xml:space="preserve"> (Qc) (Civile) (Autorisation)</w:t>
            </w:r>
          </w:p>
          <w:p w:rsidR="00910721" w:rsidRPr="00E05D03" w:rsidRDefault="00910721" w:rsidP="006B3BA7">
            <w:pPr>
              <w:rPr>
                <w:sz w:val="20"/>
                <w:szCs w:val="20"/>
                <w:lang w:val="fr-CA"/>
              </w:rPr>
            </w:pPr>
          </w:p>
        </w:tc>
      </w:tr>
      <w:tr w:rsidR="00910721" w:rsidRPr="005571F9" w:rsidTr="006B3BA7">
        <w:trPr>
          <w:cantSplit/>
        </w:trPr>
        <w:tc>
          <w:tcPr>
            <w:tcW w:w="1458" w:type="dxa"/>
          </w:tcPr>
          <w:p w:rsidR="00910721" w:rsidRPr="00E05D03" w:rsidRDefault="00910721" w:rsidP="006B3BA7">
            <w:pPr>
              <w:rPr>
                <w:sz w:val="20"/>
                <w:szCs w:val="20"/>
              </w:rPr>
            </w:pPr>
            <w:r w:rsidRPr="00E05D03">
              <w:rPr>
                <w:sz w:val="20"/>
                <w:szCs w:val="20"/>
              </w:rPr>
              <w:t>Coram :</w:t>
            </w:r>
          </w:p>
        </w:tc>
        <w:tc>
          <w:tcPr>
            <w:tcW w:w="8118" w:type="dxa"/>
          </w:tcPr>
          <w:p w:rsidR="00910721" w:rsidRPr="00E05D03" w:rsidRDefault="00910721" w:rsidP="006B3BA7">
            <w:pPr>
              <w:rPr>
                <w:sz w:val="20"/>
                <w:szCs w:val="20"/>
                <w:lang w:val="fr-CA"/>
              </w:rPr>
            </w:pPr>
            <w:r w:rsidRPr="00E05D03">
              <w:rPr>
                <w:rStyle w:val="SCCCoramChar"/>
                <w:sz w:val="20"/>
                <w:szCs w:val="20"/>
              </w:rPr>
              <w:t>Les juges LeBel, Abella et Cromwell</w:t>
            </w:r>
          </w:p>
          <w:p w:rsidR="00910721" w:rsidRPr="00E05D03" w:rsidRDefault="00910721" w:rsidP="006B3BA7">
            <w:pPr>
              <w:rPr>
                <w:sz w:val="20"/>
                <w:szCs w:val="20"/>
                <w:u w:val="single"/>
                <w:lang w:val="fr-CA"/>
              </w:rPr>
            </w:pPr>
          </w:p>
        </w:tc>
      </w:tr>
      <w:tr w:rsidR="00910721" w:rsidRPr="00E05D03" w:rsidTr="006B3BA7">
        <w:trPr>
          <w:cantSplit/>
        </w:trPr>
        <w:tc>
          <w:tcPr>
            <w:tcW w:w="9576" w:type="dxa"/>
            <w:gridSpan w:val="2"/>
          </w:tcPr>
          <w:p w:rsidR="00910721" w:rsidRPr="00E05D03" w:rsidRDefault="00910721" w:rsidP="006B3BA7">
            <w:pPr>
              <w:pStyle w:val="SCCShortJudgment"/>
              <w:rPr>
                <w:szCs w:val="20"/>
                <w:lang w:val="fr-CA"/>
              </w:rPr>
            </w:pPr>
            <w:r w:rsidRPr="00E05D03">
              <w:rPr>
                <w:szCs w:val="20"/>
                <w:lang w:val="fr-CA"/>
              </w:rPr>
              <w:t>La requête visant à accélérer la procédure de  demande d’autorisation d’appel est rejetée. La demande d’autorisation d’appel de l’arrêt de la Cour d’appel du Québec (Montréal), numéro 500-09-022259-113, 2012 QCCA 1061, daté du 8 juin 2012, est rejetée avec dépens en faveur de l’intimé Réjean Lebel, ès qualités de syndic adjoint.</w:t>
            </w:r>
          </w:p>
          <w:p w:rsidR="00910721" w:rsidRPr="00E05D03" w:rsidRDefault="00910721" w:rsidP="006B3BA7">
            <w:pPr>
              <w:pStyle w:val="SCCShortJudgment"/>
              <w:ind w:firstLine="0"/>
              <w:rPr>
                <w:szCs w:val="20"/>
                <w:lang w:val="fr-CA"/>
              </w:rPr>
            </w:pPr>
          </w:p>
          <w:p w:rsidR="00910721" w:rsidRPr="00E05D03" w:rsidRDefault="00910721" w:rsidP="006B3BA7">
            <w:pPr>
              <w:pStyle w:val="SCCShortJudgment"/>
              <w:rPr>
                <w:szCs w:val="20"/>
              </w:rPr>
            </w:pPr>
            <w:r w:rsidRPr="00E05D03">
              <w:rPr>
                <w:szCs w:val="20"/>
              </w:rPr>
              <w:t>The motion to expedite the application for leave to appeal is dismissed. The application for leave to appeal from the judgment of the Court of Appeal of Quebec (Montréal), Number 500-09-022259-113, 2012 QCCA 1061, dated June 8, 2012, is dismissed with costs to the respondent Réjean Lebel, ès qualités de syndic adjoint.</w:t>
            </w:r>
          </w:p>
        </w:tc>
      </w:tr>
    </w:tbl>
    <w:p w:rsidR="00FA1074" w:rsidRDefault="00FA1074" w:rsidP="00FA1074">
      <w:pPr>
        <w:rPr>
          <w:sz w:val="20"/>
          <w:szCs w:val="20"/>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2EE0" w:rsidRPr="00554DB2" w:rsidTr="00266477">
        <w:tc>
          <w:tcPr>
            <w:tcW w:w="5000" w:type="pct"/>
            <w:gridSpan w:val="3"/>
          </w:tcPr>
          <w:p w:rsidR="00632EE0" w:rsidRPr="00554DB2" w:rsidRDefault="00632EE0" w:rsidP="00266477">
            <w:pPr>
              <w:jc w:val="both"/>
              <w:rPr>
                <w:rFonts w:eastAsia="Calibri"/>
                <w:sz w:val="20"/>
              </w:rPr>
            </w:pPr>
            <w:r w:rsidRPr="00554DB2">
              <w:rPr>
                <w:rFonts w:eastAsia="Calibri"/>
                <w:sz w:val="20"/>
              </w:rPr>
              <w:t xml:space="preserve">Law of professions — Real estate brokerage — Discipline — Real estate agent acting on own behalf threatening to no longer buy vendor’s property unless vendor reduced selling price — Agent found guilty of participating in act or practice which could cause prejudice to public or profession — Whether Court of Appeal should have allowed appeal — </w:t>
            </w:r>
            <w:r w:rsidRPr="00554DB2">
              <w:rPr>
                <w:rFonts w:eastAsia="Calibri"/>
                <w:i/>
                <w:sz w:val="20"/>
              </w:rPr>
              <w:t>Rules of professional ethics of the Association des courtiers et agents immobiliers du Québec</w:t>
            </w:r>
            <w:r w:rsidRPr="00554DB2">
              <w:rPr>
                <w:rFonts w:eastAsia="Calibri"/>
                <w:sz w:val="20"/>
              </w:rPr>
              <w:t>, R.R.Q., c. C</w:t>
            </w:r>
            <w:r w:rsidRPr="00554DB2">
              <w:rPr>
                <w:rFonts w:eastAsia="Calibri"/>
                <w:sz w:val="20"/>
              </w:rPr>
              <w:noBreakHyphen/>
              <w:t>73.1, r. 5, s. 13.</w:t>
            </w:r>
          </w:p>
        </w:tc>
      </w:tr>
      <w:tr w:rsidR="00632EE0" w:rsidRPr="00554DB2" w:rsidTr="00266477">
        <w:tc>
          <w:tcPr>
            <w:tcW w:w="5000" w:type="pct"/>
            <w:gridSpan w:val="3"/>
          </w:tcPr>
          <w:p w:rsidR="00632EE0" w:rsidRPr="00554DB2" w:rsidRDefault="00632EE0" w:rsidP="00266477">
            <w:pPr>
              <w:jc w:val="both"/>
              <w:rPr>
                <w:rFonts w:eastAsia="Calibri"/>
                <w:sz w:val="20"/>
              </w:rPr>
            </w:pPr>
          </w:p>
        </w:tc>
      </w:tr>
      <w:tr w:rsidR="00632EE0" w:rsidRPr="00554DB2" w:rsidTr="00266477">
        <w:tc>
          <w:tcPr>
            <w:tcW w:w="5000" w:type="pct"/>
            <w:gridSpan w:val="3"/>
          </w:tcPr>
          <w:p w:rsidR="00632EE0" w:rsidRPr="00554DB2" w:rsidRDefault="00632EE0" w:rsidP="00266477">
            <w:pPr>
              <w:jc w:val="both"/>
              <w:rPr>
                <w:rFonts w:eastAsia="Calibri"/>
                <w:sz w:val="20"/>
              </w:rPr>
            </w:pPr>
            <w:r w:rsidRPr="00554DB2">
              <w:rPr>
                <w:rFonts w:eastAsia="Calibri"/>
                <w:sz w:val="20"/>
              </w:rPr>
              <w:t xml:space="preserve">A disciplinary complaint signed by the respondent syndic was brought against the applicant Ms. Bouchard, an affiliated real estate agent.  She was charged with committing an offence under ss. 1 and 13 of the </w:t>
            </w:r>
            <w:r w:rsidRPr="00554DB2">
              <w:rPr>
                <w:rFonts w:eastAsia="Calibri"/>
                <w:i/>
                <w:sz w:val="20"/>
              </w:rPr>
              <w:t>Rules of professional ethics</w:t>
            </w:r>
            <w:r w:rsidRPr="00554DB2">
              <w:rPr>
                <w:rFonts w:eastAsia="Calibri"/>
                <w:sz w:val="20"/>
              </w:rPr>
              <w:t xml:space="preserve"> by threatening to no longer purchase a vendor’s property unless the vendor reduced the selling price, even though the promise to purchase and the counter</w:t>
            </w:r>
            <w:r w:rsidRPr="00554DB2">
              <w:rPr>
                <w:rFonts w:eastAsia="Calibri"/>
                <w:sz w:val="20"/>
              </w:rPr>
              <w:noBreakHyphen/>
              <w:t xml:space="preserve">proposal had been accepted by the parties.  Section 13 of the </w:t>
            </w:r>
            <w:r w:rsidRPr="00554DB2">
              <w:rPr>
                <w:rFonts w:eastAsia="Calibri"/>
                <w:i/>
                <w:sz w:val="20"/>
              </w:rPr>
              <w:t>Rules of professional ethics</w:t>
            </w:r>
            <w:r w:rsidRPr="00554DB2">
              <w:rPr>
                <w:rFonts w:eastAsia="Calibri"/>
                <w:sz w:val="20"/>
              </w:rPr>
              <w:t xml:space="preserve"> provides as follows: “A member shall not participate in any act or practice in real estate matters which </w:t>
            </w:r>
            <w:proofErr w:type="gramStart"/>
            <w:r w:rsidRPr="00554DB2">
              <w:rPr>
                <w:rFonts w:eastAsia="Calibri"/>
                <w:sz w:val="20"/>
              </w:rPr>
              <w:t>may .</w:t>
            </w:r>
            <w:proofErr w:type="gramEnd"/>
            <w:r w:rsidRPr="00554DB2">
              <w:rPr>
                <w:rFonts w:eastAsia="Calibri"/>
                <w:sz w:val="20"/>
              </w:rPr>
              <w:t> . . cause prejudice to the public or to the profession”.  The discipline committee of the Organisme d’autoréglementation du courtage immobilier du Québec concluded from the evidence that, by refusing to purchase as promised, Ms. Bouchard had sought to influence the price and had caused significant prejudice to the vendors, who had been caught off guard and had had to agree to the price reduction.  It found her guilty of contravening s. 13, ordered that her real estate broker’s licence be suspended for 90 days and fined her $3,000.</w:t>
            </w:r>
          </w:p>
          <w:p w:rsidR="00632EE0" w:rsidRPr="00554DB2" w:rsidRDefault="00632EE0" w:rsidP="00266477">
            <w:pPr>
              <w:jc w:val="both"/>
              <w:rPr>
                <w:rFonts w:eastAsia="Calibri"/>
                <w:sz w:val="20"/>
              </w:rPr>
            </w:pPr>
          </w:p>
          <w:p w:rsidR="00632EE0" w:rsidRPr="00554DB2" w:rsidRDefault="00632EE0" w:rsidP="00266477">
            <w:pPr>
              <w:jc w:val="both"/>
              <w:rPr>
                <w:rFonts w:eastAsia="Calibri"/>
                <w:sz w:val="20"/>
              </w:rPr>
            </w:pPr>
            <w:r w:rsidRPr="00554DB2">
              <w:rPr>
                <w:rFonts w:eastAsia="Calibri"/>
                <w:sz w:val="20"/>
              </w:rPr>
              <w:t>Ms. Bouchard appealed the discipline committee’s decision but was unsuccessful.  The Court of Québec dismissed the appeal at the preliminary stage.  The Court of Appeal dismissed the appeal on the ground that it was well established in the case law that a broker could be held to certain standards of conduct when purchasing on his or her own behalf.  As well, Ms. Bouchard had not shown any errors in assessing the evidence that made the committee’s findings of fact unreasonable.  Moreover, it was open to the committee to conclude that Ms. Bouchard’s acts had adversely affected the profession of broker.</w:t>
            </w:r>
          </w:p>
          <w:p w:rsidR="00632EE0" w:rsidRPr="00554DB2" w:rsidRDefault="00632EE0" w:rsidP="00266477">
            <w:pPr>
              <w:jc w:val="both"/>
              <w:rPr>
                <w:rFonts w:eastAsia="Calibri"/>
                <w:sz w:val="20"/>
              </w:rPr>
            </w:pPr>
          </w:p>
        </w:tc>
      </w:tr>
      <w:tr w:rsidR="00632EE0" w:rsidRPr="00554DB2" w:rsidTr="00266477">
        <w:tc>
          <w:tcPr>
            <w:tcW w:w="2427" w:type="pct"/>
          </w:tcPr>
          <w:p w:rsidR="00632EE0" w:rsidRPr="00554DB2" w:rsidRDefault="00632EE0" w:rsidP="00266477">
            <w:pPr>
              <w:jc w:val="both"/>
              <w:rPr>
                <w:rFonts w:eastAsia="Calibri"/>
                <w:sz w:val="20"/>
              </w:rPr>
            </w:pPr>
            <w:r w:rsidRPr="00554DB2">
              <w:rPr>
                <w:rFonts w:eastAsia="Calibri"/>
                <w:sz w:val="20"/>
              </w:rPr>
              <w:t>November 24, 2011</w:t>
            </w:r>
          </w:p>
          <w:p w:rsidR="00632EE0" w:rsidRPr="00554DB2" w:rsidRDefault="00632EE0" w:rsidP="00266477">
            <w:pPr>
              <w:jc w:val="both"/>
              <w:rPr>
                <w:rFonts w:eastAsia="Calibri"/>
                <w:sz w:val="20"/>
              </w:rPr>
            </w:pPr>
            <w:r w:rsidRPr="00554DB2">
              <w:rPr>
                <w:rFonts w:eastAsia="Calibri"/>
                <w:sz w:val="20"/>
              </w:rPr>
              <w:t>Court of Québec</w:t>
            </w:r>
          </w:p>
          <w:p w:rsidR="00632EE0" w:rsidRPr="00554DB2" w:rsidRDefault="00632EE0" w:rsidP="00266477">
            <w:pPr>
              <w:jc w:val="both"/>
              <w:rPr>
                <w:rFonts w:eastAsia="Calibri"/>
                <w:sz w:val="20"/>
              </w:rPr>
            </w:pPr>
            <w:r w:rsidRPr="00554DB2">
              <w:rPr>
                <w:rFonts w:eastAsia="Calibri"/>
                <w:sz w:val="20"/>
              </w:rPr>
              <w:t>(Judge Lareau)</w:t>
            </w:r>
          </w:p>
          <w:p w:rsidR="00632EE0" w:rsidRPr="00554DB2" w:rsidRDefault="00632EE0" w:rsidP="00266477">
            <w:pPr>
              <w:rPr>
                <w:bCs/>
                <w:color w:val="000000"/>
                <w:sz w:val="20"/>
              </w:rPr>
            </w:pPr>
            <w:r w:rsidRPr="00554DB2">
              <w:rPr>
                <w:bCs/>
                <w:color w:val="000000"/>
                <w:sz w:val="20"/>
              </w:rPr>
              <w:t>2011 QCCQ 15230</w:t>
            </w:r>
          </w:p>
          <w:p w:rsidR="00632EE0" w:rsidRPr="00554DB2" w:rsidRDefault="00632EE0" w:rsidP="00266477">
            <w:pPr>
              <w:jc w:val="both"/>
              <w:rPr>
                <w:rFonts w:eastAsia="Calibri"/>
                <w:sz w:val="20"/>
              </w:rPr>
            </w:pPr>
          </w:p>
        </w:tc>
        <w:tc>
          <w:tcPr>
            <w:tcW w:w="243" w:type="pct"/>
          </w:tcPr>
          <w:p w:rsidR="00632EE0" w:rsidRPr="00554DB2" w:rsidRDefault="00632EE0" w:rsidP="00266477">
            <w:pPr>
              <w:jc w:val="both"/>
              <w:rPr>
                <w:rFonts w:eastAsia="Calibri"/>
                <w:sz w:val="20"/>
              </w:rPr>
            </w:pPr>
          </w:p>
        </w:tc>
        <w:tc>
          <w:tcPr>
            <w:tcW w:w="2330" w:type="pct"/>
          </w:tcPr>
          <w:p w:rsidR="00632EE0" w:rsidRPr="00554DB2" w:rsidRDefault="00632EE0" w:rsidP="00266477">
            <w:pPr>
              <w:jc w:val="both"/>
              <w:rPr>
                <w:rFonts w:eastAsia="Calibri"/>
                <w:sz w:val="20"/>
              </w:rPr>
            </w:pPr>
            <w:r w:rsidRPr="00554DB2">
              <w:rPr>
                <w:rFonts w:eastAsia="Calibri"/>
                <w:sz w:val="20"/>
              </w:rPr>
              <w:t>Motion to dismiss appeal allowed</w:t>
            </w:r>
          </w:p>
          <w:p w:rsidR="00632EE0" w:rsidRPr="00554DB2" w:rsidRDefault="00632EE0" w:rsidP="00266477">
            <w:pPr>
              <w:jc w:val="both"/>
              <w:rPr>
                <w:rFonts w:eastAsia="Calibri"/>
                <w:sz w:val="20"/>
              </w:rPr>
            </w:pPr>
          </w:p>
        </w:tc>
      </w:tr>
      <w:tr w:rsidR="00632EE0" w:rsidRPr="00554DB2" w:rsidTr="00266477">
        <w:tc>
          <w:tcPr>
            <w:tcW w:w="2427" w:type="pct"/>
          </w:tcPr>
          <w:p w:rsidR="00632EE0" w:rsidRPr="00554DB2" w:rsidRDefault="00632EE0" w:rsidP="00266477">
            <w:pPr>
              <w:jc w:val="both"/>
              <w:rPr>
                <w:rFonts w:eastAsia="Calibri"/>
                <w:sz w:val="20"/>
              </w:rPr>
            </w:pPr>
            <w:r w:rsidRPr="00554DB2">
              <w:rPr>
                <w:rFonts w:eastAsia="Calibri"/>
                <w:sz w:val="20"/>
              </w:rPr>
              <w:t>June 8, 2012</w:t>
            </w:r>
          </w:p>
          <w:p w:rsidR="00632EE0" w:rsidRPr="00554DB2" w:rsidRDefault="00632EE0" w:rsidP="00266477">
            <w:pPr>
              <w:jc w:val="both"/>
              <w:rPr>
                <w:rFonts w:eastAsia="Calibri"/>
                <w:sz w:val="20"/>
              </w:rPr>
            </w:pPr>
            <w:r w:rsidRPr="00554DB2">
              <w:rPr>
                <w:rFonts w:eastAsia="Calibri"/>
                <w:sz w:val="20"/>
              </w:rPr>
              <w:t>Quebec Court of Appeal (Montréal)</w:t>
            </w:r>
          </w:p>
          <w:p w:rsidR="00632EE0" w:rsidRPr="00554DB2" w:rsidRDefault="00632EE0" w:rsidP="00266477">
            <w:pPr>
              <w:jc w:val="both"/>
              <w:rPr>
                <w:rFonts w:eastAsia="Calibri"/>
                <w:sz w:val="20"/>
              </w:rPr>
            </w:pPr>
            <w:r w:rsidRPr="00554DB2">
              <w:rPr>
                <w:rFonts w:eastAsia="Calibri"/>
                <w:sz w:val="20"/>
              </w:rPr>
              <w:t>(Dalphond, Doyon and Léger JJ.A.)</w:t>
            </w:r>
          </w:p>
          <w:p w:rsidR="00632EE0" w:rsidRPr="00554DB2" w:rsidRDefault="00632EE0" w:rsidP="00266477">
            <w:pPr>
              <w:jc w:val="both"/>
              <w:rPr>
                <w:rFonts w:eastAsia="Calibri"/>
                <w:color w:val="000000"/>
                <w:sz w:val="20"/>
              </w:rPr>
            </w:pPr>
            <w:bookmarkStart w:id="3" w:name="reflex-caselaw-10152350"/>
            <w:bookmarkEnd w:id="3"/>
            <w:r w:rsidRPr="00554DB2">
              <w:rPr>
                <w:rFonts w:eastAsia="Calibri"/>
                <w:color w:val="000000"/>
                <w:sz w:val="20"/>
              </w:rPr>
              <w:t>2012 QCCA 1061</w:t>
            </w:r>
          </w:p>
          <w:p w:rsidR="00632EE0" w:rsidRPr="00554DB2" w:rsidRDefault="00632EE0" w:rsidP="00266477">
            <w:pPr>
              <w:jc w:val="both"/>
              <w:rPr>
                <w:rFonts w:eastAsia="Calibri"/>
                <w:sz w:val="20"/>
              </w:rPr>
            </w:pPr>
          </w:p>
        </w:tc>
        <w:tc>
          <w:tcPr>
            <w:tcW w:w="243" w:type="pct"/>
          </w:tcPr>
          <w:p w:rsidR="00632EE0" w:rsidRPr="00554DB2" w:rsidRDefault="00632EE0" w:rsidP="00266477">
            <w:pPr>
              <w:jc w:val="both"/>
              <w:rPr>
                <w:rFonts w:eastAsia="Calibri"/>
                <w:sz w:val="20"/>
              </w:rPr>
            </w:pPr>
          </w:p>
        </w:tc>
        <w:tc>
          <w:tcPr>
            <w:tcW w:w="2330" w:type="pct"/>
          </w:tcPr>
          <w:p w:rsidR="00632EE0" w:rsidRPr="00554DB2" w:rsidRDefault="00632EE0" w:rsidP="00266477">
            <w:pPr>
              <w:jc w:val="both"/>
              <w:rPr>
                <w:rFonts w:eastAsia="Calibri"/>
                <w:sz w:val="20"/>
              </w:rPr>
            </w:pPr>
            <w:r w:rsidRPr="00554DB2">
              <w:rPr>
                <w:rFonts w:eastAsia="Calibri"/>
                <w:sz w:val="20"/>
              </w:rPr>
              <w:t>Appeal dismissed</w:t>
            </w:r>
          </w:p>
          <w:p w:rsidR="00632EE0" w:rsidRPr="00554DB2" w:rsidRDefault="00632EE0" w:rsidP="00266477">
            <w:pPr>
              <w:jc w:val="both"/>
              <w:rPr>
                <w:rFonts w:eastAsia="Calibri"/>
                <w:sz w:val="20"/>
              </w:rPr>
            </w:pPr>
          </w:p>
        </w:tc>
      </w:tr>
      <w:tr w:rsidR="00632EE0" w:rsidRPr="00554DB2" w:rsidTr="00266477">
        <w:tc>
          <w:tcPr>
            <w:tcW w:w="2427" w:type="pct"/>
          </w:tcPr>
          <w:p w:rsidR="00632EE0" w:rsidRPr="00554DB2" w:rsidRDefault="00632EE0" w:rsidP="00266477">
            <w:pPr>
              <w:jc w:val="both"/>
              <w:rPr>
                <w:rFonts w:eastAsia="Calibri"/>
                <w:sz w:val="20"/>
              </w:rPr>
            </w:pPr>
            <w:r w:rsidRPr="00554DB2">
              <w:rPr>
                <w:rFonts w:eastAsia="Calibri"/>
                <w:sz w:val="20"/>
              </w:rPr>
              <w:t>August 7, 2012</w:t>
            </w:r>
          </w:p>
          <w:p w:rsidR="00632EE0" w:rsidRPr="00554DB2" w:rsidRDefault="00632EE0" w:rsidP="00266477">
            <w:pPr>
              <w:jc w:val="both"/>
              <w:rPr>
                <w:rFonts w:eastAsia="Calibri"/>
                <w:sz w:val="20"/>
              </w:rPr>
            </w:pPr>
            <w:r w:rsidRPr="00554DB2">
              <w:rPr>
                <w:rFonts w:eastAsia="Calibri"/>
                <w:sz w:val="20"/>
              </w:rPr>
              <w:t>Supreme Court of Canada</w:t>
            </w:r>
          </w:p>
        </w:tc>
        <w:tc>
          <w:tcPr>
            <w:tcW w:w="243" w:type="pct"/>
          </w:tcPr>
          <w:p w:rsidR="00632EE0" w:rsidRPr="00554DB2" w:rsidRDefault="00632EE0" w:rsidP="00266477">
            <w:pPr>
              <w:jc w:val="both"/>
              <w:rPr>
                <w:rFonts w:eastAsia="Calibri"/>
                <w:sz w:val="20"/>
              </w:rPr>
            </w:pPr>
          </w:p>
        </w:tc>
        <w:tc>
          <w:tcPr>
            <w:tcW w:w="2330" w:type="pct"/>
          </w:tcPr>
          <w:p w:rsidR="00632EE0" w:rsidRPr="00554DB2" w:rsidRDefault="00632EE0" w:rsidP="00266477">
            <w:pPr>
              <w:jc w:val="both"/>
              <w:rPr>
                <w:rFonts w:eastAsia="Calibri"/>
                <w:sz w:val="20"/>
              </w:rPr>
            </w:pPr>
            <w:r w:rsidRPr="00554DB2">
              <w:rPr>
                <w:rFonts w:eastAsia="Calibri"/>
                <w:sz w:val="20"/>
              </w:rPr>
              <w:t>Application for leave to appeal filed</w:t>
            </w:r>
          </w:p>
          <w:p w:rsidR="00632EE0" w:rsidRPr="00554DB2" w:rsidRDefault="00632EE0" w:rsidP="00266477">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82"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2EE0" w:rsidRPr="00FA4E35" w:rsidTr="00266477">
        <w:tc>
          <w:tcPr>
            <w:tcW w:w="5000" w:type="pct"/>
            <w:gridSpan w:val="3"/>
          </w:tcPr>
          <w:p w:rsidR="00632EE0" w:rsidRPr="00554DB2" w:rsidRDefault="00632EE0" w:rsidP="00266477">
            <w:pPr>
              <w:jc w:val="both"/>
              <w:rPr>
                <w:rFonts w:eastAsia="Calibri"/>
                <w:sz w:val="20"/>
                <w:lang w:val="fr-CA"/>
              </w:rPr>
            </w:pPr>
            <w:r w:rsidRPr="00554DB2">
              <w:rPr>
                <w:rFonts w:eastAsia="Calibri"/>
                <w:sz w:val="20"/>
                <w:lang w:val="fr-CA"/>
              </w:rPr>
              <w:t>Droit des professions — Courtage immobilier — Discipline — Agent immobilier agissant pour lui</w:t>
            </w:r>
            <w:r w:rsidRPr="00554DB2">
              <w:rPr>
                <w:rFonts w:eastAsia="Calibri"/>
                <w:sz w:val="20"/>
                <w:lang w:val="fr-CA"/>
              </w:rPr>
              <w:noBreakHyphen/>
              <w:t>même menaçant de ne plus acheter la propriété d’un vendeur s’il ne lui accorde pas une réduction du prix de vente — Agent trouvé coupable d’avoir participé à un acte ou pratique qui peut porter préjudice au public ou à la profession — La Cour d’appel aurait</w:t>
            </w:r>
            <w:r w:rsidRPr="00554DB2">
              <w:rPr>
                <w:rFonts w:eastAsia="Calibri"/>
                <w:sz w:val="20"/>
                <w:lang w:val="fr-CA"/>
              </w:rPr>
              <w:noBreakHyphen/>
              <w:t xml:space="preserve">elle dû accueillir l’appel? — </w:t>
            </w:r>
            <w:r w:rsidRPr="00554DB2">
              <w:rPr>
                <w:rFonts w:eastAsia="Calibri"/>
                <w:i/>
                <w:sz w:val="20"/>
                <w:lang w:val="fr-CA"/>
              </w:rPr>
              <w:t>Règles de déontologie de l’Association des courtiers et agents immobiliers du Québec</w:t>
            </w:r>
            <w:r w:rsidRPr="00554DB2">
              <w:rPr>
                <w:rFonts w:eastAsia="Calibri"/>
                <w:sz w:val="20"/>
                <w:lang w:val="fr-CA"/>
              </w:rPr>
              <w:t>, R.R.Q., ch. C</w:t>
            </w:r>
            <w:r w:rsidRPr="00554DB2">
              <w:rPr>
                <w:rFonts w:eastAsia="Calibri"/>
                <w:sz w:val="20"/>
                <w:lang w:val="fr-CA"/>
              </w:rPr>
              <w:noBreakHyphen/>
              <w:t>73.1, r. 5, art. 13.</w:t>
            </w:r>
          </w:p>
        </w:tc>
      </w:tr>
      <w:tr w:rsidR="00632EE0" w:rsidRPr="00FA4E35" w:rsidTr="00266477">
        <w:tc>
          <w:tcPr>
            <w:tcW w:w="5000" w:type="pct"/>
            <w:gridSpan w:val="3"/>
          </w:tcPr>
          <w:p w:rsidR="00632EE0" w:rsidRPr="00554DB2" w:rsidRDefault="00632EE0" w:rsidP="00266477">
            <w:pPr>
              <w:jc w:val="both"/>
              <w:rPr>
                <w:rFonts w:eastAsia="Calibri"/>
                <w:sz w:val="20"/>
                <w:lang w:val="fr-CA"/>
              </w:rPr>
            </w:pPr>
          </w:p>
        </w:tc>
      </w:tr>
      <w:tr w:rsidR="00632EE0" w:rsidRPr="005571F9" w:rsidTr="00266477">
        <w:tc>
          <w:tcPr>
            <w:tcW w:w="5000" w:type="pct"/>
            <w:gridSpan w:val="3"/>
          </w:tcPr>
          <w:p w:rsidR="00632EE0" w:rsidRPr="00554DB2" w:rsidRDefault="00632EE0" w:rsidP="00266477">
            <w:pPr>
              <w:jc w:val="both"/>
              <w:rPr>
                <w:rFonts w:eastAsia="Calibri"/>
                <w:sz w:val="20"/>
                <w:lang w:val="fr-CA"/>
              </w:rPr>
            </w:pPr>
            <w:r w:rsidRPr="00554DB2">
              <w:rPr>
                <w:rFonts w:eastAsia="Calibri"/>
                <w:sz w:val="20"/>
                <w:lang w:val="fr-CA"/>
              </w:rPr>
              <w:t xml:space="preserve">La demanderesse, Mme Bouchard, agent immobilier affilié, a fait l’objet d’une plainte disciplinaire signée par le syndic intimé.  Elle est accusée d’avoir commis une infraction prévue </w:t>
            </w:r>
            <w:proofErr w:type="gramStart"/>
            <w:r w:rsidRPr="00554DB2">
              <w:rPr>
                <w:rFonts w:eastAsia="Calibri"/>
                <w:sz w:val="20"/>
                <w:lang w:val="fr-CA"/>
              </w:rPr>
              <w:t>aux art</w:t>
            </w:r>
            <w:proofErr w:type="gramEnd"/>
            <w:r w:rsidRPr="00554DB2">
              <w:rPr>
                <w:rFonts w:eastAsia="Calibri"/>
                <w:sz w:val="20"/>
                <w:lang w:val="fr-CA"/>
              </w:rPr>
              <w:t xml:space="preserve">. 1 et 13 des </w:t>
            </w:r>
            <w:r w:rsidRPr="00554DB2">
              <w:rPr>
                <w:rFonts w:eastAsia="Calibri"/>
                <w:i/>
                <w:sz w:val="20"/>
                <w:lang w:val="fr-CA"/>
              </w:rPr>
              <w:t xml:space="preserve">Règles de déontologie </w:t>
            </w:r>
            <w:r w:rsidRPr="00554DB2">
              <w:rPr>
                <w:rFonts w:eastAsia="Calibri"/>
                <w:sz w:val="20"/>
                <w:lang w:val="fr-CA"/>
              </w:rPr>
              <w:t>en menaçant de ne plus acheter la propriété d’un vendeur s’il ne lui accordait pas une réduction du prix de vente, et ce, alors que la promesse d’achat et la contre</w:t>
            </w:r>
            <w:r w:rsidRPr="00554DB2">
              <w:rPr>
                <w:rFonts w:eastAsia="Calibri"/>
                <w:sz w:val="20"/>
                <w:lang w:val="fr-CA"/>
              </w:rPr>
              <w:noBreakHyphen/>
              <w:t xml:space="preserve">proposition avaient été acceptées par les parties.  L’article 13 des </w:t>
            </w:r>
            <w:r w:rsidRPr="00554DB2">
              <w:rPr>
                <w:rFonts w:eastAsia="Calibri"/>
                <w:i/>
                <w:sz w:val="20"/>
                <w:lang w:val="fr-CA"/>
              </w:rPr>
              <w:t>Règles de déontologie</w:t>
            </w:r>
            <w:r w:rsidRPr="00554DB2">
              <w:rPr>
                <w:rFonts w:eastAsia="Calibri"/>
                <w:sz w:val="20"/>
                <w:lang w:val="fr-CA"/>
              </w:rPr>
              <w:t xml:space="preserve"> prévoit que « Le membre ne doit participer à aucun acte ou pratique, en matière immobilière, qui puisse [. . .] porter préjudice au public ou à la profession ».  Le Comité de discipline de l’Organisme d’autoréglementation du courtage immobilier du Québec retient de la preuve qu’en refusant d’acheter comme promis, Mme Bouchard a voulu influencer le prix et a causé un préjudice important aux vendeurs, qui ont été pris au dépourvu et ont dû consentir à la réduction du prix.  Il la déclare coupable d’avoir contrevenu à l’art. 13, ordonne la suspension de son permis de courtier immobilier pour une période de 90 jours et lui impose une amende de 3 000 $.</w:t>
            </w:r>
          </w:p>
          <w:p w:rsidR="00632EE0" w:rsidRPr="00554DB2" w:rsidRDefault="00632EE0" w:rsidP="00266477">
            <w:pPr>
              <w:jc w:val="both"/>
              <w:rPr>
                <w:rFonts w:eastAsia="Calibri"/>
                <w:sz w:val="20"/>
                <w:lang w:val="fr-CA"/>
              </w:rPr>
            </w:pPr>
          </w:p>
          <w:p w:rsidR="00632EE0" w:rsidRPr="00554DB2" w:rsidRDefault="00632EE0" w:rsidP="00266477">
            <w:pPr>
              <w:jc w:val="both"/>
              <w:rPr>
                <w:rFonts w:eastAsia="Calibri"/>
                <w:sz w:val="20"/>
                <w:lang w:val="fr-CA"/>
              </w:rPr>
            </w:pPr>
            <w:r w:rsidRPr="00554DB2">
              <w:rPr>
                <w:rFonts w:eastAsia="Calibri"/>
                <w:sz w:val="20"/>
                <w:lang w:val="fr-CA"/>
              </w:rPr>
              <w:t>Madame Bouchard porte le jugement du Comité de discipline en appel, mais en vain.  La Cour du Québec rejette l’appel au stade préliminaire, et la Cour d’appel rejette l’appel au motif qu’il est bien établi en jurisprudence qu’un courtier peut être tenu à certaines normes de comportement lorsqu’il achète pour lui</w:t>
            </w:r>
            <w:r w:rsidRPr="00554DB2">
              <w:rPr>
                <w:rFonts w:eastAsia="Calibri"/>
                <w:sz w:val="20"/>
                <w:lang w:val="fr-CA"/>
              </w:rPr>
              <w:noBreakHyphen/>
              <w:t>même.  De plus, Mme Bouchard n’a pas démontré d’erreurs dans l’appréciation de la preuve rendant les conclusions factuelles du comité déraisonnables.  D’ailleurs, il était loisible au comité de conclure que les actes de Mme Bouchard nuisent à la profession de courtier</w:t>
            </w:r>
          </w:p>
          <w:p w:rsidR="00632EE0" w:rsidRPr="00554DB2" w:rsidRDefault="00632EE0" w:rsidP="00266477">
            <w:pPr>
              <w:jc w:val="both"/>
              <w:rPr>
                <w:rFonts w:eastAsia="Calibri"/>
                <w:sz w:val="20"/>
                <w:lang w:val="fr-CA"/>
              </w:rPr>
            </w:pPr>
          </w:p>
        </w:tc>
      </w:tr>
      <w:tr w:rsidR="00632EE0" w:rsidRPr="00554DB2" w:rsidTr="00266477">
        <w:tc>
          <w:tcPr>
            <w:tcW w:w="2427" w:type="pct"/>
          </w:tcPr>
          <w:p w:rsidR="00632EE0" w:rsidRPr="00554DB2" w:rsidRDefault="00632EE0" w:rsidP="00266477">
            <w:pPr>
              <w:jc w:val="both"/>
              <w:rPr>
                <w:rFonts w:eastAsia="Calibri"/>
                <w:sz w:val="20"/>
                <w:lang w:val="fr-CA"/>
              </w:rPr>
            </w:pPr>
            <w:r w:rsidRPr="00554DB2">
              <w:rPr>
                <w:rFonts w:eastAsia="Calibri"/>
                <w:sz w:val="20"/>
                <w:lang w:val="fr-CA"/>
              </w:rPr>
              <w:t>Le 24 novembre 2011</w:t>
            </w:r>
          </w:p>
          <w:p w:rsidR="00632EE0" w:rsidRPr="00554DB2" w:rsidRDefault="00632EE0" w:rsidP="00266477">
            <w:pPr>
              <w:jc w:val="both"/>
              <w:rPr>
                <w:rFonts w:eastAsia="Calibri"/>
                <w:sz w:val="20"/>
                <w:lang w:val="fr-CA"/>
              </w:rPr>
            </w:pPr>
            <w:r w:rsidRPr="00554DB2">
              <w:rPr>
                <w:rFonts w:eastAsia="Calibri"/>
                <w:sz w:val="20"/>
                <w:lang w:val="fr-CA"/>
              </w:rPr>
              <w:t>Cour du Québec</w:t>
            </w:r>
          </w:p>
          <w:p w:rsidR="00632EE0" w:rsidRPr="00554DB2" w:rsidRDefault="00632EE0" w:rsidP="00266477">
            <w:pPr>
              <w:jc w:val="both"/>
              <w:rPr>
                <w:rFonts w:eastAsia="Calibri"/>
                <w:sz w:val="20"/>
                <w:lang w:val="fr-CA"/>
              </w:rPr>
            </w:pPr>
            <w:r w:rsidRPr="00554DB2">
              <w:rPr>
                <w:rFonts w:eastAsia="Calibri"/>
                <w:sz w:val="20"/>
                <w:lang w:val="fr-CA"/>
              </w:rPr>
              <w:t>(Le juge Lareau)</w:t>
            </w:r>
          </w:p>
          <w:p w:rsidR="00632EE0" w:rsidRPr="00554DB2" w:rsidRDefault="00632EE0" w:rsidP="00266477">
            <w:pPr>
              <w:rPr>
                <w:bCs/>
                <w:color w:val="000000"/>
                <w:sz w:val="20"/>
                <w:lang w:val="fr-CA"/>
              </w:rPr>
            </w:pPr>
            <w:r w:rsidRPr="00554DB2">
              <w:rPr>
                <w:bCs/>
                <w:color w:val="000000"/>
                <w:sz w:val="20"/>
                <w:lang w:val="fr-CA"/>
              </w:rPr>
              <w:t>2011 QCCQ 15230</w:t>
            </w:r>
          </w:p>
          <w:p w:rsidR="00632EE0" w:rsidRPr="00554DB2" w:rsidRDefault="00632EE0" w:rsidP="00266477">
            <w:pPr>
              <w:jc w:val="both"/>
              <w:rPr>
                <w:rFonts w:eastAsia="Calibri"/>
                <w:sz w:val="20"/>
                <w:lang w:val="fr-CA"/>
              </w:rPr>
            </w:pPr>
          </w:p>
        </w:tc>
        <w:tc>
          <w:tcPr>
            <w:tcW w:w="243" w:type="pct"/>
          </w:tcPr>
          <w:p w:rsidR="00632EE0" w:rsidRPr="00554DB2" w:rsidRDefault="00632EE0" w:rsidP="00266477">
            <w:pPr>
              <w:jc w:val="both"/>
              <w:rPr>
                <w:rFonts w:eastAsia="Calibri"/>
                <w:sz w:val="20"/>
                <w:lang w:val="fr-CA"/>
              </w:rPr>
            </w:pPr>
          </w:p>
        </w:tc>
        <w:tc>
          <w:tcPr>
            <w:tcW w:w="2330" w:type="pct"/>
          </w:tcPr>
          <w:p w:rsidR="00632EE0" w:rsidRPr="00554DB2" w:rsidRDefault="00632EE0" w:rsidP="00266477">
            <w:pPr>
              <w:jc w:val="both"/>
              <w:rPr>
                <w:rFonts w:eastAsia="Calibri"/>
                <w:sz w:val="20"/>
                <w:lang w:val="fr-CA"/>
              </w:rPr>
            </w:pPr>
            <w:r w:rsidRPr="00554DB2">
              <w:rPr>
                <w:rFonts w:eastAsia="Calibri"/>
                <w:sz w:val="20"/>
                <w:lang w:val="fr-CA"/>
              </w:rPr>
              <w:t>Requête en rejet d’appel accueillie</w:t>
            </w:r>
          </w:p>
          <w:p w:rsidR="00632EE0" w:rsidRPr="00554DB2" w:rsidRDefault="00632EE0" w:rsidP="00266477">
            <w:pPr>
              <w:jc w:val="both"/>
              <w:rPr>
                <w:rFonts w:eastAsia="Calibri"/>
                <w:sz w:val="20"/>
                <w:lang w:val="fr-CA"/>
              </w:rPr>
            </w:pPr>
          </w:p>
        </w:tc>
      </w:tr>
      <w:tr w:rsidR="00632EE0" w:rsidRPr="00554DB2" w:rsidTr="00266477">
        <w:tc>
          <w:tcPr>
            <w:tcW w:w="2427" w:type="pct"/>
          </w:tcPr>
          <w:p w:rsidR="00632EE0" w:rsidRPr="00554DB2" w:rsidRDefault="00632EE0" w:rsidP="00266477">
            <w:pPr>
              <w:jc w:val="both"/>
              <w:rPr>
                <w:rFonts w:eastAsia="Calibri"/>
                <w:sz w:val="20"/>
                <w:lang w:val="fr-CA"/>
              </w:rPr>
            </w:pPr>
            <w:r w:rsidRPr="00554DB2">
              <w:rPr>
                <w:rFonts w:eastAsia="Calibri"/>
                <w:sz w:val="20"/>
                <w:lang w:val="fr-CA"/>
              </w:rPr>
              <w:t>Le 8 juin 2012</w:t>
            </w:r>
          </w:p>
          <w:p w:rsidR="00632EE0" w:rsidRPr="00554DB2" w:rsidRDefault="00632EE0" w:rsidP="00266477">
            <w:pPr>
              <w:jc w:val="both"/>
              <w:rPr>
                <w:rFonts w:eastAsia="Calibri"/>
                <w:sz w:val="20"/>
                <w:lang w:val="fr-CA"/>
              </w:rPr>
            </w:pPr>
            <w:r w:rsidRPr="00554DB2">
              <w:rPr>
                <w:rFonts w:eastAsia="Calibri"/>
                <w:sz w:val="20"/>
                <w:lang w:val="fr-CA"/>
              </w:rPr>
              <w:t>Cour d’appel du Québec (Montréal)</w:t>
            </w:r>
          </w:p>
          <w:p w:rsidR="00632EE0" w:rsidRPr="00554DB2" w:rsidRDefault="00632EE0" w:rsidP="00266477">
            <w:pPr>
              <w:jc w:val="both"/>
              <w:rPr>
                <w:rFonts w:eastAsia="Calibri"/>
                <w:sz w:val="20"/>
                <w:lang w:val="fr-CA"/>
              </w:rPr>
            </w:pPr>
            <w:r w:rsidRPr="00554DB2">
              <w:rPr>
                <w:rFonts w:eastAsia="Calibri"/>
                <w:sz w:val="20"/>
                <w:lang w:val="fr-CA"/>
              </w:rPr>
              <w:t>(Les juges Dalphond, Doyon et Léger)</w:t>
            </w:r>
          </w:p>
          <w:p w:rsidR="00632EE0" w:rsidRPr="00554DB2" w:rsidRDefault="00632EE0" w:rsidP="00266477">
            <w:pPr>
              <w:jc w:val="both"/>
              <w:rPr>
                <w:rFonts w:eastAsia="Calibri"/>
                <w:color w:val="000000"/>
                <w:sz w:val="20"/>
                <w:lang w:val="fr-CA"/>
              </w:rPr>
            </w:pPr>
            <w:r w:rsidRPr="00554DB2">
              <w:rPr>
                <w:rFonts w:eastAsia="Calibri"/>
                <w:color w:val="000000"/>
                <w:sz w:val="20"/>
                <w:lang w:val="fr-CA"/>
              </w:rPr>
              <w:t>2012 QCCA 1061</w:t>
            </w:r>
          </w:p>
          <w:p w:rsidR="00632EE0" w:rsidRPr="00554DB2" w:rsidRDefault="00632EE0" w:rsidP="00266477">
            <w:pPr>
              <w:jc w:val="both"/>
              <w:rPr>
                <w:rFonts w:eastAsia="Calibri"/>
                <w:sz w:val="20"/>
                <w:lang w:val="fr-CA"/>
              </w:rPr>
            </w:pPr>
          </w:p>
        </w:tc>
        <w:tc>
          <w:tcPr>
            <w:tcW w:w="243" w:type="pct"/>
          </w:tcPr>
          <w:p w:rsidR="00632EE0" w:rsidRPr="00554DB2" w:rsidRDefault="00632EE0" w:rsidP="00266477">
            <w:pPr>
              <w:jc w:val="both"/>
              <w:rPr>
                <w:rFonts w:eastAsia="Calibri"/>
                <w:sz w:val="20"/>
                <w:lang w:val="fr-CA"/>
              </w:rPr>
            </w:pPr>
          </w:p>
        </w:tc>
        <w:tc>
          <w:tcPr>
            <w:tcW w:w="2330" w:type="pct"/>
          </w:tcPr>
          <w:p w:rsidR="00632EE0" w:rsidRPr="00554DB2" w:rsidRDefault="00632EE0" w:rsidP="00266477">
            <w:pPr>
              <w:jc w:val="both"/>
              <w:rPr>
                <w:rFonts w:eastAsia="Calibri"/>
                <w:sz w:val="20"/>
                <w:lang w:val="fr-CA"/>
              </w:rPr>
            </w:pPr>
            <w:r w:rsidRPr="00554DB2">
              <w:rPr>
                <w:rFonts w:eastAsia="Calibri"/>
                <w:sz w:val="20"/>
                <w:lang w:val="fr-CA"/>
              </w:rPr>
              <w:t>Appel rejeté</w:t>
            </w:r>
          </w:p>
          <w:p w:rsidR="00632EE0" w:rsidRPr="00554DB2" w:rsidRDefault="00632EE0" w:rsidP="00266477">
            <w:pPr>
              <w:jc w:val="both"/>
              <w:rPr>
                <w:rFonts w:eastAsia="Calibri"/>
                <w:sz w:val="20"/>
                <w:lang w:val="fr-CA"/>
              </w:rPr>
            </w:pPr>
          </w:p>
        </w:tc>
      </w:tr>
      <w:tr w:rsidR="00632EE0" w:rsidRPr="00554DB2" w:rsidTr="00266477">
        <w:tc>
          <w:tcPr>
            <w:tcW w:w="2427" w:type="pct"/>
          </w:tcPr>
          <w:p w:rsidR="00632EE0" w:rsidRPr="00554DB2" w:rsidRDefault="00632EE0" w:rsidP="00266477">
            <w:pPr>
              <w:jc w:val="both"/>
              <w:rPr>
                <w:rFonts w:eastAsia="Calibri"/>
                <w:sz w:val="20"/>
                <w:lang w:val="fr-CA"/>
              </w:rPr>
            </w:pPr>
            <w:r w:rsidRPr="00554DB2">
              <w:rPr>
                <w:rFonts w:eastAsia="Calibri"/>
                <w:sz w:val="20"/>
                <w:lang w:val="fr-CA"/>
              </w:rPr>
              <w:t>Le 7 août 2012</w:t>
            </w:r>
          </w:p>
          <w:p w:rsidR="00632EE0" w:rsidRPr="00554DB2" w:rsidRDefault="00632EE0" w:rsidP="00266477">
            <w:pPr>
              <w:jc w:val="both"/>
              <w:rPr>
                <w:rFonts w:eastAsia="Calibri"/>
                <w:sz w:val="20"/>
                <w:lang w:val="fr-CA"/>
              </w:rPr>
            </w:pPr>
            <w:r w:rsidRPr="00554DB2">
              <w:rPr>
                <w:rFonts w:eastAsia="Calibri"/>
                <w:sz w:val="20"/>
                <w:lang w:val="fr-CA"/>
              </w:rPr>
              <w:t>Cour suprême du Canada</w:t>
            </w:r>
          </w:p>
        </w:tc>
        <w:tc>
          <w:tcPr>
            <w:tcW w:w="243" w:type="pct"/>
          </w:tcPr>
          <w:p w:rsidR="00632EE0" w:rsidRPr="00554DB2" w:rsidRDefault="00632EE0" w:rsidP="00266477">
            <w:pPr>
              <w:jc w:val="both"/>
              <w:rPr>
                <w:rFonts w:eastAsia="Calibri"/>
                <w:sz w:val="20"/>
                <w:lang w:val="fr-CA"/>
              </w:rPr>
            </w:pPr>
          </w:p>
        </w:tc>
        <w:tc>
          <w:tcPr>
            <w:tcW w:w="2330" w:type="pct"/>
          </w:tcPr>
          <w:p w:rsidR="00632EE0" w:rsidRPr="00554DB2" w:rsidRDefault="00632EE0" w:rsidP="00266477">
            <w:pPr>
              <w:jc w:val="both"/>
              <w:rPr>
                <w:rFonts w:eastAsia="Calibri"/>
                <w:sz w:val="20"/>
                <w:lang w:val="fr-CA"/>
              </w:rPr>
            </w:pPr>
            <w:r w:rsidRPr="00554DB2">
              <w:rPr>
                <w:rFonts w:eastAsia="Calibri"/>
                <w:sz w:val="20"/>
                <w:lang w:val="fr-CA"/>
              </w:rPr>
              <w:t>Demande d'autorisation d'appel déposée</w:t>
            </w:r>
          </w:p>
        </w:tc>
      </w:tr>
    </w:tbl>
    <w:p w:rsidR="00FA1074" w:rsidRDefault="00FA1074" w:rsidP="00FA1074">
      <w:pPr>
        <w:rPr>
          <w:sz w:val="20"/>
          <w:szCs w:val="20"/>
        </w:rPr>
      </w:pPr>
    </w:p>
    <w:p w:rsidR="00FA1074" w:rsidRDefault="002048ED" w:rsidP="00FA1074">
      <w:pPr>
        <w:rPr>
          <w:sz w:val="20"/>
          <w:szCs w:val="20"/>
        </w:rPr>
      </w:pPr>
      <w:r w:rsidRPr="002048ED">
        <w:rPr>
          <w:sz w:val="20"/>
          <w:szCs w:val="20"/>
          <w:lang w:val="fr-CA"/>
        </w:rPr>
        <w:pict>
          <v:rect id="_x0000_i1083" style="width:2in;height:1pt" o:hrpct="0" o:hralign="center" o:hrstd="t" o:hrnoshade="t" o:hr="t" fillcolor="black [3213]" stroked="f"/>
        </w:pict>
      </w:r>
    </w:p>
    <w:p w:rsidR="00FA1074" w:rsidRDefault="00FA1074"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10721" w:rsidRPr="00E05D03" w:rsidTr="006B3BA7">
        <w:trPr>
          <w:cantSplit/>
        </w:trPr>
        <w:tc>
          <w:tcPr>
            <w:tcW w:w="1458" w:type="dxa"/>
          </w:tcPr>
          <w:p w:rsidR="00910721" w:rsidRPr="00E05D03" w:rsidRDefault="00910721" w:rsidP="006B3BA7">
            <w:pPr>
              <w:rPr>
                <w:sz w:val="20"/>
                <w:szCs w:val="20"/>
              </w:rPr>
            </w:pPr>
            <w:r w:rsidRPr="00E05D03">
              <w:rPr>
                <w:rStyle w:val="SCCFileNumberChar"/>
                <w:sz w:val="20"/>
                <w:szCs w:val="20"/>
              </w:rPr>
              <w:t>34922</w:t>
            </w:r>
          </w:p>
          <w:p w:rsidR="00910721" w:rsidRPr="00E05D03" w:rsidRDefault="00910721" w:rsidP="006B3BA7">
            <w:pPr>
              <w:rPr>
                <w:b/>
                <w:sz w:val="20"/>
                <w:szCs w:val="20"/>
                <w:lang w:val="fr-CA"/>
              </w:rPr>
            </w:pPr>
          </w:p>
        </w:tc>
        <w:tc>
          <w:tcPr>
            <w:tcW w:w="8118" w:type="dxa"/>
          </w:tcPr>
          <w:p w:rsidR="00910721" w:rsidRPr="00E05D03" w:rsidRDefault="00910721" w:rsidP="006B3BA7">
            <w:pPr>
              <w:rPr>
                <w:sz w:val="20"/>
                <w:szCs w:val="20"/>
              </w:rPr>
            </w:pPr>
            <w:r w:rsidRPr="00910721">
              <w:rPr>
                <w:rStyle w:val="SCCLsocChar"/>
                <w:sz w:val="20"/>
                <w:szCs w:val="20"/>
                <w:lang w:val="en-CA"/>
              </w:rPr>
              <w:t>Marianne Martha Lush v. Douglas George Connell</w:t>
            </w:r>
            <w:r w:rsidRPr="00E05D03">
              <w:rPr>
                <w:sz w:val="20"/>
                <w:szCs w:val="20"/>
              </w:rPr>
              <w:t xml:space="preserve"> (B.C.) (Civil) (By Leave)</w:t>
            </w:r>
          </w:p>
          <w:p w:rsidR="00910721" w:rsidRPr="00E05D03" w:rsidRDefault="00910721" w:rsidP="006B3BA7">
            <w:pPr>
              <w:rPr>
                <w:sz w:val="20"/>
                <w:szCs w:val="20"/>
              </w:rPr>
            </w:pPr>
          </w:p>
        </w:tc>
      </w:tr>
      <w:tr w:rsidR="00910721" w:rsidRPr="00E05D03" w:rsidTr="006B3BA7">
        <w:trPr>
          <w:cantSplit/>
        </w:trPr>
        <w:tc>
          <w:tcPr>
            <w:tcW w:w="1458" w:type="dxa"/>
          </w:tcPr>
          <w:p w:rsidR="00910721" w:rsidRPr="00E05D03" w:rsidRDefault="00910721" w:rsidP="006B3BA7">
            <w:pPr>
              <w:rPr>
                <w:sz w:val="20"/>
                <w:szCs w:val="20"/>
              </w:rPr>
            </w:pPr>
            <w:r w:rsidRPr="00E05D03">
              <w:rPr>
                <w:sz w:val="20"/>
                <w:szCs w:val="20"/>
              </w:rPr>
              <w:t>Coram :</w:t>
            </w:r>
          </w:p>
        </w:tc>
        <w:tc>
          <w:tcPr>
            <w:tcW w:w="8118" w:type="dxa"/>
          </w:tcPr>
          <w:p w:rsidR="00910721" w:rsidRPr="00E05D03" w:rsidRDefault="00910721" w:rsidP="006B3BA7">
            <w:pPr>
              <w:rPr>
                <w:sz w:val="20"/>
                <w:szCs w:val="20"/>
              </w:rPr>
            </w:pPr>
            <w:r w:rsidRPr="00910721">
              <w:rPr>
                <w:rStyle w:val="SCCCoramChar"/>
                <w:sz w:val="20"/>
                <w:szCs w:val="20"/>
                <w:lang w:val="en-CA"/>
              </w:rPr>
              <w:t>Fish, Rothstein and Karakatsanis JJ.</w:t>
            </w:r>
          </w:p>
          <w:p w:rsidR="00910721" w:rsidRPr="00E05D03" w:rsidRDefault="00910721" w:rsidP="006B3BA7">
            <w:pPr>
              <w:rPr>
                <w:sz w:val="20"/>
                <w:szCs w:val="20"/>
                <w:u w:val="single"/>
              </w:rPr>
            </w:pPr>
          </w:p>
        </w:tc>
      </w:tr>
      <w:tr w:rsidR="00910721" w:rsidRPr="005571F9" w:rsidTr="006B3BA7">
        <w:trPr>
          <w:cantSplit/>
        </w:trPr>
        <w:tc>
          <w:tcPr>
            <w:tcW w:w="9576" w:type="dxa"/>
            <w:gridSpan w:val="2"/>
          </w:tcPr>
          <w:p w:rsidR="00910721" w:rsidRPr="00E05D03" w:rsidRDefault="00910721" w:rsidP="006B3BA7">
            <w:pPr>
              <w:pStyle w:val="SCCShortJudgment"/>
              <w:rPr>
                <w:szCs w:val="20"/>
              </w:rPr>
            </w:pPr>
            <w:r w:rsidRPr="00E05D03">
              <w:rPr>
                <w:szCs w:val="20"/>
              </w:rPr>
              <w:t>The application for leave to appeal from the judgment of the Court of Appeal for British Columbia (Vancouver), Number CA038826, 2012 BCCA 203, dated May 10, 2012, is dismissed with costs.</w:t>
            </w:r>
          </w:p>
          <w:p w:rsidR="00910721" w:rsidRPr="00E05D03" w:rsidRDefault="00910721" w:rsidP="006B3BA7">
            <w:pPr>
              <w:pStyle w:val="SCCShortJudgment"/>
              <w:ind w:firstLine="0"/>
              <w:rPr>
                <w:szCs w:val="20"/>
              </w:rPr>
            </w:pPr>
          </w:p>
          <w:p w:rsidR="00910721" w:rsidRPr="00E05D03" w:rsidRDefault="00910721" w:rsidP="006B3BA7">
            <w:pPr>
              <w:pStyle w:val="SCCShortJudgment"/>
              <w:rPr>
                <w:szCs w:val="20"/>
                <w:lang w:val="fr-CA"/>
              </w:rPr>
            </w:pPr>
            <w:r w:rsidRPr="00E05D03">
              <w:rPr>
                <w:szCs w:val="20"/>
                <w:lang w:val="fr-CA"/>
              </w:rPr>
              <w:t>La demande d’autorisation d’appel de l’arrêt de la Cour d’appel de la Colombie-Britannique (Vancouver), numéro CA038826, 2012 BCCA 203, daté du 10 mai 2012, est rejetée avec dépens.</w:t>
            </w:r>
          </w:p>
        </w:tc>
      </w:tr>
    </w:tbl>
    <w:p w:rsidR="00FA1074" w:rsidRPr="00910721" w:rsidRDefault="00FA1074" w:rsidP="00FA1074">
      <w:pPr>
        <w:rPr>
          <w:sz w:val="20"/>
          <w:szCs w:val="20"/>
          <w:lang w:val="fr-CA"/>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32EE0" w:rsidRPr="00554DB2" w:rsidTr="00266477">
        <w:tc>
          <w:tcPr>
            <w:tcW w:w="5000" w:type="pct"/>
            <w:gridSpan w:val="3"/>
          </w:tcPr>
          <w:p w:rsidR="00632EE0" w:rsidRPr="00554DB2" w:rsidRDefault="00632EE0" w:rsidP="00266477">
            <w:pPr>
              <w:jc w:val="both"/>
              <w:rPr>
                <w:rFonts w:eastAsia="Calibri"/>
                <w:sz w:val="20"/>
              </w:rPr>
            </w:pPr>
            <w:r w:rsidRPr="00554DB2">
              <w:rPr>
                <w:rFonts w:eastAsia="Calibri"/>
                <w:sz w:val="20"/>
              </w:rPr>
              <w:t>Torts — Negligence — Medical malpractice — Jury dismissing applicant’s action against respondent for medical negligence — Circumstances in which a trial judge may ask a jury to explain the reasons for finding a defendant negligent — Extent to which policy reasons that preclude a judge from asking the jury to explain the reasons for its verdict in a criminal trial apply in the civil context.</w:t>
            </w:r>
          </w:p>
        </w:tc>
      </w:tr>
      <w:tr w:rsidR="00632EE0" w:rsidRPr="00554DB2" w:rsidTr="00266477">
        <w:tc>
          <w:tcPr>
            <w:tcW w:w="5000" w:type="pct"/>
            <w:gridSpan w:val="3"/>
          </w:tcPr>
          <w:p w:rsidR="00632EE0" w:rsidRPr="00554DB2" w:rsidRDefault="00632EE0" w:rsidP="00266477">
            <w:pPr>
              <w:jc w:val="both"/>
              <w:rPr>
                <w:rFonts w:eastAsia="Calibri"/>
                <w:sz w:val="20"/>
              </w:rPr>
            </w:pPr>
          </w:p>
        </w:tc>
      </w:tr>
      <w:tr w:rsidR="00632EE0" w:rsidRPr="00554DB2" w:rsidTr="00266477">
        <w:tc>
          <w:tcPr>
            <w:tcW w:w="5000" w:type="pct"/>
            <w:gridSpan w:val="3"/>
          </w:tcPr>
          <w:p w:rsidR="00632EE0" w:rsidRPr="00554DB2" w:rsidRDefault="00632EE0" w:rsidP="00266477">
            <w:pPr>
              <w:jc w:val="both"/>
              <w:rPr>
                <w:rFonts w:eastAsia="Calibri"/>
                <w:sz w:val="20"/>
              </w:rPr>
            </w:pPr>
            <w:r w:rsidRPr="00554DB2">
              <w:rPr>
                <w:rFonts w:eastAsia="Calibri"/>
                <w:sz w:val="20"/>
              </w:rPr>
              <w:t>The applicant brought an action against the respondent interventional radiologist alleging medical negligence after she was rendered paraplegic as a result of a procedure he had performed.  The applicant alleged that the respondent was negligent in various ways, including not using contrast solution during the procedure, using an inappropriate steroid solution and proceeding on the date that he did, due to a cancellation in his schedule.  The applicant’s action was dismissed by a jury.  The Court of Appeal upheld that decision.</w:t>
            </w:r>
          </w:p>
          <w:p w:rsidR="00632EE0" w:rsidRPr="00554DB2" w:rsidRDefault="00632EE0" w:rsidP="00266477">
            <w:pPr>
              <w:jc w:val="both"/>
              <w:rPr>
                <w:rFonts w:eastAsia="Calibri"/>
                <w:sz w:val="20"/>
              </w:rPr>
            </w:pPr>
          </w:p>
        </w:tc>
      </w:tr>
      <w:tr w:rsidR="00632EE0" w:rsidRPr="00554DB2" w:rsidTr="00266477">
        <w:tc>
          <w:tcPr>
            <w:tcW w:w="2427" w:type="pct"/>
          </w:tcPr>
          <w:p w:rsidR="00632EE0" w:rsidRPr="00554DB2" w:rsidRDefault="00632EE0" w:rsidP="00266477">
            <w:pPr>
              <w:jc w:val="both"/>
              <w:rPr>
                <w:rFonts w:eastAsia="Calibri"/>
                <w:sz w:val="20"/>
              </w:rPr>
            </w:pPr>
            <w:r w:rsidRPr="00554DB2">
              <w:rPr>
                <w:rFonts w:eastAsia="Calibri"/>
                <w:sz w:val="20"/>
              </w:rPr>
              <w:t>January 14, 2011</w:t>
            </w:r>
          </w:p>
          <w:p w:rsidR="00632EE0" w:rsidRPr="00554DB2" w:rsidRDefault="00632EE0" w:rsidP="00266477">
            <w:pPr>
              <w:jc w:val="both"/>
              <w:rPr>
                <w:rFonts w:eastAsia="Calibri"/>
                <w:sz w:val="20"/>
              </w:rPr>
            </w:pPr>
            <w:r w:rsidRPr="00554DB2">
              <w:rPr>
                <w:rFonts w:eastAsia="Calibri"/>
                <w:sz w:val="20"/>
              </w:rPr>
              <w:t>Supreme Court of British Columbia</w:t>
            </w:r>
          </w:p>
          <w:p w:rsidR="00632EE0" w:rsidRPr="00554DB2" w:rsidRDefault="00632EE0" w:rsidP="00266477">
            <w:pPr>
              <w:jc w:val="both"/>
              <w:rPr>
                <w:rFonts w:eastAsia="Calibri"/>
                <w:sz w:val="20"/>
              </w:rPr>
            </w:pPr>
            <w:r w:rsidRPr="00554DB2">
              <w:rPr>
                <w:rFonts w:eastAsia="Calibri"/>
                <w:sz w:val="20"/>
              </w:rPr>
              <w:t>(Pearlman J.)</w:t>
            </w:r>
          </w:p>
          <w:p w:rsidR="00632EE0" w:rsidRPr="00554DB2" w:rsidRDefault="00632EE0" w:rsidP="00266477">
            <w:pPr>
              <w:jc w:val="both"/>
              <w:rPr>
                <w:rFonts w:eastAsia="Calibri"/>
                <w:sz w:val="20"/>
              </w:rPr>
            </w:pPr>
          </w:p>
        </w:tc>
        <w:tc>
          <w:tcPr>
            <w:tcW w:w="243" w:type="pct"/>
          </w:tcPr>
          <w:p w:rsidR="00632EE0" w:rsidRPr="00554DB2" w:rsidRDefault="00632EE0" w:rsidP="00266477">
            <w:pPr>
              <w:jc w:val="both"/>
              <w:rPr>
                <w:rFonts w:eastAsia="Calibri"/>
                <w:sz w:val="20"/>
              </w:rPr>
            </w:pPr>
          </w:p>
        </w:tc>
        <w:tc>
          <w:tcPr>
            <w:tcW w:w="2330" w:type="pct"/>
          </w:tcPr>
          <w:p w:rsidR="00632EE0" w:rsidRPr="00554DB2" w:rsidRDefault="00632EE0" w:rsidP="00266477">
            <w:pPr>
              <w:jc w:val="both"/>
              <w:rPr>
                <w:rFonts w:eastAsia="Calibri"/>
                <w:sz w:val="20"/>
              </w:rPr>
            </w:pPr>
            <w:r w:rsidRPr="00554DB2">
              <w:rPr>
                <w:rFonts w:eastAsia="Calibri"/>
                <w:sz w:val="20"/>
              </w:rPr>
              <w:t>Report found to be admissible</w:t>
            </w:r>
          </w:p>
          <w:p w:rsidR="00632EE0" w:rsidRPr="00554DB2" w:rsidRDefault="00632EE0" w:rsidP="00266477">
            <w:pPr>
              <w:jc w:val="both"/>
              <w:rPr>
                <w:rFonts w:eastAsia="Calibri"/>
                <w:sz w:val="20"/>
              </w:rPr>
            </w:pPr>
          </w:p>
        </w:tc>
      </w:tr>
      <w:tr w:rsidR="00632EE0" w:rsidRPr="00554DB2" w:rsidTr="00266477">
        <w:tc>
          <w:tcPr>
            <w:tcW w:w="2427" w:type="pct"/>
          </w:tcPr>
          <w:p w:rsidR="00632EE0" w:rsidRPr="00554DB2" w:rsidRDefault="00632EE0" w:rsidP="00266477">
            <w:pPr>
              <w:jc w:val="both"/>
              <w:rPr>
                <w:rFonts w:eastAsia="Calibri"/>
                <w:sz w:val="20"/>
              </w:rPr>
            </w:pPr>
            <w:r w:rsidRPr="00554DB2">
              <w:rPr>
                <w:rFonts w:eastAsia="Calibri"/>
                <w:sz w:val="20"/>
              </w:rPr>
              <w:t>January 26, 2011</w:t>
            </w:r>
          </w:p>
          <w:p w:rsidR="00632EE0" w:rsidRPr="00554DB2" w:rsidRDefault="00632EE0" w:rsidP="00266477">
            <w:pPr>
              <w:jc w:val="both"/>
              <w:rPr>
                <w:rFonts w:eastAsia="Calibri"/>
                <w:sz w:val="20"/>
              </w:rPr>
            </w:pPr>
            <w:r w:rsidRPr="00554DB2">
              <w:rPr>
                <w:rFonts w:eastAsia="Calibri"/>
                <w:sz w:val="20"/>
              </w:rPr>
              <w:t>Supreme Court of British Columbia</w:t>
            </w:r>
          </w:p>
          <w:p w:rsidR="00632EE0" w:rsidRPr="00554DB2" w:rsidRDefault="00632EE0" w:rsidP="00266477">
            <w:pPr>
              <w:jc w:val="both"/>
              <w:rPr>
                <w:rFonts w:eastAsia="Calibri"/>
                <w:sz w:val="20"/>
              </w:rPr>
            </w:pPr>
            <w:r w:rsidRPr="00554DB2">
              <w:rPr>
                <w:rFonts w:eastAsia="Calibri"/>
                <w:sz w:val="20"/>
              </w:rPr>
              <w:t>(Pearlman J. sitting with a jury)</w:t>
            </w:r>
          </w:p>
          <w:p w:rsidR="00632EE0" w:rsidRPr="00554DB2" w:rsidRDefault="00632EE0" w:rsidP="00266477">
            <w:pPr>
              <w:jc w:val="both"/>
              <w:rPr>
                <w:rFonts w:eastAsia="Calibri"/>
                <w:sz w:val="20"/>
              </w:rPr>
            </w:pPr>
          </w:p>
        </w:tc>
        <w:tc>
          <w:tcPr>
            <w:tcW w:w="243" w:type="pct"/>
          </w:tcPr>
          <w:p w:rsidR="00632EE0" w:rsidRPr="00554DB2" w:rsidRDefault="00632EE0" w:rsidP="00266477">
            <w:pPr>
              <w:jc w:val="both"/>
              <w:rPr>
                <w:rFonts w:eastAsia="Calibri"/>
                <w:sz w:val="20"/>
              </w:rPr>
            </w:pPr>
          </w:p>
        </w:tc>
        <w:tc>
          <w:tcPr>
            <w:tcW w:w="2330" w:type="pct"/>
          </w:tcPr>
          <w:p w:rsidR="00632EE0" w:rsidRPr="00554DB2" w:rsidRDefault="00632EE0" w:rsidP="00266477">
            <w:pPr>
              <w:jc w:val="both"/>
              <w:rPr>
                <w:rFonts w:eastAsia="Calibri"/>
                <w:sz w:val="20"/>
              </w:rPr>
            </w:pPr>
            <w:r w:rsidRPr="00554DB2">
              <w:rPr>
                <w:rFonts w:eastAsia="Calibri"/>
                <w:sz w:val="20"/>
              </w:rPr>
              <w:t>Applicant’s claim dismissed</w:t>
            </w:r>
          </w:p>
        </w:tc>
      </w:tr>
      <w:tr w:rsidR="00632EE0" w:rsidRPr="00554DB2" w:rsidTr="00266477">
        <w:tc>
          <w:tcPr>
            <w:tcW w:w="2427" w:type="pct"/>
          </w:tcPr>
          <w:p w:rsidR="00632EE0" w:rsidRPr="00554DB2" w:rsidRDefault="00632EE0" w:rsidP="00266477">
            <w:pPr>
              <w:jc w:val="both"/>
              <w:rPr>
                <w:rFonts w:eastAsia="Calibri"/>
                <w:sz w:val="20"/>
              </w:rPr>
            </w:pPr>
            <w:r w:rsidRPr="00554DB2">
              <w:rPr>
                <w:rFonts w:eastAsia="Calibri"/>
                <w:sz w:val="20"/>
              </w:rPr>
              <w:t>May 10, 2012</w:t>
            </w:r>
          </w:p>
          <w:p w:rsidR="00632EE0" w:rsidRPr="00554DB2" w:rsidRDefault="00632EE0" w:rsidP="00266477">
            <w:pPr>
              <w:jc w:val="both"/>
              <w:rPr>
                <w:rFonts w:eastAsia="Calibri"/>
                <w:sz w:val="20"/>
              </w:rPr>
            </w:pPr>
            <w:r w:rsidRPr="00554DB2">
              <w:rPr>
                <w:rFonts w:eastAsia="Calibri"/>
                <w:sz w:val="20"/>
              </w:rPr>
              <w:t>Court of Appeal for British Columbia</w:t>
            </w:r>
          </w:p>
          <w:p w:rsidR="00632EE0" w:rsidRPr="00554DB2" w:rsidRDefault="00632EE0" w:rsidP="00266477">
            <w:pPr>
              <w:jc w:val="both"/>
              <w:rPr>
                <w:rFonts w:eastAsia="Calibri"/>
                <w:sz w:val="20"/>
              </w:rPr>
            </w:pPr>
            <w:r w:rsidRPr="00554DB2">
              <w:rPr>
                <w:rFonts w:eastAsia="Calibri"/>
                <w:sz w:val="20"/>
              </w:rPr>
              <w:t>(Prowse, Garson and Hinkson JJ.A.)</w:t>
            </w:r>
          </w:p>
          <w:p w:rsidR="00632EE0" w:rsidRPr="00554DB2" w:rsidRDefault="00632EE0" w:rsidP="00266477">
            <w:pPr>
              <w:jc w:val="both"/>
              <w:rPr>
                <w:rFonts w:eastAsia="Calibri"/>
                <w:sz w:val="20"/>
              </w:rPr>
            </w:pPr>
            <w:r w:rsidRPr="00554DB2">
              <w:rPr>
                <w:rFonts w:eastAsia="Calibri"/>
                <w:sz w:val="20"/>
              </w:rPr>
              <w:t>2012 BCCA 203</w:t>
            </w:r>
          </w:p>
          <w:p w:rsidR="00632EE0" w:rsidRPr="00554DB2" w:rsidRDefault="00632EE0" w:rsidP="00266477">
            <w:pPr>
              <w:jc w:val="both"/>
              <w:rPr>
                <w:rFonts w:eastAsia="Calibri"/>
                <w:sz w:val="20"/>
              </w:rPr>
            </w:pPr>
          </w:p>
        </w:tc>
        <w:tc>
          <w:tcPr>
            <w:tcW w:w="243" w:type="pct"/>
          </w:tcPr>
          <w:p w:rsidR="00632EE0" w:rsidRPr="00554DB2" w:rsidRDefault="00632EE0" w:rsidP="00266477">
            <w:pPr>
              <w:jc w:val="both"/>
              <w:rPr>
                <w:rFonts w:eastAsia="Calibri"/>
                <w:sz w:val="20"/>
              </w:rPr>
            </w:pPr>
          </w:p>
        </w:tc>
        <w:tc>
          <w:tcPr>
            <w:tcW w:w="2330" w:type="pct"/>
          </w:tcPr>
          <w:p w:rsidR="00632EE0" w:rsidRPr="00554DB2" w:rsidRDefault="00632EE0" w:rsidP="00266477">
            <w:pPr>
              <w:jc w:val="both"/>
              <w:rPr>
                <w:rFonts w:eastAsia="Calibri"/>
                <w:sz w:val="20"/>
              </w:rPr>
            </w:pPr>
            <w:r w:rsidRPr="00554DB2">
              <w:rPr>
                <w:rFonts w:eastAsia="Calibri"/>
                <w:sz w:val="20"/>
              </w:rPr>
              <w:t>Appeal dismissed</w:t>
            </w:r>
          </w:p>
          <w:p w:rsidR="00632EE0" w:rsidRPr="00554DB2" w:rsidRDefault="00632EE0" w:rsidP="00266477">
            <w:pPr>
              <w:jc w:val="both"/>
              <w:rPr>
                <w:rFonts w:eastAsia="Calibri"/>
                <w:sz w:val="20"/>
              </w:rPr>
            </w:pPr>
          </w:p>
        </w:tc>
      </w:tr>
      <w:tr w:rsidR="00632EE0" w:rsidRPr="00554DB2" w:rsidTr="00266477">
        <w:tc>
          <w:tcPr>
            <w:tcW w:w="2427" w:type="pct"/>
          </w:tcPr>
          <w:p w:rsidR="00632EE0" w:rsidRPr="00554DB2" w:rsidRDefault="00632EE0" w:rsidP="00266477">
            <w:pPr>
              <w:jc w:val="both"/>
              <w:rPr>
                <w:rFonts w:eastAsia="Calibri"/>
                <w:sz w:val="20"/>
              </w:rPr>
            </w:pPr>
            <w:r w:rsidRPr="00554DB2">
              <w:rPr>
                <w:rFonts w:eastAsia="Calibri"/>
                <w:sz w:val="20"/>
              </w:rPr>
              <w:t>August 8, 2012</w:t>
            </w:r>
          </w:p>
          <w:p w:rsidR="00632EE0" w:rsidRPr="00554DB2" w:rsidRDefault="00632EE0" w:rsidP="00266477">
            <w:pPr>
              <w:jc w:val="both"/>
              <w:rPr>
                <w:rFonts w:eastAsia="Calibri"/>
                <w:sz w:val="20"/>
              </w:rPr>
            </w:pPr>
            <w:r w:rsidRPr="00554DB2">
              <w:rPr>
                <w:rFonts w:eastAsia="Calibri"/>
                <w:sz w:val="20"/>
              </w:rPr>
              <w:t>Supreme Court of Canada</w:t>
            </w:r>
          </w:p>
        </w:tc>
        <w:tc>
          <w:tcPr>
            <w:tcW w:w="243" w:type="pct"/>
          </w:tcPr>
          <w:p w:rsidR="00632EE0" w:rsidRPr="00554DB2" w:rsidRDefault="00632EE0" w:rsidP="00266477">
            <w:pPr>
              <w:jc w:val="both"/>
              <w:rPr>
                <w:rFonts w:eastAsia="Calibri"/>
                <w:sz w:val="20"/>
              </w:rPr>
            </w:pPr>
          </w:p>
        </w:tc>
        <w:tc>
          <w:tcPr>
            <w:tcW w:w="2330" w:type="pct"/>
          </w:tcPr>
          <w:p w:rsidR="00632EE0" w:rsidRPr="00554DB2" w:rsidRDefault="00632EE0" w:rsidP="00266477">
            <w:pPr>
              <w:jc w:val="both"/>
              <w:rPr>
                <w:rFonts w:eastAsia="Calibri"/>
                <w:sz w:val="20"/>
              </w:rPr>
            </w:pPr>
            <w:r w:rsidRPr="00554DB2">
              <w:rPr>
                <w:rFonts w:eastAsia="Calibri"/>
                <w:sz w:val="20"/>
              </w:rPr>
              <w:t>Application for leave to appeal filed</w:t>
            </w:r>
          </w:p>
          <w:p w:rsidR="00632EE0" w:rsidRPr="00554DB2" w:rsidRDefault="00632EE0" w:rsidP="00266477">
            <w:pPr>
              <w:jc w:val="both"/>
              <w:rPr>
                <w:rFonts w:eastAsia="Calibri"/>
                <w:sz w:val="20"/>
              </w:rPr>
            </w:pP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84"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32EE0" w:rsidRPr="005571F9" w:rsidTr="00266477">
        <w:tc>
          <w:tcPr>
            <w:tcW w:w="5000" w:type="pct"/>
            <w:gridSpan w:val="3"/>
          </w:tcPr>
          <w:p w:rsidR="00632EE0" w:rsidRPr="00554DB2" w:rsidRDefault="00632EE0" w:rsidP="00266477">
            <w:pPr>
              <w:jc w:val="both"/>
              <w:rPr>
                <w:rFonts w:eastAsia="Calibri"/>
                <w:sz w:val="20"/>
                <w:lang w:val="fr-CA"/>
              </w:rPr>
            </w:pPr>
            <w:r w:rsidRPr="00554DB2">
              <w:rPr>
                <w:rFonts w:eastAsia="Calibri"/>
                <w:sz w:val="20"/>
                <w:lang w:val="fr-CA"/>
              </w:rPr>
              <w:t>Responsabilité délictuelle — Négligence — Faute médicale — Le jury a rejeté l'action en faute médicale intentée par la demanderesse contre l'intimé — Circonstances dans lesquelles un juge du procès peut demander à un jury d'expliquer les motifs pour lesquels il a conclu à la négligence du défendeur — Mesure dans laquelle les raisons de principe qui empêchent un juge de demander au jury d'expliquer les motifs de son verdict dans un procès criminel s'appliquent dans le contexte civil.</w:t>
            </w:r>
          </w:p>
        </w:tc>
      </w:tr>
      <w:tr w:rsidR="00632EE0" w:rsidRPr="005571F9" w:rsidTr="00266477">
        <w:tc>
          <w:tcPr>
            <w:tcW w:w="5000" w:type="pct"/>
            <w:gridSpan w:val="3"/>
          </w:tcPr>
          <w:p w:rsidR="00632EE0" w:rsidRPr="00554DB2" w:rsidRDefault="00632EE0" w:rsidP="00266477">
            <w:pPr>
              <w:jc w:val="both"/>
              <w:rPr>
                <w:rFonts w:eastAsia="Calibri"/>
                <w:sz w:val="20"/>
                <w:lang w:val="fr-CA"/>
              </w:rPr>
            </w:pPr>
          </w:p>
        </w:tc>
      </w:tr>
      <w:tr w:rsidR="00632EE0" w:rsidRPr="00554DB2" w:rsidTr="00266477">
        <w:tc>
          <w:tcPr>
            <w:tcW w:w="5000" w:type="pct"/>
            <w:gridSpan w:val="3"/>
          </w:tcPr>
          <w:p w:rsidR="00632EE0" w:rsidRPr="00554DB2" w:rsidRDefault="00632EE0" w:rsidP="00266477">
            <w:pPr>
              <w:jc w:val="both"/>
              <w:rPr>
                <w:rFonts w:eastAsia="Calibri"/>
                <w:sz w:val="20"/>
                <w:lang w:val="fr-CA"/>
              </w:rPr>
            </w:pPr>
            <w:r w:rsidRPr="00554DB2">
              <w:rPr>
                <w:rFonts w:eastAsia="Calibri"/>
                <w:sz w:val="20"/>
                <w:lang w:val="fr-CA"/>
              </w:rPr>
              <w:t>La demanderesse a intenté une action contre l'intimé, un radiologiste d'intervention, alléguant la faute médicale après qu'elle est devenue paraplégique à la suite d'une intervention qu'il avait effectuée.  La demanderesse a allégué que l'intimé avait été négligent de plusieurs façons, notamment parce qu'il n'avait pas utilisé une solution de contraste pendant l'intervention, qu'il avait utilisé une solution de stéroïde inappropriée et qu'il avait procédé à son intervention à la date en cause en raison d'une annulation de rendez-vous.  L'action de la demanderesse a été rejetée par un jury.  La Cour d'appel a confirmé cette décision.</w:t>
            </w:r>
          </w:p>
          <w:p w:rsidR="00632EE0" w:rsidRPr="00554DB2" w:rsidRDefault="00632EE0" w:rsidP="00266477">
            <w:pPr>
              <w:jc w:val="both"/>
              <w:rPr>
                <w:rFonts w:eastAsia="Calibri"/>
                <w:sz w:val="20"/>
                <w:lang w:val="fr-CA"/>
              </w:rPr>
            </w:pPr>
          </w:p>
        </w:tc>
      </w:tr>
      <w:tr w:rsidR="00632EE0" w:rsidRPr="00554DB2" w:rsidTr="00266477">
        <w:tc>
          <w:tcPr>
            <w:tcW w:w="2427" w:type="pct"/>
          </w:tcPr>
          <w:p w:rsidR="00632EE0" w:rsidRPr="00554DB2" w:rsidRDefault="00632EE0" w:rsidP="00266477">
            <w:pPr>
              <w:jc w:val="both"/>
              <w:rPr>
                <w:rFonts w:eastAsia="Calibri"/>
                <w:sz w:val="20"/>
                <w:lang w:val="fr-CA"/>
              </w:rPr>
            </w:pPr>
            <w:r w:rsidRPr="00554DB2">
              <w:rPr>
                <w:rFonts w:eastAsia="Calibri"/>
                <w:sz w:val="20"/>
                <w:lang w:val="fr-CA"/>
              </w:rPr>
              <w:t>14 janvier 2011</w:t>
            </w:r>
          </w:p>
          <w:p w:rsidR="00632EE0" w:rsidRPr="00554DB2" w:rsidRDefault="00632EE0" w:rsidP="00266477">
            <w:pPr>
              <w:jc w:val="both"/>
              <w:rPr>
                <w:rFonts w:eastAsia="Calibri"/>
                <w:sz w:val="20"/>
                <w:lang w:val="fr-CA"/>
              </w:rPr>
            </w:pPr>
            <w:r w:rsidRPr="00554DB2">
              <w:rPr>
                <w:rFonts w:eastAsia="Calibri"/>
                <w:sz w:val="20"/>
                <w:lang w:val="fr-CA"/>
              </w:rPr>
              <w:t xml:space="preserve">Cour suprême de la Colombie-Britannique </w:t>
            </w:r>
          </w:p>
          <w:p w:rsidR="00632EE0" w:rsidRPr="00554DB2" w:rsidRDefault="00632EE0" w:rsidP="00266477">
            <w:pPr>
              <w:jc w:val="both"/>
              <w:rPr>
                <w:rFonts w:eastAsia="Calibri"/>
                <w:sz w:val="20"/>
                <w:lang w:val="fr-CA"/>
              </w:rPr>
            </w:pPr>
            <w:r w:rsidRPr="00554DB2">
              <w:rPr>
                <w:rFonts w:eastAsia="Calibri"/>
                <w:sz w:val="20"/>
                <w:lang w:val="fr-CA"/>
              </w:rPr>
              <w:t>(Juge Pearlman)</w:t>
            </w:r>
          </w:p>
          <w:p w:rsidR="00632EE0" w:rsidRPr="00554DB2" w:rsidRDefault="00632EE0" w:rsidP="00266477">
            <w:pPr>
              <w:jc w:val="both"/>
              <w:rPr>
                <w:rFonts w:eastAsia="Calibri"/>
                <w:sz w:val="20"/>
                <w:lang w:val="fr-CA"/>
              </w:rPr>
            </w:pPr>
          </w:p>
        </w:tc>
        <w:tc>
          <w:tcPr>
            <w:tcW w:w="243" w:type="pct"/>
          </w:tcPr>
          <w:p w:rsidR="00632EE0" w:rsidRPr="00554DB2" w:rsidRDefault="00632EE0" w:rsidP="00266477">
            <w:pPr>
              <w:jc w:val="both"/>
              <w:rPr>
                <w:rFonts w:eastAsia="Calibri"/>
                <w:sz w:val="20"/>
                <w:lang w:val="fr-CA"/>
              </w:rPr>
            </w:pPr>
          </w:p>
        </w:tc>
        <w:tc>
          <w:tcPr>
            <w:tcW w:w="2330" w:type="pct"/>
          </w:tcPr>
          <w:p w:rsidR="00632EE0" w:rsidRPr="00554DB2" w:rsidRDefault="00632EE0" w:rsidP="00266477">
            <w:pPr>
              <w:jc w:val="both"/>
              <w:rPr>
                <w:rFonts w:eastAsia="Calibri"/>
                <w:sz w:val="20"/>
                <w:lang w:val="fr-CA"/>
              </w:rPr>
            </w:pPr>
            <w:r w:rsidRPr="00554DB2">
              <w:rPr>
                <w:rFonts w:eastAsia="Calibri"/>
                <w:sz w:val="20"/>
                <w:lang w:val="fr-CA"/>
              </w:rPr>
              <w:t>Rapport jugé admissible</w:t>
            </w:r>
          </w:p>
          <w:p w:rsidR="00632EE0" w:rsidRPr="00554DB2" w:rsidRDefault="00632EE0" w:rsidP="00266477">
            <w:pPr>
              <w:jc w:val="both"/>
              <w:rPr>
                <w:rFonts w:eastAsia="Calibri"/>
                <w:sz w:val="20"/>
                <w:lang w:val="fr-CA"/>
              </w:rPr>
            </w:pPr>
          </w:p>
        </w:tc>
      </w:tr>
      <w:tr w:rsidR="00632EE0" w:rsidRPr="005571F9" w:rsidTr="00266477">
        <w:tc>
          <w:tcPr>
            <w:tcW w:w="2427" w:type="pct"/>
          </w:tcPr>
          <w:p w:rsidR="00632EE0" w:rsidRPr="00554DB2" w:rsidRDefault="00632EE0" w:rsidP="00266477">
            <w:pPr>
              <w:jc w:val="both"/>
              <w:rPr>
                <w:rFonts w:eastAsia="Calibri"/>
                <w:sz w:val="20"/>
                <w:lang w:val="fr-CA"/>
              </w:rPr>
            </w:pPr>
            <w:r w:rsidRPr="00554DB2">
              <w:rPr>
                <w:rFonts w:eastAsia="Calibri"/>
                <w:sz w:val="20"/>
                <w:lang w:val="fr-CA"/>
              </w:rPr>
              <w:t>26 janvier 2011</w:t>
            </w:r>
          </w:p>
          <w:p w:rsidR="00632EE0" w:rsidRPr="00554DB2" w:rsidRDefault="00632EE0" w:rsidP="00266477">
            <w:pPr>
              <w:jc w:val="both"/>
              <w:rPr>
                <w:rFonts w:eastAsia="Calibri"/>
                <w:sz w:val="20"/>
                <w:lang w:val="fr-CA"/>
              </w:rPr>
            </w:pPr>
            <w:r w:rsidRPr="00554DB2">
              <w:rPr>
                <w:rFonts w:eastAsia="Calibri"/>
                <w:sz w:val="20"/>
                <w:lang w:val="fr-CA"/>
              </w:rPr>
              <w:t xml:space="preserve">Cour suprême de la Colombie-Britannique </w:t>
            </w:r>
          </w:p>
          <w:p w:rsidR="00632EE0" w:rsidRPr="00554DB2" w:rsidRDefault="00632EE0" w:rsidP="00266477">
            <w:pPr>
              <w:jc w:val="both"/>
              <w:rPr>
                <w:rFonts w:eastAsia="Calibri"/>
                <w:sz w:val="20"/>
                <w:lang w:val="fr-CA"/>
              </w:rPr>
            </w:pPr>
            <w:r w:rsidRPr="00554DB2">
              <w:rPr>
                <w:rFonts w:eastAsia="Calibri"/>
                <w:sz w:val="20"/>
                <w:lang w:val="fr-CA"/>
              </w:rPr>
              <w:t>(Juge Pearlman siégeant avec un jury)</w:t>
            </w:r>
          </w:p>
          <w:p w:rsidR="00632EE0" w:rsidRPr="00554DB2" w:rsidRDefault="00632EE0" w:rsidP="00266477">
            <w:pPr>
              <w:jc w:val="both"/>
              <w:rPr>
                <w:rFonts w:eastAsia="Calibri"/>
                <w:sz w:val="20"/>
                <w:lang w:val="fr-CA"/>
              </w:rPr>
            </w:pPr>
          </w:p>
        </w:tc>
        <w:tc>
          <w:tcPr>
            <w:tcW w:w="243" w:type="pct"/>
          </w:tcPr>
          <w:p w:rsidR="00632EE0" w:rsidRPr="00554DB2" w:rsidRDefault="00632EE0" w:rsidP="00266477">
            <w:pPr>
              <w:jc w:val="both"/>
              <w:rPr>
                <w:rFonts w:eastAsia="Calibri"/>
                <w:sz w:val="20"/>
                <w:lang w:val="fr-CA"/>
              </w:rPr>
            </w:pPr>
          </w:p>
        </w:tc>
        <w:tc>
          <w:tcPr>
            <w:tcW w:w="2330" w:type="pct"/>
          </w:tcPr>
          <w:p w:rsidR="00632EE0" w:rsidRPr="00554DB2" w:rsidRDefault="00632EE0" w:rsidP="00266477">
            <w:pPr>
              <w:jc w:val="both"/>
              <w:rPr>
                <w:rFonts w:eastAsia="Calibri"/>
                <w:sz w:val="20"/>
                <w:lang w:val="fr-CA"/>
              </w:rPr>
            </w:pPr>
            <w:r w:rsidRPr="00554DB2">
              <w:rPr>
                <w:rFonts w:eastAsia="Calibri"/>
                <w:sz w:val="20"/>
                <w:lang w:val="fr-CA"/>
              </w:rPr>
              <w:t>Action de la demanderesse, rejetée</w:t>
            </w:r>
          </w:p>
        </w:tc>
      </w:tr>
      <w:tr w:rsidR="00632EE0" w:rsidRPr="00554DB2" w:rsidTr="00266477">
        <w:tc>
          <w:tcPr>
            <w:tcW w:w="2427" w:type="pct"/>
          </w:tcPr>
          <w:p w:rsidR="00632EE0" w:rsidRPr="00554DB2" w:rsidRDefault="00632EE0" w:rsidP="00266477">
            <w:pPr>
              <w:jc w:val="both"/>
              <w:rPr>
                <w:rFonts w:eastAsia="Calibri"/>
                <w:sz w:val="20"/>
                <w:lang w:val="fr-CA"/>
              </w:rPr>
            </w:pPr>
            <w:r w:rsidRPr="00554DB2">
              <w:rPr>
                <w:rFonts w:eastAsia="Calibri"/>
                <w:sz w:val="20"/>
                <w:lang w:val="fr-CA"/>
              </w:rPr>
              <w:t>10 mai 2012</w:t>
            </w:r>
          </w:p>
          <w:p w:rsidR="00632EE0" w:rsidRPr="00554DB2" w:rsidRDefault="00632EE0" w:rsidP="00266477">
            <w:pPr>
              <w:jc w:val="both"/>
              <w:rPr>
                <w:rFonts w:eastAsia="Calibri"/>
                <w:sz w:val="20"/>
                <w:lang w:val="fr-CA"/>
              </w:rPr>
            </w:pPr>
            <w:r w:rsidRPr="00554DB2">
              <w:rPr>
                <w:rFonts w:eastAsia="Calibri"/>
                <w:sz w:val="20"/>
                <w:lang w:val="fr-CA"/>
              </w:rPr>
              <w:t xml:space="preserve">Cour d'appel de la Colombie-Britannique </w:t>
            </w:r>
          </w:p>
          <w:p w:rsidR="00632EE0" w:rsidRPr="00554DB2" w:rsidRDefault="00632EE0" w:rsidP="00266477">
            <w:pPr>
              <w:jc w:val="both"/>
              <w:rPr>
                <w:rFonts w:eastAsia="Calibri"/>
                <w:sz w:val="20"/>
                <w:lang w:val="fr-CA"/>
              </w:rPr>
            </w:pPr>
            <w:r w:rsidRPr="00554DB2">
              <w:rPr>
                <w:rFonts w:eastAsia="Calibri"/>
                <w:sz w:val="20"/>
                <w:lang w:val="fr-CA"/>
              </w:rPr>
              <w:t>(Juges Prowse, Garson et Hinkson)</w:t>
            </w:r>
          </w:p>
          <w:p w:rsidR="00632EE0" w:rsidRPr="00554DB2" w:rsidRDefault="00632EE0" w:rsidP="00266477">
            <w:pPr>
              <w:jc w:val="both"/>
              <w:rPr>
                <w:rFonts w:eastAsia="Calibri"/>
                <w:sz w:val="20"/>
                <w:lang w:val="fr-CA"/>
              </w:rPr>
            </w:pPr>
            <w:r w:rsidRPr="00554DB2">
              <w:rPr>
                <w:rFonts w:eastAsia="Calibri"/>
                <w:sz w:val="20"/>
                <w:lang w:val="fr-CA"/>
              </w:rPr>
              <w:t>2012 BCCA 203</w:t>
            </w:r>
          </w:p>
          <w:p w:rsidR="00632EE0" w:rsidRPr="00554DB2" w:rsidRDefault="00632EE0" w:rsidP="00266477">
            <w:pPr>
              <w:jc w:val="both"/>
              <w:rPr>
                <w:rFonts w:eastAsia="Calibri"/>
                <w:sz w:val="20"/>
                <w:lang w:val="fr-CA"/>
              </w:rPr>
            </w:pPr>
          </w:p>
        </w:tc>
        <w:tc>
          <w:tcPr>
            <w:tcW w:w="243" w:type="pct"/>
          </w:tcPr>
          <w:p w:rsidR="00632EE0" w:rsidRPr="00554DB2" w:rsidRDefault="00632EE0" w:rsidP="00266477">
            <w:pPr>
              <w:jc w:val="both"/>
              <w:rPr>
                <w:rFonts w:eastAsia="Calibri"/>
                <w:sz w:val="20"/>
                <w:lang w:val="fr-CA"/>
              </w:rPr>
            </w:pPr>
          </w:p>
        </w:tc>
        <w:tc>
          <w:tcPr>
            <w:tcW w:w="2330" w:type="pct"/>
          </w:tcPr>
          <w:p w:rsidR="00632EE0" w:rsidRPr="00554DB2" w:rsidRDefault="00632EE0" w:rsidP="00266477">
            <w:pPr>
              <w:jc w:val="both"/>
              <w:rPr>
                <w:rFonts w:eastAsia="Calibri"/>
                <w:sz w:val="20"/>
                <w:lang w:val="fr-CA"/>
              </w:rPr>
            </w:pPr>
            <w:r w:rsidRPr="00554DB2">
              <w:rPr>
                <w:rFonts w:eastAsia="Calibri"/>
                <w:sz w:val="20"/>
                <w:lang w:val="fr-CA"/>
              </w:rPr>
              <w:t>Appel rejeté</w:t>
            </w:r>
          </w:p>
          <w:p w:rsidR="00632EE0" w:rsidRPr="00554DB2" w:rsidRDefault="00632EE0" w:rsidP="00266477">
            <w:pPr>
              <w:jc w:val="both"/>
              <w:rPr>
                <w:rFonts w:eastAsia="Calibri"/>
                <w:sz w:val="20"/>
                <w:lang w:val="fr-CA"/>
              </w:rPr>
            </w:pPr>
          </w:p>
        </w:tc>
      </w:tr>
      <w:tr w:rsidR="00632EE0" w:rsidRPr="00554DB2" w:rsidTr="00266477">
        <w:tc>
          <w:tcPr>
            <w:tcW w:w="2427" w:type="pct"/>
          </w:tcPr>
          <w:p w:rsidR="00632EE0" w:rsidRPr="00554DB2" w:rsidRDefault="00632EE0" w:rsidP="00266477">
            <w:pPr>
              <w:jc w:val="both"/>
              <w:rPr>
                <w:rFonts w:eastAsia="Calibri"/>
                <w:sz w:val="20"/>
                <w:lang w:val="fr-CA"/>
              </w:rPr>
            </w:pPr>
            <w:r w:rsidRPr="00554DB2">
              <w:rPr>
                <w:rFonts w:eastAsia="Calibri"/>
                <w:sz w:val="20"/>
                <w:lang w:val="fr-CA"/>
              </w:rPr>
              <w:t>8 août 2012</w:t>
            </w:r>
          </w:p>
          <w:p w:rsidR="00632EE0" w:rsidRPr="00554DB2" w:rsidRDefault="00632EE0" w:rsidP="00266477">
            <w:pPr>
              <w:jc w:val="both"/>
              <w:rPr>
                <w:rFonts w:eastAsia="Calibri"/>
                <w:sz w:val="20"/>
                <w:lang w:val="fr-CA"/>
              </w:rPr>
            </w:pPr>
            <w:r w:rsidRPr="00554DB2">
              <w:rPr>
                <w:rFonts w:eastAsia="Calibri"/>
                <w:sz w:val="20"/>
                <w:lang w:val="fr-CA"/>
              </w:rPr>
              <w:t>Cour suprême du Canada</w:t>
            </w:r>
          </w:p>
        </w:tc>
        <w:tc>
          <w:tcPr>
            <w:tcW w:w="243" w:type="pct"/>
          </w:tcPr>
          <w:p w:rsidR="00632EE0" w:rsidRPr="00554DB2" w:rsidRDefault="00632EE0" w:rsidP="00266477">
            <w:pPr>
              <w:jc w:val="both"/>
              <w:rPr>
                <w:rFonts w:eastAsia="Calibri"/>
                <w:sz w:val="20"/>
                <w:lang w:val="fr-CA"/>
              </w:rPr>
            </w:pPr>
          </w:p>
        </w:tc>
        <w:tc>
          <w:tcPr>
            <w:tcW w:w="2330" w:type="pct"/>
          </w:tcPr>
          <w:p w:rsidR="00632EE0" w:rsidRPr="00554DB2" w:rsidRDefault="00632EE0" w:rsidP="00266477">
            <w:pPr>
              <w:jc w:val="both"/>
              <w:rPr>
                <w:rFonts w:eastAsia="Calibri"/>
                <w:sz w:val="20"/>
                <w:lang w:val="fr-CA"/>
              </w:rPr>
            </w:pPr>
            <w:r w:rsidRPr="00554DB2">
              <w:rPr>
                <w:rFonts w:eastAsia="Calibri"/>
                <w:sz w:val="20"/>
                <w:lang w:val="fr-CA"/>
              </w:rPr>
              <w:t>Demande d'autorisation d'appel, déposée</w:t>
            </w:r>
          </w:p>
          <w:p w:rsidR="00632EE0" w:rsidRPr="00554DB2" w:rsidRDefault="00632EE0" w:rsidP="00266477">
            <w:pPr>
              <w:jc w:val="both"/>
              <w:rPr>
                <w:rFonts w:eastAsia="Calibri"/>
                <w:sz w:val="20"/>
                <w:lang w:val="fr-CA"/>
              </w:rPr>
            </w:pPr>
          </w:p>
        </w:tc>
      </w:tr>
    </w:tbl>
    <w:p w:rsidR="00FA1074" w:rsidRDefault="00FA1074" w:rsidP="00FA1074">
      <w:pPr>
        <w:rPr>
          <w:sz w:val="20"/>
          <w:szCs w:val="20"/>
        </w:rPr>
      </w:pPr>
    </w:p>
    <w:p w:rsidR="00FA1074" w:rsidRDefault="002048ED" w:rsidP="00FA1074">
      <w:pPr>
        <w:rPr>
          <w:sz w:val="20"/>
          <w:szCs w:val="20"/>
          <w:lang w:val="fr-CA"/>
        </w:rPr>
      </w:pPr>
      <w:r w:rsidRPr="002048ED">
        <w:rPr>
          <w:sz w:val="20"/>
          <w:szCs w:val="20"/>
          <w:lang w:val="fr-CA"/>
        </w:rPr>
        <w:pict>
          <v:rect id="_x0000_i1085" style="width:2in;height:1pt" o:hrpct="0" o:hralign="center" o:hrstd="t" o:hrnoshade="t" o:hr="t" fillcolor="black [3213]" stroked="f"/>
        </w:pict>
      </w:r>
    </w:p>
    <w:p w:rsidR="00910721" w:rsidRDefault="00910721" w:rsidP="00FA10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10721" w:rsidRPr="005571F9" w:rsidTr="006B3BA7">
        <w:trPr>
          <w:cantSplit/>
        </w:trPr>
        <w:tc>
          <w:tcPr>
            <w:tcW w:w="1458" w:type="dxa"/>
          </w:tcPr>
          <w:p w:rsidR="00910721" w:rsidRPr="00E05D03" w:rsidRDefault="00910721" w:rsidP="006B3BA7">
            <w:pPr>
              <w:rPr>
                <w:sz w:val="20"/>
                <w:szCs w:val="20"/>
              </w:rPr>
            </w:pPr>
            <w:r w:rsidRPr="00E05D03">
              <w:rPr>
                <w:rStyle w:val="SCCFileNumberChar"/>
                <w:sz w:val="20"/>
                <w:szCs w:val="20"/>
              </w:rPr>
              <w:t>34950</w:t>
            </w:r>
          </w:p>
          <w:p w:rsidR="00910721" w:rsidRPr="00E05D03" w:rsidRDefault="00910721" w:rsidP="006B3BA7">
            <w:pPr>
              <w:rPr>
                <w:b/>
                <w:sz w:val="20"/>
                <w:szCs w:val="20"/>
                <w:lang w:val="fr-CA"/>
              </w:rPr>
            </w:pPr>
          </w:p>
        </w:tc>
        <w:tc>
          <w:tcPr>
            <w:tcW w:w="8118" w:type="dxa"/>
          </w:tcPr>
          <w:p w:rsidR="00910721" w:rsidRPr="00E05D03" w:rsidRDefault="00910721" w:rsidP="006B3BA7">
            <w:pPr>
              <w:jc w:val="both"/>
              <w:rPr>
                <w:sz w:val="20"/>
                <w:szCs w:val="20"/>
                <w:lang w:val="fr-CA"/>
              </w:rPr>
            </w:pPr>
            <w:r w:rsidRPr="00E05D03">
              <w:rPr>
                <w:rStyle w:val="SCCLsocChar"/>
                <w:sz w:val="20"/>
                <w:szCs w:val="20"/>
              </w:rPr>
              <w:t>Sylvain Roger c. Linda Mercier, Gaston Drouin, Anita Rousseau, David Gosselin, Jean-Claude Noël, Jacques Mercier</w:t>
            </w:r>
            <w:r>
              <w:rPr>
                <w:rStyle w:val="SCCLsocChar"/>
                <w:sz w:val="20"/>
                <w:szCs w:val="20"/>
              </w:rPr>
              <w:t xml:space="preserve"> et</w:t>
            </w:r>
            <w:r w:rsidRPr="00E05D03">
              <w:rPr>
                <w:rStyle w:val="SCCLsocChar"/>
                <w:sz w:val="20"/>
                <w:szCs w:val="20"/>
              </w:rPr>
              <w:t xml:space="preserve"> Claude Fournier</w:t>
            </w:r>
            <w:r w:rsidRPr="00E05D03">
              <w:rPr>
                <w:sz w:val="20"/>
                <w:szCs w:val="20"/>
                <w:lang w:val="fr-CA"/>
              </w:rPr>
              <w:t xml:space="preserve"> (Qc) (Civile) (Autorisation)</w:t>
            </w:r>
          </w:p>
          <w:p w:rsidR="00910721" w:rsidRPr="00E05D03" w:rsidRDefault="00910721" w:rsidP="006B3BA7">
            <w:pPr>
              <w:rPr>
                <w:sz w:val="20"/>
                <w:szCs w:val="20"/>
                <w:lang w:val="fr-CA"/>
              </w:rPr>
            </w:pPr>
          </w:p>
        </w:tc>
      </w:tr>
      <w:tr w:rsidR="00910721" w:rsidRPr="005571F9" w:rsidTr="006B3BA7">
        <w:trPr>
          <w:cantSplit/>
        </w:trPr>
        <w:tc>
          <w:tcPr>
            <w:tcW w:w="1458" w:type="dxa"/>
          </w:tcPr>
          <w:p w:rsidR="00910721" w:rsidRPr="00E05D03" w:rsidRDefault="00910721" w:rsidP="006B3BA7">
            <w:pPr>
              <w:rPr>
                <w:sz w:val="20"/>
                <w:szCs w:val="20"/>
              </w:rPr>
            </w:pPr>
            <w:r w:rsidRPr="00E05D03">
              <w:rPr>
                <w:sz w:val="20"/>
                <w:szCs w:val="20"/>
              </w:rPr>
              <w:t>Coram :</w:t>
            </w:r>
          </w:p>
        </w:tc>
        <w:tc>
          <w:tcPr>
            <w:tcW w:w="8118" w:type="dxa"/>
          </w:tcPr>
          <w:p w:rsidR="00910721" w:rsidRPr="00E05D03" w:rsidRDefault="00910721" w:rsidP="006B3BA7">
            <w:pPr>
              <w:rPr>
                <w:sz w:val="20"/>
                <w:szCs w:val="20"/>
                <w:lang w:val="fr-CA"/>
              </w:rPr>
            </w:pPr>
            <w:r w:rsidRPr="00E05D03">
              <w:rPr>
                <w:rStyle w:val="SCCCoramChar"/>
                <w:sz w:val="20"/>
                <w:szCs w:val="20"/>
              </w:rPr>
              <w:t>Les juges LeBel, Abella et Cromwell</w:t>
            </w:r>
          </w:p>
          <w:p w:rsidR="00910721" w:rsidRPr="00E05D03" w:rsidRDefault="00910721" w:rsidP="006B3BA7">
            <w:pPr>
              <w:rPr>
                <w:sz w:val="20"/>
                <w:szCs w:val="20"/>
                <w:u w:val="single"/>
                <w:lang w:val="fr-CA"/>
              </w:rPr>
            </w:pPr>
          </w:p>
        </w:tc>
      </w:tr>
      <w:tr w:rsidR="00910721" w:rsidRPr="00E05D03" w:rsidTr="006B3BA7">
        <w:trPr>
          <w:cantSplit/>
        </w:trPr>
        <w:tc>
          <w:tcPr>
            <w:tcW w:w="9576" w:type="dxa"/>
            <w:gridSpan w:val="2"/>
          </w:tcPr>
          <w:p w:rsidR="00910721" w:rsidRPr="00E05D03" w:rsidRDefault="00910721" w:rsidP="006B3BA7">
            <w:pPr>
              <w:pStyle w:val="SCCShortJudgment"/>
              <w:rPr>
                <w:szCs w:val="20"/>
                <w:lang w:val="fr-CA"/>
              </w:rPr>
            </w:pPr>
            <w:r w:rsidRPr="00E05D03">
              <w:rPr>
                <w:szCs w:val="20"/>
                <w:lang w:val="fr-CA"/>
              </w:rPr>
              <w:t>La requête en prorogation du délai de signification et de dépôt de la demande d’autorisation d’appel est accordée. La demande d’autorisation d’appel de l’arrêt de la Cour d’appel du Québec (Québec), numéro 200-09-007120-105, 2012 QCCA 623, daté du 5 avril 2012, est rejetée avec dépens.</w:t>
            </w:r>
          </w:p>
          <w:p w:rsidR="00910721" w:rsidRPr="00E05D03" w:rsidRDefault="00910721" w:rsidP="006B3BA7">
            <w:pPr>
              <w:pStyle w:val="SCCShortJudgment"/>
              <w:ind w:firstLine="0"/>
              <w:rPr>
                <w:szCs w:val="20"/>
                <w:lang w:val="fr-CA"/>
              </w:rPr>
            </w:pPr>
          </w:p>
          <w:p w:rsidR="00910721" w:rsidRPr="00E05D03" w:rsidRDefault="00910721" w:rsidP="006B3BA7">
            <w:pPr>
              <w:pStyle w:val="SCCShortJudgment"/>
              <w:rPr>
                <w:szCs w:val="20"/>
              </w:rPr>
            </w:pPr>
            <w:r w:rsidRPr="00E05D03">
              <w:rPr>
                <w:szCs w:val="20"/>
              </w:rPr>
              <w:t>The motion for an extension of time to serve and file the application for leave to appeal is granted. The application for leave to appeal from the judgment of the Court of Appeal of Quebec (Québec), Number 200-09-007120-105, 2012 QCCA 623, dated April 5, 2012, is dismissed with costs.</w:t>
            </w:r>
          </w:p>
        </w:tc>
      </w:tr>
    </w:tbl>
    <w:p w:rsidR="00FA1074" w:rsidRDefault="00FA1074" w:rsidP="00FA1074">
      <w:pPr>
        <w:rPr>
          <w:sz w:val="20"/>
          <w:szCs w:val="20"/>
        </w:rPr>
      </w:pPr>
    </w:p>
    <w:p w:rsidR="00FA1074" w:rsidRPr="001B157C" w:rsidRDefault="00FA1074" w:rsidP="00FA1074">
      <w:pPr>
        <w:rPr>
          <w:sz w:val="20"/>
          <w:szCs w:val="20"/>
          <w:u w:val="single"/>
        </w:rPr>
      </w:pPr>
      <w:r w:rsidRPr="001B157C">
        <w:rPr>
          <w:sz w:val="20"/>
          <w:szCs w:val="20"/>
          <w:u w:val="single"/>
        </w:rPr>
        <w:t>CASE SUMMARY</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35FD" w:rsidRPr="00554DB2" w:rsidTr="00266477">
        <w:tc>
          <w:tcPr>
            <w:tcW w:w="5000" w:type="pct"/>
            <w:gridSpan w:val="3"/>
          </w:tcPr>
          <w:p w:rsidR="00E535FD" w:rsidRPr="00554DB2" w:rsidRDefault="00E535FD" w:rsidP="00266477">
            <w:pPr>
              <w:jc w:val="both"/>
              <w:rPr>
                <w:rFonts w:eastAsia="Calibri"/>
                <w:sz w:val="20"/>
              </w:rPr>
            </w:pPr>
            <w:r w:rsidRPr="00554DB2">
              <w:rPr>
                <w:rFonts w:eastAsia="Calibri"/>
                <w:sz w:val="20"/>
              </w:rPr>
              <w:t>Contracts — Gaming and wagering — Group — Five persons participating in group that regularly purchased tickets at convenience store — One participant moving and therefore replaced — Several million dollars won contemporaneously — New participant informed of participation and win at same time — Ousted participant making claim — Whether agreement to purchase lottery tickets among usual participants still in effect at time of win — Rules governing such contract and whether rules complied with.</w:t>
            </w:r>
          </w:p>
        </w:tc>
      </w:tr>
      <w:tr w:rsidR="00E535FD" w:rsidRPr="00554DB2" w:rsidTr="00266477">
        <w:tc>
          <w:tcPr>
            <w:tcW w:w="5000" w:type="pct"/>
            <w:gridSpan w:val="3"/>
          </w:tcPr>
          <w:p w:rsidR="00E535FD" w:rsidRPr="00554DB2" w:rsidRDefault="00E535FD" w:rsidP="00266477">
            <w:pPr>
              <w:jc w:val="both"/>
              <w:rPr>
                <w:rFonts w:eastAsia="Calibri"/>
                <w:sz w:val="20"/>
              </w:rPr>
            </w:pPr>
          </w:p>
        </w:tc>
      </w:tr>
      <w:tr w:rsidR="00E535FD" w:rsidRPr="00554DB2" w:rsidTr="00266477">
        <w:tc>
          <w:tcPr>
            <w:tcW w:w="5000" w:type="pct"/>
            <w:gridSpan w:val="3"/>
          </w:tcPr>
          <w:p w:rsidR="00E535FD" w:rsidRPr="00554DB2" w:rsidRDefault="00E535FD" w:rsidP="00266477">
            <w:pPr>
              <w:jc w:val="both"/>
              <w:rPr>
                <w:rFonts w:eastAsia="Calibri"/>
                <w:sz w:val="20"/>
              </w:rPr>
            </w:pPr>
            <w:r w:rsidRPr="00554DB2">
              <w:rPr>
                <w:rFonts w:eastAsia="Calibri"/>
                <w:sz w:val="20"/>
              </w:rPr>
              <w:t>The applicant was part of a group that purchased lottery tickets at a convenience store in Lac</w:t>
            </w:r>
            <w:r w:rsidRPr="00554DB2">
              <w:rPr>
                <w:rFonts w:eastAsia="Calibri"/>
                <w:sz w:val="20"/>
              </w:rPr>
              <w:noBreakHyphen/>
              <w:t>Etchemin.  He moved to Repentigny after his relationship with his spouse ended.  However, he continued going to the former convenience store occasionally to pay for the purchase of tickets, which he was in the habit of doing after the draws.  His former spouse, who had previously paid on his behalf, notified the manager of his departure.  There was a disagreement concerning the conversations that occurred in the days preceding a draw in which the group won more than $4 million.  A new participant chosen by the manager was notified of his participation and the win at the same time.  The applicant argued that he was still part of the group and claimed his share.</w:t>
            </w:r>
          </w:p>
          <w:p w:rsidR="00E535FD" w:rsidRPr="00554DB2" w:rsidRDefault="00E535FD" w:rsidP="00266477">
            <w:pPr>
              <w:jc w:val="both"/>
              <w:rPr>
                <w:rFonts w:eastAsia="Calibri"/>
                <w:sz w:val="20"/>
              </w:rPr>
            </w:pPr>
          </w:p>
        </w:tc>
      </w:tr>
      <w:tr w:rsidR="00E535FD" w:rsidRPr="00554DB2" w:rsidTr="00266477">
        <w:tc>
          <w:tcPr>
            <w:tcW w:w="2427" w:type="pct"/>
          </w:tcPr>
          <w:p w:rsidR="00E535FD" w:rsidRPr="00554DB2" w:rsidRDefault="00E535FD" w:rsidP="00266477">
            <w:pPr>
              <w:jc w:val="both"/>
              <w:rPr>
                <w:rFonts w:eastAsia="Calibri"/>
                <w:sz w:val="20"/>
              </w:rPr>
            </w:pPr>
            <w:r w:rsidRPr="00554DB2">
              <w:rPr>
                <w:rFonts w:eastAsia="Calibri"/>
                <w:sz w:val="20"/>
              </w:rPr>
              <w:t>June 28, 2010</w:t>
            </w:r>
          </w:p>
          <w:p w:rsidR="00E535FD" w:rsidRPr="00554DB2" w:rsidRDefault="00E535FD" w:rsidP="00266477">
            <w:pPr>
              <w:jc w:val="both"/>
              <w:rPr>
                <w:rFonts w:eastAsia="Calibri"/>
                <w:sz w:val="20"/>
              </w:rPr>
            </w:pPr>
            <w:r w:rsidRPr="00554DB2">
              <w:rPr>
                <w:rFonts w:eastAsia="Calibri"/>
                <w:sz w:val="20"/>
              </w:rPr>
              <w:t>Quebec Superior Court</w:t>
            </w:r>
          </w:p>
          <w:p w:rsidR="00E535FD" w:rsidRPr="00554DB2" w:rsidRDefault="00E535FD" w:rsidP="00266477">
            <w:pPr>
              <w:jc w:val="both"/>
              <w:rPr>
                <w:rFonts w:eastAsia="Calibri"/>
                <w:sz w:val="20"/>
              </w:rPr>
            </w:pPr>
            <w:r w:rsidRPr="00554DB2">
              <w:rPr>
                <w:rFonts w:eastAsia="Calibri"/>
                <w:sz w:val="20"/>
              </w:rPr>
              <w:t>(Taschereau J.)</w:t>
            </w:r>
          </w:p>
          <w:p w:rsidR="00E535FD" w:rsidRPr="00554DB2" w:rsidRDefault="00E535FD" w:rsidP="00266477">
            <w:pPr>
              <w:jc w:val="both"/>
              <w:rPr>
                <w:rFonts w:eastAsia="Calibri"/>
                <w:sz w:val="20"/>
              </w:rPr>
            </w:pPr>
            <w:r w:rsidRPr="00554DB2">
              <w:rPr>
                <w:rFonts w:eastAsia="Calibri"/>
                <w:sz w:val="20"/>
              </w:rPr>
              <w:t>2010 QCCS 3456</w:t>
            </w:r>
          </w:p>
          <w:p w:rsidR="00E535FD" w:rsidRPr="00554DB2" w:rsidRDefault="00E535FD" w:rsidP="00266477">
            <w:pPr>
              <w:jc w:val="both"/>
              <w:rPr>
                <w:rFonts w:eastAsia="Calibri"/>
                <w:sz w:val="20"/>
              </w:rPr>
            </w:pPr>
          </w:p>
        </w:tc>
        <w:tc>
          <w:tcPr>
            <w:tcW w:w="243" w:type="pct"/>
          </w:tcPr>
          <w:p w:rsidR="00E535FD" w:rsidRPr="00554DB2" w:rsidRDefault="00E535FD" w:rsidP="00266477">
            <w:pPr>
              <w:jc w:val="both"/>
              <w:rPr>
                <w:rFonts w:eastAsia="Calibri"/>
                <w:sz w:val="20"/>
              </w:rPr>
            </w:pPr>
          </w:p>
        </w:tc>
        <w:tc>
          <w:tcPr>
            <w:tcW w:w="2330" w:type="pct"/>
          </w:tcPr>
          <w:p w:rsidR="00E535FD" w:rsidRPr="00554DB2" w:rsidRDefault="00E535FD" w:rsidP="00266477">
            <w:pPr>
              <w:jc w:val="both"/>
              <w:rPr>
                <w:rFonts w:eastAsia="Calibri"/>
                <w:sz w:val="20"/>
              </w:rPr>
            </w:pPr>
            <w:r w:rsidRPr="00554DB2">
              <w:rPr>
                <w:rFonts w:eastAsia="Calibri"/>
                <w:sz w:val="20"/>
              </w:rPr>
              <w:t>Applicant’s claim dismissed</w:t>
            </w:r>
          </w:p>
        </w:tc>
      </w:tr>
      <w:tr w:rsidR="00E535FD" w:rsidRPr="00554DB2" w:rsidTr="00266477">
        <w:tc>
          <w:tcPr>
            <w:tcW w:w="2427" w:type="pct"/>
          </w:tcPr>
          <w:p w:rsidR="00E535FD" w:rsidRPr="00554DB2" w:rsidRDefault="00E535FD" w:rsidP="00266477">
            <w:pPr>
              <w:jc w:val="both"/>
              <w:rPr>
                <w:rFonts w:eastAsia="Calibri"/>
                <w:sz w:val="20"/>
              </w:rPr>
            </w:pPr>
            <w:r w:rsidRPr="00554DB2">
              <w:rPr>
                <w:rFonts w:eastAsia="Calibri"/>
                <w:sz w:val="20"/>
              </w:rPr>
              <w:t>April 5, 2012</w:t>
            </w:r>
          </w:p>
          <w:p w:rsidR="00E535FD" w:rsidRPr="00554DB2" w:rsidRDefault="00E535FD" w:rsidP="00266477">
            <w:pPr>
              <w:jc w:val="both"/>
              <w:rPr>
                <w:rFonts w:eastAsia="Calibri"/>
                <w:sz w:val="20"/>
              </w:rPr>
            </w:pPr>
            <w:r w:rsidRPr="00554DB2">
              <w:rPr>
                <w:rFonts w:eastAsia="Calibri"/>
                <w:sz w:val="20"/>
              </w:rPr>
              <w:t>Quebec Court of Appeal (Québec)</w:t>
            </w:r>
          </w:p>
          <w:p w:rsidR="00E535FD" w:rsidRPr="00554DB2" w:rsidRDefault="00E535FD" w:rsidP="00266477">
            <w:pPr>
              <w:jc w:val="both"/>
              <w:rPr>
                <w:rFonts w:eastAsia="Calibri"/>
                <w:sz w:val="20"/>
              </w:rPr>
            </w:pPr>
            <w:r w:rsidRPr="00554DB2">
              <w:rPr>
                <w:rFonts w:eastAsia="Calibri"/>
                <w:sz w:val="20"/>
              </w:rPr>
              <w:t>(Morin, Vézina and Fournier JJ.A.)</w:t>
            </w:r>
          </w:p>
          <w:p w:rsidR="00E535FD" w:rsidRPr="00554DB2" w:rsidRDefault="00E535FD" w:rsidP="00266477">
            <w:pPr>
              <w:jc w:val="both"/>
              <w:rPr>
                <w:rFonts w:eastAsia="Calibri"/>
                <w:sz w:val="20"/>
              </w:rPr>
            </w:pPr>
            <w:r w:rsidRPr="00554DB2">
              <w:rPr>
                <w:rFonts w:eastAsia="Calibri"/>
                <w:sz w:val="20"/>
              </w:rPr>
              <w:t>2012 QCCA 623</w:t>
            </w:r>
          </w:p>
          <w:p w:rsidR="00E535FD" w:rsidRPr="00554DB2" w:rsidRDefault="00E535FD" w:rsidP="00266477">
            <w:pPr>
              <w:jc w:val="both"/>
              <w:rPr>
                <w:rFonts w:eastAsia="Calibri"/>
                <w:sz w:val="20"/>
              </w:rPr>
            </w:pPr>
          </w:p>
        </w:tc>
        <w:tc>
          <w:tcPr>
            <w:tcW w:w="243" w:type="pct"/>
          </w:tcPr>
          <w:p w:rsidR="00E535FD" w:rsidRPr="00554DB2" w:rsidRDefault="00E535FD" w:rsidP="00266477">
            <w:pPr>
              <w:jc w:val="both"/>
              <w:rPr>
                <w:rFonts w:eastAsia="Calibri"/>
                <w:sz w:val="20"/>
              </w:rPr>
            </w:pPr>
          </w:p>
        </w:tc>
        <w:tc>
          <w:tcPr>
            <w:tcW w:w="2330" w:type="pct"/>
          </w:tcPr>
          <w:p w:rsidR="00E535FD" w:rsidRPr="00554DB2" w:rsidRDefault="00E535FD" w:rsidP="00266477">
            <w:pPr>
              <w:jc w:val="both"/>
              <w:rPr>
                <w:rFonts w:eastAsia="Calibri"/>
                <w:sz w:val="20"/>
              </w:rPr>
            </w:pPr>
            <w:r w:rsidRPr="00554DB2">
              <w:rPr>
                <w:rFonts w:eastAsia="Calibri"/>
                <w:sz w:val="20"/>
              </w:rPr>
              <w:t>Appeal dismissed</w:t>
            </w:r>
          </w:p>
        </w:tc>
      </w:tr>
      <w:tr w:rsidR="00E535FD" w:rsidRPr="00554DB2" w:rsidTr="00266477">
        <w:tc>
          <w:tcPr>
            <w:tcW w:w="2427" w:type="pct"/>
          </w:tcPr>
          <w:p w:rsidR="00E535FD" w:rsidRPr="00554DB2" w:rsidRDefault="00E535FD" w:rsidP="00266477">
            <w:pPr>
              <w:jc w:val="both"/>
              <w:rPr>
                <w:rFonts w:eastAsia="Calibri"/>
                <w:sz w:val="20"/>
              </w:rPr>
            </w:pPr>
            <w:r w:rsidRPr="00554DB2">
              <w:rPr>
                <w:rFonts w:eastAsia="Calibri"/>
                <w:sz w:val="20"/>
              </w:rPr>
              <w:t>September 4, 2012</w:t>
            </w:r>
          </w:p>
          <w:p w:rsidR="00E535FD" w:rsidRPr="00554DB2" w:rsidRDefault="00E535FD" w:rsidP="00266477">
            <w:pPr>
              <w:jc w:val="both"/>
              <w:rPr>
                <w:rFonts w:eastAsia="Calibri"/>
                <w:sz w:val="20"/>
              </w:rPr>
            </w:pPr>
            <w:r w:rsidRPr="00554DB2">
              <w:rPr>
                <w:rFonts w:eastAsia="Calibri"/>
                <w:sz w:val="20"/>
              </w:rPr>
              <w:t>Supreme Court of Canada</w:t>
            </w:r>
          </w:p>
          <w:p w:rsidR="00E535FD" w:rsidRPr="00554DB2" w:rsidRDefault="00E535FD" w:rsidP="00266477">
            <w:pPr>
              <w:jc w:val="both"/>
              <w:rPr>
                <w:rFonts w:eastAsia="Calibri"/>
                <w:sz w:val="20"/>
              </w:rPr>
            </w:pPr>
          </w:p>
        </w:tc>
        <w:tc>
          <w:tcPr>
            <w:tcW w:w="243" w:type="pct"/>
          </w:tcPr>
          <w:p w:rsidR="00E535FD" w:rsidRPr="00554DB2" w:rsidRDefault="00E535FD" w:rsidP="00266477">
            <w:pPr>
              <w:jc w:val="both"/>
              <w:rPr>
                <w:rFonts w:eastAsia="Calibri"/>
                <w:sz w:val="20"/>
              </w:rPr>
            </w:pPr>
          </w:p>
        </w:tc>
        <w:tc>
          <w:tcPr>
            <w:tcW w:w="2330" w:type="pct"/>
          </w:tcPr>
          <w:p w:rsidR="00E535FD" w:rsidRPr="00554DB2" w:rsidRDefault="00E535FD" w:rsidP="00266477">
            <w:pPr>
              <w:jc w:val="both"/>
              <w:rPr>
                <w:rFonts w:eastAsia="Calibri"/>
                <w:sz w:val="20"/>
              </w:rPr>
            </w:pPr>
            <w:r w:rsidRPr="00554DB2">
              <w:rPr>
                <w:rFonts w:eastAsia="Calibri"/>
                <w:sz w:val="20"/>
              </w:rPr>
              <w:t>Application for leave to appeal and motion to extend time to serve and file application for leave to appeal filed</w:t>
            </w:r>
          </w:p>
        </w:tc>
      </w:tr>
    </w:tbl>
    <w:p w:rsidR="00FA1074" w:rsidRDefault="00FA1074" w:rsidP="00FA1074">
      <w:pPr>
        <w:rPr>
          <w:sz w:val="20"/>
          <w:szCs w:val="20"/>
        </w:rPr>
      </w:pPr>
    </w:p>
    <w:p w:rsidR="00FA1074" w:rsidRPr="00C50A5C" w:rsidRDefault="002048ED" w:rsidP="00FA1074">
      <w:pPr>
        <w:rPr>
          <w:sz w:val="20"/>
          <w:szCs w:val="20"/>
        </w:rPr>
      </w:pPr>
      <w:r w:rsidRPr="002048ED">
        <w:rPr>
          <w:sz w:val="20"/>
          <w:szCs w:val="20"/>
          <w:lang w:val="fr-CA"/>
        </w:rPr>
        <w:pict>
          <v:rect id="_x0000_i1086" style="width:2in;height:1pt" o:hrpct="0" o:hralign="center" o:hrstd="t" o:hrnoshade="t" o:hr="t" fillcolor="black [3213]" stroked="f"/>
        </w:pict>
      </w:r>
    </w:p>
    <w:p w:rsidR="00FA1074" w:rsidRDefault="00FA1074" w:rsidP="00FA1074">
      <w:pPr>
        <w:rPr>
          <w:sz w:val="20"/>
          <w:szCs w:val="20"/>
        </w:rPr>
      </w:pPr>
    </w:p>
    <w:p w:rsidR="00FA1074" w:rsidRPr="001B157C" w:rsidRDefault="00FA1074" w:rsidP="00FA1074">
      <w:pPr>
        <w:rPr>
          <w:sz w:val="20"/>
          <w:szCs w:val="20"/>
          <w:u w:val="single"/>
          <w:lang w:val="fr-CA"/>
        </w:rPr>
      </w:pPr>
      <w:r w:rsidRPr="001B157C">
        <w:rPr>
          <w:sz w:val="20"/>
          <w:szCs w:val="20"/>
          <w:u w:val="single"/>
          <w:lang w:val="fr-CA"/>
        </w:rPr>
        <w:t>RÉSUMÉ DE L’AFFAIRE</w:t>
      </w:r>
    </w:p>
    <w:p w:rsidR="00FA1074" w:rsidRDefault="00FA1074" w:rsidP="00FA107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535FD" w:rsidRPr="005571F9" w:rsidTr="00266477">
        <w:tc>
          <w:tcPr>
            <w:tcW w:w="5000" w:type="pct"/>
            <w:gridSpan w:val="3"/>
          </w:tcPr>
          <w:p w:rsidR="00E535FD" w:rsidRPr="00554DB2" w:rsidRDefault="00E535FD" w:rsidP="00266477">
            <w:pPr>
              <w:jc w:val="both"/>
              <w:rPr>
                <w:rFonts w:eastAsia="Calibri"/>
                <w:sz w:val="20"/>
                <w:lang w:val="fr-CA"/>
              </w:rPr>
            </w:pPr>
            <w:r w:rsidRPr="00554DB2">
              <w:rPr>
                <w:rFonts w:eastAsia="Calibri"/>
                <w:sz w:val="20"/>
                <w:lang w:val="fr-CA"/>
              </w:rPr>
              <w:t>Contrats — Jeu et pari — Groupe - Participation de cinq personnes à un groupe d’achat régulier de billets dans un dépanneur — Déménagement d’un participant entraînant son remplacement — Gain de plusieurs millions concomitant — Nouveau participant informé de sa participation en même temps que du gain — Réclamation du participant évincé — La convention d’achat de billets de loterie entre les participants habituels était-elle encore en vigueur lors du gain? — Quelles sont les règles régissant un tel contrat et ont-elles été respectées?</w:t>
            </w:r>
          </w:p>
        </w:tc>
      </w:tr>
      <w:tr w:rsidR="00E535FD" w:rsidRPr="005571F9" w:rsidTr="00266477">
        <w:tc>
          <w:tcPr>
            <w:tcW w:w="5000" w:type="pct"/>
            <w:gridSpan w:val="3"/>
          </w:tcPr>
          <w:p w:rsidR="00E535FD" w:rsidRPr="00554DB2" w:rsidRDefault="00E535FD" w:rsidP="00266477">
            <w:pPr>
              <w:jc w:val="both"/>
              <w:rPr>
                <w:rFonts w:eastAsia="Calibri"/>
                <w:sz w:val="20"/>
                <w:lang w:val="fr-CA"/>
              </w:rPr>
            </w:pPr>
          </w:p>
        </w:tc>
      </w:tr>
      <w:tr w:rsidR="00E535FD" w:rsidRPr="005571F9" w:rsidTr="00266477">
        <w:tc>
          <w:tcPr>
            <w:tcW w:w="5000" w:type="pct"/>
            <w:gridSpan w:val="3"/>
          </w:tcPr>
          <w:p w:rsidR="00E535FD" w:rsidRPr="00554DB2" w:rsidRDefault="00E535FD" w:rsidP="00266477">
            <w:pPr>
              <w:jc w:val="both"/>
              <w:rPr>
                <w:rFonts w:eastAsia="Calibri"/>
                <w:sz w:val="20"/>
                <w:lang w:val="fr-CA"/>
              </w:rPr>
            </w:pPr>
            <w:r w:rsidRPr="00554DB2">
              <w:rPr>
                <w:rFonts w:eastAsia="Calibri"/>
                <w:sz w:val="20"/>
                <w:lang w:val="fr-CA"/>
              </w:rPr>
              <w:t>Le demandeur participe à un groupe d’achat de billets de loterie dans un dépanneur de Lac-Etchemin.  À la suite d’une rupture de vie commune, il déménage à Repentigny.  Il continue toutefois à se présenter à l’occasion à l’ancien dépanneur pour régler l’achat des billets, qu’il a l’habitude de payer après les tirages.  L’ex-conjointe, qui a déjà payé à la place du demandeur, avise le gérant du départ de celui-ci.  Il y a désaccord sur les conversations entourant les jours précédant un tirage où le groupe rafle plus de 4 M$.  Un nouveau participant, choisi par le gérant, est avisé de sa participation en même temps que du gain.  Le demandeur prétend faire encore partie du groupe et réclame sa part.</w:t>
            </w:r>
          </w:p>
          <w:p w:rsidR="00E535FD" w:rsidRPr="00554DB2" w:rsidRDefault="00E535FD" w:rsidP="00266477">
            <w:pPr>
              <w:jc w:val="both"/>
              <w:rPr>
                <w:rFonts w:eastAsia="Calibri"/>
                <w:sz w:val="20"/>
                <w:lang w:val="fr-CA"/>
              </w:rPr>
            </w:pPr>
          </w:p>
        </w:tc>
      </w:tr>
      <w:tr w:rsidR="00E535FD" w:rsidRPr="005571F9" w:rsidTr="00266477">
        <w:tc>
          <w:tcPr>
            <w:tcW w:w="2427" w:type="pct"/>
          </w:tcPr>
          <w:p w:rsidR="00E535FD" w:rsidRPr="00554DB2" w:rsidRDefault="00E535FD" w:rsidP="00266477">
            <w:pPr>
              <w:jc w:val="both"/>
              <w:rPr>
                <w:rFonts w:eastAsia="Calibri"/>
                <w:sz w:val="20"/>
                <w:lang w:val="fr-CA"/>
              </w:rPr>
            </w:pPr>
            <w:r w:rsidRPr="00554DB2">
              <w:rPr>
                <w:rFonts w:eastAsia="Calibri"/>
                <w:sz w:val="20"/>
                <w:lang w:val="fr-CA"/>
              </w:rPr>
              <w:t>Le 28 juin 2010</w:t>
            </w:r>
          </w:p>
          <w:p w:rsidR="00E535FD" w:rsidRPr="00554DB2" w:rsidRDefault="00E535FD" w:rsidP="00266477">
            <w:pPr>
              <w:jc w:val="both"/>
              <w:rPr>
                <w:rFonts w:eastAsia="Calibri"/>
                <w:sz w:val="20"/>
                <w:lang w:val="fr-CA"/>
              </w:rPr>
            </w:pPr>
            <w:r w:rsidRPr="00554DB2">
              <w:rPr>
                <w:rFonts w:eastAsia="Calibri"/>
                <w:sz w:val="20"/>
                <w:lang w:val="fr-CA"/>
              </w:rPr>
              <w:t>Cour supérieure du Québec</w:t>
            </w:r>
          </w:p>
          <w:p w:rsidR="00E535FD" w:rsidRPr="00554DB2" w:rsidRDefault="00E535FD" w:rsidP="00266477">
            <w:pPr>
              <w:jc w:val="both"/>
              <w:rPr>
                <w:rFonts w:eastAsia="Calibri"/>
                <w:sz w:val="20"/>
                <w:lang w:val="fr-CA"/>
              </w:rPr>
            </w:pPr>
            <w:r w:rsidRPr="00554DB2">
              <w:rPr>
                <w:rFonts w:eastAsia="Calibri"/>
                <w:sz w:val="20"/>
                <w:lang w:val="fr-CA"/>
              </w:rPr>
              <w:t>(Le juge Taschereau)</w:t>
            </w:r>
          </w:p>
          <w:p w:rsidR="00E535FD" w:rsidRPr="00554DB2" w:rsidRDefault="00E535FD" w:rsidP="00266477">
            <w:pPr>
              <w:jc w:val="both"/>
              <w:rPr>
                <w:rFonts w:eastAsia="Calibri"/>
                <w:sz w:val="20"/>
                <w:lang w:val="fr-CA"/>
              </w:rPr>
            </w:pPr>
            <w:r w:rsidRPr="00554DB2">
              <w:rPr>
                <w:rFonts w:eastAsia="Calibri"/>
                <w:sz w:val="20"/>
                <w:lang w:val="fr-CA"/>
              </w:rPr>
              <w:t>2010 QCCS 3456</w:t>
            </w:r>
          </w:p>
          <w:p w:rsidR="00E535FD" w:rsidRPr="00554DB2" w:rsidRDefault="00E535FD" w:rsidP="00266477">
            <w:pPr>
              <w:jc w:val="both"/>
              <w:rPr>
                <w:rFonts w:eastAsia="Calibri"/>
                <w:sz w:val="20"/>
              </w:rPr>
            </w:pPr>
          </w:p>
        </w:tc>
        <w:tc>
          <w:tcPr>
            <w:tcW w:w="243" w:type="pct"/>
          </w:tcPr>
          <w:p w:rsidR="00E535FD" w:rsidRPr="00554DB2" w:rsidRDefault="00E535FD" w:rsidP="00266477">
            <w:pPr>
              <w:jc w:val="both"/>
              <w:rPr>
                <w:rFonts w:eastAsia="Calibri"/>
                <w:sz w:val="20"/>
              </w:rPr>
            </w:pPr>
          </w:p>
        </w:tc>
        <w:tc>
          <w:tcPr>
            <w:tcW w:w="2330" w:type="pct"/>
          </w:tcPr>
          <w:p w:rsidR="00E535FD" w:rsidRPr="00554DB2" w:rsidRDefault="00E535FD" w:rsidP="00266477">
            <w:pPr>
              <w:jc w:val="both"/>
              <w:rPr>
                <w:rFonts w:eastAsia="Calibri"/>
                <w:sz w:val="20"/>
                <w:lang w:val="fr-CA"/>
              </w:rPr>
            </w:pPr>
            <w:r w:rsidRPr="00554DB2">
              <w:rPr>
                <w:rFonts w:eastAsia="Calibri"/>
                <w:sz w:val="20"/>
                <w:lang w:val="fr-CA"/>
              </w:rPr>
              <w:t>Rejet de la réclamation du demandeur.</w:t>
            </w:r>
          </w:p>
        </w:tc>
      </w:tr>
      <w:tr w:rsidR="00E535FD" w:rsidRPr="00554DB2" w:rsidTr="00266477">
        <w:tc>
          <w:tcPr>
            <w:tcW w:w="2427" w:type="pct"/>
          </w:tcPr>
          <w:p w:rsidR="00E535FD" w:rsidRPr="00554DB2" w:rsidRDefault="00E535FD" w:rsidP="00266477">
            <w:pPr>
              <w:jc w:val="both"/>
              <w:rPr>
                <w:rFonts w:eastAsia="Calibri"/>
                <w:sz w:val="20"/>
                <w:lang w:val="fr-CA"/>
              </w:rPr>
            </w:pPr>
            <w:r w:rsidRPr="00554DB2">
              <w:rPr>
                <w:rFonts w:eastAsia="Calibri"/>
                <w:sz w:val="20"/>
                <w:lang w:val="fr-CA"/>
              </w:rPr>
              <w:t>Le 5 avril 2012</w:t>
            </w:r>
          </w:p>
          <w:p w:rsidR="00E535FD" w:rsidRPr="00554DB2" w:rsidRDefault="00E535FD" w:rsidP="00266477">
            <w:pPr>
              <w:jc w:val="both"/>
              <w:rPr>
                <w:rFonts w:eastAsia="Calibri"/>
                <w:sz w:val="20"/>
                <w:lang w:val="fr-CA"/>
              </w:rPr>
            </w:pPr>
            <w:r w:rsidRPr="00554DB2">
              <w:rPr>
                <w:rFonts w:eastAsia="Calibri"/>
                <w:sz w:val="20"/>
                <w:lang w:val="fr-CA"/>
              </w:rPr>
              <w:t>Cour d’appel du Québec (Québec)</w:t>
            </w:r>
          </w:p>
          <w:p w:rsidR="00E535FD" w:rsidRPr="00554DB2" w:rsidRDefault="00E535FD" w:rsidP="00266477">
            <w:pPr>
              <w:jc w:val="both"/>
              <w:rPr>
                <w:rFonts w:eastAsia="Calibri"/>
                <w:sz w:val="20"/>
                <w:lang w:val="fr-CA"/>
              </w:rPr>
            </w:pPr>
            <w:r w:rsidRPr="00554DB2">
              <w:rPr>
                <w:rFonts w:eastAsia="Calibri"/>
                <w:sz w:val="20"/>
                <w:lang w:val="fr-CA"/>
              </w:rPr>
              <w:t>(Les juges Morin, Vézina et Fournier)</w:t>
            </w:r>
          </w:p>
          <w:p w:rsidR="00E535FD" w:rsidRPr="00554DB2" w:rsidRDefault="00E535FD" w:rsidP="00266477">
            <w:pPr>
              <w:jc w:val="both"/>
              <w:rPr>
                <w:rFonts w:eastAsia="Calibri"/>
                <w:sz w:val="20"/>
                <w:lang w:val="fr-CA"/>
              </w:rPr>
            </w:pPr>
            <w:r w:rsidRPr="00554DB2">
              <w:rPr>
                <w:rFonts w:eastAsia="Calibri"/>
                <w:sz w:val="20"/>
                <w:lang w:val="fr-CA"/>
              </w:rPr>
              <w:t>2012 QCCA 623</w:t>
            </w:r>
          </w:p>
          <w:p w:rsidR="00E535FD" w:rsidRPr="00554DB2" w:rsidRDefault="00E535FD" w:rsidP="00266477">
            <w:pPr>
              <w:jc w:val="both"/>
              <w:rPr>
                <w:rFonts w:eastAsia="Calibri"/>
                <w:sz w:val="20"/>
                <w:lang w:val="fr-FR"/>
              </w:rPr>
            </w:pPr>
          </w:p>
        </w:tc>
        <w:tc>
          <w:tcPr>
            <w:tcW w:w="243" w:type="pct"/>
          </w:tcPr>
          <w:p w:rsidR="00E535FD" w:rsidRPr="00554DB2" w:rsidRDefault="00E535FD" w:rsidP="00266477">
            <w:pPr>
              <w:jc w:val="both"/>
              <w:rPr>
                <w:rFonts w:eastAsia="Calibri"/>
                <w:sz w:val="20"/>
                <w:lang w:val="fr-FR"/>
              </w:rPr>
            </w:pPr>
          </w:p>
        </w:tc>
        <w:tc>
          <w:tcPr>
            <w:tcW w:w="2330" w:type="pct"/>
          </w:tcPr>
          <w:p w:rsidR="00E535FD" w:rsidRPr="00554DB2" w:rsidRDefault="00E535FD" w:rsidP="00266477">
            <w:pPr>
              <w:jc w:val="both"/>
              <w:rPr>
                <w:rFonts w:eastAsia="Calibri"/>
                <w:sz w:val="20"/>
                <w:lang w:val="fr-CA"/>
              </w:rPr>
            </w:pPr>
            <w:r w:rsidRPr="00554DB2">
              <w:rPr>
                <w:rFonts w:eastAsia="Calibri"/>
                <w:sz w:val="20"/>
                <w:lang w:val="fr-CA"/>
              </w:rPr>
              <w:t>Rejet de l’appel.</w:t>
            </w:r>
          </w:p>
        </w:tc>
      </w:tr>
      <w:tr w:rsidR="00E535FD" w:rsidRPr="005571F9" w:rsidTr="00266477">
        <w:tc>
          <w:tcPr>
            <w:tcW w:w="2427" w:type="pct"/>
          </w:tcPr>
          <w:p w:rsidR="00E535FD" w:rsidRPr="00554DB2" w:rsidRDefault="00E535FD" w:rsidP="00266477">
            <w:pPr>
              <w:jc w:val="both"/>
              <w:rPr>
                <w:rFonts w:eastAsia="Calibri"/>
                <w:sz w:val="20"/>
                <w:lang w:val="fr-CA"/>
              </w:rPr>
            </w:pPr>
            <w:r w:rsidRPr="00554DB2">
              <w:rPr>
                <w:rFonts w:eastAsia="Calibri"/>
                <w:sz w:val="20"/>
                <w:lang w:val="fr-CA"/>
              </w:rPr>
              <w:t>Le 4 septembre 2012</w:t>
            </w:r>
          </w:p>
          <w:p w:rsidR="00E535FD" w:rsidRPr="00554DB2" w:rsidRDefault="00E535FD" w:rsidP="00266477">
            <w:pPr>
              <w:jc w:val="both"/>
              <w:rPr>
                <w:rFonts w:eastAsia="Calibri"/>
                <w:sz w:val="20"/>
                <w:lang w:val="fr-CA"/>
              </w:rPr>
            </w:pPr>
            <w:r w:rsidRPr="00554DB2">
              <w:rPr>
                <w:rFonts w:eastAsia="Calibri"/>
                <w:sz w:val="20"/>
                <w:lang w:val="fr-CA"/>
              </w:rPr>
              <w:t>Cour suprême du Canada</w:t>
            </w:r>
          </w:p>
          <w:p w:rsidR="00E535FD" w:rsidRPr="00554DB2" w:rsidRDefault="00E535FD" w:rsidP="00266477">
            <w:pPr>
              <w:jc w:val="both"/>
              <w:rPr>
                <w:rFonts w:eastAsia="Calibri"/>
                <w:sz w:val="20"/>
                <w:lang w:val="fr-FR"/>
              </w:rPr>
            </w:pPr>
          </w:p>
        </w:tc>
        <w:tc>
          <w:tcPr>
            <w:tcW w:w="243" w:type="pct"/>
          </w:tcPr>
          <w:p w:rsidR="00E535FD" w:rsidRPr="00554DB2" w:rsidRDefault="00E535FD" w:rsidP="00266477">
            <w:pPr>
              <w:jc w:val="both"/>
              <w:rPr>
                <w:rFonts w:eastAsia="Calibri"/>
                <w:sz w:val="20"/>
                <w:lang w:val="fr-FR"/>
              </w:rPr>
            </w:pPr>
          </w:p>
        </w:tc>
        <w:tc>
          <w:tcPr>
            <w:tcW w:w="2330" w:type="pct"/>
          </w:tcPr>
          <w:p w:rsidR="00E535FD" w:rsidRPr="00554DB2" w:rsidRDefault="00E535FD" w:rsidP="00266477">
            <w:pPr>
              <w:jc w:val="both"/>
              <w:rPr>
                <w:rFonts w:eastAsia="Calibri"/>
                <w:sz w:val="20"/>
                <w:lang w:val="fr-CA"/>
              </w:rPr>
            </w:pPr>
            <w:r w:rsidRPr="00554DB2">
              <w:rPr>
                <w:rFonts w:eastAsia="Calibri"/>
                <w:sz w:val="20"/>
                <w:lang w:val="fr-CA"/>
              </w:rPr>
              <w:t>Dépôt de la demande d'autorisation d'appel et de la requête en prorogation du délai pour la signifier et la déposer.</w:t>
            </w:r>
          </w:p>
        </w:tc>
      </w:tr>
    </w:tbl>
    <w:p w:rsidR="00FA1074" w:rsidRPr="00E535FD" w:rsidRDefault="00FA1074" w:rsidP="00FA1074">
      <w:pPr>
        <w:rPr>
          <w:sz w:val="20"/>
          <w:szCs w:val="20"/>
          <w:lang w:val="fr-CA"/>
        </w:rPr>
      </w:pPr>
    </w:p>
    <w:p w:rsidR="00FA1074" w:rsidRDefault="002048ED" w:rsidP="00FA1074">
      <w:pPr>
        <w:rPr>
          <w:sz w:val="20"/>
          <w:szCs w:val="20"/>
        </w:rPr>
      </w:pPr>
      <w:r w:rsidRPr="002048ED">
        <w:rPr>
          <w:sz w:val="20"/>
          <w:szCs w:val="20"/>
          <w:lang w:val="fr-CA"/>
        </w:rPr>
        <w:pict>
          <v:rect id="_x0000_i1087" style="width:2in;height:1pt" o:hrpct="0" o:hralign="center" o:hrstd="t" o:hrnoshade="t" o:hr="t" fillcolor="black [3213]" stroked="f"/>
        </w:pict>
      </w:r>
    </w:p>
    <w:p w:rsidR="00FA1074" w:rsidRDefault="00FA1074" w:rsidP="00FA1074">
      <w:pPr>
        <w:rPr>
          <w:sz w:val="20"/>
          <w:szCs w:val="20"/>
        </w:rPr>
      </w:pPr>
    </w:p>
    <w:p w:rsidR="00FA1074" w:rsidRPr="00FA1074" w:rsidRDefault="00FA1074"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73F77" w:rsidRPr="0092078F" w:rsidRDefault="00F73F77" w:rsidP="00F73F77">
      <w:pPr>
        <w:tabs>
          <w:tab w:val="left" w:pos="-1440"/>
          <w:tab w:val="left" w:pos="-720"/>
        </w:tabs>
        <w:jc w:val="both"/>
        <w:rPr>
          <w:sz w:val="20"/>
          <w:szCs w:val="20"/>
          <w:lang w:val="fr-CA"/>
        </w:rPr>
      </w:pPr>
      <w:r w:rsidRPr="0092078F">
        <w:rPr>
          <w:sz w:val="20"/>
          <w:szCs w:val="20"/>
          <w:lang w:val="fr-CA"/>
        </w:rPr>
        <w:t>24.10.2012</w:t>
      </w:r>
    </w:p>
    <w:p w:rsidR="00F73F77" w:rsidRPr="0092078F" w:rsidRDefault="00F73F77" w:rsidP="00F73F77">
      <w:pPr>
        <w:tabs>
          <w:tab w:val="left" w:pos="-1440"/>
          <w:tab w:val="left" w:pos="-720"/>
        </w:tabs>
        <w:jc w:val="both"/>
        <w:rPr>
          <w:sz w:val="20"/>
          <w:szCs w:val="20"/>
          <w:lang w:val="fr-CA"/>
        </w:rPr>
      </w:pPr>
    </w:p>
    <w:p w:rsidR="00F73F77" w:rsidRPr="0092078F" w:rsidRDefault="00F73F77" w:rsidP="00F73F77">
      <w:pPr>
        <w:jc w:val="both"/>
        <w:rPr>
          <w:sz w:val="20"/>
          <w:szCs w:val="20"/>
          <w:lang w:val="fr-CA"/>
        </w:rPr>
      </w:pPr>
      <w:r w:rsidRPr="0092078F">
        <w:rPr>
          <w:sz w:val="20"/>
          <w:szCs w:val="20"/>
          <w:lang w:val="fr-CA"/>
        </w:rPr>
        <w:t>Before / Devant:   KARAKATSANIS J. / LA JUGE KARAKATSANIS</w:t>
      </w:r>
    </w:p>
    <w:p w:rsidR="00F73F77" w:rsidRPr="0092078F" w:rsidRDefault="00F73F77" w:rsidP="00F73F77">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73F77" w:rsidRPr="0092078F" w:rsidTr="00266477">
        <w:trPr>
          <w:trHeight w:val="151"/>
        </w:trPr>
        <w:tc>
          <w:tcPr>
            <w:tcW w:w="4338" w:type="dxa"/>
          </w:tcPr>
          <w:p w:rsidR="00F73F77" w:rsidRPr="0092078F" w:rsidRDefault="002048ED" w:rsidP="00266477">
            <w:pPr>
              <w:tabs>
                <w:tab w:val="left" w:pos="-1440"/>
                <w:tab w:val="left" w:pos="-720"/>
              </w:tabs>
              <w:jc w:val="both"/>
              <w:rPr>
                <w:sz w:val="20"/>
                <w:szCs w:val="20"/>
                <w:lang w:val="fr-CA"/>
              </w:rPr>
            </w:pP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r w:rsidR="00F73F77" w:rsidRPr="0092078F">
              <w:rPr>
                <w:b/>
                <w:bCs/>
                <w:sz w:val="20"/>
                <w:szCs w:val="20"/>
                <w:lang w:val="fr-CA"/>
              </w:rPr>
              <w:t>Miscellaneous motion</w:t>
            </w:r>
          </w:p>
          <w:p w:rsidR="00F73F77" w:rsidRPr="0092078F" w:rsidRDefault="002048ED" w:rsidP="00266477">
            <w:pPr>
              <w:tabs>
                <w:tab w:val="left" w:pos="-1440"/>
                <w:tab w:val="left" w:pos="-720"/>
              </w:tabs>
              <w:jc w:val="both"/>
              <w:rPr>
                <w:sz w:val="20"/>
                <w:szCs w:val="20"/>
                <w:lang w:val="fr-CA"/>
              </w:rPr>
            </w:pP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p>
        </w:tc>
        <w:tc>
          <w:tcPr>
            <w:tcW w:w="1170" w:type="dxa"/>
          </w:tcPr>
          <w:p w:rsidR="00F73F77" w:rsidRPr="0092078F" w:rsidRDefault="00F73F77" w:rsidP="00266477">
            <w:pPr>
              <w:jc w:val="both"/>
              <w:rPr>
                <w:sz w:val="20"/>
                <w:szCs w:val="20"/>
                <w:lang w:val="fr-CA"/>
              </w:rPr>
            </w:pPr>
          </w:p>
          <w:p w:rsidR="00F73F77" w:rsidRPr="0092078F" w:rsidRDefault="00F73F77" w:rsidP="00266477">
            <w:pPr>
              <w:jc w:val="both"/>
              <w:rPr>
                <w:sz w:val="20"/>
                <w:szCs w:val="20"/>
                <w:lang w:val="fr-CA"/>
              </w:rPr>
            </w:pPr>
          </w:p>
        </w:tc>
        <w:tc>
          <w:tcPr>
            <w:tcW w:w="4327" w:type="dxa"/>
          </w:tcPr>
          <w:p w:rsidR="00F73F77" w:rsidRPr="0092078F" w:rsidRDefault="002048ED" w:rsidP="00266477">
            <w:pPr>
              <w:jc w:val="both"/>
              <w:rPr>
                <w:b/>
                <w:sz w:val="20"/>
                <w:szCs w:val="20"/>
                <w:lang w:val="fr-CA"/>
              </w:rPr>
            </w:pP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r w:rsidR="00F73F77" w:rsidRPr="0092078F">
              <w:rPr>
                <w:b/>
                <w:bCs/>
                <w:sz w:val="20"/>
                <w:szCs w:val="20"/>
                <w:lang w:val="fr-CA"/>
              </w:rPr>
              <w:t>Requête diverse</w:t>
            </w:r>
          </w:p>
          <w:p w:rsidR="00F73F77" w:rsidRPr="0092078F" w:rsidRDefault="002048ED" w:rsidP="00266477">
            <w:pPr>
              <w:jc w:val="both"/>
              <w:rPr>
                <w:b/>
                <w:sz w:val="20"/>
                <w:szCs w:val="20"/>
                <w:lang w:val="fr-CA"/>
              </w:rPr>
            </w:pPr>
            <w:r w:rsidRPr="0092078F">
              <w:rPr>
                <w:b/>
                <w:sz w:val="20"/>
                <w:szCs w:val="20"/>
              </w:rPr>
              <w:fldChar w:fldCharType="begin"/>
            </w:r>
            <w:r w:rsidR="00F73F77" w:rsidRPr="0092078F">
              <w:rPr>
                <w:b/>
                <w:sz w:val="20"/>
                <w:szCs w:val="20"/>
                <w:lang w:val="fr-CA"/>
              </w:rPr>
              <w:instrText xml:space="preserve"> SEQ CHAPTER \h \r 1</w:instrText>
            </w:r>
            <w:r w:rsidRPr="0092078F">
              <w:rPr>
                <w:b/>
                <w:sz w:val="20"/>
                <w:szCs w:val="20"/>
              </w:rPr>
              <w:fldChar w:fldCharType="end"/>
            </w:r>
            <w:r w:rsidRPr="0092078F">
              <w:rPr>
                <w:b/>
                <w:sz w:val="20"/>
                <w:szCs w:val="20"/>
              </w:rPr>
              <w:fldChar w:fldCharType="begin"/>
            </w:r>
            <w:r w:rsidR="00F73F77" w:rsidRPr="0092078F">
              <w:rPr>
                <w:b/>
                <w:sz w:val="20"/>
                <w:szCs w:val="20"/>
                <w:lang w:val="fr-CA"/>
              </w:rPr>
              <w:instrText xml:space="preserve"> SEQ CHAPTER \h \r 1</w:instrText>
            </w:r>
            <w:r w:rsidRPr="0092078F">
              <w:rPr>
                <w:b/>
                <w:sz w:val="20"/>
                <w:szCs w:val="20"/>
              </w:rPr>
              <w:fldChar w:fldCharType="end"/>
            </w:r>
          </w:p>
        </w:tc>
      </w:tr>
      <w:tr w:rsidR="00F73F77" w:rsidRPr="0092078F" w:rsidTr="00266477">
        <w:trPr>
          <w:trHeight w:val="150"/>
        </w:trPr>
        <w:tc>
          <w:tcPr>
            <w:tcW w:w="4338" w:type="dxa"/>
          </w:tcPr>
          <w:p w:rsidR="00F73F77" w:rsidRPr="0092078F" w:rsidRDefault="00F73F77" w:rsidP="00266477">
            <w:pPr>
              <w:tabs>
                <w:tab w:val="left" w:pos="-1440"/>
                <w:tab w:val="left" w:pos="-720"/>
              </w:tabs>
              <w:jc w:val="both"/>
              <w:rPr>
                <w:sz w:val="20"/>
                <w:szCs w:val="20"/>
              </w:rPr>
            </w:pPr>
            <w:r w:rsidRPr="0092078F">
              <w:rPr>
                <w:sz w:val="20"/>
                <w:szCs w:val="20"/>
              </w:rPr>
              <w:t>Attorney General of Canada</w:t>
            </w: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r w:rsidRPr="0092078F">
              <w:rPr>
                <w:sz w:val="20"/>
                <w:szCs w:val="20"/>
              </w:rPr>
              <w:tab/>
              <w:t>v. (34925)</w:t>
            </w: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r w:rsidRPr="0092078F">
              <w:rPr>
                <w:sz w:val="20"/>
                <w:szCs w:val="20"/>
              </w:rPr>
              <w:t>Yuriy Kobzar (Crim.) (Ont.)</w:t>
            </w:r>
          </w:p>
        </w:tc>
        <w:tc>
          <w:tcPr>
            <w:tcW w:w="1170" w:type="dxa"/>
          </w:tcPr>
          <w:p w:rsidR="00F73F77" w:rsidRPr="0092078F" w:rsidRDefault="00F73F77" w:rsidP="00266477">
            <w:pPr>
              <w:jc w:val="both"/>
              <w:rPr>
                <w:sz w:val="20"/>
                <w:szCs w:val="20"/>
              </w:rPr>
            </w:pPr>
          </w:p>
        </w:tc>
        <w:tc>
          <w:tcPr>
            <w:tcW w:w="4327" w:type="dxa"/>
          </w:tcPr>
          <w:p w:rsidR="00F73F77" w:rsidRPr="0092078F" w:rsidRDefault="00F73F77" w:rsidP="00266477">
            <w:pPr>
              <w:jc w:val="both"/>
              <w:rPr>
                <w:sz w:val="20"/>
                <w:szCs w:val="20"/>
              </w:rPr>
            </w:pPr>
          </w:p>
        </w:tc>
      </w:tr>
    </w:tbl>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r w:rsidRPr="0092078F">
        <w:rPr>
          <w:b/>
          <w:sz w:val="20"/>
          <w:szCs w:val="20"/>
        </w:rPr>
        <w:t>GRANTED / ACCORDÉE</w:t>
      </w:r>
    </w:p>
    <w:p w:rsidR="00F73F77" w:rsidRPr="0092078F" w:rsidRDefault="00F73F77" w:rsidP="00F73F77">
      <w:pPr>
        <w:tabs>
          <w:tab w:val="left" w:pos="-1440"/>
          <w:tab w:val="left" w:pos="-720"/>
        </w:tabs>
        <w:jc w:val="both"/>
        <w:rPr>
          <w:sz w:val="20"/>
          <w:szCs w:val="20"/>
        </w:rPr>
      </w:pPr>
    </w:p>
    <w:p w:rsidR="00F73F77" w:rsidRPr="0092078F" w:rsidRDefault="00F73F77" w:rsidP="00F73F77">
      <w:pPr>
        <w:jc w:val="both"/>
        <w:rPr>
          <w:sz w:val="20"/>
          <w:szCs w:val="20"/>
        </w:rPr>
      </w:pPr>
      <w:r w:rsidRPr="0092078F">
        <w:rPr>
          <w:b/>
          <w:bCs/>
          <w:sz w:val="20"/>
          <w:szCs w:val="20"/>
        </w:rPr>
        <w:t>UPON APPLICATION</w:t>
      </w:r>
      <w:r w:rsidRPr="0092078F">
        <w:rPr>
          <w:sz w:val="20"/>
          <w:szCs w:val="20"/>
        </w:rPr>
        <w:t xml:space="preserve"> by the applicant for an order dispensing with service of the application for leave to appeal upon the respondent and for an order appointing Mr. Joseph Di Luca and Ms. Erin Dann as </w:t>
      </w:r>
      <w:r w:rsidRPr="0092078F">
        <w:rPr>
          <w:i/>
          <w:iCs/>
          <w:sz w:val="20"/>
          <w:szCs w:val="20"/>
        </w:rPr>
        <w:t xml:space="preserve">amici curiae </w:t>
      </w:r>
      <w:r w:rsidRPr="0092078F">
        <w:rPr>
          <w:sz w:val="20"/>
          <w:szCs w:val="20"/>
        </w:rPr>
        <w:t>to assist the Court by filing a response to the application for leave to appeal within 30 days of the date of this Court’s order and, if leave to appeal is granted, to file a factum and make oral submissions at the hearing of the appeal;</w:t>
      </w:r>
    </w:p>
    <w:p w:rsidR="00F73F77" w:rsidRPr="0092078F" w:rsidRDefault="00F73F77" w:rsidP="00F73F77">
      <w:pPr>
        <w:jc w:val="both"/>
        <w:rPr>
          <w:sz w:val="20"/>
          <w:szCs w:val="20"/>
        </w:rPr>
      </w:pPr>
    </w:p>
    <w:p w:rsidR="00F73F77" w:rsidRPr="0092078F" w:rsidRDefault="00F73F77" w:rsidP="00F73F77">
      <w:pPr>
        <w:jc w:val="both"/>
        <w:rPr>
          <w:sz w:val="20"/>
          <w:szCs w:val="20"/>
        </w:rPr>
      </w:pPr>
      <w:r w:rsidRPr="0092078F">
        <w:rPr>
          <w:b/>
          <w:bCs/>
          <w:sz w:val="20"/>
          <w:szCs w:val="20"/>
        </w:rPr>
        <w:t>THE MATERIAL FILED</w:t>
      </w:r>
      <w:r w:rsidRPr="0092078F">
        <w:rPr>
          <w:sz w:val="20"/>
          <w:szCs w:val="20"/>
        </w:rPr>
        <w:t xml:space="preserve"> having been read;</w:t>
      </w:r>
    </w:p>
    <w:p w:rsidR="00F73F77" w:rsidRPr="0092078F" w:rsidRDefault="00F73F77" w:rsidP="00F73F77">
      <w:pPr>
        <w:jc w:val="both"/>
        <w:rPr>
          <w:sz w:val="20"/>
          <w:szCs w:val="20"/>
        </w:rPr>
      </w:pPr>
    </w:p>
    <w:p w:rsidR="00F73F77" w:rsidRPr="0092078F" w:rsidRDefault="00F73F77" w:rsidP="00F73F77">
      <w:pPr>
        <w:jc w:val="both"/>
        <w:rPr>
          <w:sz w:val="20"/>
          <w:szCs w:val="20"/>
        </w:rPr>
      </w:pPr>
      <w:r w:rsidRPr="0092078F">
        <w:rPr>
          <w:b/>
          <w:bCs/>
          <w:sz w:val="20"/>
          <w:szCs w:val="20"/>
        </w:rPr>
        <w:t>IT IS HEREBY ORDERED THAT</w:t>
      </w:r>
      <w:r w:rsidRPr="0092078F">
        <w:rPr>
          <w:sz w:val="20"/>
          <w:szCs w:val="20"/>
        </w:rPr>
        <w:t>:</w:t>
      </w:r>
    </w:p>
    <w:p w:rsidR="00F73F77" w:rsidRPr="0092078F" w:rsidRDefault="00F73F77" w:rsidP="00F73F77">
      <w:pPr>
        <w:jc w:val="both"/>
        <w:rPr>
          <w:sz w:val="20"/>
          <w:szCs w:val="20"/>
        </w:rPr>
      </w:pPr>
    </w:p>
    <w:p w:rsidR="00F73F77" w:rsidRPr="0092078F" w:rsidRDefault="00F73F77" w:rsidP="00F73F77">
      <w:pPr>
        <w:pStyle w:val="ListParagraph"/>
        <w:numPr>
          <w:ilvl w:val="0"/>
          <w:numId w:val="2"/>
        </w:numPr>
        <w:contextualSpacing w:val="0"/>
        <w:jc w:val="both"/>
        <w:rPr>
          <w:rFonts w:cs="Times New Roman"/>
          <w:sz w:val="20"/>
          <w:szCs w:val="20"/>
        </w:rPr>
      </w:pPr>
      <w:r w:rsidRPr="0092078F">
        <w:rPr>
          <w:rFonts w:cs="Times New Roman"/>
          <w:sz w:val="20"/>
          <w:szCs w:val="20"/>
        </w:rPr>
        <w:t>The motion is granted.</w:t>
      </w:r>
    </w:p>
    <w:p w:rsidR="00F73F77" w:rsidRPr="0092078F" w:rsidRDefault="00F73F77" w:rsidP="00F73F77">
      <w:pPr>
        <w:pStyle w:val="ListParagraph"/>
        <w:ind w:left="0"/>
        <w:contextualSpacing w:val="0"/>
        <w:jc w:val="both"/>
        <w:rPr>
          <w:rFonts w:cs="Times New Roman"/>
          <w:sz w:val="20"/>
          <w:szCs w:val="20"/>
        </w:rPr>
      </w:pPr>
    </w:p>
    <w:p w:rsidR="00F73F77" w:rsidRPr="0092078F" w:rsidRDefault="00F73F77" w:rsidP="00F73F77">
      <w:pPr>
        <w:pStyle w:val="ListParagraph"/>
        <w:numPr>
          <w:ilvl w:val="0"/>
          <w:numId w:val="2"/>
        </w:numPr>
        <w:contextualSpacing w:val="0"/>
        <w:jc w:val="both"/>
        <w:rPr>
          <w:rFonts w:cs="Times New Roman"/>
          <w:sz w:val="20"/>
          <w:szCs w:val="20"/>
        </w:rPr>
      </w:pPr>
      <w:r w:rsidRPr="0092078F">
        <w:rPr>
          <w:rFonts w:cs="Times New Roman"/>
          <w:sz w:val="20"/>
          <w:szCs w:val="20"/>
        </w:rPr>
        <w:t>The Attorney General of Canada shall pay the disbursements of Mr. Di Luca and Ms. Dann as well as their fees, at a rate of $200 per hour for Mr. Di Luca and $100 per hour for Ms. Dann.</w:t>
      </w:r>
    </w:p>
    <w:p w:rsidR="00F73F77" w:rsidRPr="0092078F" w:rsidRDefault="00F73F77" w:rsidP="00F73F77">
      <w:pPr>
        <w:pStyle w:val="ListParagraph"/>
        <w:ind w:left="0"/>
        <w:contextualSpacing w:val="0"/>
        <w:jc w:val="both"/>
        <w:rPr>
          <w:rFonts w:cs="Times New Roman"/>
          <w:sz w:val="20"/>
          <w:szCs w:val="20"/>
        </w:rPr>
      </w:pPr>
    </w:p>
    <w:p w:rsidR="00F73F77" w:rsidRPr="0092078F" w:rsidRDefault="00F73F77" w:rsidP="00F73F77">
      <w:pPr>
        <w:pStyle w:val="ListParagraph"/>
        <w:numPr>
          <w:ilvl w:val="0"/>
          <w:numId w:val="2"/>
        </w:numPr>
        <w:contextualSpacing w:val="0"/>
        <w:jc w:val="both"/>
        <w:rPr>
          <w:rFonts w:cs="Times New Roman"/>
          <w:sz w:val="20"/>
          <w:szCs w:val="20"/>
        </w:rPr>
      </w:pPr>
      <w:r w:rsidRPr="0092078F">
        <w:rPr>
          <w:rFonts w:cs="Times New Roman"/>
          <w:sz w:val="20"/>
          <w:szCs w:val="20"/>
        </w:rPr>
        <w:t xml:space="preserve">The response of the </w:t>
      </w:r>
      <w:r w:rsidRPr="0092078F">
        <w:rPr>
          <w:rFonts w:cs="Times New Roman"/>
          <w:i/>
          <w:iCs/>
          <w:sz w:val="20"/>
          <w:szCs w:val="20"/>
        </w:rPr>
        <w:t>amici curiae</w:t>
      </w:r>
      <w:r w:rsidRPr="0092078F">
        <w:rPr>
          <w:rFonts w:cs="Times New Roman"/>
          <w:sz w:val="20"/>
          <w:szCs w:val="20"/>
        </w:rPr>
        <w:t xml:space="preserve"> to the application for leave to appeal shall be served and filed by November 21, 2012.</w:t>
      </w:r>
    </w:p>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p>
    <w:p w:rsidR="00F73F77" w:rsidRPr="0092078F" w:rsidRDefault="00F73F77" w:rsidP="00F73F77">
      <w:pPr>
        <w:jc w:val="both"/>
        <w:rPr>
          <w:sz w:val="20"/>
          <w:szCs w:val="20"/>
          <w:lang w:val="fr-FR"/>
        </w:rPr>
      </w:pPr>
      <w:r w:rsidRPr="0092078F">
        <w:rPr>
          <w:b/>
          <w:bCs/>
          <w:sz w:val="20"/>
          <w:szCs w:val="20"/>
          <w:lang w:val="fr-FR"/>
        </w:rPr>
        <w:t xml:space="preserve">À LA SUITE DE LA DEMANDE </w:t>
      </w:r>
      <w:r w:rsidRPr="0092078F">
        <w:rPr>
          <w:bCs/>
          <w:sz w:val="20"/>
          <w:szCs w:val="20"/>
          <w:lang w:val="fr-FR"/>
        </w:rPr>
        <w:t>présentée par le demandeur</w:t>
      </w:r>
      <w:r w:rsidRPr="0092078F">
        <w:rPr>
          <w:b/>
          <w:bCs/>
          <w:sz w:val="20"/>
          <w:szCs w:val="20"/>
          <w:lang w:val="fr-FR"/>
        </w:rPr>
        <w:t xml:space="preserve"> </w:t>
      </w:r>
      <w:r w:rsidRPr="0092078F">
        <w:rPr>
          <w:bCs/>
          <w:sz w:val="20"/>
          <w:szCs w:val="20"/>
          <w:lang w:val="fr-FR"/>
        </w:rPr>
        <w:t>en vue d’être dispensé de signifier la demande d’autorisation d’appel à l’intimé et de faire nommer M</w:t>
      </w:r>
      <w:r w:rsidRPr="0092078F">
        <w:rPr>
          <w:bCs/>
          <w:sz w:val="20"/>
          <w:szCs w:val="20"/>
          <w:vertAlign w:val="superscript"/>
          <w:lang w:val="fr-FR"/>
        </w:rPr>
        <w:t>e</w:t>
      </w:r>
      <w:r w:rsidRPr="0092078F">
        <w:rPr>
          <w:bCs/>
          <w:sz w:val="20"/>
          <w:szCs w:val="20"/>
          <w:lang w:val="fr-FR"/>
        </w:rPr>
        <w:t xml:space="preserve"> </w:t>
      </w:r>
      <w:r w:rsidRPr="0092078F">
        <w:rPr>
          <w:sz w:val="20"/>
          <w:szCs w:val="20"/>
          <w:lang w:val="fr-FR"/>
        </w:rPr>
        <w:t>Joseph Di Luca et M</w:t>
      </w:r>
      <w:r w:rsidRPr="0092078F">
        <w:rPr>
          <w:sz w:val="20"/>
          <w:szCs w:val="20"/>
          <w:vertAlign w:val="superscript"/>
          <w:lang w:val="fr-FR"/>
        </w:rPr>
        <w:t>e</w:t>
      </w:r>
      <w:r w:rsidRPr="0092078F">
        <w:rPr>
          <w:sz w:val="20"/>
          <w:szCs w:val="20"/>
          <w:lang w:val="fr-FR"/>
        </w:rPr>
        <w:t xml:space="preserve"> Erin Dann comme </w:t>
      </w:r>
      <w:r w:rsidRPr="0092078F">
        <w:rPr>
          <w:i/>
          <w:iCs/>
          <w:sz w:val="20"/>
          <w:szCs w:val="20"/>
          <w:lang w:val="fr-FR"/>
        </w:rPr>
        <w:t xml:space="preserve">amici curiae </w:t>
      </w:r>
      <w:r w:rsidRPr="0092078F">
        <w:rPr>
          <w:iCs/>
          <w:sz w:val="20"/>
          <w:szCs w:val="20"/>
          <w:lang w:val="fr-FR"/>
        </w:rPr>
        <w:t>pour</w:t>
      </w:r>
      <w:r w:rsidRPr="0092078F">
        <w:rPr>
          <w:sz w:val="20"/>
          <w:szCs w:val="20"/>
          <w:lang w:val="fr-FR"/>
        </w:rPr>
        <w:t xml:space="preserve"> qu’ils aident la Cour en déposant une réponse à la demande d’autorisation d’appel dans les 30 jours de la date de l’ordonnance les nommant et, si la demande d’autorisation d’appel est accueillie, en déposant un mémoire et en présentant une plaidoirie orale à l’audition de l’appel;</w:t>
      </w:r>
    </w:p>
    <w:p w:rsidR="00F73F77" w:rsidRPr="0092078F" w:rsidRDefault="00F73F77" w:rsidP="00F73F77">
      <w:pPr>
        <w:jc w:val="both"/>
        <w:rPr>
          <w:sz w:val="20"/>
          <w:szCs w:val="20"/>
          <w:lang w:val="fr-FR"/>
        </w:rPr>
      </w:pPr>
    </w:p>
    <w:p w:rsidR="00F73F77" w:rsidRPr="0092078F" w:rsidRDefault="00F73F77" w:rsidP="00F73F77">
      <w:pPr>
        <w:jc w:val="both"/>
        <w:rPr>
          <w:sz w:val="20"/>
          <w:szCs w:val="20"/>
          <w:lang w:val="fr-FR"/>
        </w:rPr>
      </w:pPr>
      <w:r w:rsidRPr="0092078F">
        <w:rPr>
          <w:b/>
          <w:bCs/>
          <w:sz w:val="20"/>
          <w:szCs w:val="20"/>
          <w:lang w:val="fr-FR"/>
        </w:rPr>
        <w:t xml:space="preserve">ET APRÈS EXAMEN </w:t>
      </w:r>
      <w:r w:rsidRPr="0092078F">
        <w:rPr>
          <w:bCs/>
          <w:sz w:val="20"/>
          <w:szCs w:val="20"/>
          <w:lang w:val="fr-FR"/>
        </w:rPr>
        <w:t>des documents déposés</w:t>
      </w:r>
      <w:r w:rsidRPr="0092078F">
        <w:rPr>
          <w:sz w:val="20"/>
          <w:szCs w:val="20"/>
          <w:lang w:val="fr-FR"/>
        </w:rPr>
        <w:t>;</w:t>
      </w:r>
    </w:p>
    <w:p w:rsidR="00F73F77" w:rsidRPr="0092078F" w:rsidRDefault="00F73F77" w:rsidP="00F73F77">
      <w:pPr>
        <w:jc w:val="both"/>
        <w:rPr>
          <w:sz w:val="20"/>
          <w:szCs w:val="20"/>
          <w:lang w:val="fr-FR"/>
        </w:rPr>
      </w:pPr>
    </w:p>
    <w:p w:rsidR="00F73F77" w:rsidRPr="0092078F" w:rsidRDefault="00F73F77" w:rsidP="00F73F77">
      <w:pPr>
        <w:jc w:val="both"/>
        <w:rPr>
          <w:sz w:val="20"/>
          <w:szCs w:val="20"/>
          <w:lang w:val="fr-FR"/>
        </w:rPr>
      </w:pPr>
      <w:r w:rsidRPr="0092078F">
        <w:rPr>
          <w:b/>
          <w:bCs/>
          <w:sz w:val="20"/>
          <w:szCs w:val="20"/>
          <w:lang w:val="fr-FR"/>
        </w:rPr>
        <w:t xml:space="preserve">IL EST ORDONNÉ CE QUI SUIT </w:t>
      </w:r>
      <w:r w:rsidRPr="0092078F">
        <w:rPr>
          <w:sz w:val="20"/>
          <w:szCs w:val="20"/>
          <w:lang w:val="fr-FR"/>
        </w:rPr>
        <w:t>:</w:t>
      </w:r>
    </w:p>
    <w:p w:rsidR="00F73F77" w:rsidRPr="0092078F" w:rsidRDefault="00F73F77" w:rsidP="00F73F77">
      <w:pPr>
        <w:jc w:val="both"/>
        <w:rPr>
          <w:sz w:val="20"/>
          <w:szCs w:val="20"/>
          <w:lang w:val="fr-FR"/>
        </w:rPr>
      </w:pPr>
    </w:p>
    <w:p w:rsidR="00F73F77" w:rsidRPr="0092078F" w:rsidRDefault="00F73F77" w:rsidP="00F73F77">
      <w:pPr>
        <w:pStyle w:val="ListParagraph"/>
        <w:numPr>
          <w:ilvl w:val="0"/>
          <w:numId w:val="3"/>
        </w:numPr>
        <w:contextualSpacing w:val="0"/>
        <w:jc w:val="both"/>
        <w:rPr>
          <w:rFonts w:cs="Times New Roman"/>
          <w:sz w:val="20"/>
          <w:szCs w:val="20"/>
        </w:rPr>
      </w:pPr>
      <w:r w:rsidRPr="0092078F">
        <w:rPr>
          <w:rFonts w:cs="Times New Roman"/>
          <w:sz w:val="20"/>
          <w:szCs w:val="20"/>
          <w:lang w:val="fr-FR"/>
        </w:rPr>
        <w:t>La requête est accueillie</w:t>
      </w:r>
      <w:r w:rsidRPr="0092078F">
        <w:rPr>
          <w:rFonts w:cs="Times New Roman"/>
          <w:sz w:val="20"/>
          <w:szCs w:val="20"/>
        </w:rPr>
        <w:t>.</w:t>
      </w:r>
    </w:p>
    <w:p w:rsidR="00F73F77" w:rsidRPr="0092078F" w:rsidRDefault="00F73F77" w:rsidP="00F73F77">
      <w:pPr>
        <w:pStyle w:val="ListParagraph"/>
        <w:ind w:left="0"/>
        <w:contextualSpacing w:val="0"/>
        <w:jc w:val="both"/>
        <w:rPr>
          <w:rFonts w:cs="Times New Roman"/>
          <w:sz w:val="20"/>
          <w:szCs w:val="20"/>
        </w:rPr>
      </w:pPr>
    </w:p>
    <w:p w:rsidR="00F73F77" w:rsidRPr="0092078F" w:rsidRDefault="00F73F77" w:rsidP="00F73F77">
      <w:pPr>
        <w:pStyle w:val="ListParagraph"/>
        <w:numPr>
          <w:ilvl w:val="0"/>
          <w:numId w:val="3"/>
        </w:numPr>
        <w:contextualSpacing w:val="0"/>
        <w:jc w:val="both"/>
        <w:rPr>
          <w:rFonts w:cs="Times New Roman"/>
          <w:sz w:val="20"/>
          <w:szCs w:val="20"/>
          <w:lang w:val="fr-FR"/>
        </w:rPr>
      </w:pPr>
      <w:r w:rsidRPr="0092078F">
        <w:rPr>
          <w:rFonts w:cs="Times New Roman"/>
          <w:sz w:val="20"/>
          <w:szCs w:val="20"/>
          <w:lang w:val="fr-FR"/>
        </w:rPr>
        <w:t>Le procureur général du Canada paiera les débours de M</w:t>
      </w:r>
      <w:r w:rsidRPr="0092078F">
        <w:rPr>
          <w:rFonts w:cs="Times New Roman"/>
          <w:sz w:val="20"/>
          <w:szCs w:val="20"/>
          <w:vertAlign w:val="superscript"/>
          <w:lang w:val="fr-FR"/>
        </w:rPr>
        <w:t>e</w:t>
      </w:r>
      <w:r w:rsidRPr="0092078F">
        <w:rPr>
          <w:rFonts w:cs="Times New Roman"/>
          <w:sz w:val="20"/>
          <w:szCs w:val="20"/>
          <w:lang w:val="fr-FR"/>
        </w:rPr>
        <w:t xml:space="preserve"> Di Luca et de M</w:t>
      </w:r>
      <w:r w:rsidRPr="0092078F">
        <w:rPr>
          <w:rFonts w:cs="Times New Roman"/>
          <w:sz w:val="20"/>
          <w:szCs w:val="20"/>
          <w:vertAlign w:val="superscript"/>
          <w:lang w:val="fr-FR"/>
        </w:rPr>
        <w:t>e </w:t>
      </w:r>
      <w:r w:rsidRPr="0092078F">
        <w:rPr>
          <w:rFonts w:cs="Times New Roman"/>
          <w:sz w:val="20"/>
          <w:szCs w:val="20"/>
          <w:lang w:val="fr-FR"/>
        </w:rPr>
        <w:t>Dann et leur versera des honoraires au taux de 200 $ l’heure pour M</w:t>
      </w:r>
      <w:r w:rsidRPr="0092078F">
        <w:rPr>
          <w:rFonts w:cs="Times New Roman"/>
          <w:sz w:val="20"/>
          <w:szCs w:val="20"/>
          <w:vertAlign w:val="superscript"/>
          <w:lang w:val="fr-FR"/>
        </w:rPr>
        <w:t>e</w:t>
      </w:r>
      <w:r w:rsidRPr="0092078F">
        <w:rPr>
          <w:rFonts w:cs="Times New Roman"/>
          <w:sz w:val="20"/>
          <w:szCs w:val="20"/>
          <w:lang w:val="fr-FR"/>
        </w:rPr>
        <w:t xml:space="preserve"> Di Luca et de 100 $ l’heure pour M</w:t>
      </w:r>
      <w:r w:rsidRPr="0092078F">
        <w:rPr>
          <w:rFonts w:cs="Times New Roman"/>
          <w:sz w:val="20"/>
          <w:szCs w:val="20"/>
          <w:vertAlign w:val="superscript"/>
          <w:lang w:val="fr-FR"/>
        </w:rPr>
        <w:t>e</w:t>
      </w:r>
      <w:r w:rsidRPr="0092078F">
        <w:rPr>
          <w:rFonts w:cs="Times New Roman"/>
          <w:sz w:val="20"/>
          <w:szCs w:val="20"/>
          <w:lang w:val="fr-FR"/>
        </w:rPr>
        <w:t xml:space="preserve"> Dann.</w:t>
      </w:r>
    </w:p>
    <w:p w:rsidR="00F73F77" w:rsidRPr="0092078F" w:rsidRDefault="00F73F77" w:rsidP="00F73F77">
      <w:pPr>
        <w:pStyle w:val="ListParagraph"/>
        <w:ind w:left="0"/>
        <w:contextualSpacing w:val="0"/>
        <w:jc w:val="both"/>
        <w:rPr>
          <w:rFonts w:cs="Times New Roman"/>
          <w:sz w:val="20"/>
          <w:szCs w:val="20"/>
          <w:lang w:val="fr-FR"/>
        </w:rPr>
      </w:pPr>
    </w:p>
    <w:p w:rsidR="00F73F77" w:rsidRPr="0092078F" w:rsidRDefault="00F73F77" w:rsidP="00F73F77">
      <w:pPr>
        <w:pStyle w:val="ListParagraph"/>
        <w:numPr>
          <w:ilvl w:val="0"/>
          <w:numId w:val="3"/>
        </w:numPr>
        <w:contextualSpacing w:val="0"/>
        <w:jc w:val="both"/>
        <w:rPr>
          <w:rFonts w:cs="Times New Roman"/>
          <w:sz w:val="20"/>
          <w:szCs w:val="20"/>
          <w:lang w:val="fr-FR"/>
        </w:rPr>
      </w:pPr>
      <w:r w:rsidRPr="0092078F">
        <w:rPr>
          <w:rFonts w:cs="Times New Roman"/>
          <w:sz w:val="20"/>
          <w:szCs w:val="20"/>
          <w:lang w:val="fr-FR"/>
        </w:rPr>
        <w:t xml:space="preserve">La réponse des </w:t>
      </w:r>
      <w:r w:rsidRPr="0092078F">
        <w:rPr>
          <w:rFonts w:cs="Times New Roman"/>
          <w:i/>
          <w:iCs/>
          <w:sz w:val="20"/>
          <w:szCs w:val="20"/>
          <w:lang w:val="fr-FR"/>
        </w:rPr>
        <w:t>amici curiae</w:t>
      </w:r>
      <w:r w:rsidRPr="0092078F">
        <w:rPr>
          <w:rFonts w:cs="Times New Roman"/>
          <w:sz w:val="20"/>
          <w:szCs w:val="20"/>
          <w:lang w:val="fr-FR"/>
        </w:rPr>
        <w:t xml:space="preserve"> à la demande d’autorisation d’appel sera signifiée et déposée au plus tard le 21 novembre 2012.</w:t>
      </w:r>
    </w:p>
    <w:p w:rsidR="00F73F77" w:rsidRPr="0092078F" w:rsidRDefault="00F73F77" w:rsidP="00F73F77">
      <w:pPr>
        <w:tabs>
          <w:tab w:val="left" w:pos="-1440"/>
          <w:tab w:val="left" w:pos="-720"/>
        </w:tabs>
        <w:jc w:val="both"/>
        <w:rPr>
          <w:sz w:val="20"/>
          <w:szCs w:val="20"/>
          <w:lang w:val="fr-FR"/>
        </w:rPr>
      </w:pPr>
    </w:p>
    <w:p w:rsidR="00F73F77" w:rsidRPr="0092078F" w:rsidRDefault="002048ED" w:rsidP="00F73F77">
      <w:pPr>
        <w:tabs>
          <w:tab w:val="left" w:pos="-1440"/>
          <w:tab w:val="left" w:pos="-720"/>
        </w:tabs>
        <w:jc w:val="both"/>
        <w:rPr>
          <w:sz w:val="20"/>
          <w:szCs w:val="20"/>
          <w:lang w:val="fr-CA"/>
        </w:rPr>
      </w:pPr>
      <w:r w:rsidRPr="002048ED">
        <w:rPr>
          <w:sz w:val="20"/>
          <w:szCs w:val="20"/>
          <w:lang w:val="fr-CA"/>
        </w:rPr>
        <w:pict>
          <v:rect id="_x0000_i1090" style="width:2in;height:1pt" o:hrpct="0" o:hralign="center" o:hrstd="t" o:hrnoshade="t" o:hr="t" fillcolor="black [3213]" stroked="f"/>
        </w:pict>
      </w:r>
    </w:p>
    <w:p w:rsidR="0070513A" w:rsidRDefault="0070513A" w:rsidP="00F73F77">
      <w:pPr>
        <w:rPr>
          <w:sz w:val="20"/>
          <w:szCs w:val="20"/>
          <w:lang w:val="fr-CA"/>
        </w:rPr>
      </w:pPr>
    </w:p>
    <w:p w:rsidR="00F73F77" w:rsidRPr="0092078F" w:rsidRDefault="00F73F77" w:rsidP="00F73F77">
      <w:pPr>
        <w:rPr>
          <w:sz w:val="20"/>
          <w:szCs w:val="20"/>
          <w:lang w:val="fr-CA"/>
        </w:rPr>
      </w:pPr>
      <w:r w:rsidRPr="0092078F">
        <w:rPr>
          <w:sz w:val="20"/>
          <w:szCs w:val="20"/>
          <w:lang w:val="fr-CA"/>
        </w:rPr>
        <w:br w:type="page"/>
      </w:r>
    </w:p>
    <w:p w:rsidR="00F73F77" w:rsidRPr="0092078F" w:rsidRDefault="00F73F77" w:rsidP="00F73F77">
      <w:pPr>
        <w:tabs>
          <w:tab w:val="left" w:pos="-1440"/>
          <w:tab w:val="left" w:pos="-720"/>
        </w:tabs>
        <w:jc w:val="both"/>
        <w:rPr>
          <w:sz w:val="20"/>
          <w:szCs w:val="20"/>
          <w:lang w:val="fr-CA"/>
        </w:rPr>
      </w:pPr>
      <w:r w:rsidRPr="0092078F">
        <w:rPr>
          <w:sz w:val="20"/>
          <w:szCs w:val="20"/>
          <w:lang w:val="fr-CA"/>
        </w:rPr>
        <w:t>25.10.2012</w:t>
      </w:r>
    </w:p>
    <w:p w:rsidR="00F73F77" w:rsidRPr="0092078F" w:rsidRDefault="00F73F77" w:rsidP="00F73F77">
      <w:pPr>
        <w:tabs>
          <w:tab w:val="left" w:pos="-1440"/>
          <w:tab w:val="left" w:pos="-720"/>
        </w:tabs>
        <w:jc w:val="both"/>
        <w:rPr>
          <w:sz w:val="20"/>
          <w:szCs w:val="20"/>
          <w:lang w:val="fr-CA"/>
        </w:rPr>
      </w:pPr>
    </w:p>
    <w:p w:rsidR="00F73F77" w:rsidRPr="0092078F" w:rsidRDefault="00F73F77" w:rsidP="00F73F77">
      <w:pPr>
        <w:tabs>
          <w:tab w:val="left" w:pos="-1440"/>
          <w:tab w:val="left" w:pos="-720"/>
        </w:tabs>
        <w:jc w:val="both"/>
        <w:rPr>
          <w:sz w:val="20"/>
          <w:szCs w:val="20"/>
          <w:lang w:val="fr-CA"/>
        </w:rPr>
      </w:pPr>
      <w:r w:rsidRPr="0092078F">
        <w:rPr>
          <w:sz w:val="20"/>
          <w:szCs w:val="20"/>
          <w:lang w:val="fr-CA"/>
        </w:rPr>
        <w:t>Before / Devant :   KARAKATSANIS J. / LA JUGE KARAKATSANIS</w:t>
      </w:r>
    </w:p>
    <w:p w:rsidR="00F73F77" w:rsidRPr="0092078F" w:rsidRDefault="00F73F77" w:rsidP="00F73F7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73F77" w:rsidRPr="0092078F" w:rsidTr="00266477">
        <w:tc>
          <w:tcPr>
            <w:tcW w:w="4338" w:type="dxa"/>
            <w:gridSpan w:val="2"/>
          </w:tcPr>
          <w:p w:rsidR="00F73F77" w:rsidRPr="0092078F" w:rsidRDefault="00F73F77" w:rsidP="00266477">
            <w:pPr>
              <w:rPr>
                <w:b/>
                <w:sz w:val="20"/>
                <w:szCs w:val="20"/>
              </w:rPr>
            </w:pPr>
            <w:r w:rsidRPr="0092078F">
              <w:rPr>
                <w:b/>
                <w:sz w:val="20"/>
                <w:szCs w:val="20"/>
              </w:rPr>
              <w:t>Motions for leave to intervene</w:t>
            </w:r>
            <w:r w:rsidRPr="0092078F">
              <w:rPr>
                <w:sz w:val="20"/>
                <w:szCs w:val="20"/>
              </w:rPr>
              <w:t xml:space="preserve"> </w:t>
            </w:r>
            <w:r w:rsidR="002048ED" w:rsidRPr="0092078F">
              <w:rPr>
                <w:sz w:val="20"/>
                <w:szCs w:val="20"/>
              </w:rPr>
              <w:fldChar w:fldCharType="begin"/>
            </w:r>
            <w:r w:rsidRPr="0092078F">
              <w:rPr>
                <w:sz w:val="20"/>
                <w:szCs w:val="20"/>
              </w:rPr>
              <w:instrText xml:space="preserve"> SEQ CHAPTER \h \r 1</w:instrText>
            </w:r>
            <w:r w:rsidR="002048ED" w:rsidRPr="0092078F">
              <w:rPr>
                <w:sz w:val="20"/>
                <w:szCs w:val="20"/>
              </w:rPr>
              <w:fldChar w:fldCharType="end"/>
            </w:r>
          </w:p>
        </w:tc>
        <w:tc>
          <w:tcPr>
            <w:tcW w:w="1170" w:type="dxa"/>
          </w:tcPr>
          <w:p w:rsidR="00F73F77" w:rsidRPr="0092078F" w:rsidRDefault="00F73F77" w:rsidP="00266477">
            <w:pPr>
              <w:rPr>
                <w:sz w:val="20"/>
                <w:szCs w:val="20"/>
              </w:rPr>
            </w:pPr>
          </w:p>
          <w:p w:rsidR="00F73F77" w:rsidRPr="0092078F" w:rsidRDefault="00F73F77" w:rsidP="00266477">
            <w:pPr>
              <w:rPr>
                <w:sz w:val="20"/>
                <w:szCs w:val="20"/>
              </w:rPr>
            </w:pPr>
          </w:p>
        </w:tc>
        <w:tc>
          <w:tcPr>
            <w:tcW w:w="4327" w:type="dxa"/>
          </w:tcPr>
          <w:p w:rsidR="00F73F77" w:rsidRPr="0092078F" w:rsidRDefault="00F73F77" w:rsidP="00266477">
            <w:pPr>
              <w:rPr>
                <w:b/>
                <w:sz w:val="20"/>
                <w:szCs w:val="20"/>
              </w:rPr>
            </w:pPr>
            <w:r w:rsidRPr="0092078F">
              <w:rPr>
                <w:b/>
                <w:bCs/>
                <w:sz w:val="20"/>
                <w:szCs w:val="20"/>
                <w:lang w:val="fr-CA"/>
              </w:rPr>
              <w:t>Requêtes en autorisation d’intervenir</w:t>
            </w:r>
            <w:r w:rsidRPr="0092078F">
              <w:rPr>
                <w:sz w:val="20"/>
                <w:szCs w:val="20"/>
              </w:rPr>
              <w:t xml:space="preserve"> </w:t>
            </w:r>
            <w:r w:rsidR="002048ED" w:rsidRPr="0092078F">
              <w:rPr>
                <w:sz w:val="20"/>
                <w:szCs w:val="20"/>
              </w:rPr>
              <w:fldChar w:fldCharType="begin"/>
            </w:r>
            <w:r w:rsidRPr="0092078F">
              <w:rPr>
                <w:sz w:val="20"/>
                <w:szCs w:val="20"/>
              </w:rPr>
              <w:instrText xml:space="preserve"> SEQ CHAPTER \h \r 1</w:instrText>
            </w:r>
            <w:r w:rsidR="002048ED" w:rsidRPr="0092078F">
              <w:rPr>
                <w:sz w:val="20"/>
                <w:szCs w:val="20"/>
              </w:rPr>
              <w:fldChar w:fldCharType="end"/>
            </w:r>
          </w:p>
        </w:tc>
      </w:tr>
      <w:tr w:rsidR="00F73F77" w:rsidRPr="0092078F" w:rsidTr="00266477">
        <w:tc>
          <w:tcPr>
            <w:tcW w:w="1368" w:type="dxa"/>
          </w:tcPr>
          <w:p w:rsidR="00F73F77" w:rsidRPr="0092078F" w:rsidRDefault="00F73F77" w:rsidP="00266477">
            <w:pPr>
              <w:rPr>
                <w:sz w:val="20"/>
                <w:szCs w:val="20"/>
              </w:rPr>
            </w:pPr>
            <w:r w:rsidRPr="0092078F">
              <w:rPr>
                <w:sz w:val="20"/>
                <w:szCs w:val="20"/>
              </w:rPr>
              <w:t>BY / PAR</w:t>
            </w:r>
          </w:p>
        </w:tc>
        <w:tc>
          <w:tcPr>
            <w:tcW w:w="2970" w:type="dxa"/>
          </w:tcPr>
          <w:p w:rsidR="00F73F77" w:rsidRPr="0092078F" w:rsidRDefault="00F73F77" w:rsidP="00266477">
            <w:pPr>
              <w:rPr>
                <w:sz w:val="20"/>
                <w:szCs w:val="20"/>
              </w:rPr>
            </w:pPr>
            <w:r w:rsidRPr="0092078F">
              <w:rPr>
                <w:sz w:val="20"/>
                <w:szCs w:val="20"/>
              </w:rPr>
              <w:t>United Nations High Commissioner for Refugees;</w:t>
            </w: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rPr>
                <w:sz w:val="20"/>
                <w:szCs w:val="20"/>
              </w:rPr>
            </w:pPr>
            <w:r w:rsidRPr="0092078F">
              <w:rPr>
                <w:sz w:val="20"/>
                <w:szCs w:val="20"/>
              </w:rPr>
              <w:t>Amnesty International;</w:t>
            </w: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rPr>
                <w:sz w:val="20"/>
                <w:szCs w:val="20"/>
              </w:rPr>
            </w:pPr>
            <w:r w:rsidRPr="0092078F">
              <w:rPr>
                <w:sz w:val="20"/>
                <w:szCs w:val="20"/>
              </w:rPr>
              <w:t>Canadian Centre for International Justice and International Human Rights Program at the University of Toronto Faculty of Law;</w:t>
            </w: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rPr>
                <w:sz w:val="20"/>
                <w:szCs w:val="20"/>
              </w:rPr>
            </w:pPr>
            <w:r w:rsidRPr="0092078F">
              <w:rPr>
                <w:sz w:val="20"/>
                <w:szCs w:val="20"/>
              </w:rPr>
              <w:t>Canadian Council for Refugees;</w:t>
            </w: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rPr>
                <w:sz w:val="20"/>
                <w:szCs w:val="20"/>
              </w:rPr>
            </w:pPr>
            <w:r w:rsidRPr="0092078F">
              <w:rPr>
                <w:sz w:val="20"/>
                <w:szCs w:val="20"/>
              </w:rPr>
              <w:t>Canadian Civil Liberties Association;</w:t>
            </w: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rPr>
                <w:sz w:val="20"/>
                <w:szCs w:val="20"/>
              </w:rPr>
            </w:pPr>
            <w:r w:rsidRPr="0092078F">
              <w:rPr>
                <w:sz w:val="20"/>
                <w:szCs w:val="20"/>
              </w:rPr>
              <w:t>Canadian Association of Refugee Lawyers</w:t>
            </w: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rPr>
                <w:sz w:val="20"/>
                <w:szCs w:val="20"/>
              </w:rPr>
            </w:pP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r w:rsidRPr="0092078F">
              <w:rPr>
                <w:sz w:val="20"/>
                <w:szCs w:val="20"/>
              </w:rPr>
              <w:t>IN / DANS :</w:t>
            </w:r>
          </w:p>
        </w:tc>
        <w:tc>
          <w:tcPr>
            <w:tcW w:w="2970" w:type="dxa"/>
          </w:tcPr>
          <w:p w:rsidR="00F73F77" w:rsidRPr="0092078F" w:rsidRDefault="00F73F77" w:rsidP="00266477">
            <w:pPr>
              <w:rPr>
                <w:sz w:val="20"/>
                <w:szCs w:val="20"/>
              </w:rPr>
            </w:pPr>
            <w:r w:rsidRPr="0092078F">
              <w:rPr>
                <w:sz w:val="20"/>
                <w:szCs w:val="20"/>
              </w:rPr>
              <w:t>Rachidi Ekanza Ezokola</w:t>
            </w:r>
          </w:p>
          <w:p w:rsidR="00F73F77" w:rsidRPr="0092078F" w:rsidRDefault="00F73F77" w:rsidP="00266477">
            <w:pPr>
              <w:rPr>
                <w:sz w:val="20"/>
                <w:szCs w:val="20"/>
              </w:rPr>
            </w:pP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rPr>
                <w:sz w:val="20"/>
                <w:szCs w:val="20"/>
              </w:rPr>
            </w:pPr>
            <w:r w:rsidRPr="0092078F">
              <w:rPr>
                <w:sz w:val="20"/>
                <w:szCs w:val="20"/>
              </w:rPr>
              <w:tab/>
              <w:t>v. (34470)</w:t>
            </w:r>
          </w:p>
          <w:p w:rsidR="00F73F77" w:rsidRPr="0092078F" w:rsidRDefault="00F73F77" w:rsidP="00266477">
            <w:pPr>
              <w:rPr>
                <w:sz w:val="20"/>
                <w:szCs w:val="20"/>
              </w:rPr>
            </w:pP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r w:rsidR="00F73F77" w:rsidRPr="0092078F" w:rsidTr="00266477">
        <w:tc>
          <w:tcPr>
            <w:tcW w:w="1368" w:type="dxa"/>
          </w:tcPr>
          <w:p w:rsidR="00F73F77" w:rsidRPr="0092078F" w:rsidRDefault="00F73F77" w:rsidP="00266477">
            <w:pPr>
              <w:rPr>
                <w:sz w:val="20"/>
                <w:szCs w:val="20"/>
              </w:rPr>
            </w:pPr>
          </w:p>
        </w:tc>
        <w:tc>
          <w:tcPr>
            <w:tcW w:w="2970" w:type="dxa"/>
          </w:tcPr>
          <w:p w:rsidR="00F73F77" w:rsidRPr="0092078F" w:rsidRDefault="00F73F77" w:rsidP="00266477">
            <w:pPr>
              <w:jc w:val="both"/>
              <w:rPr>
                <w:sz w:val="20"/>
                <w:szCs w:val="20"/>
              </w:rPr>
            </w:pPr>
            <w:r w:rsidRPr="0092078F">
              <w:rPr>
                <w:sz w:val="20"/>
                <w:szCs w:val="20"/>
              </w:rPr>
              <w:t>Minister of Citizenship and Immigration (F.C.)</w:t>
            </w:r>
          </w:p>
        </w:tc>
        <w:tc>
          <w:tcPr>
            <w:tcW w:w="1170" w:type="dxa"/>
          </w:tcPr>
          <w:p w:rsidR="00F73F77" w:rsidRPr="0092078F" w:rsidRDefault="00F73F77" w:rsidP="00266477">
            <w:pPr>
              <w:rPr>
                <w:sz w:val="20"/>
                <w:szCs w:val="20"/>
              </w:rPr>
            </w:pPr>
          </w:p>
        </w:tc>
        <w:tc>
          <w:tcPr>
            <w:tcW w:w="4327" w:type="dxa"/>
          </w:tcPr>
          <w:p w:rsidR="00F73F77" w:rsidRPr="0092078F" w:rsidRDefault="00F73F77" w:rsidP="00266477">
            <w:pPr>
              <w:rPr>
                <w:sz w:val="20"/>
                <w:szCs w:val="20"/>
              </w:rPr>
            </w:pPr>
          </w:p>
        </w:tc>
      </w:tr>
    </w:tbl>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r w:rsidRPr="0092078F">
        <w:rPr>
          <w:b/>
          <w:sz w:val="20"/>
          <w:szCs w:val="20"/>
        </w:rPr>
        <w:t>GRANTED / ACCORDÉES</w:t>
      </w:r>
    </w:p>
    <w:p w:rsidR="00F73F77" w:rsidRPr="0092078F" w:rsidRDefault="00F73F77" w:rsidP="00F73F77">
      <w:pPr>
        <w:tabs>
          <w:tab w:val="left" w:pos="-1440"/>
          <w:tab w:val="left" w:pos="-720"/>
        </w:tabs>
        <w:jc w:val="both"/>
        <w:rPr>
          <w:sz w:val="20"/>
          <w:szCs w:val="20"/>
        </w:rPr>
      </w:pPr>
    </w:p>
    <w:p w:rsidR="00F73F77" w:rsidRPr="0092078F" w:rsidRDefault="00F73F77" w:rsidP="00F73F77">
      <w:pPr>
        <w:spacing w:line="233" w:lineRule="auto"/>
        <w:jc w:val="both"/>
        <w:rPr>
          <w:sz w:val="20"/>
          <w:szCs w:val="20"/>
        </w:rPr>
      </w:pPr>
      <w:r w:rsidRPr="0092078F">
        <w:rPr>
          <w:b/>
          <w:sz w:val="20"/>
          <w:szCs w:val="20"/>
        </w:rPr>
        <w:t xml:space="preserve">UPON APPLICATIONS </w:t>
      </w:r>
      <w:r w:rsidRPr="0092078F">
        <w:rPr>
          <w:sz w:val="20"/>
          <w:szCs w:val="20"/>
        </w:rPr>
        <w:t>by the United Nations High Commissioner for Refugees, Amnesty International, the Canadian Centre for International Justice and International Human Rights Program at the University of Toronto Faculty of Law, the Canadian Council for Refugees, the Canadian Civil Liberties Association and the Canadian Association of Refugee Lawyers for leave to intervene in the above appeal;</w:t>
      </w:r>
    </w:p>
    <w:p w:rsidR="00F73F77" w:rsidRPr="0092078F" w:rsidRDefault="00F73F77" w:rsidP="00F73F77">
      <w:pPr>
        <w:spacing w:line="233" w:lineRule="auto"/>
        <w:jc w:val="both"/>
        <w:rPr>
          <w:sz w:val="20"/>
          <w:szCs w:val="20"/>
        </w:rPr>
      </w:pPr>
    </w:p>
    <w:p w:rsidR="00F73F77" w:rsidRPr="0092078F" w:rsidRDefault="00F73F77" w:rsidP="00F73F77">
      <w:pPr>
        <w:spacing w:line="233" w:lineRule="auto"/>
        <w:jc w:val="both"/>
        <w:rPr>
          <w:sz w:val="20"/>
          <w:szCs w:val="20"/>
        </w:rPr>
      </w:pPr>
      <w:r w:rsidRPr="0092078F">
        <w:rPr>
          <w:b/>
          <w:bCs/>
          <w:sz w:val="20"/>
          <w:szCs w:val="20"/>
        </w:rPr>
        <w:t>AND THE MATERIAL FILED</w:t>
      </w:r>
      <w:r w:rsidRPr="0092078F">
        <w:rPr>
          <w:sz w:val="20"/>
          <w:szCs w:val="20"/>
        </w:rPr>
        <w:t xml:space="preserve"> having been read;</w:t>
      </w:r>
    </w:p>
    <w:p w:rsidR="00F73F77" w:rsidRPr="0092078F" w:rsidRDefault="00F73F77" w:rsidP="00F73F77">
      <w:pPr>
        <w:spacing w:line="233" w:lineRule="auto"/>
        <w:jc w:val="center"/>
        <w:rPr>
          <w:sz w:val="20"/>
          <w:szCs w:val="20"/>
        </w:rPr>
      </w:pPr>
    </w:p>
    <w:p w:rsidR="00F73F77" w:rsidRPr="0092078F" w:rsidRDefault="00F73F77" w:rsidP="00F73F77">
      <w:pPr>
        <w:spacing w:line="233" w:lineRule="auto"/>
        <w:jc w:val="both"/>
        <w:rPr>
          <w:sz w:val="20"/>
          <w:szCs w:val="20"/>
        </w:rPr>
      </w:pPr>
      <w:r w:rsidRPr="0092078F">
        <w:rPr>
          <w:b/>
          <w:bCs/>
          <w:sz w:val="20"/>
          <w:szCs w:val="20"/>
        </w:rPr>
        <w:t>IT IS HEREBY ORDERED THAT:</w:t>
      </w:r>
    </w:p>
    <w:p w:rsidR="00F73F77" w:rsidRPr="0092078F" w:rsidRDefault="00F73F77" w:rsidP="00F73F77">
      <w:pPr>
        <w:spacing w:line="233" w:lineRule="auto"/>
        <w:jc w:val="both"/>
        <w:rPr>
          <w:sz w:val="20"/>
          <w:szCs w:val="20"/>
        </w:rPr>
      </w:pPr>
    </w:p>
    <w:p w:rsidR="00F73F77" w:rsidRPr="0092078F" w:rsidRDefault="00F73F77" w:rsidP="00F73F77">
      <w:pPr>
        <w:spacing w:line="233" w:lineRule="auto"/>
        <w:jc w:val="both"/>
        <w:rPr>
          <w:sz w:val="20"/>
          <w:szCs w:val="20"/>
        </w:rPr>
      </w:pPr>
      <w:r w:rsidRPr="0092078F">
        <w:rPr>
          <w:sz w:val="20"/>
          <w:szCs w:val="20"/>
        </w:rPr>
        <w:t>The motions for leave to intervene of the United Nations High Commissioner for Refugees, Amnesty International, the Canadian Centre for International Justice and International Human Rights Program at the University of Toronto Faculty of Law, the Canadian Council for Refugees, the Canadian Civil Liberties Association and the Canadian Association of Refugee Lawyers are granted and the said six groups of interveners shall be entitled to each serve and file a factum not to exceed 10 pages in length on or before December 20, 2012.</w:t>
      </w:r>
    </w:p>
    <w:p w:rsidR="00F73F77" w:rsidRPr="0092078F" w:rsidRDefault="00F73F77" w:rsidP="00F73F77">
      <w:pPr>
        <w:spacing w:line="233" w:lineRule="auto"/>
        <w:jc w:val="both"/>
        <w:rPr>
          <w:sz w:val="20"/>
          <w:szCs w:val="20"/>
        </w:rPr>
      </w:pPr>
    </w:p>
    <w:p w:rsidR="00F73F77" w:rsidRPr="0092078F" w:rsidRDefault="00F73F77" w:rsidP="00F73F77">
      <w:pPr>
        <w:spacing w:line="233" w:lineRule="auto"/>
        <w:jc w:val="both"/>
        <w:rPr>
          <w:sz w:val="20"/>
          <w:szCs w:val="20"/>
        </w:rPr>
      </w:pPr>
      <w:r w:rsidRPr="0092078F">
        <w:rPr>
          <w:sz w:val="20"/>
          <w:szCs w:val="20"/>
        </w:rPr>
        <w:t>The requests to present oral argument are deferred to a date following receipt and consideration of the written arguments of the parties and the interveners.</w:t>
      </w:r>
    </w:p>
    <w:p w:rsidR="00F73F77" w:rsidRPr="0092078F" w:rsidRDefault="00F73F77" w:rsidP="00F73F77">
      <w:pPr>
        <w:spacing w:line="233" w:lineRule="auto"/>
        <w:jc w:val="both"/>
        <w:rPr>
          <w:sz w:val="20"/>
          <w:szCs w:val="20"/>
        </w:rPr>
      </w:pPr>
    </w:p>
    <w:p w:rsidR="00F73F77" w:rsidRPr="0092078F" w:rsidRDefault="002048ED" w:rsidP="00F73F77">
      <w:pPr>
        <w:jc w:val="both"/>
        <w:rPr>
          <w:bCs/>
          <w:sz w:val="20"/>
          <w:szCs w:val="20"/>
        </w:rPr>
      </w:pPr>
      <w:r w:rsidRPr="0092078F">
        <w:rPr>
          <w:sz w:val="20"/>
          <w:szCs w:val="20"/>
        </w:rPr>
        <w:fldChar w:fldCharType="begin"/>
      </w:r>
      <w:r w:rsidR="00F73F77" w:rsidRPr="0092078F">
        <w:rPr>
          <w:sz w:val="20"/>
          <w:szCs w:val="20"/>
        </w:rPr>
        <w:instrText xml:space="preserve"> SEQ CHAPTER \h \r 1</w:instrText>
      </w:r>
      <w:r w:rsidRPr="0092078F">
        <w:rPr>
          <w:sz w:val="20"/>
          <w:szCs w:val="20"/>
        </w:rPr>
        <w:fldChar w:fldCharType="end"/>
      </w:r>
      <w:r w:rsidR="00F73F77" w:rsidRPr="0092078F">
        <w:rPr>
          <w:bCs/>
          <w:sz w:val="20"/>
          <w:szCs w:val="20"/>
        </w:rPr>
        <w:t>The interveners are not entitled to raise new issues or to adduce further evidence or otherwise to supplement the record of the parties.</w:t>
      </w:r>
    </w:p>
    <w:p w:rsidR="00F73F77" w:rsidRPr="0092078F" w:rsidRDefault="00F73F77" w:rsidP="00F73F77">
      <w:pPr>
        <w:spacing w:line="233" w:lineRule="auto"/>
        <w:jc w:val="both"/>
        <w:rPr>
          <w:sz w:val="20"/>
          <w:szCs w:val="20"/>
        </w:rPr>
      </w:pPr>
    </w:p>
    <w:p w:rsidR="00F73F77" w:rsidRPr="0092078F" w:rsidRDefault="00F73F77" w:rsidP="00F73F77">
      <w:pPr>
        <w:spacing w:line="233" w:lineRule="auto"/>
        <w:jc w:val="both"/>
        <w:rPr>
          <w:sz w:val="20"/>
          <w:szCs w:val="20"/>
        </w:rPr>
      </w:pPr>
      <w:r w:rsidRPr="0092078F">
        <w:rPr>
          <w:sz w:val="20"/>
          <w:szCs w:val="20"/>
        </w:rPr>
        <w:t>Pursuant to Rule 59(1</w:t>
      </w:r>
      <w:proofErr w:type="gramStart"/>
      <w:r w:rsidRPr="0092078F">
        <w:rPr>
          <w:sz w:val="20"/>
          <w:szCs w:val="20"/>
        </w:rPr>
        <w:t>)(</w:t>
      </w:r>
      <w:proofErr w:type="gramEnd"/>
      <w:r w:rsidRPr="0092078F">
        <w:rPr>
          <w:i/>
          <w:iCs/>
          <w:sz w:val="20"/>
          <w:szCs w:val="20"/>
        </w:rPr>
        <w:t>a</w:t>
      </w:r>
      <w:r w:rsidRPr="0092078F">
        <w:rPr>
          <w:sz w:val="20"/>
          <w:szCs w:val="20"/>
        </w:rPr>
        <w:t xml:space="preserve">) of the </w:t>
      </w:r>
      <w:r w:rsidRPr="0092078F">
        <w:rPr>
          <w:i/>
          <w:iCs/>
          <w:sz w:val="20"/>
          <w:szCs w:val="20"/>
        </w:rPr>
        <w:t>Rules of the Supreme Court of Canada</w:t>
      </w:r>
      <w:r w:rsidRPr="0092078F">
        <w:rPr>
          <w:sz w:val="20"/>
          <w:szCs w:val="20"/>
        </w:rPr>
        <w:t>, the interveners shall pay to the appellant and respondent any additional disbursements occasioned to the appellant and respondent by their interventions.</w:t>
      </w:r>
    </w:p>
    <w:p w:rsidR="00F73F77" w:rsidRPr="0092078F" w:rsidRDefault="00F73F77" w:rsidP="00F73F77">
      <w:pPr>
        <w:spacing w:line="233" w:lineRule="auto"/>
        <w:jc w:val="center"/>
        <w:rPr>
          <w:sz w:val="20"/>
          <w:szCs w:val="20"/>
        </w:rPr>
      </w:pPr>
    </w:p>
    <w:p w:rsidR="00F73F77" w:rsidRPr="0092078F" w:rsidRDefault="00F73F77" w:rsidP="00F73F77">
      <w:pPr>
        <w:spacing w:line="233" w:lineRule="auto"/>
        <w:ind w:left="-23"/>
        <w:jc w:val="both"/>
        <w:rPr>
          <w:sz w:val="20"/>
          <w:szCs w:val="20"/>
        </w:rPr>
      </w:pPr>
      <w:r w:rsidRPr="0092078F">
        <w:rPr>
          <w:b/>
          <w:bCs/>
          <w:sz w:val="20"/>
          <w:szCs w:val="20"/>
        </w:rPr>
        <w:t>AND IT IS HEREBY FURTHER ORDERED THAT</w:t>
      </w:r>
      <w:r w:rsidRPr="0092078F">
        <w:rPr>
          <w:sz w:val="20"/>
          <w:szCs w:val="20"/>
        </w:rPr>
        <w:t xml:space="preserve"> the respondent may serve and file a single reply factum to the interventions not to exceed 10 pages in length on or before January 7, 2013.</w:t>
      </w:r>
    </w:p>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p>
    <w:p w:rsidR="00F73F77" w:rsidRPr="0092078F" w:rsidRDefault="00F73F77" w:rsidP="00F73F77">
      <w:pPr>
        <w:spacing w:line="233" w:lineRule="auto"/>
        <w:jc w:val="both"/>
        <w:rPr>
          <w:sz w:val="20"/>
          <w:szCs w:val="20"/>
          <w:lang w:val="fr-FR"/>
        </w:rPr>
      </w:pPr>
      <w:r w:rsidRPr="0092078F">
        <w:rPr>
          <w:b/>
          <w:sz w:val="20"/>
          <w:szCs w:val="20"/>
          <w:lang w:val="fr-FR"/>
        </w:rPr>
        <w:t xml:space="preserve">À LA SUITE DES DEMANDES </w:t>
      </w:r>
      <w:r w:rsidRPr="0092078F">
        <w:rPr>
          <w:sz w:val="20"/>
          <w:szCs w:val="20"/>
          <w:lang w:val="fr-FR"/>
        </w:rPr>
        <w:t>d’autorisation d’intervenir dans l’appel</w:t>
      </w:r>
      <w:r w:rsidRPr="0092078F">
        <w:rPr>
          <w:b/>
          <w:sz w:val="20"/>
          <w:szCs w:val="20"/>
          <w:lang w:val="fr-FR"/>
        </w:rPr>
        <w:t xml:space="preserve"> </w:t>
      </w:r>
      <w:r w:rsidRPr="0092078F">
        <w:rPr>
          <w:sz w:val="20"/>
          <w:szCs w:val="20"/>
          <w:lang w:val="fr-FR"/>
        </w:rPr>
        <w:t>présentées par le Haut Commissaire des Nations Unies pour les réfugiés, Amnistie internationale, le Centre canadien pour la justice internationale et le Programme international des droits de la personne de la Faculté de droit de l’Université de Toronto, le Conseil canadien pour les réfugiés, l’Association canadienne des libertés civiles et l’Association canadienne des avocats et avocates en droit des réfugiés;</w:t>
      </w:r>
    </w:p>
    <w:p w:rsidR="00F73F77" w:rsidRPr="0092078F" w:rsidRDefault="00F73F77" w:rsidP="00F73F77">
      <w:pPr>
        <w:spacing w:line="233" w:lineRule="auto"/>
        <w:jc w:val="both"/>
        <w:rPr>
          <w:sz w:val="20"/>
          <w:szCs w:val="20"/>
          <w:lang w:val="fr-FR"/>
        </w:rPr>
      </w:pPr>
    </w:p>
    <w:p w:rsidR="00F73F77" w:rsidRPr="0092078F" w:rsidRDefault="00F73F77" w:rsidP="00F73F77">
      <w:pPr>
        <w:spacing w:line="233" w:lineRule="auto"/>
        <w:jc w:val="both"/>
        <w:rPr>
          <w:sz w:val="20"/>
          <w:szCs w:val="20"/>
          <w:lang w:val="fr-FR"/>
        </w:rPr>
      </w:pPr>
      <w:r w:rsidRPr="0092078F">
        <w:rPr>
          <w:b/>
          <w:bCs/>
          <w:sz w:val="20"/>
          <w:szCs w:val="20"/>
          <w:lang w:val="fr-FR"/>
        </w:rPr>
        <w:t xml:space="preserve">ET APRÈS EXAMEN </w:t>
      </w:r>
      <w:r w:rsidRPr="0092078F">
        <w:rPr>
          <w:bCs/>
          <w:sz w:val="20"/>
          <w:szCs w:val="20"/>
          <w:lang w:val="fr-FR"/>
        </w:rPr>
        <w:t>des documents déposés</w:t>
      </w:r>
      <w:r w:rsidRPr="0092078F">
        <w:rPr>
          <w:sz w:val="20"/>
          <w:szCs w:val="20"/>
          <w:lang w:val="fr-FR"/>
        </w:rPr>
        <w:t>;</w:t>
      </w:r>
    </w:p>
    <w:p w:rsidR="00F73F77" w:rsidRPr="0092078F" w:rsidRDefault="00F73F77" w:rsidP="00F73F77">
      <w:pPr>
        <w:spacing w:line="233" w:lineRule="auto"/>
        <w:jc w:val="both"/>
        <w:rPr>
          <w:sz w:val="20"/>
          <w:szCs w:val="20"/>
          <w:lang w:val="fr-FR"/>
        </w:rPr>
      </w:pPr>
    </w:p>
    <w:p w:rsidR="00F73F77" w:rsidRPr="0092078F" w:rsidRDefault="00F73F77" w:rsidP="00F73F77">
      <w:pPr>
        <w:spacing w:line="233" w:lineRule="auto"/>
        <w:jc w:val="both"/>
        <w:rPr>
          <w:sz w:val="20"/>
          <w:szCs w:val="20"/>
          <w:lang w:val="fr-FR"/>
        </w:rPr>
      </w:pPr>
      <w:r w:rsidRPr="0092078F">
        <w:rPr>
          <w:b/>
          <w:bCs/>
          <w:sz w:val="20"/>
          <w:szCs w:val="20"/>
          <w:lang w:val="fr-FR"/>
        </w:rPr>
        <w:t>IL EST ORDONNÉ CE QUI SUIT :</w:t>
      </w:r>
    </w:p>
    <w:p w:rsidR="00F73F77" w:rsidRPr="0092078F" w:rsidRDefault="00F73F77" w:rsidP="00F73F77">
      <w:pPr>
        <w:spacing w:line="233" w:lineRule="auto"/>
        <w:jc w:val="both"/>
        <w:rPr>
          <w:sz w:val="20"/>
          <w:szCs w:val="20"/>
          <w:lang w:val="fr-FR"/>
        </w:rPr>
      </w:pPr>
    </w:p>
    <w:p w:rsidR="00F73F77" w:rsidRPr="0092078F" w:rsidRDefault="00F73F77" w:rsidP="00F73F77">
      <w:pPr>
        <w:spacing w:line="233" w:lineRule="auto"/>
        <w:jc w:val="both"/>
        <w:rPr>
          <w:sz w:val="20"/>
          <w:szCs w:val="20"/>
          <w:lang w:val="fr-FR"/>
        </w:rPr>
      </w:pPr>
      <w:r w:rsidRPr="0092078F">
        <w:rPr>
          <w:sz w:val="20"/>
          <w:szCs w:val="20"/>
          <w:lang w:val="fr-FR"/>
        </w:rPr>
        <w:t xml:space="preserve">Les requêtes en autorisation d’intervenir du Haut Commissaire des Nations Unies pour les réfugiés, d’Amnistie internationale, du Centre canadien pour la justice internationale et du Programme international des droits de la personne de la Faculté de droit de l’Université de Toronto, du Conseil canadien pour les réfugiés, de l’Association canadienne des libertés civiles et de l’Association canadienne des avocats et avocates en droit des réfugiés sont accueillies et chacun de ces six intervenants ou groupes d’intervenants pourra signifier et déposer un mémoire d’au plus 10 pages au plus tard le 20 décembre 2012. </w:t>
      </w:r>
    </w:p>
    <w:p w:rsidR="00F73F77" w:rsidRPr="0092078F" w:rsidRDefault="00F73F77" w:rsidP="00F73F77">
      <w:pPr>
        <w:spacing w:line="233" w:lineRule="auto"/>
        <w:jc w:val="both"/>
        <w:rPr>
          <w:sz w:val="20"/>
          <w:szCs w:val="20"/>
          <w:lang w:val="fr-FR"/>
        </w:rPr>
      </w:pPr>
    </w:p>
    <w:p w:rsidR="00F73F77" w:rsidRPr="0092078F" w:rsidRDefault="00F73F77" w:rsidP="00F73F77">
      <w:pPr>
        <w:spacing w:line="233" w:lineRule="auto"/>
        <w:jc w:val="both"/>
        <w:rPr>
          <w:sz w:val="20"/>
          <w:szCs w:val="20"/>
          <w:lang w:val="fr-FR"/>
        </w:rPr>
      </w:pPr>
      <w:r w:rsidRPr="0092078F">
        <w:rPr>
          <w:sz w:val="20"/>
          <w:szCs w:val="20"/>
          <w:lang w:val="fr-FR"/>
        </w:rPr>
        <w:t>La décision sur les demandes en vue de présenter une plaidoirie orale sera rendue après réception et examen des arguments écrits des parties et des intervenants.</w:t>
      </w:r>
    </w:p>
    <w:p w:rsidR="00F73F77" w:rsidRPr="0092078F" w:rsidRDefault="00F73F77" w:rsidP="00F73F77">
      <w:pPr>
        <w:spacing w:line="233" w:lineRule="auto"/>
        <w:jc w:val="both"/>
        <w:rPr>
          <w:sz w:val="20"/>
          <w:szCs w:val="20"/>
          <w:lang w:val="fr-FR"/>
        </w:rPr>
      </w:pPr>
    </w:p>
    <w:p w:rsidR="00F73F77" w:rsidRPr="0092078F" w:rsidRDefault="00F73F77" w:rsidP="00F73F77">
      <w:pPr>
        <w:jc w:val="both"/>
        <w:rPr>
          <w:bCs/>
          <w:sz w:val="20"/>
          <w:szCs w:val="20"/>
          <w:lang w:val="fr-FR"/>
        </w:rPr>
      </w:pPr>
      <w:r w:rsidRPr="0092078F">
        <w:rPr>
          <w:sz w:val="20"/>
          <w:szCs w:val="20"/>
          <w:lang w:val="fr-FR"/>
        </w:rPr>
        <w:t>Les intervenants n’ont pas le droit de soulever</w:t>
      </w:r>
      <w:r w:rsidR="002048ED" w:rsidRPr="0092078F">
        <w:rPr>
          <w:sz w:val="20"/>
          <w:szCs w:val="20"/>
        </w:rPr>
        <w:fldChar w:fldCharType="begin"/>
      </w:r>
      <w:r w:rsidRPr="0092078F">
        <w:rPr>
          <w:sz w:val="20"/>
          <w:szCs w:val="20"/>
          <w:lang w:val="fr-FR"/>
        </w:rPr>
        <w:instrText xml:space="preserve"> SEQ CHAPTER \h \r 1</w:instrText>
      </w:r>
      <w:r w:rsidR="002048ED" w:rsidRPr="0092078F">
        <w:rPr>
          <w:sz w:val="20"/>
          <w:szCs w:val="20"/>
        </w:rPr>
        <w:fldChar w:fldCharType="end"/>
      </w:r>
      <w:r w:rsidRPr="0092078F">
        <w:rPr>
          <w:bCs/>
          <w:sz w:val="20"/>
          <w:szCs w:val="20"/>
          <w:lang w:val="fr-FR"/>
        </w:rPr>
        <w:t xml:space="preserve"> de nouvelles questions, de produire d’autres éléments de preuve ni de compléter de quelque autre façon le dossier des parties.</w:t>
      </w:r>
    </w:p>
    <w:p w:rsidR="00F73F77" w:rsidRPr="0092078F" w:rsidRDefault="00F73F77" w:rsidP="00F73F77">
      <w:pPr>
        <w:spacing w:line="233" w:lineRule="auto"/>
        <w:jc w:val="both"/>
        <w:rPr>
          <w:sz w:val="20"/>
          <w:szCs w:val="20"/>
          <w:lang w:val="fr-FR"/>
        </w:rPr>
      </w:pPr>
    </w:p>
    <w:p w:rsidR="00F73F77" w:rsidRPr="0092078F" w:rsidRDefault="00F73F77" w:rsidP="00F73F77">
      <w:pPr>
        <w:spacing w:line="233" w:lineRule="auto"/>
        <w:jc w:val="both"/>
        <w:rPr>
          <w:sz w:val="20"/>
          <w:szCs w:val="20"/>
          <w:lang w:val="fr-FR"/>
        </w:rPr>
      </w:pPr>
      <w:r w:rsidRPr="0092078F">
        <w:rPr>
          <w:sz w:val="20"/>
          <w:szCs w:val="20"/>
          <w:lang w:val="fr-FR"/>
        </w:rPr>
        <w:t>Conformément à l’alinéa 59(1)</w:t>
      </w:r>
      <w:r w:rsidRPr="0092078F">
        <w:rPr>
          <w:i/>
          <w:iCs/>
          <w:sz w:val="20"/>
          <w:szCs w:val="20"/>
          <w:lang w:val="fr-FR"/>
        </w:rPr>
        <w:t>a</w:t>
      </w:r>
      <w:r w:rsidRPr="0092078F">
        <w:rPr>
          <w:sz w:val="20"/>
          <w:szCs w:val="20"/>
          <w:lang w:val="fr-FR"/>
        </w:rPr>
        <w:t xml:space="preserve">) des </w:t>
      </w:r>
      <w:r w:rsidRPr="0092078F">
        <w:rPr>
          <w:i/>
          <w:iCs/>
          <w:sz w:val="20"/>
          <w:szCs w:val="20"/>
          <w:lang w:val="fr-FR"/>
        </w:rPr>
        <w:t>Règles de la Cour suprême du Canada</w:t>
      </w:r>
      <w:r w:rsidRPr="0092078F">
        <w:rPr>
          <w:sz w:val="20"/>
          <w:szCs w:val="20"/>
          <w:lang w:val="fr-FR"/>
        </w:rPr>
        <w:t>, les intervenants paieront à l’appelant et à l’intimé tous débours supplémentaires résultant de leur intervention.</w:t>
      </w:r>
    </w:p>
    <w:p w:rsidR="00F73F77" w:rsidRPr="0092078F" w:rsidRDefault="00F73F77" w:rsidP="00F73F77">
      <w:pPr>
        <w:spacing w:line="233" w:lineRule="auto"/>
        <w:jc w:val="both"/>
        <w:rPr>
          <w:sz w:val="20"/>
          <w:szCs w:val="20"/>
          <w:lang w:val="fr-FR"/>
        </w:rPr>
      </w:pPr>
    </w:p>
    <w:p w:rsidR="00F73F77" w:rsidRPr="0092078F" w:rsidRDefault="00F73F77" w:rsidP="00F73F77">
      <w:pPr>
        <w:spacing w:line="233" w:lineRule="auto"/>
        <w:ind w:left="-23"/>
        <w:jc w:val="both"/>
        <w:rPr>
          <w:sz w:val="20"/>
          <w:szCs w:val="20"/>
          <w:lang w:val="fr-FR"/>
        </w:rPr>
      </w:pPr>
      <w:r w:rsidRPr="0092078F">
        <w:rPr>
          <w:b/>
          <w:bCs/>
          <w:sz w:val="20"/>
          <w:szCs w:val="20"/>
          <w:lang w:val="fr-FR"/>
        </w:rPr>
        <w:t xml:space="preserve">IL EST EN OUTRE ORDONNÉ QUE </w:t>
      </w:r>
      <w:r w:rsidRPr="0092078F">
        <w:rPr>
          <w:bCs/>
          <w:sz w:val="20"/>
          <w:szCs w:val="20"/>
          <w:lang w:val="fr-FR"/>
        </w:rPr>
        <w:t>l</w:t>
      </w:r>
      <w:r w:rsidRPr="0092078F">
        <w:rPr>
          <w:sz w:val="20"/>
          <w:szCs w:val="20"/>
          <w:lang w:val="fr-FR"/>
        </w:rPr>
        <w:t>’intimé pourra signifier et déposer un seul mémoire en réplique aux interventions d’au plus 10 pages au plus tard le 7 janvier 2013.</w:t>
      </w:r>
    </w:p>
    <w:p w:rsidR="00F73F77" w:rsidRPr="0092078F" w:rsidRDefault="00F73F77" w:rsidP="00F73F77">
      <w:pPr>
        <w:tabs>
          <w:tab w:val="left" w:pos="-1440"/>
          <w:tab w:val="left" w:pos="-720"/>
        </w:tabs>
        <w:jc w:val="both"/>
        <w:rPr>
          <w:sz w:val="20"/>
          <w:szCs w:val="20"/>
          <w:lang w:val="fr-FR"/>
        </w:rPr>
      </w:pPr>
    </w:p>
    <w:p w:rsidR="00F73F77" w:rsidRPr="0092078F" w:rsidRDefault="002048ED" w:rsidP="00F73F77">
      <w:pPr>
        <w:tabs>
          <w:tab w:val="left" w:pos="-1440"/>
          <w:tab w:val="left" w:pos="-720"/>
        </w:tabs>
        <w:jc w:val="both"/>
        <w:rPr>
          <w:sz w:val="20"/>
          <w:szCs w:val="20"/>
          <w:lang w:val="fr-CA"/>
        </w:rPr>
      </w:pPr>
      <w:r w:rsidRPr="002048ED">
        <w:rPr>
          <w:sz w:val="20"/>
          <w:szCs w:val="20"/>
          <w:lang w:val="fr-CA"/>
        </w:rPr>
        <w:pict>
          <v:rect id="_x0000_i1091" style="width:2in;height:1pt" o:hrpct="0" o:hralign="center" o:hrstd="t" o:hrnoshade="t" o:hr="t" fillcolor="black [3213]" stroked="f"/>
        </w:pict>
      </w:r>
    </w:p>
    <w:p w:rsidR="00F73F77" w:rsidRPr="0092078F" w:rsidRDefault="00F73F77" w:rsidP="00F73F77">
      <w:pPr>
        <w:tabs>
          <w:tab w:val="left" w:pos="-1440"/>
          <w:tab w:val="left" w:pos="-720"/>
        </w:tabs>
        <w:jc w:val="both"/>
        <w:rPr>
          <w:sz w:val="20"/>
          <w:szCs w:val="20"/>
          <w:lang w:val="fr-CA"/>
        </w:rPr>
      </w:pPr>
    </w:p>
    <w:p w:rsidR="00F73F77" w:rsidRPr="0092078F" w:rsidRDefault="00F73F77" w:rsidP="00F73F77">
      <w:pPr>
        <w:tabs>
          <w:tab w:val="left" w:pos="-1440"/>
          <w:tab w:val="left" w:pos="-720"/>
        </w:tabs>
        <w:jc w:val="both"/>
        <w:rPr>
          <w:sz w:val="20"/>
          <w:szCs w:val="20"/>
        </w:rPr>
      </w:pPr>
      <w:r w:rsidRPr="0092078F">
        <w:rPr>
          <w:sz w:val="20"/>
          <w:szCs w:val="20"/>
        </w:rPr>
        <w:t>26.10.2012</w:t>
      </w:r>
    </w:p>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r w:rsidRPr="0092078F">
        <w:rPr>
          <w:sz w:val="20"/>
          <w:szCs w:val="20"/>
        </w:rPr>
        <w:t xml:space="preserve">Before / </w:t>
      </w:r>
      <w:proofErr w:type="gramStart"/>
      <w:r w:rsidRPr="0092078F">
        <w:rPr>
          <w:sz w:val="20"/>
          <w:szCs w:val="20"/>
        </w:rPr>
        <w:t>Devant :</w:t>
      </w:r>
      <w:proofErr w:type="gramEnd"/>
      <w:r w:rsidRPr="0092078F">
        <w:rPr>
          <w:sz w:val="20"/>
          <w:szCs w:val="20"/>
        </w:rPr>
        <w:t xml:space="preserve">   THE DEPUTY REGISTRAR / LA REGISTRAIRE ADJOINTE</w:t>
      </w:r>
    </w:p>
    <w:p w:rsidR="00F73F77" w:rsidRPr="0092078F" w:rsidRDefault="00F73F77" w:rsidP="00F73F77">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73F77" w:rsidRPr="005571F9" w:rsidTr="00266477">
        <w:tc>
          <w:tcPr>
            <w:tcW w:w="4338" w:type="dxa"/>
          </w:tcPr>
          <w:p w:rsidR="00F73F77" w:rsidRPr="0092078F" w:rsidRDefault="002048ED" w:rsidP="00266477">
            <w:pPr>
              <w:tabs>
                <w:tab w:val="left" w:pos="-1440"/>
                <w:tab w:val="left" w:pos="-720"/>
              </w:tabs>
              <w:jc w:val="both"/>
              <w:rPr>
                <w:b/>
                <w:sz w:val="20"/>
                <w:szCs w:val="20"/>
              </w:rPr>
            </w:pPr>
            <w:r w:rsidRPr="0092078F">
              <w:rPr>
                <w:sz w:val="20"/>
                <w:szCs w:val="20"/>
              </w:rPr>
              <w:fldChar w:fldCharType="begin"/>
            </w:r>
            <w:r w:rsidR="00F73F77" w:rsidRPr="0092078F">
              <w:rPr>
                <w:sz w:val="20"/>
                <w:szCs w:val="20"/>
              </w:rPr>
              <w:instrText xml:space="preserve"> SEQ CHAPTER \h \r 1</w:instrText>
            </w:r>
            <w:r w:rsidRPr="0092078F">
              <w:rPr>
                <w:sz w:val="20"/>
                <w:szCs w:val="20"/>
              </w:rPr>
              <w:fldChar w:fldCharType="end"/>
            </w:r>
            <w:r w:rsidRPr="0092078F">
              <w:rPr>
                <w:sz w:val="20"/>
                <w:szCs w:val="20"/>
              </w:rPr>
              <w:fldChar w:fldCharType="begin"/>
            </w:r>
            <w:r w:rsidR="00F73F77" w:rsidRPr="0092078F">
              <w:rPr>
                <w:sz w:val="20"/>
                <w:szCs w:val="20"/>
              </w:rPr>
              <w:instrText xml:space="preserve"> SEQ CHAPTER \h \r 1</w:instrText>
            </w:r>
            <w:r w:rsidRPr="0092078F">
              <w:rPr>
                <w:sz w:val="20"/>
                <w:szCs w:val="20"/>
              </w:rPr>
              <w:fldChar w:fldCharType="end"/>
            </w:r>
            <w:r w:rsidR="00F73F77" w:rsidRPr="0092078F">
              <w:rPr>
                <w:b/>
                <w:bCs/>
                <w:sz w:val="20"/>
                <w:szCs w:val="20"/>
              </w:rPr>
              <w:t>Motion to extend the time to serve and file the applicants' reply to October 22, 2012</w:t>
            </w:r>
          </w:p>
        </w:tc>
        <w:tc>
          <w:tcPr>
            <w:tcW w:w="1170" w:type="dxa"/>
          </w:tcPr>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p>
        </w:tc>
        <w:tc>
          <w:tcPr>
            <w:tcW w:w="4327" w:type="dxa"/>
          </w:tcPr>
          <w:p w:rsidR="00F73F77" w:rsidRPr="0092078F" w:rsidRDefault="002048ED" w:rsidP="00266477">
            <w:pPr>
              <w:tabs>
                <w:tab w:val="left" w:pos="-1440"/>
                <w:tab w:val="left" w:pos="-720"/>
              </w:tabs>
              <w:jc w:val="both"/>
              <w:rPr>
                <w:sz w:val="20"/>
                <w:szCs w:val="20"/>
                <w:lang w:val="fr-CA"/>
              </w:rPr>
            </w:pP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r w:rsidR="00F73F77" w:rsidRPr="0092078F">
              <w:rPr>
                <w:b/>
                <w:bCs/>
                <w:sz w:val="20"/>
                <w:szCs w:val="20"/>
                <w:lang w:val="fr-CA"/>
              </w:rPr>
              <w:t>Requête en prorogation du délai de signification et de dépôt de la réplique du demandeur jusqu’au 22 octobre 2012</w:t>
            </w:r>
            <w:r w:rsidR="00F73F77" w:rsidRPr="0092078F">
              <w:rPr>
                <w:sz w:val="20"/>
                <w:szCs w:val="20"/>
                <w:lang w:val="fr-CA"/>
              </w:rPr>
              <w:t xml:space="preserve"> </w:t>
            </w: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p>
        </w:tc>
      </w:tr>
      <w:tr w:rsidR="00F73F77" w:rsidRPr="0092078F" w:rsidTr="00266477">
        <w:tc>
          <w:tcPr>
            <w:tcW w:w="4338" w:type="dxa"/>
          </w:tcPr>
          <w:p w:rsidR="00F73F77" w:rsidRPr="0092078F" w:rsidRDefault="00F73F77" w:rsidP="00266477">
            <w:pPr>
              <w:tabs>
                <w:tab w:val="left" w:pos="-1440"/>
                <w:tab w:val="left" w:pos="-720"/>
              </w:tabs>
              <w:jc w:val="both"/>
              <w:rPr>
                <w:sz w:val="20"/>
                <w:szCs w:val="20"/>
                <w:lang w:val="fr-CA"/>
              </w:rPr>
            </w:pPr>
            <w:r w:rsidRPr="0092078F">
              <w:rPr>
                <w:sz w:val="20"/>
                <w:szCs w:val="20"/>
                <w:lang w:val="fr-CA"/>
              </w:rPr>
              <w:t>Wyeth LLC et al.</w:t>
            </w:r>
          </w:p>
          <w:p w:rsidR="00F73F77" w:rsidRPr="0092078F" w:rsidRDefault="00F73F77" w:rsidP="00266477">
            <w:pPr>
              <w:tabs>
                <w:tab w:val="left" w:pos="-1440"/>
                <w:tab w:val="left" w:pos="-720"/>
              </w:tabs>
              <w:jc w:val="both"/>
              <w:rPr>
                <w:sz w:val="20"/>
                <w:szCs w:val="20"/>
                <w:lang w:val="fr-CA"/>
              </w:rPr>
            </w:pPr>
          </w:p>
          <w:p w:rsidR="00F73F77" w:rsidRPr="0092078F" w:rsidRDefault="00F73F77" w:rsidP="00266477">
            <w:pPr>
              <w:tabs>
                <w:tab w:val="left" w:pos="-1440"/>
                <w:tab w:val="left" w:pos="-720"/>
              </w:tabs>
              <w:jc w:val="both"/>
              <w:rPr>
                <w:sz w:val="20"/>
                <w:szCs w:val="20"/>
                <w:lang w:val="fr-CA"/>
              </w:rPr>
            </w:pPr>
            <w:r w:rsidRPr="0092078F">
              <w:rPr>
                <w:sz w:val="20"/>
                <w:szCs w:val="20"/>
                <w:lang w:val="fr-CA"/>
              </w:rPr>
              <w:tab/>
              <w:t>v. (34918)</w:t>
            </w:r>
          </w:p>
          <w:p w:rsidR="00F73F77" w:rsidRPr="0092078F" w:rsidRDefault="00F73F77" w:rsidP="00266477">
            <w:pPr>
              <w:tabs>
                <w:tab w:val="left" w:pos="-1440"/>
                <w:tab w:val="left" w:pos="-720"/>
              </w:tabs>
              <w:jc w:val="both"/>
              <w:rPr>
                <w:sz w:val="20"/>
                <w:szCs w:val="20"/>
                <w:lang w:val="fr-CA"/>
              </w:rPr>
            </w:pPr>
          </w:p>
          <w:p w:rsidR="00F73F77" w:rsidRPr="0092078F" w:rsidRDefault="00F73F77" w:rsidP="00266477">
            <w:pPr>
              <w:tabs>
                <w:tab w:val="left" w:pos="-1440"/>
                <w:tab w:val="left" w:pos="-720"/>
              </w:tabs>
              <w:jc w:val="both"/>
              <w:rPr>
                <w:sz w:val="20"/>
                <w:szCs w:val="20"/>
              </w:rPr>
            </w:pPr>
            <w:r w:rsidRPr="0092078F">
              <w:rPr>
                <w:sz w:val="20"/>
                <w:szCs w:val="20"/>
              </w:rPr>
              <w:t>Teva Canada Limited (F.C.)</w:t>
            </w:r>
          </w:p>
        </w:tc>
        <w:tc>
          <w:tcPr>
            <w:tcW w:w="1170" w:type="dxa"/>
          </w:tcPr>
          <w:p w:rsidR="00F73F77" w:rsidRPr="0092078F" w:rsidRDefault="00F73F77" w:rsidP="00266477">
            <w:pPr>
              <w:tabs>
                <w:tab w:val="left" w:pos="-1440"/>
                <w:tab w:val="left" w:pos="-720"/>
              </w:tabs>
              <w:jc w:val="both"/>
              <w:rPr>
                <w:sz w:val="20"/>
                <w:szCs w:val="20"/>
              </w:rPr>
            </w:pPr>
          </w:p>
        </w:tc>
        <w:tc>
          <w:tcPr>
            <w:tcW w:w="4327" w:type="dxa"/>
          </w:tcPr>
          <w:p w:rsidR="00F73F77" w:rsidRPr="0092078F" w:rsidRDefault="00F73F77" w:rsidP="00266477">
            <w:pPr>
              <w:tabs>
                <w:tab w:val="left" w:pos="-1440"/>
                <w:tab w:val="left" w:pos="-720"/>
              </w:tabs>
              <w:jc w:val="both"/>
              <w:rPr>
                <w:sz w:val="20"/>
                <w:szCs w:val="20"/>
              </w:rPr>
            </w:pPr>
          </w:p>
        </w:tc>
      </w:tr>
    </w:tbl>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b/>
          <w:sz w:val="20"/>
          <w:szCs w:val="20"/>
          <w:lang w:val="fr-CA"/>
        </w:rPr>
      </w:pPr>
      <w:r w:rsidRPr="0092078F">
        <w:rPr>
          <w:b/>
          <w:sz w:val="20"/>
          <w:szCs w:val="20"/>
          <w:lang w:val="fr-CA"/>
        </w:rPr>
        <w:t>GRANTED / ACCORDÉE</w:t>
      </w:r>
    </w:p>
    <w:p w:rsidR="00F73F77" w:rsidRPr="0092078F" w:rsidRDefault="00F73F77" w:rsidP="00F73F77">
      <w:pPr>
        <w:tabs>
          <w:tab w:val="left" w:pos="-1440"/>
          <w:tab w:val="left" w:pos="-720"/>
        </w:tabs>
        <w:jc w:val="both"/>
        <w:rPr>
          <w:sz w:val="20"/>
          <w:szCs w:val="20"/>
          <w:lang w:val="fr-CA"/>
        </w:rPr>
      </w:pPr>
    </w:p>
    <w:p w:rsidR="00F73F77" w:rsidRPr="0092078F" w:rsidRDefault="002048ED" w:rsidP="00F73F77">
      <w:pPr>
        <w:tabs>
          <w:tab w:val="left" w:pos="-1440"/>
          <w:tab w:val="left" w:pos="-720"/>
        </w:tabs>
        <w:jc w:val="both"/>
        <w:rPr>
          <w:sz w:val="20"/>
          <w:szCs w:val="20"/>
        </w:rPr>
      </w:pPr>
      <w:r w:rsidRPr="002048ED">
        <w:rPr>
          <w:sz w:val="20"/>
          <w:szCs w:val="20"/>
          <w:lang w:val="fr-CA"/>
        </w:rPr>
        <w:pict>
          <v:rect id="_x0000_i1092" style="width:2in;height:1pt" o:hrpct="0" o:hralign="center" o:hrstd="t" o:hrnoshade="t" o:hr="t" fillcolor="black [3213]" stroked="f"/>
        </w:pict>
      </w:r>
    </w:p>
    <w:p w:rsidR="00F73F77" w:rsidRPr="0092078F" w:rsidRDefault="00F73F77" w:rsidP="00F73F77">
      <w:pPr>
        <w:tabs>
          <w:tab w:val="left" w:pos="-1440"/>
          <w:tab w:val="left" w:pos="-720"/>
        </w:tabs>
        <w:jc w:val="both"/>
        <w:rPr>
          <w:sz w:val="20"/>
          <w:szCs w:val="20"/>
        </w:rPr>
      </w:pPr>
    </w:p>
    <w:p w:rsidR="00F73F77" w:rsidRPr="0092078F" w:rsidRDefault="00F73F77" w:rsidP="00F73F77">
      <w:pPr>
        <w:rPr>
          <w:sz w:val="20"/>
          <w:szCs w:val="20"/>
        </w:rPr>
      </w:pPr>
      <w:r w:rsidRPr="0092078F">
        <w:rPr>
          <w:sz w:val="20"/>
          <w:szCs w:val="20"/>
        </w:rPr>
        <w:br w:type="page"/>
      </w:r>
    </w:p>
    <w:p w:rsidR="00F73F77" w:rsidRPr="0092078F" w:rsidRDefault="00F73F77" w:rsidP="00F73F77">
      <w:pPr>
        <w:tabs>
          <w:tab w:val="left" w:pos="-1440"/>
          <w:tab w:val="left" w:pos="-720"/>
        </w:tabs>
        <w:jc w:val="both"/>
        <w:rPr>
          <w:sz w:val="20"/>
          <w:szCs w:val="20"/>
        </w:rPr>
      </w:pPr>
      <w:r w:rsidRPr="0092078F">
        <w:rPr>
          <w:sz w:val="20"/>
          <w:szCs w:val="20"/>
        </w:rPr>
        <w:t>26.10.2012</w:t>
      </w:r>
    </w:p>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r w:rsidRPr="0092078F">
        <w:rPr>
          <w:sz w:val="20"/>
          <w:szCs w:val="20"/>
        </w:rPr>
        <w:t xml:space="preserve">Before / </w:t>
      </w:r>
      <w:proofErr w:type="gramStart"/>
      <w:r w:rsidRPr="0092078F">
        <w:rPr>
          <w:sz w:val="20"/>
          <w:szCs w:val="20"/>
        </w:rPr>
        <w:t>Devant :</w:t>
      </w:r>
      <w:proofErr w:type="gramEnd"/>
      <w:r w:rsidRPr="0092078F">
        <w:rPr>
          <w:sz w:val="20"/>
          <w:szCs w:val="20"/>
        </w:rPr>
        <w:t xml:space="preserve">   THE DEPUTY REGISTRAR / LA REGISTRAIRE ADJOINTE</w:t>
      </w:r>
    </w:p>
    <w:p w:rsidR="00F73F77" w:rsidRPr="0092078F" w:rsidRDefault="00F73F77" w:rsidP="00F73F77">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73F77" w:rsidRPr="005571F9" w:rsidTr="00266477">
        <w:tc>
          <w:tcPr>
            <w:tcW w:w="4338" w:type="dxa"/>
          </w:tcPr>
          <w:p w:rsidR="00F73F77" w:rsidRPr="0092078F" w:rsidRDefault="002048ED" w:rsidP="00266477">
            <w:pPr>
              <w:tabs>
                <w:tab w:val="left" w:pos="-1440"/>
                <w:tab w:val="left" w:pos="-720"/>
              </w:tabs>
              <w:jc w:val="both"/>
              <w:rPr>
                <w:b/>
                <w:sz w:val="20"/>
                <w:szCs w:val="20"/>
              </w:rPr>
            </w:pPr>
            <w:r w:rsidRPr="0092078F">
              <w:rPr>
                <w:sz w:val="20"/>
                <w:szCs w:val="20"/>
              </w:rPr>
              <w:fldChar w:fldCharType="begin"/>
            </w:r>
            <w:r w:rsidR="00F73F77" w:rsidRPr="0092078F">
              <w:rPr>
                <w:sz w:val="20"/>
                <w:szCs w:val="20"/>
              </w:rPr>
              <w:instrText xml:space="preserve"> SEQ CHAPTER \h \r 1</w:instrText>
            </w:r>
            <w:r w:rsidRPr="0092078F">
              <w:rPr>
                <w:sz w:val="20"/>
                <w:szCs w:val="20"/>
              </w:rPr>
              <w:fldChar w:fldCharType="end"/>
            </w:r>
            <w:r w:rsidR="00F73F77" w:rsidRPr="0092078F">
              <w:rPr>
                <w:b/>
                <w:bCs/>
                <w:sz w:val="20"/>
                <w:szCs w:val="20"/>
              </w:rPr>
              <w:t xml:space="preserve">Motion to extend the time to serve and file the </w:t>
            </w:r>
            <w:r w:rsidRPr="0092078F">
              <w:rPr>
                <w:sz w:val="20"/>
                <w:szCs w:val="20"/>
              </w:rPr>
              <w:fldChar w:fldCharType="begin"/>
            </w:r>
            <w:r w:rsidR="00F73F77" w:rsidRPr="0092078F">
              <w:rPr>
                <w:sz w:val="20"/>
                <w:szCs w:val="20"/>
              </w:rPr>
              <w:instrText xml:space="preserve"> SEQ CHAPTER \h \r 1</w:instrText>
            </w:r>
            <w:r w:rsidRPr="0092078F">
              <w:rPr>
                <w:sz w:val="20"/>
                <w:szCs w:val="20"/>
              </w:rPr>
              <w:fldChar w:fldCharType="end"/>
            </w:r>
            <w:r w:rsidR="00F73F77" w:rsidRPr="0092078F">
              <w:rPr>
                <w:b/>
                <w:bCs/>
                <w:sz w:val="20"/>
                <w:szCs w:val="20"/>
              </w:rPr>
              <w:t>respondent’s response to September 12, 2012</w:t>
            </w:r>
          </w:p>
        </w:tc>
        <w:tc>
          <w:tcPr>
            <w:tcW w:w="1170" w:type="dxa"/>
          </w:tcPr>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p>
        </w:tc>
        <w:tc>
          <w:tcPr>
            <w:tcW w:w="4327" w:type="dxa"/>
          </w:tcPr>
          <w:p w:rsidR="00F73F77" w:rsidRPr="0092078F" w:rsidRDefault="002048ED" w:rsidP="00266477">
            <w:pPr>
              <w:tabs>
                <w:tab w:val="left" w:pos="-1440"/>
                <w:tab w:val="left" w:pos="-720"/>
              </w:tabs>
              <w:jc w:val="both"/>
              <w:rPr>
                <w:sz w:val="20"/>
                <w:szCs w:val="20"/>
                <w:lang w:val="fr-CA"/>
              </w:rPr>
            </w:pP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r w:rsidR="00F73F77" w:rsidRPr="0092078F">
              <w:rPr>
                <w:b/>
                <w:bCs/>
                <w:sz w:val="20"/>
                <w:szCs w:val="20"/>
                <w:lang w:val="fr-CA"/>
              </w:rPr>
              <w:t>Requête en prorogation du délai de signification et de dépôt de la réponse de l’intimée jusqu’au 12 septembre 2012</w:t>
            </w: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r w:rsidR="00F73F77" w:rsidRPr="0092078F">
              <w:rPr>
                <w:b/>
                <w:bCs/>
                <w:sz w:val="20"/>
                <w:szCs w:val="20"/>
                <w:lang w:val="fr-CA"/>
              </w:rPr>
              <w:t xml:space="preserve"> </w:t>
            </w:r>
            <w:r w:rsidRPr="0092078F">
              <w:rPr>
                <w:sz w:val="20"/>
                <w:szCs w:val="20"/>
              </w:rPr>
              <w:fldChar w:fldCharType="begin"/>
            </w:r>
            <w:r w:rsidR="00F73F77" w:rsidRPr="0092078F">
              <w:rPr>
                <w:sz w:val="20"/>
                <w:szCs w:val="20"/>
                <w:lang w:val="fr-CA"/>
              </w:rPr>
              <w:instrText xml:space="preserve"> SEQ CHAPTER \h \r 1</w:instrText>
            </w:r>
            <w:r w:rsidRPr="0092078F">
              <w:rPr>
                <w:sz w:val="20"/>
                <w:szCs w:val="20"/>
              </w:rPr>
              <w:fldChar w:fldCharType="end"/>
            </w:r>
          </w:p>
        </w:tc>
      </w:tr>
      <w:tr w:rsidR="00F73F77" w:rsidRPr="0092078F" w:rsidTr="00266477">
        <w:tc>
          <w:tcPr>
            <w:tcW w:w="4338" w:type="dxa"/>
          </w:tcPr>
          <w:p w:rsidR="00F73F77" w:rsidRPr="0092078F" w:rsidRDefault="00F73F77" w:rsidP="00266477">
            <w:pPr>
              <w:tabs>
                <w:tab w:val="left" w:pos="-1440"/>
                <w:tab w:val="left" w:pos="-720"/>
              </w:tabs>
              <w:jc w:val="both"/>
              <w:rPr>
                <w:sz w:val="20"/>
                <w:szCs w:val="20"/>
              </w:rPr>
            </w:pPr>
            <w:r w:rsidRPr="0092078F">
              <w:rPr>
                <w:sz w:val="20"/>
                <w:szCs w:val="20"/>
              </w:rPr>
              <w:t>Andrew Evans</w:t>
            </w: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r w:rsidRPr="0092078F">
              <w:rPr>
                <w:sz w:val="20"/>
                <w:szCs w:val="20"/>
              </w:rPr>
              <w:tab/>
              <w:t>v. (34926)</w:t>
            </w:r>
          </w:p>
          <w:p w:rsidR="00F73F77" w:rsidRPr="0092078F" w:rsidRDefault="00F73F77" w:rsidP="00266477">
            <w:pPr>
              <w:tabs>
                <w:tab w:val="left" w:pos="-1440"/>
                <w:tab w:val="left" w:pos="-720"/>
              </w:tabs>
              <w:jc w:val="both"/>
              <w:rPr>
                <w:sz w:val="20"/>
                <w:szCs w:val="20"/>
              </w:rPr>
            </w:pPr>
          </w:p>
          <w:p w:rsidR="00F73F77" w:rsidRPr="0092078F" w:rsidRDefault="00F73F77" w:rsidP="00266477">
            <w:pPr>
              <w:tabs>
                <w:tab w:val="left" w:pos="-1440"/>
                <w:tab w:val="left" w:pos="-720"/>
              </w:tabs>
              <w:jc w:val="both"/>
              <w:rPr>
                <w:sz w:val="20"/>
                <w:szCs w:val="20"/>
              </w:rPr>
            </w:pPr>
            <w:r w:rsidRPr="0092078F">
              <w:rPr>
                <w:sz w:val="20"/>
                <w:szCs w:val="20"/>
              </w:rPr>
              <w:t>Her Majesty the Queen (Crim.) (B.C.)</w:t>
            </w:r>
          </w:p>
        </w:tc>
        <w:tc>
          <w:tcPr>
            <w:tcW w:w="1170" w:type="dxa"/>
          </w:tcPr>
          <w:p w:rsidR="00F73F77" w:rsidRPr="0092078F" w:rsidRDefault="00F73F77" w:rsidP="00266477">
            <w:pPr>
              <w:tabs>
                <w:tab w:val="left" w:pos="-1440"/>
                <w:tab w:val="left" w:pos="-720"/>
              </w:tabs>
              <w:jc w:val="both"/>
              <w:rPr>
                <w:sz w:val="20"/>
                <w:szCs w:val="20"/>
              </w:rPr>
            </w:pPr>
          </w:p>
        </w:tc>
        <w:tc>
          <w:tcPr>
            <w:tcW w:w="4327" w:type="dxa"/>
          </w:tcPr>
          <w:p w:rsidR="00F73F77" w:rsidRPr="0092078F" w:rsidRDefault="00F73F77" w:rsidP="00266477">
            <w:pPr>
              <w:tabs>
                <w:tab w:val="left" w:pos="-1440"/>
                <w:tab w:val="left" w:pos="-720"/>
              </w:tabs>
              <w:jc w:val="both"/>
              <w:rPr>
                <w:sz w:val="20"/>
                <w:szCs w:val="20"/>
              </w:rPr>
            </w:pPr>
          </w:p>
        </w:tc>
      </w:tr>
    </w:tbl>
    <w:p w:rsidR="00F73F77" w:rsidRPr="0092078F" w:rsidRDefault="00F73F77" w:rsidP="00F73F77">
      <w:pPr>
        <w:tabs>
          <w:tab w:val="left" w:pos="-1440"/>
          <w:tab w:val="left" w:pos="-720"/>
        </w:tabs>
        <w:jc w:val="both"/>
        <w:rPr>
          <w:sz w:val="20"/>
          <w:szCs w:val="20"/>
        </w:rPr>
      </w:pPr>
    </w:p>
    <w:p w:rsidR="00F73F77" w:rsidRPr="0092078F" w:rsidRDefault="00F73F77" w:rsidP="00F73F77">
      <w:pPr>
        <w:tabs>
          <w:tab w:val="left" w:pos="-1440"/>
          <w:tab w:val="left" w:pos="-720"/>
        </w:tabs>
        <w:jc w:val="both"/>
        <w:rPr>
          <w:sz w:val="20"/>
          <w:szCs w:val="20"/>
        </w:rPr>
      </w:pPr>
      <w:r w:rsidRPr="0092078F">
        <w:rPr>
          <w:b/>
          <w:sz w:val="20"/>
          <w:szCs w:val="20"/>
        </w:rPr>
        <w:t>GRANTED / ACCORDÉE</w:t>
      </w:r>
    </w:p>
    <w:p w:rsidR="00F73F77" w:rsidRDefault="00F73F77" w:rsidP="0010587F">
      <w:pPr>
        <w:tabs>
          <w:tab w:val="left" w:pos="-1440"/>
          <w:tab w:val="left" w:pos="-720"/>
        </w:tabs>
        <w:jc w:val="both"/>
        <w:rPr>
          <w:sz w:val="20"/>
          <w:szCs w:val="20"/>
        </w:rPr>
      </w:pPr>
    </w:p>
    <w:p w:rsidR="0010587F" w:rsidRPr="003B3977" w:rsidRDefault="002048ED" w:rsidP="0010587F">
      <w:pPr>
        <w:tabs>
          <w:tab w:val="left" w:pos="-1440"/>
          <w:tab w:val="left" w:pos="-720"/>
        </w:tabs>
        <w:jc w:val="both"/>
        <w:rPr>
          <w:sz w:val="20"/>
          <w:szCs w:val="20"/>
          <w:lang w:val="fr-CA"/>
        </w:rPr>
      </w:pPr>
      <w:r w:rsidRPr="002048ED">
        <w:rPr>
          <w:sz w:val="20"/>
          <w:szCs w:val="20"/>
          <w:lang w:val="fr-CA"/>
        </w:rPr>
        <w:pict>
          <v:rect id="_x0000_i1093"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5571F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5571F9" w:rsidRDefault="00AF1715" w:rsidP="00AF1715">
      <w:pPr>
        <w:rPr>
          <w:b/>
          <w:sz w:val="20"/>
          <w:szCs w:val="20"/>
          <w:lang w:val="fr-CA"/>
        </w:rPr>
      </w:pPr>
      <w:r w:rsidRPr="005571F9">
        <w:rPr>
          <w:b/>
          <w:sz w:val="20"/>
          <w:szCs w:val="20"/>
          <w:lang w:val="fr-CA"/>
        </w:rPr>
        <w:t xml:space="preserve">NOVEMBER </w:t>
      </w:r>
      <w:r w:rsidR="00A5278F" w:rsidRPr="005571F9">
        <w:rPr>
          <w:b/>
          <w:sz w:val="20"/>
          <w:szCs w:val="20"/>
          <w:lang w:val="fr-CA"/>
        </w:rPr>
        <w:t>2</w:t>
      </w:r>
      <w:r w:rsidRPr="005571F9">
        <w:rPr>
          <w:b/>
          <w:sz w:val="20"/>
          <w:szCs w:val="20"/>
          <w:lang w:val="fr-CA"/>
        </w:rPr>
        <w:t>, 201</w:t>
      </w:r>
      <w:r w:rsidR="00A5278F" w:rsidRPr="005571F9">
        <w:rPr>
          <w:b/>
          <w:sz w:val="20"/>
          <w:szCs w:val="20"/>
          <w:lang w:val="fr-CA"/>
        </w:rPr>
        <w:t>2</w:t>
      </w:r>
      <w:r w:rsidRPr="005571F9">
        <w:rPr>
          <w:b/>
          <w:sz w:val="20"/>
          <w:szCs w:val="20"/>
          <w:lang w:val="fr-CA"/>
        </w:rPr>
        <w:t xml:space="preserve"> / LE </w:t>
      </w:r>
      <w:r w:rsidR="00A5278F" w:rsidRPr="005571F9">
        <w:rPr>
          <w:b/>
          <w:sz w:val="20"/>
          <w:szCs w:val="20"/>
          <w:lang w:val="fr-CA"/>
        </w:rPr>
        <w:t>2</w:t>
      </w:r>
      <w:r w:rsidRPr="005571F9">
        <w:rPr>
          <w:b/>
          <w:sz w:val="20"/>
          <w:szCs w:val="20"/>
          <w:lang w:val="fr-CA"/>
        </w:rPr>
        <w:t xml:space="preserve"> NOVEMBRE 201</w:t>
      </w:r>
      <w:r w:rsidR="00A5278F" w:rsidRPr="005571F9">
        <w:rPr>
          <w:b/>
          <w:sz w:val="20"/>
          <w:szCs w:val="20"/>
          <w:lang w:val="fr-CA"/>
        </w:rPr>
        <w:t>2</w:t>
      </w:r>
    </w:p>
    <w:p w:rsidR="00AF1715" w:rsidRPr="005571F9" w:rsidRDefault="00AF1715" w:rsidP="00AF1715">
      <w:pPr>
        <w:rPr>
          <w:sz w:val="20"/>
          <w:szCs w:val="20"/>
          <w:lang w:val="fr-CA"/>
        </w:rPr>
      </w:pPr>
    </w:p>
    <w:p w:rsidR="00BA084B" w:rsidRPr="00BA084B" w:rsidRDefault="00BA084B" w:rsidP="00BA084B">
      <w:pPr>
        <w:pStyle w:val="SCCLsocParty"/>
        <w:ind w:left="1440" w:hanging="1440"/>
        <w:rPr>
          <w:rStyle w:val="Hyperlink"/>
          <w:color w:val="auto"/>
          <w:sz w:val="20"/>
        </w:rPr>
      </w:pPr>
      <w:r w:rsidRPr="00BA084B">
        <w:rPr>
          <w:b/>
          <w:i w:val="0"/>
          <w:sz w:val="20"/>
        </w:rPr>
        <w:t>33970</w:t>
      </w:r>
      <w:r w:rsidRPr="00D35D26">
        <w:rPr>
          <w:b/>
          <w:sz w:val="20"/>
        </w:rPr>
        <w:tab/>
      </w:r>
      <w:r w:rsidRPr="00BA084B">
        <w:rPr>
          <w:b/>
          <w:i w:val="0"/>
          <w:sz w:val="20"/>
          <w:u w:val="single"/>
        </w:rPr>
        <w:t>Sa Majesté la Reine et procureur général du Québec c. Anic St-Onge Lamoureux – et – Procureur général du Canada, procureur général de l’Ontario, procureur général du Manitoba, procureur général de la Colombie-Britannique, procureur général de l’Alberta, Barreau du Québec, Association québécoise des avocats et avocates de la défense, Criminal Lawyers’ Association of Ontario et Criminal Trial Lawyers’ Association</w:t>
      </w:r>
      <w:r w:rsidRPr="00BA084B">
        <w:rPr>
          <w:b/>
          <w:i w:val="0"/>
          <w:iCs/>
          <w:sz w:val="20"/>
        </w:rPr>
        <w:t xml:space="preserve"> </w:t>
      </w:r>
      <w:r w:rsidRPr="00BA084B">
        <w:rPr>
          <w:i w:val="0"/>
          <w:iCs/>
          <w:sz w:val="20"/>
        </w:rPr>
        <w:t>(Qc.)</w:t>
      </w:r>
      <w:r w:rsidRPr="00BA084B">
        <w:rPr>
          <w:iCs/>
          <w:sz w:val="20"/>
        </w:rPr>
        <w:t xml:space="preserve"> </w:t>
      </w:r>
    </w:p>
    <w:p w:rsidR="00BA084B" w:rsidRPr="000F0D0F" w:rsidRDefault="00BA084B" w:rsidP="00BA084B">
      <w:pPr>
        <w:ind w:left="1440"/>
        <w:jc w:val="both"/>
        <w:rPr>
          <w:rFonts w:eastAsia="Calibri" w:cs="Times New Roman"/>
          <w:b/>
          <w:sz w:val="20"/>
          <w:lang w:val="fr-CA"/>
        </w:rPr>
      </w:pPr>
      <w:r w:rsidRPr="000F0D0F">
        <w:rPr>
          <w:rFonts w:eastAsia="Calibri" w:cs="Times New Roman"/>
          <w:b/>
          <w:sz w:val="20"/>
          <w:lang w:val="fr-CA"/>
        </w:rPr>
        <w:t>2012 SCC 57 / 2012 CSC 57</w:t>
      </w:r>
    </w:p>
    <w:p w:rsidR="00BA084B" w:rsidRPr="000F0D0F" w:rsidRDefault="00BA084B" w:rsidP="00BA084B">
      <w:pPr>
        <w:ind w:left="1440" w:hanging="1440"/>
        <w:jc w:val="both"/>
        <w:rPr>
          <w:rFonts w:eastAsia="Calibri" w:cs="Times New Roman"/>
          <w:b/>
          <w:sz w:val="20"/>
          <w:lang w:val="fr-CA"/>
        </w:rPr>
      </w:pPr>
    </w:p>
    <w:p w:rsidR="00BA084B" w:rsidRPr="000F0D0F" w:rsidRDefault="00BA084B" w:rsidP="00BA084B">
      <w:pPr>
        <w:ind w:left="1440" w:hanging="1440"/>
        <w:jc w:val="both"/>
        <w:rPr>
          <w:rFonts w:eastAsia="Calibri" w:cs="Times New Roman"/>
          <w:sz w:val="20"/>
          <w:u w:val="single"/>
          <w:lang w:val="fr-CA"/>
        </w:rPr>
      </w:pPr>
      <w:r w:rsidRPr="000F0D0F">
        <w:rPr>
          <w:rFonts w:eastAsia="Calibri" w:cs="Times New Roman"/>
          <w:sz w:val="20"/>
          <w:lang w:val="fr-CA"/>
        </w:rPr>
        <w:t xml:space="preserve">Coram: </w:t>
      </w:r>
      <w:r>
        <w:rPr>
          <w:sz w:val="20"/>
          <w:lang w:val="fr-CA"/>
        </w:rPr>
        <w:tab/>
      </w:r>
      <w:r w:rsidRPr="000F0D0F">
        <w:rPr>
          <w:rFonts w:eastAsia="Calibri" w:cs="Times New Roman"/>
          <w:sz w:val="20"/>
          <w:u w:val="single"/>
          <w:lang w:val="fr-CA"/>
        </w:rPr>
        <w:t xml:space="preserve">La juge en chef McLachlin et les juges LeBel, Deschamps, Fish, Abella, Rothstein et Cromwell </w:t>
      </w:r>
    </w:p>
    <w:p w:rsidR="00BA084B" w:rsidRPr="006A18A9" w:rsidRDefault="00BA084B" w:rsidP="00BA084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lang w:val="fr-CA"/>
        </w:rPr>
      </w:pPr>
    </w:p>
    <w:p w:rsidR="00BA084B" w:rsidRPr="006A18A9" w:rsidRDefault="00BA084B" w:rsidP="00BA084B">
      <w:pPr>
        <w:jc w:val="both"/>
        <w:rPr>
          <w:rFonts w:eastAsia="Calibri" w:cs="Times New Roman"/>
          <w:sz w:val="20"/>
          <w:lang w:val="fr-CA"/>
        </w:rPr>
      </w:pPr>
      <w:r w:rsidRPr="006A18A9">
        <w:rPr>
          <w:rFonts w:eastAsia="Calibri" w:cs="Times New Roman"/>
          <w:sz w:val="20"/>
          <w:lang w:val="fr-CA"/>
        </w:rPr>
        <w:t>L’appel interjeté contre le jugement de la Cour du Québec, numéro 450-01-058378-097, 2010 QCCQ 8552, en date du 15 septembre 2010, entendu le 13 octobre 2011, est accueilli en partie. Les juges Rothstein et Cromwell sont dissidents en partie.</w:t>
      </w:r>
    </w:p>
    <w:p w:rsidR="00BA084B" w:rsidRPr="006A18A9" w:rsidRDefault="00BA084B" w:rsidP="00BA084B">
      <w:pPr>
        <w:jc w:val="both"/>
        <w:rPr>
          <w:rFonts w:eastAsia="Calibri" w:cs="Times New Roman"/>
          <w:sz w:val="20"/>
          <w:lang w:val="fr-CA"/>
        </w:rPr>
      </w:pPr>
    </w:p>
    <w:p w:rsidR="00BA084B" w:rsidRPr="006A18A9" w:rsidRDefault="00BA084B" w:rsidP="00BA084B">
      <w:pPr>
        <w:jc w:val="both"/>
        <w:rPr>
          <w:rFonts w:eastAsia="Calibri" w:cs="Times New Roman"/>
          <w:sz w:val="20"/>
          <w:lang w:val="fr-CA"/>
        </w:rPr>
      </w:pPr>
      <w:r w:rsidRPr="006A18A9">
        <w:rPr>
          <w:rFonts w:eastAsia="Calibri" w:cs="Times New Roman"/>
          <w:sz w:val="20"/>
          <w:lang w:val="fr-CA"/>
        </w:rPr>
        <w:t>Les questions constitutionnelles sont répondues comme suit :</w:t>
      </w:r>
    </w:p>
    <w:p w:rsidR="00BA084B" w:rsidRPr="006A18A9" w:rsidRDefault="00BA084B" w:rsidP="00BA084B">
      <w:pPr>
        <w:jc w:val="both"/>
        <w:rPr>
          <w:rFonts w:eastAsia="Calibri" w:cs="Times New Roman"/>
          <w:sz w:val="20"/>
          <w:lang w:val="fr-CA"/>
        </w:rPr>
      </w:pPr>
    </w:p>
    <w:p w:rsidR="00BA084B" w:rsidRPr="006A18A9" w:rsidRDefault="00BA084B" w:rsidP="00BA084B">
      <w:pPr>
        <w:pStyle w:val="Citation-AltC"/>
        <w:numPr>
          <w:ilvl w:val="6"/>
          <w:numId w:val="4"/>
        </w:numPr>
        <w:spacing w:after="0"/>
        <w:ind w:left="0" w:firstLine="0"/>
        <w:rPr>
          <w:sz w:val="20"/>
        </w:rPr>
      </w:pPr>
      <w:r w:rsidRPr="006A18A9">
        <w:rPr>
          <w:sz w:val="20"/>
        </w:rPr>
        <w:t>Les alinéas 258(1)</w:t>
      </w:r>
      <w:r w:rsidRPr="006A18A9">
        <w:rPr>
          <w:i/>
          <w:sz w:val="20"/>
        </w:rPr>
        <w:t>c</w:t>
      </w:r>
      <w:r w:rsidRPr="006A18A9">
        <w:rPr>
          <w:sz w:val="20"/>
        </w:rPr>
        <w:t>), 258(1</w:t>
      </w:r>
      <w:proofErr w:type="gramStart"/>
      <w:r w:rsidRPr="006A18A9">
        <w:rPr>
          <w:sz w:val="20"/>
        </w:rPr>
        <w:t>)</w:t>
      </w:r>
      <w:r w:rsidRPr="006A18A9">
        <w:rPr>
          <w:i/>
          <w:sz w:val="20"/>
        </w:rPr>
        <w:t>d.01</w:t>
      </w:r>
      <w:proofErr w:type="gramEnd"/>
      <w:r w:rsidRPr="006A18A9">
        <w:rPr>
          <w:sz w:val="20"/>
        </w:rPr>
        <w:t>) et 258(1)</w:t>
      </w:r>
      <w:r w:rsidRPr="006A18A9">
        <w:rPr>
          <w:i/>
          <w:sz w:val="20"/>
        </w:rPr>
        <w:t>d.1</w:t>
      </w:r>
      <w:r w:rsidRPr="006A18A9">
        <w:rPr>
          <w:sz w:val="20"/>
        </w:rPr>
        <w:t xml:space="preserve">) du </w:t>
      </w:r>
      <w:r w:rsidRPr="006A18A9">
        <w:rPr>
          <w:i/>
          <w:sz w:val="20"/>
        </w:rPr>
        <w:t>Code</w:t>
      </w:r>
      <w:r w:rsidRPr="006A18A9">
        <w:rPr>
          <w:sz w:val="20"/>
        </w:rPr>
        <w:t xml:space="preserve"> </w:t>
      </w:r>
      <w:r w:rsidRPr="006A18A9">
        <w:rPr>
          <w:i/>
          <w:sz w:val="20"/>
        </w:rPr>
        <w:t>criminel</w:t>
      </w:r>
      <w:r w:rsidRPr="006A18A9">
        <w:rPr>
          <w:sz w:val="20"/>
        </w:rPr>
        <w:t xml:space="preserve">, L.R.C. 1985, ch. C-46, portent-ils atteinte à l’article 7 de la </w:t>
      </w:r>
      <w:r w:rsidRPr="006A18A9">
        <w:rPr>
          <w:i/>
          <w:sz w:val="20"/>
        </w:rPr>
        <w:t>Charte</w:t>
      </w:r>
      <w:r w:rsidRPr="006A18A9">
        <w:rPr>
          <w:sz w:val="20"/>
        </w:rPr>
        <w:t xml:space="preserve"> </w:t>
      </w:r>
      <w:r w:rsidRPr="006A18A9">
        <w:rPr>
          <w:i/>
          <w:sz w:val="20"/>
        </w:rPr>
        <w:t>canadienne des droits et libertés</w:t>
      </w:r>
      <w:r w:rsidRPr="006A18A9">
        <w:rPr>
          <w:sz w:val="20"/>
        </w:rPr>
        <w:t>?</w:t>
      </w:r>
    </w:p>
    <w:p w:rsidR="00BA084B" w:rsidRPr="006A18A9" w:rsidRDefault="00BA084B" w:rsidP="00BA084B">
      <w:pPr>
        <w:pStyle w:val="Citation-AltC"/>
        <w:spacing w:after="0"/>
        <w:ind w:left="1530"/>
        <w:rPr>
          <w:sz w:val="20"/>
        </w:rPr>
      </w:pPr>
    </w:p>
    <w:p w:rsidR="00BA084B" w:rsidRPr="006A18A9" w:rsidRDefault="00BA084B" w:rsidP="00BA084B">
      <w:pPr>
        <w:pStyle w:val="Citation-AltC"/>
        <w:spacing w:after="0"/>
        <w:ind w:left="0" w:firstLine="4"/>
        <w:rPr>
          <w:sz w:val="20"/>
        </w:rPr>
      </w:pPr>
      <w:r w:rsidRPr="006A18A9">
        <w:rPr>
          <w:sz w:val="20"/>
        </w:rPr>
        <w:t>Réponse : Non</w:t>
      </w:r>
    </w:p>
    <w:p w:rsidR="00BA084B" w:rsidRPr="006A18A9" w:rsidRDefault="00BA084B" w:rsidP="00BA084B">
      <w:pPr>
        <w:pStyle w:val="Citation-AltC"/>
        <w:spacing w:after="0"/>
        <w:rPr>
          <w:sz w:val="20"/>
        </w:rPr>
      </w:pPr>
    </w:p>
    <w:p w:rsidR="00BA084B" w:rsidRPr="006A18A9" w:rsidRDefault="00BA084B" w:rsidP="00BA084B">
      <w:pPr>
        <w:pStyle w:val="Citation-AltC"/>
        <w:numPr>
          <w:ilvl w:val="6"/>
          <w:numId w:val="4"/>
        </w:numPr>
        <w:spacing w:after="0"/>
        <w:ind w:left="0" w:firstLine="0"/>
        <w:rPr>
          <w:sz w:val="20"/>
        </w:rPr>
      </w:pPr>
      <w:r w:rsidRPr="006A18A9">
        <w:rPr>
          <w:sz w:val="20"/>
        </w:rPr>
        <w:t xml:space="preserve">Dans l’affirmative, s’agit-il d’une limite raisonnable prescrite par une règle de droit dont la justification peut se démontrer dans le cadre d’une société libre et démocratique au sens de l’article premier de la </w:t>
      </w:r>
      <w:r w:rsidRPr="006A18A9">
        <w:rPr>
          <w:i/>
          <w:sz w:val="20"/>
        </w:rPr>
        <w:t>Charte canadienne des droits et libertés</w:t>
      </w:r>
      <w:r w:rsidRPr="006A18A9">
        <w:rPr>
          <w:sz w:val="20"/>
        </w:rPr>
        <w:t>?</w:t>
      </w:r>
    </w:p>
    <w:p w:rsidR="00BA084B" w:rsidRPr="006A18A9" w:rsidRDefault="00BA084B" w:rsidP="00BA084B">
      <w:pPr>
        <w:pStyle w:val="Citation-AltC"/>
        <w:spacing w:after="0"/>
        <w:ind w:left="1530"/>
        <w:rPr>
          <w:sz w:val="20"/>
        </w:rPr>
      </w:pPr>
    </w:p>
    <w:p w:rsidR="00BA084B" w:rsidRPr="006A18A9" w:rsidRDefault="00BA084B" w:rsidP="00BA084B">
      <w:pPr>
        <w:pStyle w:val="Citation-AltC"/>
        <w:spacing w:after="0"/>
        <w:ind w:left="0" w:firstLine="4"/>
        <w:rPr>
          <w:sz w:val="20"/>
        </w:rPr>
      </w:pPr>
      <w:r w:rsidRPr="006A18A9">
        <w:rPr>
          <w:sz w:val="20"/>
        </w:rPr>
        <w:t>Réponse : Il n’est pas nécessaire de répondre à cette question.</w:t>
      </w:r>
    </w:p>
    <w:p w:rsidR="00BA084B" w:rsidRPr="006A18A9" w:rsidRDefault="00BA084B" w:rsidP="00BA084B">
      <w:pPr>
        <w:pStyle w:val="Citation-AltC"/>
        <w:spacing w:after="0"/>
        <w:ind w:left="1256" w:firstLine="274"/>
        <w:rPr>
          <w:sz w:val="20"/>
        </w:rPr>
      </w:pPr>
    </w:p>
    <w:p w:rsidR="00BA084B" w:rsidRPr="006A18A9" w:rsidRDefault="00BA084B" w:rsidP="00BA084B">
      <w:pPr>
        <w:pStyle w:val="Citation-AltC"/>
        <w:numPr>
          <w:ilvl w:val="6"/>
          <w:numId w:val="4"/>
        </w:numPr>
        <w:spacing w:after="0"/>
        <w:ind w:left="0" w:firstLine="0"/>
        <w:rPr>
          <w:sz w:val="20"/>
        </w:rPr>
      </w:pPr>
      <w:r w:rsidRPr="006A18A9">
        <w:rPr>
          <w:sz w:val="20"/>
        </w:rPr>
        <w:t>Les alinéas 258(1)</w:t>
      </w:r>
      <w:r w:rsidRPr="006A18A9">
        <w:rPr>
          <w:i/>
          <w:sz w:val="20"/>
        </w:rPr>
        <w:t>c</w:t>
      </w:r>
      <w:r w:rsidRPr="006A18A9">
        <w:rPr>
          <w:sz w:val="20"/>
        </w:rPr>
        <w:t>), 258(1</w:t>
      </w:r>
      <w:proofErr w:type="gramStart"/>
      <w:r w:rsidRPr="006A18A9">
        <w:rPr>
          <w:sz w:val="20"/>
        </w:rPr>
        <w:t>)</w:t>
      </w:r>
      <w:r w:rsidRPr="006A18A9">
        <w:rPr>
          <w:i/>
          <w:sz w:val="20"/>
        </w:rPr>
        <w:t>d.01</w:t>
      </w:r>
      <w:proofErr w:type="gramEnd"/>
      <w:r w:rsidRPr="006A18A9">
        <w:rPr>
          <w:sz w:val="20"/>
        </w:rPr>
        <w:t>) et 258(1)</w:t>
      </w:r>
      <w:r w:rsidRPr="006A18A9">
        <w:rPr>
          <w:i/>
          <w:sz w:val="20"/>
        </w:rPr>
        <w:t>d.1</w:t>
      </w:r>
      <w:r w:rsidRPr="006A18A9">
        <w:rPr>
          <w:sz w:val="20"/>
        </w:rPr>
        <w:t xml:space="preserve">) du </w:t>
      </w:r>
      <w:r w:rsidRPr="006A18A9">
        <w:rPr>
          <w:i/>
          <w:sz w:val="20"/>
        </w:rPr>
        <w:t>Code</w:t>
      </w:r>
      <w:r w:rsidRPr="006A18A9">
        <w:rPr>
          <w:sz w:val="20"/>
        </w:rPr>
        <w:t xml:space="preserve"> </w:t>
      </w:r>
      <w:r w:rsidRPr="006A18A9">
        <w:rPr>
          <w:i/>
          <w:sz w:val="20"/>
        </w:rPr>
        <w:t>criminel</w:t>
      </w:r>
      <w:r w:rsidRPr="006A18A9">
        <w:rPr>
          <w:sz w:val="20"/>
        </w:rPr>
        <w:t>, L.R.C. 1985, ch. C-46, portent-ils atteinte à l’alinéa 11</w:t>
      </w:r>
      <w:r w:rsidRPr="006A18A9">
        <w:rPr>
          <w:i/>
          <w:sz w:val="20"/>
        </w:rPr>
        <w:t>c</w:t>
      </w:r>
      <w:r w:rsidRPr="006A18A9">
        <w:rPr>
          <w:sz w:val="20"/>
        </w:rPr>
        <w:t xml:space="preserve">) de la </w:t>
      </w:r>
      <w:r w:rsidRPr="006A18A9">
        <w:rPr>
          <w:i/>
          <w:sz w:val="20"/>
        </w:rPr>
        <w:t>Charte canadienne des droits et libertés</w:t>
      </w:r>
      <w:r w:rsidRPr="006A18A9">
        <w:rPr>
          <w:sz w:val="20"/>
        </w:rPr>
        <w:t>?</w:t>
      </w:r>
    </w:p>
    <w:p w:rsidR="00BA084B" w:rsidRPr="006A18A9" w:rsidRDefault="00BA084B" w:rsidP="00BA084B">
      <w:pPr>
        <w:pStyle w:val="Citation-AltC"/>
        <w:spacing w:after="0"/>
        <w:rPr>
          <w:sz w:val="20"/>
        </w:rPr>
      </w:pPr>
    </w:p>
    <w:p w:rsidR="00BA084B" w:rsidRPr="006A18A9" w:rsidRDefault="00BA084B" w:rsidP="00BA084B">
      <w:pPr>
        <w:pStyle w:val="Citation-AltC"/>
        <w:spacing w:after="0"/>
        <w:ind w:left="0" w:firstLine="4"/>
        <w:rPr>
          <w:sz w:val="20"/>
        </w:rPr>
      </w:pPr>
      <w:r w:rsidRPr="006A18A9">
        <w:rPr>
          <w:sz w:val="20"/>
        </w:rPr>
        <w:t xml:space="preserve">Réponse : Non </w:t>
      </w:r>
    </w:p>
    <w:p w:rsidR="00BA084B" w:rsidRPr="006A18A9" w:rsidRDefault="00BA084B" w:rsidP="00BA084B">
      <w:pPr>
        <w:pStyle w:val="Citation-AltC"/>
        <w:spacing w:after="0"/>
        <w:rPr>
          <w:sz w:val="20"/>
        </w:rPr>
      </w:pPr>
    </w:p>
    <w:p w:rsidR="00BA084B" w:rsidRPr="006A18A9" w:rsidRDefault="00BA084B" w:rsidP="00BA084B">
      <w:pPr>
        <w:pStyle w:val="Citation-AltC"/>
        <w:numPr>
          <w:ilvl w:val="6"/>
          <w:numId w:val="4"/>
        </w:numPr>
        <w:spacing w:after="0"/>
        <w:ind w:left="0" w:firstLine="0"/>
        <w:rPr>
          <w:sz w:val="20"/>
        </w:rPr>
      </w:pPr>
      <w:r w:rsidRPr="006A18A9">
        <w:rPr>
          <w:sz w:val="20"/>
        </w:rPr>
        <w:t xml:space="preserve">Dans l’affirmative, s’agit-il d’une limite raisonnable prescrite par une règle de droit dont la justification peut se démontrer dans le cadre d’une société libre et démocratique au sens de l’article premier de la </w:t>
      </w:r>
      <w:r w:rsidRPr="006A18A9">
        <w:rPr>
          <w:i/>
          <w:sz w:val="20"/>
        </w:rPr>
        <w:t>Charte canadienne des droits et libertés</w:t>
      </w:r>
      <w:r w:rsidRPr="006A18A9">
        <w:rPr>
          <w:sz w:val="20"/>
        </w:rPr>
        <w:t>?</w:t>
      </w:r>
    </w:p>
    <w:p w:rsidR="00BA084B" w:rsidRPr="006A18A9" w:rsidRDefault="00BA084B" w:rsidP="00BA084B">
      <w:pPr>
        <w:pStyle w:val="Citation-AltC"/>
        <w:spacing w:after="0"/>
        <w:rPr>
          <w:sz w:val="20"/>
        </w:rPr>
      </w:pPr>
    </w:p>
    <w:p w:rsidR="00BA084B" w:rsidRPr="006A18A9" w:rsidRDefault="00BA084B" w:rsidP="00BA084B">
      <w:pPr>
        <w:pStyle w:val="Citation-AltC"/>
        <w:spacing w:after="0"/>
        <w:ind w:left="0"/>
        <w:rPr>
          <w:sz w:val="20"/>
        </w:rPr>
      </w:pPr>
      <w:r w:rsidRPr="006A18A9">
        <w:rPr>
          <w:sz w:val="20"/>
        </w:rPr>
        <w:t>Réponse : Il n’est pas nécessaire de répondre à cette question.</w:t>
      </w:r>
    </w:p>
    <w:p w:rsidR="00BA084B" w:rsidRPr="006A18A9" w:rsidRDefault="00BA084B" w:rsidP="00BA084B">
      <w:pPr>
        <w:pStyle w:val="Citation-AltC"/>
        <w:spacing w:after="0"/>
        <w:rPr>
          <w:sz w:val="20"/>
        </w:rPr>
      </w:pPr>
    </w:p>
    <w:p w:rsidR="00BA084B" w:rsidRPr="006A18A9" w:rsidRDefault="00BA084B" w:rsidP="00BA084B">
      <w:pPr>
        <w:pStyle w:val="Citation-AltC"/>
        <w:numPr>
          <w:ilvl w:val="6"/>
          <w:numId w:val="4"/>
        </w:numPr>
        <w:spacing w:after="0"/>
        <w:ind w:left="0" w:firstLine="0"/>
        <w:rPr>
          <w:sz w:val="20"/>
        </w:rPr>
      </w:pPr>
      <w:r w:rsidRPr="006A18A9">
        <w:rPr>
          <w:sz w:val="20"/>
        </w:rPr>
        <w:t>Les alinéas 258(1)</w:t>
      </w:r>
      <w:r w:rsidRPr="006A18A9">
        <w:rPr>
          <w:i/>
          <w:sz w:val="20"/>
        </w:rPr>
        <w:t>c</w:t>
      </w:r>
      <w:r w:rsidRPr="006A18A9">
        <w:rPr>
          <w:sz w:val="20"/>
        </w:rPr>
        <w:t>), 258(1</w:t>
      </w:r>
      <w:proofErr w:type="gramStart"/>
      <w:r w:rsidRPr="006A18A9">
        <w:rPr>
          <w:sz w:val="20"/>
        </w:rPr>
        <w:t>)</w:t>
      </w:r>
      <w:r w:rsidRPr="006A18A9">
        <w:rPr>
          <w:i/>
          <w:sz w:val="20"/>
        </w:rPr>
        <w:t>d.01</w:t>
      </w:r>
      <w:proofErr w:type="gramEnd"/>
      <w:r w:rsidRPr="006A18A9">
        <w:rPr>
          <w:sz w:val="20"/>
        </w:rPr>
        <w:t>) et 258(1)</w:t>
      </w:r>
      <w:r w:rsidRPr="006A18A9">
        <w:rPr>
          <w:i/>
          <w:sz w:val="20"/>
        </w:rPr>
        <w:t>d.1</w:t>
      </w:r>
      <w:r w:rsidRPr="006A18A9">
        <w:rPr>
          <w:sz w:val="20"/>
        </w:rPr>
        <w:t xml:space="preserve">) du </w:t>
      </w:r>
      <w:r w:rsidRPr="006A18A9">
        <w:rPr>
          <w:i/>
          <w:sz w:val="20"/>
        </w:rPr>
        <w:t>Code criminel</w:t>
      </w:r>
      <w:r w:rsidRPr="006A18A9">
        <w:rPr>
          <w:sz w:val="20"/>
        </w:rPr>
        <w:t>, L.R.C. 1985, ch. C-46, portent-ils atteinte à l’alinéa 11</w:t>
      </w:r>
      <w:r w:rsidRPr="006A18A9">
        <w:rPr>
          <w:i/>
          <w:sz w:val="20"/>
        </w:rPr>
        <w:t>d</w:t>
      </w:r>
      <w:r w:rsidRPr="006A18A9">
        <w:rPr>
          <w:sz w:val="20"/>
        </w:rPr>
        <w:t xml:space="preserve">) de la </w:t>
      </w:r>
      <w:r w:rsidRPr="006A18A9">
        <w:rPr>
          <w:i/>
          <w:sz w:val="20"/>
        </w:rPr>
        <w:t>Charte canadienne des droits et libertés</w:t>
      </w:r>
      <w:r w:rsidRPr="006A18A9">
        <w:rPr>
          <w:sz w:val="20"/>
        </w:rPr>
        <w:t>?</w:t>
      </w:r>
    </w:p>
    <w:p w:rsidR="00BA084B" w:rsidRPr="006A18A9" w:rsidRDefault="00BA084B" w:rsidP="00BA084B">
      <w:pPr>
        <w:pStyle w:val="Citation-AltC"/>
        <w:spacing w:after="0"/>
        <w:rPr>
          <w:sz w:val="20"/>
        </w:rPr>
      </w:pPr>
    </w:p>
    <w:p w:rsidR="00BA084B" w:rsidRPr="006A18A9" w:rsidRDefault="00BA084B" w:rsidP="00BA084B">
      <w:pPr>
        <w:pStyle w:val="Citation-AltC"/>
        <w:spacing w:after="0"/>
        <w:ind w:left="0"/>
        <w:rPr>
          <w:sz w:val="20"/>
        </w:rPr>
      </w:pPr>
      <w:r w:rsidRPr="006A18A9">
        <w:rPr>
          <w:sz w:val="20"/>
        </w:rPr>
        <w:t xml:space="preserve">Réponse : Oui </w:t>
      </w:r>
    </w:p>
    <w:p w:rsidR="00BA084B" w:rsidRPr="006A18A9" w:rsidRDefault="00BA084B" w:rsidP="00BA084B">
      <w:pPr>
        <w:pStyle w:val="Citation-AltC"/>
        <w:spacing w:after="0"/>
        <w:ind w:left="1256" w:firstLine="274"/>
        <w:rPr>
          <w:sz w:val="20"/>
        </w:rPr>
      </w:pPr>
    </w:p>
    <w:p w:rsidR="00BA084B" w:rsidRPr="006A18A9" w:rsidRDefault="00BA084B" w:rsidP="00BA084B">
      <w:pPr>
        <w:pStyle w:val="Citation-AltC"/>
        <w:numPr>
          <w:ilvl w:val="6"/>
          <w:numId w:val="4"/>
        </w:numPr>
        <w:spacing w:after="0"/>
        <w:ind w:left="0" w:firstLine="0"/>
        <w:rPr>
          <w:sz w:val="20"/>
        </w:rPr>
      </w:pPr>
      <w:r w:rsidRPr="006A18A9">
        <w:rPr>
          <w:sz w:val="20"/>
        </w:rPr>
        <w:t xml:space="preserve">Dans l’affirmative, s’agit-il d’une limite raisonnable prescrite par une règle de droit dont la justification peut se démontrer dans le cadre d’une société libre et démocratique au sens de l’article premier de la </w:t>
      </w:r>
      <w:r w:rsidRPr="006A18A9">
        <w:rPr>
          <w:i/>
          <w:sz w:val="20"/>
        </w:rPr>
        <w:t>Charte canadienne des droits et libertés</w:t>
      </w:r>
      <w:r w:rsidRPr="006A18A9">
        <w:rPr>
          <w:sz w:val="20"/>
        </w:rPr>
        <w:t>?</w:t>
      </w:r>
    </w:p>
    <w:p w:rsidR="00BA084B" w:rsidRPr="006A18A9" w:rsidRDefault="00BA084B" w:rsidP="00BA084B">
      <w:pPr>
        <w:pStyle w:val="Citation-AltC"/>
        <w:spacing w:after="0"/>
        <w:rPr>
          <w:sz w:val="20"/>
        </w:rPr>
      </w:pPr>
    </w:p>
    <w:p w:rsidR="00BA084B" w:rsidRPr="006A18A9" w:rsidRDefault="00BA084B" w:rsidP="00BA084B">
      <w:pPr>
        <w:jc w:val="both"/>
        <w:rPr>
          <w:rFonts w:eastAsia="Calibri" w:cs="Times New Roman"/>
          <w:sz w:val="20"/>
          <w:lang w:val="fr-CA"/>
        </w:rPr>
      </w:pPr>
      <w:r w:rsidRPr="006A18A9">
        <w:rPr>
          <w:rFonts w:eastAsia="Calibri" w:cs="Times New Roman"/>
          <w:sz w:val="20"/>
          <w:lang w:val="fr-CA"/>
        </w:rPr>
        <w:t>Réponse : Les alinéas 258(1</w:t>
      </w:r>
      <w:proofErr w:type="gramStart"/>
      <w:r w:rsidRPr="006A18A9">
        <w:rPr>
          <w:rFonts w:eastAsia="Calibri" w:cs="Times New Roman"/>
          <w:sz w:val="20"/>
          <w:lang w:val="fr-CA"/>
        </w:rPr>
        <w:t>)</w:t>
      </w:r>
      <w:r w:rsidRPr="006A18A9">
        <w:rPr>
          <w:rFonts w:eastAsia="Calibri" w:cs="Times New Roman"/>
          <w:i/>
          <w:sz w:val="20"/>
          <w:lang w:val="fr-CA"/>
        </w:rPr>
        <w:t>d.01</w:t>
      </w:r>
      <w:proofErr w:type="gramEnd"/>
      <w:r w:rsidRPr="006A18A9">
        <w:rPr>
          <w:rFonts w:eastAsia="Calibri" w:cs="Times New Roman"/>
          <w:sz w:val="20"/>
          <w:lang w:val="fr-CA"/>
        </w:rPr>
        <w:t>) et 258(1)</w:t>
      </w:r>
      <w:r w:rsidRPr="006A18A9">
        <w:rPr>
          <w:rFonts w:eastAsia="Calibri" w:cs="Times New Roman"/>
          <w:i/>
          <w:sz w:val="20"/>
          <w:lang w:val="fr-CA"/>
        </w:rPr>
        <w:t>d.1</w:t>
      </w:r>
      <w:r w:rsidRPr="006A18A9">
        <w:rPr>
          <w:rFonts w:eastAsia="Calibri" w:cs="Times New Roman"/>
          <w:sz w:val="20"/>
          <w:lang w:val="fr-CA"/>
        </w:rPr>
        <w:t xml:space="preserve">) sont justifiés au sens de l’article premier de la </w:t>
      </w:r>
      <w:r w:rsidRPr="006A18A9">
        <w:rPr>
          <w:rFonts w:eastAsia="Calibri" w:cs="Times New Roman"/>
          <w:i/>
          <w:sz w:val="20"/>
          <w:lang w:val="fr-CA"/>
        </w:rPr>
        <w:t>Charte</w:t>
      </w:r>
      <w:r w:rsidRPr="006A18A9">
        <w:rPr>
          <w:rFonts w:eastAsia="Calibri" w:cs="Times New Roman"/>
          <w:sz w:val="20"/>
          <w:lang w:val="fr-CA"/>
        </w:rPr>
        <w:t>.  L’alinéa 258(1)</w:t>
      </w:r>
      <w:r w:rsidRPr="006A18A9">
        <w:rPr>
          <w:rFonts w:eastAsia="Calibri" w:cs="Times New Roman"/>
          <w:i/>
          <w:sz w:val="20"/>
          <w:lang w:val="fr-CA"/>
        </w:rPr>
        <w:t>c</w:t>
      </w:r>
      <w:r w:rsidRPr="006A18A9">
        <w:rPr>
          <w:rFonts w:eastAsia="Calibri" w:cs="Times New Roman"/>
          <w:sz w:val="20"/>
          <w:lang w:val="fr-CA"/>
        </w:rPr>
        <w:t xml:space="preserve">), amputé des mots « en l’absence de toute preuve tendant à démontrer à la fois que les résultats des analyses montrant une alcoolémie supérieure à quatre-vingts milligrammes d’alcool par cent millilitres de sang découlent du mauvais fonctionnement ou de l’utilisation incorrecte de l’alcootest approuvé et que l’alcoolémie de l’accusé au moment où l’infraction aurait été commise ne dépassait pas quatre-vingts milligrammes d’alcool par cent millilitres de sang », qui sont remplacés par les mots « en l’absence de toute preuve tendant à démontrer le mauvais fonctionnement ou l’utilisation incorrecte de l’alcootest approuvé », est justifié au sens de l’article premier de la </w:t>
      </w:r>
      <w:r w:rsidRPr="006A18A9">
        <w:rPr>
          <w:rFonts w:eastAsia="Calibri" w:cs="Times New Roman"/>
          <w:i/>
          <w:sz w:val="20"/>
          <w:lang w:val="fr-CA"/>
        </w:rPr>
        <w:t>Charte</w:t>
      </w:r>
      <w:r w:rsidRPr="006A18A9">
        <w:rPr>
          <w:rFonts w:eastAsia="Calibri" w:cs="Times New Roman"/>
          <w:sz w:val="20"/>
          <w:lang w:val="fr-CA"/>
        </w:rPr>
        <w:t>.</w:t>
      </w:r>
    </w:p>
    <w:p w:rsidR="00BA084B" w:rsidRDefault="00BA084B" w:rsidP="00BA084B">
      <w:pPr>
        <w:jc w:val="both"/>
        <w:rPr>
          <w:sz w:val="20"/>
          <w:lang w:val="fr-CA"/>
        </w:rPr>
      </w:pPr>
    </w:p>
    <w:p w:rsidR="00BA084B" w:rsidRPr="006A18A9" w:rsidRDefault="00BA084B" w:rsidP="00BA084B">
      <w:pPr>
        <w:jc w:val="both"/>
        <w:rPr>
          <w:rFonts w:eastAsia="Calibri" w:cs="Times New Roman"/>
          <w:sz w:val="20"/>
          <w:lang w:val="fr-CA"/>
        </w:rPr>
      </w:pPr>
    </w:p>
    <w:p w:rsidR="00BA084B" w:rsidRPr="00BA084B" w:rsidRDefault="00BA084B" w:rsidP="00BA084B">
      <w:pPr>
        <w:jc w:val="both"/>
        <w:rPr>
          <w:rFonts w:eastAsia="Calibri" w:cs="Times New Roman"/>
          <w:sz w:val="20"/>
          <w:lang w:val="fr-CA"/>
        </w:rPr>
      </w:pPr>
    </w:p>
    <w:p w:rsidR="00BA084B" w:rsidRPr="006A18A9" w:rsidRDefault="00BA084B" w:rsidP="00BA084B">
      <w:pPr>
        <w:jc w:val="both"/>
        <w:rPr>
          <w:rFonts w:eastAsia="Calibri" w:cs="Times New Roman"/>
          <w:sz w:val="20"/>
        </w:rPr>
      </w:pPr>
      <w:r w:rsidRPr="006A18A9">
        <w:rPr>
          <w:rFonts w:eastAsia="Calibri" w:cs="Times New Roman"/>
          <w:sz w:val="20"/>
        </w:rPr>
        <w:t xml:space="preserve">The appeal from the judgment of the Court of Quebec, Number 450-01-058378-097, 2010 QCCQ 8552,  dated September 15, 2010, heard on October 13, 2011, is allowed in part. </w:t>
      </w:r>
      <w:proofErr w:type="gramStart"/>
      <w:r w:rsidRPr="006A18A9">
        <w:rPr>
          <w:rFonts w:eastAsia="Calibri" w:cs="Times New Roman"/>
          <w:sz w:val="20"/>
        </w:rPr>
        <w:t>Rothstein and Cromwell JJ.</w:t>
      </w:r>
      <w:proofErr w:type="gramEnd"/>
      <w:r w:rsidRPr="006A18A9">
        <w:rPr>
          <w:rFonts w:eastAsia="Calibri" w:cs="Times New Roman"/>
          <w:sz w:val="20"/>
        </w:rPr>
        <w:t xml:space="preserve"> </w:t>
      </w:r>
      <w:proofErr w:type="gramStart"/>
      <w:r w:rsidRPr="006A18A9">
        <w:rPr>
          <w:rFonts w:eastAsia="Calibri" w:cs="Times New Roman"/>
          <w:sz w:val="20"/>
        </w:rPr>
        <w:t>are</w:t>
      </w:r>
      <w:proofErr w:type="gramEnd"/>
      <w:r w:rsidRPr="006A18A9">
        <w:rPr>
          <w:rFonts w:eastAsia="Calibri" w:cs="Times New Roman"/>
          <w:sz w:val="20"/>
        </w:rPr>
        <w:t xml:space="preserve"> dissenting in part.</w:t>
      </w:r>
    </w:p>
    <w:p w:rsidR="00BA084B" w:rsidRPr="006A18A9" w:rsidRDefault="00BA084B" w:rsidP="00BA084B">
      <w:pPr>
        <w:jc w:val="both"/>
        <w:rPr>
          <w:rFonts w:eastAsia="Calibri" w:cs="Times New Roman"/>
          <w:sz w:val="20"/>
        </w:rPr>
      </w:pPr>
    </w:p>
    <w:p w:rsidR="00BA084B" w:rsidRPr="006A18A9" w:rsidRDefault="00BA084B" w:rsidP="00BA084B">
      <w:pPr>
        <w:jc w:val="both"/>
        <w:rPr>
          <w:rFonts w:eastAsia="Calibri" w:cs="Times New Roman"/>
          <w:sz w:val="20"/>
        </w:rPr>
      </w:pPr>
      <w:r w:rsidRPr="006A18A9">
        <w:rPr>
          <w:rFonts w:eastAsia="Calibri" w:cs="Times New Roman"/>
          <w:sz w:val="20"/>
        </w:rPr>
        <w:t>The constitutional questions are answered as follows:</w:t>
      </w:r>
    </w:p>
    <w:p w:rsidR="00BA084B" w:rsidRPr="006A18A9" w:rsidRDefault="00BA084B" w:rsidP="00BA084B">
      <w:pPr>
        <w:jc w:val="both"/>
        <w:rPr>
          <w:rFonts w:eastAsia="Calibri" w:cs="Times New Roman"/>
          <w:sz w:val="20"/>
        </w:rPr>
      </w:pPr>
    </w:p>
    <w:p w:rsidR="00BA084B" w:rsidRPr="006A18A9" w:rsidRDefault="00BA084B" w:rsidP="00BA084B">
      <w:pPr>
        <w:pStyle w:val="Citation-AltC"/>
        <w:numPr>
          <w:ilvl w:val="6"/>
          <w:numId w:val="5"/>
        </w:numPr>
        <w:spacing w:after="0"/>
        <w:ind w:left="0" w:firstLine="18"/>
        <w:contextualSpacing w:val="0"/>
        <w:rPr>
          <w:sz w:val="20"/>
          <w:lang w:val="en-CA"/>
        </w:rPr>
      </w:pPr>
      <w:r w:rsidRPr="006A18A9">
        <w:rPr>
          <w:sz w:val="20"/>
          <w:lang w:val="en-CA"/>
        </w:rPr>
        <w:t>Do ss. 258(1</w:t>
      </w:r>
      <w:proofErr w:type="gramStart"/>
      <w:r w:rsidRPr="006A18A9">
        <w:rPr>
          <w:sz w:val="20"/>
          <w:lang w:val="en-CA"/>
        </w:rPr>
        <w:t>)(</w:t>
      </w:r>
      <w:proofErr w:type="gramEnd"/>
      <w:r w:rsidRPr="006A18A9">
        <w:rPr>
          <w:i/>
          <w:sz w:val="20"/>
          <w:lang w:val="en-CA"/>
        </w:rPr>
        <w:t>c</w:t>
      </w:r>
      <w:r w:rsidRPr="006A18A9">
        <w:rPr>
          <w:sz w:val="20"/>
          <w:lang w:val="en-CA"/>
        </w:rPr>
        <w:t>), 258(1)(</w:t>
      </w:r>
      <w:r w:rsidRPr="006A18A9">
        <w:rPr>
          <w:i/>
          <w:sz w:val="20"/>
          <w:lang w:val="en-CA"/>
        </w:rPr>
        <w:t>d</w:t>
      </w:r>
      <w:r w:rsidRPr="006A18A9">
        <w:rPr>
          <w:sz w:val="20"/>
          <w:lang w:val="en-CA"/>
        </w:rPr>
        <w:t>.01) and 258(1)(</w:t>
      </w:r>
      <w:r w:rsidRPr="006A18A9">
        <w:rPr>
          <w:i/>
          <w:sz w:val="20"/>
          <w:lang w:val="en-CA"/>
        </w:rPr>
        <w:t>d</w:t>
      </w:r>
      <w:r w:rsidRPr="006A18A9">
        <w:rPr>
          <w:sz w:val="20"/>
          <w:lang w:val="en-CA"/>
        </w:rPr>
        <w:t xml:space="preserve">.1) of the </w:t>
      </w:r>
      <w:r w:rsidRPr="006A18A9">
        <w:rPr>
          <w:i/>
          <w:sz w:val="20"/>
          <w:lang w:val="en-CA"/>
        </w:rPr>
        <w:t>Criminal Code</w:t>
      </w:r>
      <w:r w:rsidRPr="006A18A9">
        <w:rPr>
          <w:sz w:val="20"/>
          <w:lang w:val="en-CA"/>
        </w:rPr>
        <w:t>, R.S.C. 1985, c. C</w:t>
      </w:r>
      <w:r w:rsidRPr="006A18A9">
        <w:rPr>
          <w:sz w:val="20"/>
          <w:lang w:val="en-CA"/>
        </w:rPr>
        <w:noBreakHyphen/>
        <w:t xml:space="preserve">46, infringe s. 7 of the </w:t>
      </w:r>
      <w:r w:rsidRPr="006A18A9">
        <w:rPr>
          <w:i/>
          <w:sz w:val="20"/>
          <w:lang w:val="en-CA"/>
        </w:rPr>
        <w:t>Canadian Charter of Rights and Freedoms</w:t>
      </w:r>
      <w:r w:rsidRPr="006A18A9">
        <w:rPr>
          <w:sz w:val="20"/>
          <w:lang w:val="en-CA"/>
        </w:rPr>
        <w:t>?</w:t>
      </w:r>
    </w:p>
    <w:p w:rsidR="00BA084B" w:rsidRPr="006A18A9" w:rsidRDefault="00BA084B" w:rsidP="00BA084B">
      <w:pPr>
        <w:pStyle w:val="Citation-AltC"/>
        <w:spacing w:after="0"/>
        <w:ind w:left="18"/>
        <w:contextualSpacing w:val="0"/>
        <w:rPr>
          <w:sz w:val="20"/>
          <w:lang w:val="en-CA"/>
        </w:rPr>
      </w:pPr>
    </w:p>
    <w:p w:rsidR="00BA084B" w:rsidRPr="006A18A9" w:rsidRDefault="00BA084B" w:rsidP="00BA084B">
      <w:pPr>
        <w:pStyle w:val="Citation-AltC"/>
        <w:spacing w:after="0"/>
        <w:ind w:left="18" w:firstLine="4"/>
        <w:contextualSpacing w:val="0"/>
        <w:rPr>
          <w:sz w:val="20"/>
          <w:lang w:val="en-CA"/>
        </w:rPr>
      </w:pPr>
      <w:r w:rsidRPr="006A18A9">
        <w:rPr>
          <w:sz w:val="20"/>
          <w:lang w:val="en-CA"/>
        </w:rPr>
        <w:t>Answer:  No</w:t>
      </w:r>
    </w:p>
    <w:p w:rsidR="00BA084B" w:rsidRPr="006A18A9" w:rsidRDefault="00BA084B" w:rsidP="00BA084B">
      <w:pPr>
        <w:pStyle w:val="Citation-AltC"/>
        <w:spacing w:after="0"/>
        <w:ind w:left="18" w:firstLine="4"/>
        <w:contextualSpacing w:val="0"/>
        <w:rPr>
          <w:sz w:val="20"/>
          <w:lang w:val="en-CA"/>
        </w:rPr>
      </w:pPr>
    </w:p>
    <w:p w:rsidR="00BA084B" w:rsidRPr="006A18A9" w:rsidRDefault="00BA084B" w:rsidP="00BA084B">
      <w:pPr>
        <w:pStyle w:val="Citation-AltC"/>
        <w:numPr>
          <w:ilvl w:val="6"/>
          <w:numId w:val="4"/>
        </w:numPr>
        <w:spacing w:after="0"/>
        <w:ind w:left="18" w:firstLine="0"/>
        <w:contextualSpacing w:val="0"/>
        <w:rPr>
          <w:sz w:val="20"/>
          <w:lang w:val="en-CA"/>
        </w:rPr>
      </w:pPr>
      <w:r w:rsidRPr="006A18A9">
        <w:rPr>
          <w:sz w:val="20"/>
          <w:lang w:val="en-CA"/>
        </w:rPr>
        <w:t xml:space="preserve">If so, is the infringement a reasonable limit prescribed by law that can be demonstrably justified in a free and democratic society under s. 1 of the </w:t>
      </w:r>
      <w:r w:rsidRPr="006A18A9">
        <w:rPr>
          <w:i/>
          <w:sz w:val="20"/>
          <w:lang w:val="en-CA"/>
        </w:rPr>
        <w:t>Canadian Charter of Rights and Freedoms</w:t>
      </w:r>
      <w:r w:rsidRPr="006A18A9">
        <w:rPr>
          <w:sz w:val="20"/>
          <w:lang w:val="en-CA"/>
        </w:rPr>
        <w:t>?</w:t>
      </w:r>
    </w:p>
    <w:p w:rsidR="00BA084B" w:rsidRPr="006A18A9" w:rsidRDefault="00BA084B" w:rsidP="00BA084B">
      <w:pPr>
        <w:pStyle w:val="Citation-AltC"/>
        <w:spacing w:after="0"/>
        <w:ind w:left="0"/>
        <w:contextualSpacing w:val="0"/>
        <w:rPr>
          <w:sz w:val="20"/>
          <w:lang w:val="en-CA"/>
        </w:rPr>
      </w:pPr>
    </w:p>
    <w:p w:rsidR="00BA084B" w:rsidRPr="006A18A9" w:rsidRDefault="00BA084B" w:rsidP="00BA084B">
      <w:pPr>
        <w:pStyle w:val="Citation-AltC"/>
        <w:spacing w:after="0"/>
        <w:ind w:left="0"/>
        <w:contextualSpacing w:val="0"/>
        <w:rPr>
          <w:sz w:val="20"/>
          <w:lang w:val="en-CA"/>
        </w:rPr>
      </w:pPr>
      <w:r w:rsidRPr="006A18A9">
        <w:rPr>
          <w:sz w:val="20"/>
          <w:lang w:val="en-CA"/>
        </w:rPr>
        <w:t>Answer:  It is not necessary to answer this question.</w:t>
      </w:r>
    </w:p>
    <w:p w:rsidR="00BA084B" w:rsidRPr="006A18A9" w:rsidRDefault="00BA084B" w:rsidP="00BA084B">
      <w:pPr>
        <w:pStyle w:val="Citation-AltC"/>
        <w:spacing w:after="0"/>
        <w:ind w:left="0"/>
        <w:contextualSpacing w:val="0"/>
        <w:rPr>
          <w:sz w:val="20"/>
          <w:lang w:val="en-CA"/>
        </w:rPr>
      </w:pPr>
    </w:p>
    <w:p w:rsidR="00BA084B" w:rsidRPr="006A18A9" w:rsidRDefault="00BA084B" w:rsidP="00BA084B">
      <w:pPr>
        <w:pStyle w:val="Citation-AltC"/>
        <w:numPr>
          <w:ilvl w:val="6"/>
          <w:numId w:val="4"/>
        </w:numPr>
        <w:spacing w:after="0"/>
        <w:ind w:left="18" w:firstLine="0"/>
        <w:contextualSpacing w:val="0"/>
        <w:rPr>
          <w:sz w:val="20"/>
          <w:lang w:val="en-CA"/>
        </w:rPr>
      </w:pPr>
      <w:r w:rsidRPr="006A18A9">
        <w:rPr>
          <w:sz w:val="20"/>
          <w:lang w:val="en-CA"/>
        </w:rPr>
        <w:t>Do ss. 258(1</w:t>
      </w:r>
      <w:proofErr w:type="gramStart"/>
      <w:r w:rsidRPr="006A18A9">
        <w:rPr>
          <w:sz w:val="20"/>
          <w:lang w:val="en-CA"/>
        </w:rPr>
        <w:t>)(</w:t>
      </w:r>
      <w:proofErr w:type="gramEnd"/>
      <w:r w:rsidRPr="006A18A9">
        <w:rPr>
          <w:i/>
          <w:sz w:val="20"/>
          <w:lang w:val="en-CA"/>
        </w:rPr>
        <w:t>c</w:t>
      </w:r>
      <w:r w:rsidRPr="006A18A9">
        <w:rPr>
          <w:sz w:val="20"/>
          <w:lang w:val="en-CA"/>
        </w:rPr>
        <w:t>), 258(1)(</w:t>
      </w:r>
      <w:r w:rsidRPr="006A18A9">
        <w:rPr>
          <w:i/>
          <w:sz w:val="20"/>
          <w:lang w:val="en-CA"/>
        </w:rPr>
        <w:t>d</w:t>
      </w:r>
      <w:r w:rsidRPr="006A18A9">
        <w:rPr>
          <w:sz w:val="20"/>
          <w:lang w:val="en-CA"/>
        </w:rPr>
        <w:t>.01) and 258(1)(</w:t>
      </w:r>
      <w:r w:rsidRPr="006A18A9">
        <w:rPr>
          <w:i/>
          <w:sz w:val="20"/>
          <w:lang w:val="en-CA"/>
        </w:rPr>
        <w:t>d</w:t>
      </w:r>
      <w:r w:rsidRPr="006A18A9">
        <w:rPr>
          <w:sz w:val="20"/>
          <w:lang w:val="en-CA"/>
        </w:rPr>
        <w:t xml:space="preserve">.1) of the </w:t>
      </w:r>
      <w:r w:rsidRPr="006A18A9">
        <w:rPr>
          <w:i/>
          <w:sz w:val="20"/>
          <w:lang w:val="en-CA"/>
        </w:rPr>
        <w:t>Criminal Code</w:t>
      </w:r>
      <w:r w:rsidRPr="006A18A9">
        <w:rPr>
          <w:sz w:val="20"/>
          <w:lang w:val="en-CA"/>
        </w:rPr>
        <w:t>, R.S.C. 1985, c. C</w:t>
      </w:r>
      <w:r w:rsidRPr="006A18A9">
        <w:rPr>
          <w:sz w:val="20"/>
          <w:lang w:val="en-CA"/>
        </w:rPr>
        <w:noBreakHyphen/>
        <w:t>46, infringe s. 11(</w:t>
      </w:r>
      <w:r w:rsidRPr="006A18A9">
        <w:rPr>
          <w:i/>
          <w:sz w:val="20"/>
          <w:lang w:val="en-CA"/>
        </w:rPr>
        <w:t>c</w:t>
      </w:r>
      <w:r w:rsidRPr="006A18A9">
        <w:rPr>
          <w:sz w:val="20"/>
          <w:lang w:val="en-CA"/>
        </w:rPr>
        <w:t xml:space="preserve">) of the </w:t>
      </w:r>
      <w:r w:rsidRPr="006A18A9">
        <w:rPr>
          <w:i/>
          <w:sz w:val="20"/>
          <w:lang w:val="en-CA"/>
        </w:rPr>
        <w:t>Canadian Charter of Rights and Freedoms</w:t>
      </w:r>
      <w:r w:rsidRPr="006A18A9">
        <w:rPr>
          <w:sz w:val="20"/>
          <w:lang w:val="en-CA"/>
        </w:rPr>
        <w:t>?</w:t>
      </w:r>
    </w:p>
    <w:p w:rsidR="00BA084B" w:rsidRPr="006A18A9" w:rsidRDefault="00BA084B" w:rsidP="00BA084B">
      <w:pPr>
        <w:pStyle w:val="Citation-AltC"/>
        <w:spacing w:after="0"/>
        <w:ind w:left="18"/>
        <w:contextualSpacing w:val="0"/>
        <w:rPr>
          <w:sz w:val="20"/>
          <w:lang w:val="en-CA"/>
        </w:rPr>
      </w:pPr>
    </w:p>
    <w:p w:rsidR="00BA084B" w:rsidRPr="006A18A9" w:rsidRDefault="00BA084B" w:rsidP="00BA084B">
      <w:pPr>
        <w:pStyle w:val="Citation-AltC"/>
        <w:spacing w:after="0"/>
        <w:ind w:left="18" w:firstLine="4"/>
        <w:contextualSpacing w:val="0"/>
        <w:rPr>
          <w:sz w:val="20"/>
          <w:lang w:val="en-CA"/>
        </w:rPr>
      </w:pPr>
      <w:r w:rsidRPr="006A18A9">
        <w:rPr>
          <w:sz w:val="20"/>
          <w:lang w:val="en-CA"/>
        </w:rPr>
        <w:t>Answer: No</w:t>
      </w:r>
    </w:p>
    <w:p w:rsidR="00BA084B" w:rsidRPr="006A18A9" w:rsidRDefault="00BA084B" w:rsidP="00BA084B">
      <w:pPr>
        <w:pStyle w:val="Citation-AltC"/>
        <w:spacing w:after="0"/>
        <w:ind w:left="18" w:firstLine="4"/>
        <w:contextualSpacing w:val="0"/>
        <w:rPr>
          <w:sz w:val="20"/>
          <w:lang w:val="en-CA"/>
        </w:rPr>
      </w:pPr>
    </w:p>
    <w:p w:rsidR="00BA084B" w:rsidRPr="006A18A9" w:rsidRDefault="00BA084B" w:rsidP="00BA084B">
      <w:pPr>
        <w:pStyle w:val="Citation-AltC"/>
        <w:numPr>
          <w:ilvl w:val="6"/>
          <w:numId w:val="4"/>
        </w:numPr>
        <w:spacing w:after="0"/>
        <w:ind w:left="0" w:hanging="18"/>
        <w:contextualSpacing w:val="0"/>
        <w:rPr>
          <w:sz w:val="20"/>
          <w:lang w:val="en-CA"/>
        </w:rPr>
      </w:pPr>
      <w:r w:rsidRPr="006A18A9">
        <w:rPr>
          <w:sz w:val="20"/>
          <w:lang w:val="en-CA"/>
        </w:rPr>
        <w:t xml:space="preserve">If so, is the infringement a reasonable limit prescribed by law that can be demonstrably justified in a free and democratic society under s. 1 of the </w:t>
      </w:r>
      <w:r w:rsidRPr="006A18A9">
        <w:rPr>
          <w:i/>
          <w:sz w:val="20"/>
          <w:lang w:val="en-CA"/>
        </w:rPr>
        <w:t>Canadian Charter of Rights and Freedoms</w:t>
      </w:r>
      <w:r w:rsidRPr="006A18A9">
        <w:rPr>
          <w:sz w:val="20"/>
          <w:lang w:val="en-CA"/>
        </w:rPr>
        <w:t>?</w:t>
      </w:r>
    </w:p>
    <w:p w:rsidR="00BA084B" w:rsidRPr="006A18A9" w:rsidRDefault="00BA084B" w:rsidP="00BA084B">
      <w:pPr>
        <w:pStyle w:val="Citation-AltC"/>
        <w:spacing w:after="0"/>
        <w:ind w:left="0"/>
        <w:contextualSpacing w:val="0"/>
        <w:rPr>
          <w:sz w:val="20"/>
          <w:lang w:val="en-CA"/>
        </w:rPr>
      </w:pPr>
    </w:p>
    <w:p w:rsidR="00BA084B" w:rsidRPr="006A18A9" w:rsidRDefault="00BA084B" w:rsidP="00BA084B">
      <w:pPr>
        <w:pStyle w:val="Citation-AltC"/>
        <w:spacing w:after="0"/>
        <w:ind w:left="0"/>
        <w:contextualSpacing w:val="0"/>
        <w:rPr>
          <w:sz w:val="20"/>
          <w:lang w:val="en-CA"/>
        </w:rPr>
      </w:pPr>
      <w:r w:rsidRPr="006A18A9">
        <w:rPr>
          <w:sz w:val="20"/>
          <w:lang w:val="en-CA"/>
        </w:rPr>
        <w:t>Answer:  It is not necessary to answer this question.</w:t>
      </w:r>
    </w:p>
    <w:p w:rsidR="00BA084B" w:rsidRPr="006A18A9" w:rsidRDefault="00BA084B" w:rsidP="00BA084B">
      <w:pPr>
        <w:pStyle w:val="Citation-AltC"/>
        <w:spacing w:after="0"/>
        <w:ind w:left="0"/>
        <w:contextualSpacing w:val="0"/>
        <w:rPr>
          <w:sz w:val="20"/>
          <w:lang w:val="en-CA"/>
        </w:rPr>
      </w:pPr>
    </w:p>
    <w:p w:rsidR="00BA084B" w:rsidRPr="006A18A9" w:rsidRDefault="00BA084B" w:rsidP="00BA084B">
      <w:pPr>
        <w:pStyle w:val="Citation-AltC"/>
        <w:numPr>
          <w:ilvl w:val="6"/>
          <w:numId w:val="4"/>
        </w:numPr>
        <w:spacing w:after="0"/>
        <w:ind w:left="0" w:hanging="18"/>
        <w:contextualSpacing w:val="0"/>
        <w:rPr>
          <w:sz w:val="20"/>
          <w:lang w:val="en-CA"/>
        </w:rPr>
      </w:pPr>
      <w:r w:rsidRPr="006A18A9">
        <w:rPr>
          <w:sz w:val="20"/>
          <w:lang w:val="en-CA"/>
        </w:rPr>
        <w:t>Do ss. 258(1)(</w:t>
      </w:r>
      <w:r w:rsidRPr="006A18A9">
        <w:rPr>
          <w:i/>
          <w:sz w:val="20"/>
          <w:lang w:val="en-CA"/>
        </w:rPr>
        <w:t>c</w:t>
      </w:r>
      <w:r w:rsidRPr="006A18A9">
        <w:rPr>
          <w:sz w:val="20"/>
          <w:lang w:val="en-CA"/>
        </w:rPr>
        <w:t>), 258(1)(</w:t>
      </w:r>
      <w:r w:rsidRPr="006A18A9">
        <w:rPr>
          <w:i/>
          <w:sz w:val="20"/>
          <w:lang w:val="en-CA"/>
        </w:rPr>
        <w:t>d</w:t>
      </w:r>
      <w:r w:rsidRPr="006A18A9">
        <w:rPr>
          <w:sz w:val="20"/>
          <w:lang w:val="en-CA"/>
        </w:rPr>
        <w:t>.01) and 258(1)(</w:t>
      </w:r>
      <w:r w:rsidRPr="006A18A9">
        <w:rPr>
          <w:i/>
          <w:sz w:val="20"/>
          <w:lang w:val="en-CA"/>
        </w:rPr>
        <w:t>d</w:t>
      </w:r>
      <w:r w:rsidRPr="006A18A9">
        <w:rPr>
          <w:sz w:val="20"/>
          <w:lang w:val="en-CA"/>
        </w:rPr>
        <w:t xml:space="preserve">.1) of the </w:t>
      </w:r>
      <w:r w:rsidRPr="006A18A9">
        <w:rPr>
          <w:i/>
          <w:sz w:val="20"/>
          <w:lang w:val="en-CA"/>
        </w:rPr>
        <w:t>Criminal Code</w:t>
      </w:r>
      <w:r w:rsidRPr="006A18A9">
        <w:rPr>
          <w:sz w:val="20"/>
          <w:lang w:val="en-CA"/>
        </w:rPr>
        <w:t>, R.S.C. 1985, c. C</w:t>
      </w:r>
      <w:r w:rsidRPr="006A18A9">
        <w:rPr>
          <w:sz w:val="20"/>
          <w:lang w:val="en-CA"/>
        </w:rPr>
        <w:noBreakHyphen/>
        <w:t>46, infringe s. 11(</w:t>
      </w:r>
      <w:r w:rsidRPr="006A18A9">
        <w:rPr>
          <w:i/>
          <w:sz w:val="20"/>
          <w:lang w:val="en-CA"/>
        </w:rPr>
        <w:t>d</w:t>
      </w:r>
      <w:r w:rsidRPr="006A18A9">
        <w:rPr>
          <w:sz w:val="20"/>
          <w:lang w:val="en-CA"/>
        </w:rPr>
        <w:t xml:space="preserve">) of the </w:t>
      </w:r>
      <w:r w:rsidRPr="006A18A9">
        <w:rPr>
          <w:i/>
          <w:sz w:val="20"/>
          <w:lang w:val="en-CA"/>
        </w:rPr>
        <w:t>Canadian Charter of Rights and Freedoms</w:t>
      </w:r>
      <w:r w:rsidRPr="006A18A9">
        <w:rPr>
          <w:sz w:val="20"/>
          <w:lang w:val="en-CA"/>
        </w:rPr>
        <w:t>?</w:t>
      </w:r>
    </w:p>
    <w:p w:rsidR="00BA084B" w:rsidRPr="006A18A9" w:rsidRDefault="00BA084B" w:rsidP="00BA084B">
      <w:pPr>
        <w:pStyle w:val="Citation-AltC"/>
        <w:spacing w:after="0"/>
        <w:ind w:left="0"/>
        <w:contextualSpacing w:val="0"/>
        <w:rPr>
          <w:sz w:val="20"/>
          <w:lang w:val="en-CA"/>
        </w:rPr>
      </w:pPr>
    </w:p>
    <w:p w:rsidR="00BA084B" w:rsidRPr="006A18A9" w:rsidRDefault="00BA084B" w:rsidP="00BA084B">
      <w:pPr>
        <w:pStyle w:val="Citation-AltC"/>
        <w:spacing w:after="0"/>
        <w:ind w:left="0"/>
        <w:contextualSpacing w:val="0"/>
        <w:rPr>
          <w:sz w:val="20"/>
          <w:lang w:val="en-CA"/>
        </w:rPr>
      </w:pPr>
      <w:r w:rsidRPr="006A18A9">
        <w:rPr>
          <w:sz w:val="20"/>
          <w:lang w:val="en-CA"/>
        </w:rPr>
        <w:t>Answer:  Yes</w:t>
      </w:r>
    </w:p>
    <w:p w:rsidR="00BA084B" w:rsidRPr="006A18A9" w:rsidRDefault="00BA084B" w:rsidP="00BA084B">
      <w:pPr>
        <w:pStyle w:val="Citation-AltC"/>
        <w:spacing w:after="0"/>
        <w:ind w:left="0"/>
        <w:contextualSpacing w:val="0"/>
        <w:rPr>
          <w:sz w:val="20"/>
          <w:lang w:val="en-CA"/>
        </w:rPr>
      </w:pPr>
    </w:p>
    <w:p w:rsidR="00BA084B" w:rsidRPr="006A18A9" w:rsidRDefault="00BA084B" w:rsidP="00BA084B">
      <w:pPr>
        <w:pStyle w:val="Citation-AltC"/>
        <w:numPr>
          <w:ilvl w:val="6"/>
          <w:numId w:val="4"/>
        </w:numPr>
        <w:spacing w:after="0"/>
        <w:ind w:left="18" w:hanging="18"/>
        <w:contextualSpacing w:val="0"/>
        <w:rPr>
          <w:sz w:val="20"/>
          <w:lang w:val="en-CA"/>
        </w:rPr>
      </w:pPr>
      <w:r w:rsidRPr="006A18A9">
        <w:rPr>
          <w:sz w:val="20"/>
          <w:lang w:val="en-CA"/>
        </w:rPr>
        <w:t xml:space="preserve">If so, is the infringement a reasonable limit prescribed by law that can be demonstrably justified in a free and democratic society under s. 1 of the </w:t>
      </w:r>
      <w:r w:rsidRPr="006A18A9">
        <w:rPr>
          <w:i/>
          <w:sz w:val="20"/>
          <w:lang w:val="en-CA"/>
        </w:rPr>
        <w:t>Canadian Charter of Rights and Freedoms</w:t>
      </w:r>
      <w:r w:rsidRPr="006A18A9">
        <w:rPr>
          <w:sz w:val="20"/>
          <w:lang w:val="en-CA"/>
        </w:rPr>
        <w:t>?</w:t>
      </w:r>
    </w:p>
    <w:p w:rsidR="00BA084B" w:rsidRPr="006A18A9" w:rsidRDefault="00BA084B" w:rsidP="00BA084B">
      <w:pPr>
        <w:pStyle w:val="Citation-AltC"/>
        <w:spacing w:after="0"/>
        <w:ind w:left="18"/>
        <w:contextualSpacing w:val="0"/>
        <w:rPr>
          <w:sz w:val="20"/>
          <w:lang w:val="en-CA"/>
        </w:rPr>
      </w:pPr>
    </w:p>
    <w:p w:rsidR="00BA084B" w:rsidRPr="006A18A9" w:rsidRDefault="00BA084B" w:rsidP="00BA084B">
      <w:pPr>
        <w:jc w:val="both"/>
        <w:rPr>
          <w:rFonts w:eastAsia="Calibri" w:cs="Times New Roman"/>
          <w:sz w:val="20"/>
        </w:rPr>
      </w:pPr>
      <w:r w:rsidRPr="006A18A9">
        <w:rPr>
          <w:rFonts w:eastAsia="Calibri" w:cs="Times New Roman"/>
          <w:sz w:val="20"/>
        </w:rPr>
        <w:t>Answer: Sections 258(1)(</w:t>
      </w:r>
      <w:r w:rsidRPr="006A18A9">
        <w:rPr>
          <w:rFonts w:eastAsia="Calibri" w:cs="Times New Roman"/>
          <w:i/>
          <w:sz w:val="20"/>
        </w:rPr>
        <w:t>d</w:t>
      </w:r>
      <w:r w:rsidRPr="006A18A9">
        <w:rPr>
          <w:rFonts w:eastAsia="Calibri" w:cs="Times New Roman"/>
          <w:sz w:val="20"/>
        </w:rPr>
        <w:t>.01) and 258(1)(</w:t>
      </w:r>
      <w:r w:rsidRPr="006A18A9">
        <w:rPr>
          <w:rFonts w:eastAsia="Calibri" w:cs="Times New Roman"/>
          <w:i/>
          <w:sz w:val="20"/>
        </w:rPr>
        <w:t>d</w:t>
      </w:r>
      <w:r w:rsidRPr="006A18A9">
        <w:rPr>
          <w:rFonts w:eastAsia="Calibri" w:cs="Times New Roman"/>
          <w:sz w:val="20"/>
        </w:rPr>
        <w:t>.1), and s. 258(1)(</w:t>
      </w:r>
      <w:r w:rsidRPr="006A18A9">
        <w:rPr>
          <w:rFonts w:eastAsia="Calibri" w:cs="Times New Roman"/>
          <w:i/>
          <w:sz w:val="20"/>
        </w:rPr>
        <w:t>c</w:t>
      </w:r>
      <w:r w:rsidRPr="006A18A9">
        <w:rPr>
          <w:rFonts w:eastAsia="Calibri" w:cs="Times New Roman"/>
          <w:sz w:val="20"/>
        </w:rPr>
        <w:t xml:space="preserve">) after severance of the words “all of the following three things —” and “, that the malfunction or improper operation resulted in the determination that the concentration of alcohol in the accused’s blood exceeded 80 mg of alcohol in 100 mL of blood, and that the concentration of alcohol in the accused’s blood would not in fact have exceeded 80 mg of alcohol in 100 mL of blood at the time when the offence was alleged to have been committed”, are justified under s. 1 of the </w:t>
      </w:r>
      <w:r w:rsidRPr="006A18A9">
        <w:rPr>
          <w:rFonts w:eastAsia="Calibri" w:cs="Times New Roman"/>
          <w:i/>
          <w:sz w:val="20"/>
        </w:rPr>
        <w:t>Charter</w:t>
      </w:r>
      <w:r w:rsidRPr="006A18A9">
        <w:rPr>
          <w:rFonts w:eastAsia="Calibri" w:cs="Times New Roman"/>
          <w:sz w:val="20"/>
        </w:rPr>
        <w:t>.</w:t>
      </w:r>
    </w:p>
    <w:p w:rsidR="00A5278F" w:rsidRDefault="00A5278F" w:rsidP="00AF1715">
      <w:pPr>
        <w:rPr>
          <w:sz w:val="20"/>
          <w:szCs w:val="20"/>
        </w:rPr>
      </w:pPr>
    </w:p>
    <w:p w:rsidR="00AF1715" w:rsidRPr="003B3977" w:rsidRDefault="002048ED" w:rsidP="00AF1715">
      <w:pPr>
        <w:spacing w:line="0" w:lineRule="atLeast"/>
        <w:rPr>
          <w:sz w:val="20"/>
          <w:szCs w:val="20"/>
        </w:rPr>
      </w:pPr>
      <w:r w:rsidRPr="002048ED">
        <w:rPr>
          <w:b/>
          <w:sz w:val="20"/>
          <w:szCs w:val="20"/>
        </w:rPr>
        <w:pict>
          <v:rect id="_x0000_i1096" style="width:144.3pt;height:1pt" o:hrpct="300" o:hralign="center" o:hrstd="t" o:hrnoshade="t" o:hr="t" fillcolor="black [3213]" stroked="f"/>
        </w:pict>
      </w:r>
    </w:p>
    <w:p w:rsidR="00AF1715" w:rsidRDefault="00AF1715" w:rsidP="00AF1715">
      <w:pPr>
        <w:spacing w:line="0" w:lineRule="atLeast"/>
        <w:rPr>
          <w:sz w:val="20"/>
          <w:szCs w:val="20"/>
        </w:rPr>
      </w:pPr>
    </w:p>
    <w:p w:rsidR="00BA084B" w:rsidRDefault="00BA084B">
      <w:pPr>
        <w:rPr>
          <w:rFonts w:eastAsia="Calibri" w:cs="Times New Roman"/>
          <w:b/>
          <w:sz w:val="20"/>
          <w:lang w:val="en-US"/>
        </w:rPr>
      </w:pPr>
      <w:r>
        <w:rPr>
          <w:b/>
          <w:i/>
          <w:sz w:val="20"/>
          <w:lang w:val="en-US"/>
        </w:rPr>
        <w:br w:type="page"/>
      </w:r>
    </w:p>
    <w:p w:rsidR="00BA084B" w:rsidRPr="00BA084B" w:rsidRDefault="00BA084B" w:rsidP="00BA084B">
      <w:pPr>
        <w:pStyle w:val="SCCLsocParty"/>
        <w:ind w:left="1440" w:hanging="1440"/>
        <w:rPr>
          <w:rStyle w:val="Hyperlink"/>
          <w:i w:val="0"/>
          <w:color w:val="auto"/>
          <w:sz w:val="20"/>
          <w:lang w:val="en-US"/>
        </w:rPr>
      </w:pPr>
      <w:proofErr w:type="gramStart"/>
      <w:r w:rsidRPr="00BA084B">
        <w:rPr>
          <w:b/>
          <w:i w:val="0"/>
          <w:sz w:val="20"/>
          <w:lang w:val="en-US"/>
        </w:rPr>
        <w:t>33640</w:t>
      </w:r>
      <w:r w:rsidRPr="00BA084B">
        <w:rPr>
          <w:b/>
          <w:i w:val="0"/>
          <w:sz w:val="20"/>
          <w:lang w:val="en-US"/>
        </w:rPr>
        <w:tab/>
      </w:r>
      <w:r w:rsidRPr="00BA084B">
        <w:rPr>
          <w:b/>
          <w:i w:val="0"/>
          <w:sz w:val="20"/>
          <w:u w:val="single"/>
          <w:lang w:val="en-US"/>
        </w:rPr>
        <w:t>Samuel Dineley v.</w:t>
      </w:r>
      <w:proofErr w:type="gramEnd"/>
      <w:r w:rsidRPr="00BA084B">
        <w:rPr>
          <w:b/>
          <w:i w:val="0"/>
          <w:sz w:val="20"/>
          <w:u w:val="single"/>
          <w:lang w:val="en-US"/>
        </w:rPr>
        <w:t xml:space="preserve"> </w:t>
      </w:r>
      <w:proofErr w:type="gramStart"/>
      <w:r w:rsidRPr="00BA084B">
        <w:rPr>
          <w:b/>
          <w:i w:val="0"/>
          <w:sz w:val="20"/>
          <w:u w:val="single"/>
          <w:lang w:val="en-US"/>
        </w:rPr>
        <w:t>Her Majesty the Queen – and – Attorney General of Canada and Attorney General of Quebec</w:t>
      </w:r>
      <w:r w:rsidRPr="00BA084B">
        <w:rPr>
          <w:b/>
          <w:i w:val="0"/>
          <w:sz w:val="20"/>
          <w:lang w:val="en-US"/>
        </w:rPr>
        <w:t xml:space="preserve"> </w:t>
      </w:r>
      <w:r w:rsidRPr="00BA084B">
        <w:rPr>
          <w:i w:val="0"/>
          <w:iCs/>
          <w:sz w:val="20"/>
          <w:lang w:val="en-US"/>
        </w:rPr>
        <w:t>(Ont.)</w:t>
      </w:r>
      <w:proofErr w:type="gramEnd"/>
      <w:r w:rsidRPr="00BA084B">
        <w:rPr>
          <w:i w:val="0"/>
          <w:iCs/>
          <w:sz w:val="20"/>
          <w:lang w:val="en-US"/>
        </w:rPr>
        <w:t xml:space="preserve"> </w:t>
      </w:r>
    </w:p>
    <w:p w:rsidR="00BA084B" w:rsidRPr="008C6E68" w:rsidRDefault="00BA084B" w:rsidP="00BA084B">
      <w:pPr>
        <w:ind w:left="1440"/>
        <w:jc w:val="both"/>
        <w:rPr>
          <w:rFonts w:eastAsia="Calibri" w:cs="Times New Roman"/>
          <w:b/>
          <w:sz w:val="20"/>
        </w:rPr>
      </w:pPr>
      <w:r w:rsidRPr="008C6E68">
        <w:rPr>
          <w:rFonts w:eastAsia="Calibri" w:cs="Times New Roman"/>
          <w:b/>
          <w:sz w:val="20"/>
        </w:rPr>
        <w:t xml:space="preserve">2012 SCC </w:t>
      </w:r>
      <w:r>
        <w:rPr>
          <w:rFonts w:eastAsia="Calibri" w:cs="Times New Roman"/>
          <w:b/>
          <w:sz w:val="20"/>
        </w:rPr>
        <w:t>58</w:t>
      </w:r>
      <w:r w:rsidRPr="008C6E68">
        <w:rPr>
          <w:rFonts w:eastAsia="Calibri" w:cs="Times New Roman"/>
          <w:b/>
          <w:sz w:val="20"/>
        </w:rPr>
        <w:t xml:space="preserve"> / 2012 CSC </w:t>
      </w:r>
      <w:r>
        <w:rPr>
          <w:rFonts w:eastAsia="Calibri" w:cs="Times New Roman"/>
          <w:b/>
          <w:sz w:val="20"/>
        </w:rPr>
        <w:t>58</w:t>
      </w:r>
    </w:p>
    <w:p w:rsidR="00BA084B" w:rsidRPr="008C6E68" w:rsidRDefault="00BA084B" w:rsidP="00BA084B">
      <w:pPr>
        <w:ind w:left="1440" w:hanging="1440"/>
        <w:jc w:val="both"/>
        <w:rPr>
          <w:rFonts w:eastAsia="Calibri" w:cs="Times New Roman"/>
          <w:b/>
          <w:sz w:val="20"/>
        </w:rPr>
      </w:pPr>
    </w:p>
    <w:p w:rsidR="00BA084B" w:rsidRPr="00AB34A2" w:rsidRDefault="00BA084B" w:rsidP="00BA084B">
      <w:pPr>
        <w:ind w:left="1440" w:hanging="1440"/>
        <w:jc w:val="both"/>
        <w:rPr>
          <w:rFonts w:eastAsia="Calibri" w:cs="Times New Roman"/>
          <w:sz w:val="20"/>
          <w:u w:val="single"/>
        </w:rPr>
      </w:pPr>
      <w:r w:rsidRPr="00AB34A2">
        <w:rPr>
          <w:rFonts w:eastAsia="Calibri" w:cs="Times New Roman"/>
          <w:sz w:val="20"/>
        </w:rPr>
        <w:t>Coram:</w:t>
      </w:r>
      <w:r>
        <w:rPr>
          <w:sz w:val="20"/>
        </w:rPr>
        <w:tab/>
      </w:r>
      <w:r w:rsidRPr="00AB34A2">
        <w:rPr>
          <w:rFonts w:eastAsia="Calibri" w:cs="Times New Roman"/>
          <w:sz w:val="20"/>
          <w:u w:val="single"/>
        </w:rPr>
        <w:t xml:space="preserve">McLachlin C.J. and LeBel, Deschamps, Fish, Abella, Rothstein and Cromwell JJ. </w:t>
      </w:r>
    </w:p>
    <w:p w:rsidR="00BA084B" w:rsidRDefault="00BA084B" w:rsidP="00BA084B">
      <w:pPr>
        <w:rPr>
          <w:rFonts w:eastAsia="Calibri" w:cs="Times New Roman"/>
        </w:rPr>
      </w:pPr>
    </w:p>
    <w:p w:rsidR="00BA084B" w:rsidRDefault="00BA084B" w:rsidP="00BA084B">
      <w:pPr>
        <w:jc w:val="both"/>
        <w:rPr>
          <w:rFonts w:eastAsia="Calibri" w:cs="Times New Roman"/>
          <w:sz w:val="20"/>
        </w:rPr>
      </w:pPr>
      <w:r w:rsidRPr="00AB34A2">
        <w:rPr>
          <w:rFonts w:eastAsia="Calibri" w:cs="Times New Roman"/>
          <w:sz w:val="20"/>
        </w:rPr>
        <w:t xml:space="preserve">The appeal from the judgment of the Court of Appeal for Ontario, Number C50525, 2009 ONCA 814, dated November 18, 2009, heard on October 13, 2011, is allowed and the acquittal entered by the trial judge is restored. </w:t>
      </w:r>
      <w:proofErr w:type="gramStart"/>
      <w:r w:rsidRPr="00AB34A2">
        <w:rPr>
          <w:rFonts w:eastAsia="Calibri" w:cs="Times New Roman"/>
          <w:sz w:val="20"/>
        </w:rPr>
        <w:t>McLachlin C.J. and Rothstein and Cromwell JJ.</w:t>
      </w:r>
      <w:proofErr w:type="gramEnd"/>
      <w:r w:rsidRPr="00AB34A2">
        <w:rPr>
          <w:rFonts w:eastAsia="Calibri" w:cs="Times New Roman"/>
          <w:sz w:val="20"/>
        </w:rPr>
        <w:t xml:space="preserve"> </w:t>
      </w:r>
      <w:proofErr w:type="gramStart"/>
      <w:r w:rsidRPr="00AB34A2">
        <w:rPr>
          <w:rFonts w:eastAsia="Calibri" w:cs="Times New Roman"/>
          <w:sz w:val="20"/>
        </w:rPr>
        <w:t>are</w:t>
      </w:r>
      <w:proofErr w:type="gramEnd"/>
      <w:r w:rsidRPr="00AB34A2">
        <w:rPr>
          <w:rFonts w:eastAsia="Calibri" w:cs="Times New Roman"/>
          <w:sz w:val="20"/>
        </w:rPr>
        <w:t xml:space="preserve"> dissenting.</w:t>
      </w:r>
    </w:p>
    <w:p w:rsidR="00BA084B" w:rsidRPr="00AB34A2" w:rsidRDefault="00BA084B" w:rsidP="00BA084B">
      <w:pPr>
        <w:jc w:val="both"/>
        <w:rPr>
          <w:rFonts w:eastAsia="Calibri" w:cs="Times New Roman"/>
          <w:sz w:val="20"/>
        </w:rPr>
      </w:pPr>
    </w:p>
    <w:p w:rsidR="00BA084B" w:rsidRPr="00AB34A2" w:rsidRDefault="00BA084B" w:rsidP="00BA084B">
      <w:pPr>
        <w:jc w:val="both"/>
        <w:rPr>
          <w:rFonts w:eastAsia="Calibri" w:cs="Times New Roman"/>
          <w:sz w:val="20"/>
          <w:lang w:val="fr-CA"/>
        </w:rPr>
      </w:pPr>
      <w:r w:rsidRPr="00AB34A2">
        <w:rPr>
          <w:rFonts w:eastAsia="Calibri" w:cs="Times New Roman"/>
          <w:sz w:val="20"/>
          <w:lang w:val="fr-CA"/>
        </w:rPr>
        <w:t xml:space="preserve">L’appel interjeté contre l’arrêt de la Cour d’appel de l’Ontario, numéro C50525, 2009 ONCA 814, en date du 18 novembre 2009, entendu le 13 octobre 2011, est accueilli et </w:t>
      </w:r>
      <w:r w:rsidRPr="00AB34A2">
        <w:rPr>
          <w:rFonts w:eastAsia="Calibri" w:cs="Times New Roman"/>
          <w:sz w:val="20"/>
          <w:lang w:val="fr-FR"/>
        </w:rPr>
        <w:t>l’acquittement prononcé par le juge de première instance est rétabli</w:t>
      </w:r>
      <w:r w:rsidRPr="00AB34A2">
        <w:rPr>
          <w:rFonts w:eastAsia="Calibri" w:cs="Times New Roman"/>
          <w:sz w:val="20"/>
          <w:lang w:val="fr-CA"/>
        </w:rPr>
        <w:t>. La juge en chef McLachlin et les juges Rothstein et Cromwell sont dissidents.</w:t>
      </w:r>
    </w:p>
    <w:p w:rsidR="00AF1715" w:rsidRPr="006C5F7A" w:rsidRDefault="00AF1715" w:rsidP="00AF1715">
      <w:pPr>
        <w:spacing w:line="0" w:lineRule="atLeast"/>
        <w:rPr>
          <w:rFonts w:cs="Times New Roman"/>
          <w:sz w:val="20"/>
          <w:szCs w:val="20"/>
          <w:lang w:val="fr-CA"/>
        </w:rPr>
      </w:pPr>
    </w:p>
    <w:p w:rsidR="00AF1715" w:rsidRPr="006C5F7A" w:rsidRDefault="002048ED" w:rsidP="00AF1715">
      <w:pPr>
        <w:spacing w:line="0" w:lineRule="atLeast"/>
        <w:rPr>
          <w:rFonts w:cs="Times New Roman"/>
          <w:b/>
          <w:sz w:val="20"/>
          <w:szCs w:val="20"/>
        </w:rPr>
      </w:pPr>
      <w:r w:rsidRPr="002048ED">
        <w:rPr>
          <w:rFonts w:cs="Times New Roman"/>
          <w:b/>
          <w:sz w:val="20"/>
          <w:szCs w:val="20"/>
        </w:rPr>
        <w:pict>
          <v:rect id="_x0000_i1097"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A4EDA" w:rsidRPr="00DF5B36" w:rsidRDefault="00CA4EDA" w:rsidP="00CA4EDA">
      <w:pPr>
        <w:pStyle w:val="SCCLsocParty"/>
        <w:rPr>
          <w:i w:val="0"/>
          <w:sz w:val="20"/>
          <w:szCs w:val="20"/>
        </w:rPr>
      </w:pPr>
      <w:r w:rsidRPr="00DF5B36">
        <w:rPr>
          <w:sz w:val="20"/>
          <w:szCs w:val="20"/>
        </w:rPr>
        <w:t xml:space="preserve">Sa Majesté la Reine et autre c. Anic St-Onge Lamoureux </w:t>
      </w:r>
      <w:r w:rsidRPr="00DF5B36">
        <w:rPr>
          <w:i w:val="0"/>
          <w:sz w:val="20"/>
          <w:szCs w:val="20"/>
        </w:rPr>
        <w:t>(Qc) (</w:t>
      </w:r>
      <w:r w:rsidRPr="00DF5B36">
        <w:rPr>
          <w:rStyle w:val="Strong"/>
          <w:b w:val="0"/>
          <w:i w:val="0"/>
          <w:color w:val="000000"/>
          <w:sz w:val="20"/>
          <w:szCs w:val="20"/>
        </w:rPr>
        <w:t>33970)</w:t>
      </w:r>
    </w:p>
    <w:p w:rsidR="00A5278F" w:rsidRPr="00CA4EDA" w:rsidRDefault="006B3BA7" w:rsidP="006B3BA7">
      <w:pPr>
        <w:jc w:val="both"/>
        <w:rPr>
          <w:rFonts w:cs="Times New Roman"/>
          <w:i/>
          <w:sz w:val="20"/>
          <w:szCs w:val="20"/>
          <w:lang w:val="fr-CA"/>
        </w:rPr>
      </w:pPr>
      <w:r w:rsidRPr="006B3BA7">
        <w:rPr>
          <w:b/>
          <w:sz w:val="20"/>
          <w:szCs w:val="20"/>
          <w:lang w:val="fr-CA"/>
        </w:rPr>
        <w:t>Indexed as</w:t>
      </w:r>
      <w:proofErr w:type="gramStart"/>
      <w:r w:rsidRPr="006B3BA7">
        <w:rPr>
          <w:b/>
          <w:sz w:val="20"/>
          <w:szCs w:val="20"/>
          <w:lang w:val="fr-CA"/>
        </w:rPr>
        <w:t>:  R</w:t>
      </w:r>
      <w:proofErr w:type="gramEnd"/>
      <w:r w:rsidRPr="006B3BA7">
        <w:rPr>
          <w:b/>
          <w:sz w:val="20"/>
          <w:szCs w:val="20"/>
          <w:lang w:val="fr-CA"/>
        </w:rPr>
        <w:t xml:space="preserve">. </w:t>
      </w:r>
      <w:r w:rsidRPr="006B3BA7">
        <w:rPr>
          <w:b/>
          <w:i/>
          <w:sz w:val="20"/>
          <w:szCs w:val="20"/>
          <w:lang w:val="fr-CA"/>
        </w:rPr>
        <w:t>v.</w:t>
      </w:r>
      <w:r w:rsidRPr="006B3BA7">
        <w:rPr>
          <w:b/>
          <w:sz w:val="20"/>
          <w:szCs w:val="20"/>
          <w:lang w:val="fr-CA"/>
        </w:rPr>
        <w:t xml:space="preserve"> St</w:t>
      </w:r>
      <w:r w:rsidRPr="006B3BA7">
        <w:rPr>
          <w:b/>
          <w:sz w:val="20"/>
          <w:szCs w:val="20"/>
          <w:lang w:val="fr-CA"/>
        </w:rPr>
        <w:noBreakHyphen/>
        <w:t xml:space="preserve">Onge Lamoureux / </w:t>
      </w:r>
      <w:r w:rsidRPr="006B3BA7">
        <w:rPr>
          <w:b/>
          <w:sz w:val="20"/>
          <w:lang w:val="fr-CA"/>
        </w:rPr>
        <w:t xml:space="preserve"> Répertorié : R. </w:t>
      </w:r>
      <w:r w:rsidRPr="006B3BA7">
        <w:rPr>
          <w:b/>
          <w:i/>
          <w:sz w:val="20"/>
          <w:lang w:val="fr-CA"/>
        </w:rPr>
        <w:t>c.</w:t>
      </w:r>
      <w:r w:rsidRPr="006B3BA7">
        <w:rPr>
          <w:b/>
          <w:sz w:val="20"/>
          <w:lang w:val="fr-CA"/>
        </w:rPr>
        <w:t xml:space="preserve"> St</w:t>
      </w:r>
      <w:r w:rsidRPr="006B3BA7">
        <w:rPr>
          <w:b/>
          <w:sz w:val="20"/>
          <w:lang w:val="fr-CA"/>
        </w:rPr>
        <w:noBreakHyphen/>
        <w:t>Onge Lamoureux</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CA4EDA">
        <w:rPr>
          <w:sz w:val="20"/>
        </w:rPr>
        <w:t>2</w:t>
      </w:r>
      <w:proofErr w:type="gramEnd"/>
      <w:r w:rsidRPr="003B3977">
        <w:rPr>
          <w:sz w:val="20"/>
        </w:rPr>
        <w:t xml:space="preserve"> SCC </w:t>
      </w:r>
      <w:r w:rsidR="00CA4EDA">
        <w:rPr>
          <w:sz w:val="20"/>
        </w:rPr>
        <w:t>57</w:t>
      </w:r>
      <w:r w:rsidRPr="003B3977">
        <w:rPr>
          <w:sz w:val="20"/>
        </w:rPr>
        <w:t xml:space="preserve"> / Référence neutre : 201</w:t>
      </w:r>
      <w:r w:rsidR="00CA4EDA">
        <w:rPr>
          <w:sz w:val="20"/>
        </w:rPr>
        <w:t>2</w:t>
      </w:r>
      <w:r w:rsidRPr="003B3977">
        <w:rPr>
          <w:sz w:val="20"/>
        </w:rPr>
        <w:t xml:space="preserve"> CSC </w:t>
      </w:r>
      <w:r w:rsidR="00CA4EDA">
        <w:rPr>
          <w:sz w:val="20"/>
        </w:rPr>
        <w:t>57</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October</w:t>
      </w:r>
      <w:proofErr w:type="gramEnd"/>
      <w:r w:rsidRPr="003B3977">
        <w:rPr>
          <w:rFonts w:cs="Times New Roman"/>
          <w:sz w:val="20"/>
          <w:szCs w:val="20"/>
          <w:lang w:val="fr-CA"/>
        </w:rPr>
        <w:t xml:space="preserve"> </w:t>
      </w:r>
      <w:r w:rsidR="006B3BA7">
        <w:rPr>
          <w:rFonts w:cs="Times New Roman"/>
          <w:sz w:val="20"/>
          <w:szCs w:val="20"/>
          <w:lang w:val="fr-CA"/>
        </w:rPr>
        <w:t>13</w:t>
      </w:r>
      <w:r w:rsidRPr="003B3977">
        <w:rPr>
          <w:rFonts w:cs="Times New Roman"/>
          <w:sz w:val="20"/>
          <w:szCs w:val="20"/>
          <w:lang w:val="fr-CA"/>
        </w:rPr>
        <w:t>, 201</w:t>
      </w:r>
      <w:r w:rsidR="006B3BA7">
        <w:rPr>
          <w:rFonts w:cs="Times New Roman"/>
          <w:sz w:val="20"/>
          <w:szCs w:val="20"/>
          <w:lang w:val="fr-CA"/>
        </w:rPr>
        <w:t>1</w:t>
      </w:r>
      <w:r w:rsidRPr="003B3977">
        <w:rPr>
          <w:rFonts w:cs="Times New Roman"/>
          <w:sz w:val="20"/>
          <w:szCs w:val="20"/>
          <w:lang w:val="fr-CA"/>
        </w:rPr>
        <w:t xml:space="preserve"> / Judgment:  </w:t>
      </w:r>
      <w:r w:rsidR="00CA4EDA">
        <w:rPr>
          <w:rFonts w:cs="Times New Roman"/>
          <w:sz w:val="20"/>
          <w:szCs w:val="20"/>
          <w:lang w:val="fr-CA"/>
        </w:rPr>
        <w:t>Novem</w:t>
      </w:r>
      <w:r w:rsidRPr="003B3977">
        <w:rPr>
          <w:rFonts w:cs="Times New Roman"/>
          <w:sz w:val="20"/>
          <w:szCs w:val="20"/>
          <w:lang w:val="fr-CA"/>
        </w:rPr>
        <w:t>ber 2, 201</w:t>
      </w:r>
      <w:r w:rsidR="00CA4EDA">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B3BA7">
        <w:rPr>
          <w:rFonts w:cs="Times New Roman"/>
          <w:sz w:val="20"/>
          <w:szCs w:val="20"/>
          <w:lang w:val="fr-CA"/>
        </w:rPr>
        <w:t>13</w:t>
      </w:r>
      <w:r w:rsidRPr="003B3977">
        <w:rPr>
          <w:rFonts w:cs="Times New Roman"/>
          <w:sz w:val="20"/>
          <w:szCs w:val="20"/>
          <w:lang w:val="fr-CA"/>
        </w:rPr>
        <w:t xml:space="preserve"> octobre 201</w:t>
      </w:r>
      <w:r w:rsidR="006B3BA7">
        <w:rPr>
          <w:rFonts w:cs="Times New Roman"/>
          <w:sz w:val="20"/>
          <w:szCs w:val="20"/>
          <w:lang w:val="fr-CA"/>
        </w:rPr>
        <w:t>1</w:t>
      </w:r>
      <w:r w:rsidRPr="003B3977">
        <w:rPr>
          <w:rFonts w:cs="Times New Roman"/>
          <w:sz w:val="20"/>
          <w:szCs w:val="20"/>
          <w:lang w:val="fr-CA"/>
        </w:rPr>
        <w:t xml:space="preserve"> / Jugement : Le 2</w:t>
      </w:r>
      <w:r w:rsidR="00CA4EDA">
        <w:rPr>
          <w:rFonts w:cs="Times New Roman"/>
          <w:sz w:val="20"/>
          <w:szCs w:val="20"/>
          <w:lang w:val="fr-CA"/>
        </w:rPr>
        <w:t xml:space="preserve"> novem</w:t>
      </w:r>
      <w:r w:rsidRPr="003B3977">
        <w:rPr>
          <w:rFonts w:cs="Times New Roman"/>
          <w:sz w:val="20"/>
          <w:szCs w:val="20"/>
          <w:lang w:val="fr-CA"/>
        </w:rPr>
        <w:t>bre 201</w:t>
      </w:r>
      <w:r w:rsidR="00CA4EDA">
        <w:rPr>
          <w:rFonts w:cs="Times New Roman"/>
          <w:sz w:val="20"/>
          <w:szCs w:val="20"/>
          <w:lang w:val="fr-CA"/>
        </w:rPr>
        <w:t>2</w:t>
      </w:r>
    </w:p>
    <w:p w:rsidR="005C6840" w:rsidRPr="003B3977" w:rsidRDefault="002048ED" w:rsidP="005C6840">
      <w:pPr>
        <w:rPr>
          <w:rFonts w:cs="Times New Roman"/>
          <w:sz w:val="20"/>
          <w:szCs w:val="20"/>
          <w:lang w:val="fr-CA"/>
        </w:rPr>
      </w:pPr>
      <w:r w:rsidRPr="002048ED">
        <w:rPr>
          <w:rFonts w:cs="Times New Roman"/>
          <w:i/>
          <w:sz w:val="20"/>
          <w:szCs w:val="20"/>
        </w:rPr>
        <w:pict>
          <v:rect id="_x0000_i110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635A9F" w:rsidRPr="00635A9F" w:rsidRDefault="00635A9F" w:rsidP="00635A9F">
      <w:pPr>
        <w:jc w:val="both"/>
        <w:rPr>
          <w:sz w:val="20"/>
          <w:lang w:val="fr-CA"/>
        </w:rPr>
      </w:pPr>
      <w:r w:rsidRPr="00635A9F">
        <w:rPr>
          <w:sz w:val="20"/>
          <w:lang w:val="fr-CA"/>
        </w:rPr>
        <w:t>Présents : La juge en chef McLachlin et les juges LeBel, Deschamps, Fish, Abella, Rothstein et Cromwell.</w:t>
      </w:r>
    </w:p>
    <w:p w:rsidR="00635A9F" w:rsidRPr="00635A9F" w:rsidRDefault="00635A9F" w:rsidP="00635A9F">
      <w:pPr>
        <w:pStyle w:val="SCCLowerCourtNameLowercase"/>
        <w:spacing w:line="240" w:lineRule="auto"/>
        <w:rPr>
          <w:sz w:val="20"/>
          <w:lang w:val="fr-CA"/>
        </w:rPr>
      </w:pPr>
    </w:p>
    <w:p w:rsidR="00635A9F" w:rsidRPr="00635A9F" w:rsidRDefault="00635A9F" w:rsidP="00635A9F">
      <w:pPr>
        <w:pStyle w:val="SCCNormalDoubleSpacing"/>
        <w:spacing w:line="240" w:lineRule="auto"/>
        <w:rPr>
          <w:i/>
          <w:sz w:val="20"/>
          <w:lang w:val="fr-CA"/>
        </w:rPr>
      </w:pPr>
      <w:r w:rsidRPr="00635A9F">
        <w:rPr>
          <w:sz w:val="20"/>
          <w:lang w:val="fr-CA"/>
        </w:rPr>
        <w:tab/>
      </w:r>
      <w:r w:rsidRPr="00635A9F">
        <w:rPr>
          <w:i/>
          <w:sz w:val="20"/>
          <w:lang w:val="fr-CA"/>
        </w:rPr>
        <w:t>Droit constitutionnel — Charte des droits — Présomption d’innocence —  Modifications législatives affectant les moyens de preuve pouvant être utilisés pour réfuter la présomption d’exactitude et les présomptions d’identité en matière de poursuites pour conduite avec une alcoolémie supérieure à la limite légale — Défense de « type Carter » exclue comme moyen de preuve permettant à lui seul de mettre en doute les résultats d’analyses de l’alcoolémie — Les nouvelles dispositions du Code criminel portent</w:t>
      </w:r>
      <w:r w:rsidRPr="00635A9F">
        <w:rPr>
          <w:i/>
          <w:sz w:val="20"/>
          <w:lang w:val="fr-CA"/>
        </w:rPr>
        <w:noBreakHyphen/>
        <w:t>elles atteinte à la présomption d’innocence? — Dans l’affirmative, cette atteinte est</w:t>
      </w:r>
      <w:r w:rsidRPr="00635A9F">
        <w:rPr>
          <w:i/>
          <w:sz w:val="20"/>
          <w:lang w:val="fr-CA"/>
        </w:rPr>
        <w:noBreakHyphen/>
        <w:t>elle justifiée? — Code criminel, L.R.C. 1985, ch. C</w:t>
      </w:r>
      <w:r w:rsidRPr="00635A9F">
        <w:rPr>
          <w:i/>
          <w:sz w:val="20"/>
          <w:lang w:val="fr-CA"/>
        </w:rPr>
        <w:noBreakHyphen/>
        <w:t>46, art. 258(1)c), 258(1</w:t>
      </w:r>
      <w:proofErr w:type="gramStart"/>
      <w:r w:rsidRPr="00635A9F">
        <w:rPr>
          <w:i/>
          <w:sz w:val="20"/>
          <w:lang w:val="fr-CA"/>
        </w:rPr>
        <w:t>)d.01</w:t>
      </w:r>
      <w:proofErr w:type="gramEnd"/>
      <w:r w:rsidRPr="00635A9F">
        <w:rPr>
          <w:i/>
          <w:sz w:val="20"/>
          <w:lang w:val="fr-CA"/>
        </w:rPr>
        <w:t>), 258(1)d.1) — Loi sur la lutte contre les crimes violents, L.C. 2008, ch. 6 — Charte canadienne des droits et libertés</w:t>
      </w:r>
      <w:r w:rsidRPr="00635A9F">
        <w:rPr>
          <w:sz w:val="20"/>
          <w:lang w:val="fr-CA"/>
        </w:rPr>
        <w:t xml:space="preserve">, </w:t>
      </w:r>
      <w:r w:rsidRPr="00635A9F">
        <w:rPr>
          <w:i/>
          <w:sz w:val="20"/>
          <w:lang w:val="fr-CA"/>
        </w:rPr>
        <w:t>art. 1, 11d).</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i/>
          <w:sz w:val="20"/>
          <w:lang w:val="fr-CA"/>
        </w:rPr>
      </w:pPr>
      <w:r w:rsidRPr="00635A9F">
        <w:rPr>
          <w:sz w:val="20"/>
          <w:lang w:val="fr-CA"/>
        </w:rPr>
        <w:tab/>
      </w:r>
      <w:r w:rsidRPr="00635A9F">
        <w:rPr>
          <w:i/>
          <w:sz w:val="20"/>
          <w:lang w:val="fr-CA"/>
        </w:rPr>
        <w:t>Droit constitutionnel — Charte des droits — Justice fondamentale — Droit à une défense pleine et entière — Modifications législatives affectant les moyens de preuve pouvant être utilisés pour réfuter la présomption d’exactitude et les présomptions d’identité en matière de poursuites pour conduite avec une alcoolémie supérieure à la limite légale — Défense de « type Carter » exclue comme moyen de preuve permettant à lui seul de mettre en doute les résultats d’analyses de l’alcoolémie — Les nouvelles dispositions du Code criminel portent</w:t>
      </w:r>
      <w:r w:rsidRPr="00635A9F">
        <w:rPr>
          <w:i/>
          <w:sz w:val="20"/>
          <w:lang w:val="fr-CA"/>
        </w:rPr>
        <w:noBreakHyphen/>
        <w:t>elles atteinte au droit à une défense pleine et entière? — Dans l’affirmative, cette atteinte est</w:t>
      </w:r>
      <w:r w:rsidRPr="00635A9F">
        <w:rPr>
          <w:i/>
          <w:sz w:val="20"/>
          <w:lang w:val="fr-CA"/>
        </w:rPr>
        <w:noBreakHyphen/>
        <w:t>elle justifiée? — Code criminel, L.R.C. 1985, ch. C</w:t>
      </w:r>
      <w:r w:rsidRPr="00635A9F">
        <w:rPr>
          <w:i/>
          <w:sz w:val="20"/>
          <w:lang w:val="fr-CA"/>
        </w:rPr>
        <w:noBreakHyphen/>
        <w:t>46, art. 258(1)c), 258(1</w:t>
      </w:r>
      <w:proofErr w:type="gramStart"/>
      <w:r w:rsidRPr="00635A9F">
        <w:rPr>
          <w:i/>
          <w:sz w:val="20"/>
          <w:lang w:val="fr-CA"/>
        </w:rPr>
        <w:t>)d.01</w:t>
      </w:r>
      <w:proofErr w:type="gramEnd"/>
      <w:r w:rsidRPr="00635A9F">
        <w:rPr>
          <w:i/>
          <w:sz w:val="20"/>
          <w:lang w:val="fr-CA"/>
        </w:rPr>
        <w:t>), 258(1)d.1) — Loi sur la lutte contre les crimes violents, L.C. 2008, ch. 6 — Charte canadienne des droits et libertés</w:t>
      </w:r>
      <w:r w:rsidRPr="00635A9F">
        <w:rPr>
          <w:sz w:val="20"/>
          <w:lang w:val="fr-CA"/>
        </w:rPr>
        <w:t xml:space="preserve">, </w:t>
      </w:r>
      <w:r w:rsidRPr="00635A9F">
        <w:rPr>
          <w:i/>
          <w:sz w:val="20"/>
          <w:lang w:val="fr-CA"/>
        </w:rPr>
        <w:t>art. 1, 7.</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i/>
          <w:sz w:val="20"/>
          <w:lang w:val="fr-CA"/>
        </w:rPr>
      </w:pPr>
      <w:r w:rsidRPr="00635A9F">
        <w:rPr>
          <w:sz w:val="20"/>
          <w:lang w:val="fr-CA"/>
        </w:rPr>
        <w:tab/>
      </w:r>
      <w:r w:rsidRPr="00635A9F">
        <w:rPr>
          <w:i/>
          <w:sz w:val="20"/>
          <w:lang w:val="fr-CA"/>
        </w:rPr>
        <w:t>Droit constitutionnel — Charte des droits — Auto</w:t>
      </w:r>
      <w:r w:rsidRPr="00635A9F">
        <w:rPr>
          <w:i/>
          <w:sz w:val="20"/>
          <w:lang w:val="fr-CA"/>
        </w:rPr>
        <w:noBreakHyphen/>
        <w:t>incrimination — Modifications législatives affectant les moyens de preuve pouvant être utilisés pour réfuter la présomption d’exactitude et les présomptions d’identité en matière de poursuites pour conduite avec une alcoolémie supérieure à la limite légale — Défense de « type Carter » exclue comme moyen de preuve permettant à lui seul de mettre en doute les résultats d’analyses de l’alcoolémie — Les nouvelles dispositions du Code criminel portent</w:t>
      </w:r>
      <w:r w:rsidRPr="00635A9F">
        <w:rPr>
          <w:i/>
          <w:sz w:val="20"/>
          <w:lang w:val="fr-CA"/>
        </w:rPr>
        <w:noBreakHyphen/>
        <w:t>elles atteinte à la protection contre l’auto</w:t>
      </w:r>
      <w:r w:rsidRPr="00635A9F">
        <w:rPr>
          <w:i/>
          <w:sz w:val="20"/>
          <w:lang w:val="fr-CA"/>
        </w:rPr>
        <w:noBreakHyphen/>
        <w:t>incrimination? — Dans l’affirmative, cette atteinte est</w:t>
      </w:r>
      <w:r w:rsidRPr="00635A9F">
        <w:rPr>
          <w:i/>
          <w:sz w:val="20"/>
          <w:lang w:val="fr-CA"/>
        </w:rPr>
        <w:noBreakHyphen/>
        <w:t>elle justifiée? — Code criminel, L.R.C. 1985, ch. C</w:t>
      </w:r>
      <w:r w:rsidRPr="00635A9F">
        <w:rPr>
          <w:i/>
          <w:sz w:val="20"/>
          <w:lang w:val="fr-CA"/>
        </w:rPr>
        <w:noBreakHyphen/>
        <w:t>46, art. 258(1)c), 258(1</w:t>
      </w:r>
      <w:proofErr w:type="gramStart"/>
      <w:r w:rsidRPr="00635A9F">
        <w:rPr>
          <w:i/>
          <w:sz w:val="20"/>
          <w:lang w:val="fr-CA"/>
        </w:rPr>
        <w:t>)d.01</w:t>
      </w:r>
      <w:proofErr w:type="gramEnd"/>
      <w:r w:rsidRPr="00635A9F">
        <w:rPr>
          <w:i/>
          <w:sz w:val="20"/>
          <w:lang w:val="fr-CA"/>
        </w:rPr>
        <w:t>), 258(1)d.1) — Loi sur la lutte contre les crimes violents, L.C. 2008, ch. 6 — Charte canadienne des droits et libertés</w:t>
      </w:r>
      <w:r w:rsidRPr="00635A9F">
        <w:rPr>
          <w:sz w:val="20"/>
          <w:lang w:val="fr-CA"/>
        </w:rPr>
        <w:t xml:space="preserve">, </w:t>
      </w:r>
      <w:r w:rsidRPr="00635A9F">
        <w:rPr>
          <w:i/>
          <w:sz w:val="20"/>
          <w:lang w:val="fr-CA"/>
        </w:rPr>
        <w:t>art. 1, 11c).</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 xml:space="preserve">L est </w:t>
      </w:r>
      <w:proofErr w:type="gramStart"/>
      <w:r w:rsidRPr="00635A9F">
        <w:rPr>
          <w:sz w:val="20"/>
          <w:lang w:val="fr-CA"/>
        </w:rPr>
        <w:t>accusée</w:t>
      </w:r>
      <w:proofErr w:type="gramEnd"/>
      <w:r w:rsidRPr="00635A9F">
        <w:rPr>
          <w:sz w:val="20"/>
          <w:lang w:val="fr-CA"/>
        </w:rPr>
        <w:t xml:space="preserve"> d’avoir conduit un véhicule avec une alcoolémie supérieure à la limite légale.  Lors de son procès, elle a plaidé l’inconstitutionnalité des nouvelles dispositions du </w:t>
      </w:r>
      <w:r w:rsidRPr="00635A9F">
        <w:rPr>
          <w:i/>
          <w:sz w:val="20"/>
          <w:lang w:val="fr-CA"/>
        </w:rPr>
        <w:t>Code criminel</w:t>
      </w:r>
      <w:r w:rsidRPr="00635A9F">
        <w:rPr>
          <w:sz w:val="20"/>
          <w:lang w:val="fr-CA"/>
        </w:rPr>
        <w:t xml:space="preserve"> relatives aux résultats des analyses faites au moyen des alcootests.  Le juge de première instance a conclu que les modifications législatives n’avaient pas pour effet d’empêcher L de présenter une défense de type </w:t>
      </w:r>
      <w:r w:rsidRPr="00635A9F">
        <w:rPr>
          <w:i/>
          <w:sz w:val="20"/>
          <w:lang w:val="fr-CA"/>
        </w:rPr>
        <w:t>Carter</w:t>
      </w:r>
      <w:r w:rsidRPr="00635A9F">
        <w:rPr>
          <w:sz w:val="20"/>
          <w:lang w:val="fr-CA"/>
        </w:rPr>
        <w:t xml:space="preserve"> pour repousser la présomption d’exactitude.  À la lumière de la preuve, le juge a conclu que le témoignage de L concernant sa consommation d’alcool ne possédait pas un caractère sérieux et probant susceptible de soulever un doute raisonnable.  Estimant que les explications du technicien qualifié étaient suffisantes et que les présomptions prévues aux al. 258(1)</w:t>
      </w:r>
      <w:r w:rsidRPr="00635A9F">
        <w:rPr>
          <w:i/>
          <w:sz w:val="20"/>
          <w:lang w:val="fr-CA"/>
        </w:rPr>
        <w:t>c</w:t>
      </w:r>
      <w:r w:rsidRPr="00635A9F">
        <w:rPr>
          <w:sz w:val="20"/>
          <w:lang w:val="fr-CA"/>
        </w:rPr>
        <w:t>) et 258(1</w:t>
      </w:r>
      <w:proofErr w:type="gramStart"/>
      <w:r w:rsidRPr="00635A9F">
        <w:rPr>
          <w:sz w:val="20"/>
          <w:lang w:val="fr-CA"/>
        </w:rPr>
        <w:t>)</w:t>
      </w:r>
      <w:r w:rsidRPr="00635A9F">
        <w:rPr>
          <w:i/>
          <w:sz w:val="20"/>
          <w:lang w:val="fr-CA"/>
        </w:rPr>
        <w:t>d.1</w:t>
      </w:r>
      <w:proofErr w:type="gramEnd"/>
      <w:r w:rsidRPr="00635A9F">
        <w:rPr>
          <w:sz w:val="20"/>
          <w:lang w:val="fr-CA"/>
        </w:rPr>
        <w:t xml:space="preserve">) du </w:t>
      </w:r>
      <w:r w:rsidRPr="00635A9F">
        <w:rPr>
          <w:i/>
          <w:sz w:val="20"/>
          <w:lang w:val="fr-CA"/>
        </w:rPr>
        <w:t>Code criminel</w:t>
      </w:r>
      <w:r w:rsidRPr="00635A9F">
        <w:rPr>
          <w:sz w:val="20"/>
          <w:lang w:val="fr-CA"/>
        </w:rPr>
        <w:t xml:space="preserve"> étaient applicables, il a déclaré L coupable.  Le juge a confirmé en partie la constitutionnalité des nouvelles dispositions du </w:t>
      </w:r>
      <w:r w:rsidRPr="00635A9F">
        <w:rPr>
          <w:i/>
          <w:sz w:val="20"/>
          <w:lang w:val="fr-CA"/>
        </w:rPr>
        <w:t>Code criminel</w:t>
      </w:r>
      <w:r w:rsidRPr="00635A9F">
        <w:rPr>
          <w:sz w:val="20"/>
          <w:lang w:val="fr-CA"/>
        </w:rPr>
        <w:t>.</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r>
      <w:r w:rsidRPr="00635A9F">
        <w:rPr>
          <w:i/>
          <w:sz w:val="20"/>
          <w:lang w:val="fr-CA"/>
        </w:rPr>
        <w:t>Arrêt</w:t>
      </w:r>
      <w:r w:rsidRPr="00635A9F">
        <w:rPr>
          <w:sz w:val="20"/>
          <w:lang w:val="fr-CA"/>
        </w:rPr>
        <w:t> (les juges Rothstein et Cromwell sont dissidents en partie) : Le pourvoi est accueilli en partie.  Les al. 258(1)</w:t>
      </w:r>
      <w:r w:rsidRPr="00635A9F">
        <w:rPr>
          <w:i/>
          <w:sz w:val="20"/>
          <w:lang w:val="fr-CA"/>
        </w:rPr>
        <w:t>c</w:t>
      </w:r>
      <w:r w:rsidRPr="00635A9F">
        <w:rPr>
          <w:sz w:val="20"/>
          <w:lang w:val="fr-CA"/>
        </w:rPr>
        <w:t>), 258(1</w:t>
      </w:r>
      <w:proofErr w:type="gramStart"/>
      <w:r w:rsidRPr="00635A9F">
        <w:rPr>
          <w:sz w:val="20"/>
          <w:lang w:val="fr-CA"/>
        </w:rPr>
        <w:t>)</w:t>
      </w:r>
      <w:r w:rsidRPr="00635A9F">
        <w:rPr>
          <w:i/>
          <w:sz w:val="20"/>
          <w:lang w:val="fr-CA"/>
        </w:rPr>
        <w:t>d.01</w:t>
      </w:r>
      <w:proofErr w:type="gramEnd"/>
      <w:r w:rsidRPr="00635A9F">
        <w:rPr>
          <w:sz w:val="20"/>
          <w:lang w:val="fr-CA"/>
        </w:rPr>
        <w:t>) et 258(1)</w:t>
      </w:r>
      <w:r w:rsidRPr="00635A9F">
        <w:rPr>
          <w:i/>
          <w:sz w:val="20"/>
          <w:lang w:val="fr-CA"/>
        </w:rPr>
        <w:t>d.1</w:t>
      </w:r>
      <w:r w:rsidRPr="00635A9F">
        <w:rPr>
          <w:sz w:val="20"/>
          <w:lang w:val="fr-CA"/>
        </w:rPr>
        <w:t xml:space="preserve">) du </w:t>
      </w:r>
      <w:r w:rsidRPr="00635A9F">
        <w:rPr>
          <w:i/>
          <w:sz w:val="20"/>
          <w:lang w:val="fr-CA"/>
        </w:rPr>
        <w:t>Code criminel</w:t>
      </w:r>
      <w:r w:rsidRPr="00635A9F">
        <w:rPr>
          <w:sz w:val="20"/>
          <w:lang w:val="fr-CA"/>
        </w:rPr>
        <w:t xml:space="preserve"> ne portent pas atteinte à l’art. 7 et à l’al. 11</w:t>
      </w:r>
      <w:r w:rsidRPr="00635A9F">
        <w:rPr>
          <w:i/>
          <w:sz w:val="20"/>
          <w:lang w:val="fr-CA"/>
        </w:rPr>
        <w:t>c</w:t>
      </w:r>
      <w:r w:rsidRPr="00635A9F">
        <w:rPr>
          <w:sz w:val="20"/>
          <w:lang w:val="fr-CA"/>
        </w:rPr>
        <w:t xml:space="preserve">) de la </w:t>
      </w:r>
      <w:r w:rsidRPr="00635A9F">
        <w:rPr>
          <w:i/>
          <w:sz w:val="20"/>
          <w:lang w:val="fr-CA"/>
        </w:rPr>
        <w:t>Charte canadienne des droits et libertés</w:t>
      </w:r>
      <w:r w:rsidRPr="00635A9F">
        <w:rPr>
          <w:sz w:val="20"/>
          <w:lang w:val="fr-CA"/>
        </w:rPr>
        <w:t>, mais portent atteinte à l’al. 11</w:t>
      </w:r>
      <w:r w:rsidRPr="00635A9F">
        <w:rPr>
          <w:i/>
          <w:sz w:val="20"/>
          <w:lang w:val="fr-CA"/>
        </w:rPr>
        <w:t>d</w:t>
      </w:r>
      <w:r w:rsidRPr="00635A9F">
        <w:rPr>
          <w:sz w:val="20"/>
          <w:lang w:val="fr-CA"/>
        </w:rPr>
        <w:t>). Les al. 258(1</w:t>
      </w:r>
      <w:proofErr w:type="gramStart"/>
      <w:r w:rsidRPr="00635A9F">
        <w:rPr>
          <w:sz w:val="20"/>
          <w:lang w:val="fr-CA"/>
        </w:rPr>
        <w:t>)</w:t>
      </w:r>
      <w:r w:rsidRPr="00635A9F">
        <w:rPr>
          <w:i/>
          <w:sz w:val="20"/>
          <w:lang w:val="fr-CA"/>
        </w:rPr>
        <w:t>d.01</w:t>
      </w:r>
      <w:proofErr w:type="gramEnd"/>
      <w:r w:rsidRPr="00635A9F">
        <w:rPr>
          <w:sz w:val="20"/>
          <w:lang w:val="fr-CA"/>
        </w:rPr>
        <w:t>) et 258(1)</w:t>
      </w:r>
      <w:r w:rsidRPr="00635A9F">
        <w:rPr>
          <w:i/>
          <w:sz w:val="20"/>
          <w:lang w:val="fr-CA"/>
        </w:rPr>
        <w:t>d.1</w:t>
      </w:r>
      <w:r w:rsidRPr="00635A9F">
        <w:rPr>
          <w:sz w:val="20"/>
          <w:lang w:val="fr-CA"/>
        </w:rPr>
        <w:t>), ainsi que l’al. 258(1)</w:t>
      </w:r>
      <w:r w:rsidRPr="00635A9F">
        <w:rPr>
          <w:i/>
          <w:sz w:val="20"/>
          <w:lang w:val="fr-CA"/>
        </w:rPr>
        <w:t>c</w:t>
      </w:r>
      <w:r w:rsidRPr="00635A9F">
        <w:rPr>
          <w:sz w:val="20"/>
          <w:lang w:val="fr-CA"/>
        </w:rPr>
        <w:t xml:space="preserve">) amputé des deuxième et troisième exigences requises pour réfuter les présomptions, sont justifiés au sens de l’article premier de la </w:t>
      </w:r>
      <w:r w:rsidRPr="00635A9F">
        <w:rPr>
          <w:i/>
          <w:sz w:val="20"/>
          <w:lang w:val="fr-CA"/>
        </w:rPr>
        <w:t>Charte</w:t>
      </w:r>
      <w:r w:rsidRPr="00635A9F">
        <w:rPr>
          <w:sz w:val="20"/>
          <w:lang w:val="fr-CA"/>
        </w:rPr>
        <w:t>.</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r>
      <w:r w:rsidRPr="00635A9F">
        <w:rPr>
          <w:i/>
          <w:sz w:val="20"/>
          <w:lang w:val="fr-CA"/>
        </w:rPr>
        <w:t xml:space="preserve">La </w:t>
      </w:r>
      <w:r w:rsidRPr="00635A9F">
        <w:rPr>
          <w:sz w:val="20"/>
          <w:lang w:val="fr-CA"/>
        </w:rPr>
        <w:t xml:space="preserve">juge en chef McLachlin et les juges LeBel, </w:t>
      </w:r>
      <w:r w:rsidRPr="00635A9F">
        <w:rPr>
          <w:b/>
          <w:sz w:val="20"/>
          <w:lang w:val="fr-CA"/>
        </w:rPr>
        <w:t>Deschamps</w:t>
      </w:r>
      <w:r w:rsidRPr="00635A9F">
        <w:rPr>
          <w:sz w:val="20"/>
          <w:lang w:val="fr-CA"/>
        </w:rPr>
        <w:t>, Fish et Abella : Une présomption légale porte atteinte à la présomption d’innocence si elle fait en sorte qu’une personne accusée peut être déclarée coupable alors qu’il subsiste un doute raisonnable dans l’esprit du juge des faits.  La preuve d’expertise produite dans la présente instance révèle que la possibilité de mauvais fonctionnement ou de mauvaise utilisation de l’appareil lors de la prise d’échantillons d’haleine n’est pas fondée sur de simples conjectures mais est bien réelle.  Le Comité des analyses d’alcool constitué sous l’égide de la Société canadienne des sciences judiciaires a formulé un ensemble de recommandations relatives aux procédures que doivent suivre les professionnels qui opèrent les appareils et vérifient leur bon entretien.  Ces recommandations font bien ressortir les circonstances qui pourraient expliquer un mauvais fonctionnement ou une utilisation incorrecte de l’appareil.  Le Parlement n’a cependant pas adopté les recommandations du Comité et la poursuite n’a pas fait état de mécanismes de rechange permettant à un tribunal de conclure que les appareils ont généralement été bien entretenus et utilisés ou que le taux de défaillance attribuable à un mauvais entretien ou à une utilisation incorrecte est négligeable.  Le juge des faits pourrait donc entretenir un doute raisonnable quant à la validité des résultats d’analyses, car on ne lui aura pas démontré pourquoi il peut s’y fier dans le cas de la personne accusée qui subit son procès devant lui.  Le juge qui entretient un tel doute demeure néanmoins tenu par les présomptions d’exactitude et d’identité de l’al. 258(1)</w:t>
      </w:r>
      <w:r w:rsidRPr="00635A9F">
        <w:rPr>
          <w:i/>
          <w:sz w:val="20"/>
          <w:lang w:val="fr-CA"/>
        </w:rPr>
        <w:t>c</w:t>
      </w:r>
      <w:r w:rsidRPr="00635A9F">
        <w:rPr>
          <w:sz w:val="20"/>
          <w:lang w:val="fr-CA"/>
        </w:rPr>
        <w:t xml:space="preserve">) du </w:t>
      </w:r>
      <w:r w:rsidRPr="00635A9F">
        <w:rPr>
          <w:i/>
          <w:sz w:val="20"/>
          <w:lang w:val="fr-CA"/>
        </w:rPr>
        <w:t>Code criminel</w:t>
      </w:r>
      <w:r w:rsidRPr="00635A9F">
        <w:rPr>
          <w:sz w:val="20"/>
          <w:lang w:val="fr-CA"/>
        </w:rPr>
        <w:t xml:space="preserve"> et devra prononcer une déclaration de culpabilité, à moins que la personne accusée ne repousse ces présomptions conformément aux exigences de cette disposition.  Compte tenu du mécanisme d’application des présomptions légales prévues à l’al. 258(1)</w:t>
      </w:r>
      <w:r w:rsidRPr="00635A9F">
        <w:rPr>
          <w:i/>
          <w:sz w:val="20"/>
          <w:lang w:val="fr-CA"/>
        </w:rPr>
        <w:t>c</w:t>
      </w:r>
      <w:r w:rsidRPr="00635A9F">
        <w:rPr>
          <w:sz w:val="20"/>
          <w:lang w:val="fr-CA"/>
        </w:rPr>
        <w:t>), les al. 258(1)</w:t>
      </w:r>
      <w:r w:rsidRPr="00635A9F">
        <w:rPr>
          <w:i/>
          <w:sz w:val="20"/>
          <w:lang w:val="fr-CA"/>
        </w:rPr>
        <w:t>c</w:t>
      </w:r>
      <w:r w:rsidRPr="00635A9F">
        <w:rPr>
          <w:sz w:val="20"/>
          <w:lang w:val="fr-CA"/>
        </w:rPr>
        <w:t>) et 258(1</w:t>
      </w:r>
      <w:proofErr w:type="gramStart"/>
      <w:r w:rsidRPr="00635A9F">
        <w:rPr>
          <w:sz w:val="20"/>
          <w:lang w:val="fr-CA"/>
        </w:rPr>
        <w:t>)</w:t>
      </w:r>
      <w:r w:rsidRPr="00635A9F">
        <w:rPr>
          <w:i/>
          <w:sz w:val="20"/>
          <w:lang w:val="fr-CA"/>
        </w:rPr>
        <w:t>d.01</w:t>
      </w:r>
      <w:proofErr w:type="gramEnd"/>
      <w:r w:rsidRPr="00635A9F">
        <w:rPr>
          <w:sz w:val="20"/>
          <w:lang w:val="fr-CA"/>
        </w:rPr>
        <w:t>) portent atteinte à l’al. 11</w:t>
      </w:r>
      <w:r w:rsidRPr="00635A9F">
        <w:rPr>
          <w:i/>
          <w:sz w:val="20"/>
          <w:lang w:val="fr-CA"/>
        </w:rPr>
        <w:t>d</w:t>
      </w:r>
      <w:r w:rsidRPr="00635A9F">
        <w:rPr>
          <w:sz w:val="20"/>
          <w:lang w:val="fr-CA"/>
        </w:rPr>
        <w:t xml:space="preserve">) de la </w:t>
      </w:r>
      <w:r w:rsidRPr="00635A9F">
        <w:rPr>
          <w:i/>
          <w:sz w:val="20"/>
          <w:lang w:val="fr-CA"/>
        </w:rPr>
        <w:t>Charte</w:t>
      </w:r>
      <w:r w:rsidRPr="00635A9F">
        <w:rPr>
          <w:sz w:val="20"/>
          <w:lang w:val="fr-CA"/>
        </w:rPr>
        <w:t>.</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 xml:space="preserve">La justification d’une présomption légale au regard de l’article premier de la </w:t>
      </w:r>
      <w:r w:rsidRPr="00635A9F">
        <w:rPr>
          <w:i/>
          <w:sz w:val="20"/>
          <w:lang w:val="fr-CA"/>
        </w:rPr>
        <w:t>Charte</w:t>
      </w:r>
      <w:r w:rsidRPr="00635A9F">
        <w:rPr>
          <w:sz w:val="20"/>
          <w:lang w:val="fr-CA"/>
        </w:rPr>
        <w:t xml:space="preserve"> dépend de plusieurs facteurs, notamment des suivants : l’importance de l’objectif législatif, la difficulté pour la poursuite de prouver hors de tout doute raisonnable le fait substitué, la possibilité pour la personne accusée de repousser la présomption et la facilité avec laquelle elle peut le faire et, comme le révèle le présent cas, les progrès scientifiques.  L’objectif des modifications — à savoir conférer aux résultats des alcootests un poids compatible avec leur valeur scientifique — est urgent et réel.  L’alinéa 258(1)</w:t>
      </w:r>
      <w:r w:rsidRPr="00635A9F">
        <w:rPr>
          <w:i/>
          <w:sz w:val="20"/>
          <w:lang w:val="fr-CA"/>
        </w:rPr>
        <w:t>c</w:t>
      </w:r>
      <w:r w:rsidRPr="00635A9F">
        <w:rPr>
          <w:sz w:val="20"/>
          <w:lang w:val="fr-CA"/>
        </w:rPr>
        <w:t xml:space="preserve">) du </w:t>
      </w:r>
      <w:r w:rsidRPr="00635A9F">
        <w:rPr>
          <w:i/>
          <w:sz w:val="20"/>
          <w:lang w:val="fr-CA"/>
        </w:rPr>
        <w:t>Code criminel</w:t>
      </w:r>
      <w:r w:rsidRPr="00635A9F">
        <w:rPr>
          <w:sz w:val="20"/>
          <w:lang w:val="fr-CA"/>
        </w:rPr>
        <w:t xml:space="preserve"> comporte trois nouvelles exigences distinctes et cumulatives auxquelles la personne accusée doit satisfaire pour réfuter les présomptions d’exactitude et d’identité.  Celles</w:t>
      </w:r>
      <w:r w:rsidRPr="00635A9F">
        <w:rPr>
          <w:sz w:val="20"/>
          <w:lang w:val="fr-CA"/>
        </w:rPr>
        <w:noBreakHyphen/>
        <w:t>ci requièrent donc un examen séparé pour la suite de l’analyse de la justification.</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Premièrement, la personne accusée doit soulever un doute sur le bon fonctionnement ou l’utilisation correcte de l’alcootest. Cette exigence présente un lien rationnel avec l’objectif visé par le législateur.  La preuve scientifique sur laquelle se base ce dernier indique que, si l’appareil fonctionne correctement et si toutes les procédures sont suivies, les résultats devraient être fiables.  Aussi, la mesure porte aussi peu atteinte qu’il est raisonnablement possible de le faire à la présomption d’innocence.  La fiabilité des alcootests a été reconnue par les communautés scientifique et juridique. Par ailleurs, les nouvelles dispositions n’ont pas pour effet de rendre irréfutables les résultats des analyses mais exigent que la preuve tendant à remettre en question la fiabilité des résultats porte directement sur les défaillances qui peuvent survenir dans l’entretien des appareils ou le processus d’analyse.  Enfin, les effets de cette limite sur la présomption d’innocence sont proportionnels à l’objectif du législateur.  La première exigence de l’al. 258(1)</w:t>
      </w:r>
      <w:r w:rsidRPr="00635A9F">
        <w:rPr>
          <w:i/>
          <w:sz w:val="20"/>
          <w:lang w:val="fr-CA"/>
        </w:rPr>
        <w:t>c</w:t>
      </w:r>
      <w:r w:rsidRPr="00635A9F">
        <w:rPr>
          <w:sz w:val="20"/>
          <w:lang w:val="fr-CA"/>
        </w:rPr>
        <w:t>), telle que précisée par l’al. 258(1</w:t>
      </w:r>
      <w:proofErr w:type="gramStart"/>
      <w:r w:rsidRPr="00635A9F">
        <w:rPr>
          <w:sz w:val="20"/>
          <w:lang w:val="fr-CA"/>
        </w:rPr>
        <w:t>)</w:t>
      </w:r>
      <w:r w:rsidRPr="00635A9F">
        <w:rPr>
          <w:i/>
          <w:sz w:val="20"/>
          <w:lang w:val="fr-CA"/>
        </w:rPr>
        <w:t>d.01</w:t>
      </w:r>
      <w:proofErr w:type="gramEnd"/>
      <w:r w:rsidRPr="00635A9F">
        <w:rPr>
          <w:sz w:val="20"/>
          <w:lang w:val="fr-CA"/>
        </w:rPr>
        <w:t xml:space="preserve">), a pour objectif de faire reconnaître la valeur scientifique des résultats d’analyses fournis par les alcootests et d’énoncer leur primauté.  Cette modification législative répond au grave problème de discordance découlant du taux de succès élevé de la défense de type </w:t>
      </w:r>
      <w:r w:rsidRPr="00635A9F">
        <w:rPr>
          <w:i/>
          <w:sz w:val="20"/>
          <w:lang w:val="fr-CA"/>
        </w:rPr>
        <w:t>Carter</w:t>
      </w:r>
      <w:r w:rsidRPr="00635A9F">
        <w:rPr>
          <w:sz w:val="20"/>
          <w:lang w:val="fr-CA"/>
        </w:rPr>
        <w:t xml:space="preserve"> malgré la fiabilité scientifique reconnue des résultats.  De plus, le régime des alcootests comporte certaines garanties qui freinent l’intervention policière et protègent la présomption d’innocence.</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Deuxièmement, l’al. 258(1)</w:t>
      </w:r>
      <w:r w:rsidRPr="00635A9F">
        <w:rPr>
          <w:i/>
          <w:sz w:val="20"/>
          <w:lang w:val="fr-CA"/>
        </w:rPr>
        <w:t>c</w:t>
      </w:r>
      <w:r w:rsidRPr="00635A9F">
        <w:rPr>
          <w:sz w:val="20"/>
          <w:lang w:val="fr-CA"/>
        </w:rPr>
        <w:t>) requiert une preuve tendant à démontrer que le problème de fonctionnement ou d’utilisation de l’appareil a causé une lecture d’alcoolémie supérieure à 0,08.  Cette exigence constitue une atteinte sérieuse à la présomption d’innocence et ne peut être justifiée dans une société démocratique.  L’obligation de soulever un doute sur le fait que l’alcoolémie excède 0,08 constitue un fardeau excessif lorsqu’elle s’insère dans un régime législatif qui exige une preuve ciblant directement le fonctionnement ou l’utilisation de l’appareil.</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La troisième exigence de l’al. 258(1)</w:t>
      </w:r>
      <w:r w:rsidRPr="00635A9F">
        <w:rPr>
          <w:i/>
          <w:sz w:val="20"/>
          <w:lang w:val="fr-CA"/>
        </w:rPr>
        <w:t>c</w:t>
      </w:r>
      <w:r w:rsidRPr="00635A9F">
        <w:rPr>
          <w:sz w:val="20"/>
          <w:lang w:val="fr-CA"/>
        </w:rPr>
        <w:t xml:space="preserve">) ne peut être justifiée au regard de l’article premier de la </w:t>
      </w:r>
      <w:r w:rsidRPr="00635A9F">
        <w:rPr>
          <w:i/>
          <w:sz w:val="20"/>
          <w:lang w:val="fr-CA"/>
        </w:rPr>
        <w:t>Charte</w:t>
      </w:r>
      <w:r w:rsidRPr="00635A9F">
        <w:rPr>
          <w:sz w:val="20"/>
          <w:lang w:val="fr-CA"/>
        </w:rPr>
        <w:t>.  Il n’y a pas de lien rationnel entre l’objectif des nouvelles mesures législatives et l’obligation de présenter une preuve qui soulève un doute sur le fait que le taux d’alcoolémie dépasse 0,08.  Cette exigence s’ajoute à celle requérant la démonstration que l’appareil a mal fonctionné ou a été mal utilisé.  Or, si la personne accusée a déjà soulevé un vice de nature à mettre en doute la fiabilité des résultats, il est difficile de justifier qu’un tribunal soit tout de même tenu d’en reconnaître la valeur probante si la personne accusée ne présente aucune preuve de son alcoolémie.</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Le Parlement pouvait exclure, à l’al. 258(1)</w:t>
      </w:r>
      <w:r w:rsidRPr="00635A9F">
        <w:rPr>
          <w:i/>
          <w:sz w:val="20"/>
          <w:lang w:val="fr-CA"/>
        </w:rPr>
        <w:t>d.01</w:t>
      </w:r>
      <w:r w:rsidRPr="00635A9F">
        <w:rPr>
          <w:sz w:val="20"/>
          <w:lang w:val="fr-CA"/>
        </w:rPr>
        <w:t xml:space="preserve">), la présentation d’une preuve relative à la consommation d’alcool de la personne accusée tendant à démontrer le mauvais fonctionnement ou l’utilisation incorrecte de l’alcootest et déclarer une telle preuve insuffisante en droit pour mettre en doute la fiabilité des résultats d’analyses.  Une telle exclusion ne porte pas atteinte aux droits garantis à l’art. 7 de la </w:t>
      </w:r>
      <w:r w:rsidRPr="00635A9F">
        <w:rPr>
          <w:i/>
          <w:sz w:val="20"/>
          <w:lang w:val="fr-CA"/>
        </w:rPr>
        <w:t>Charte</w:t>
      </w:r>
      <w:r w:rsidRPr="00635A9F">
        <w:rPr>
          <w:sz w:val="20"/>
          <w:lang w:val="fr-CA"/>
        </w:rPr>
        <w:t xml:space="preserve"> ni ne rend illusoire la réfutation des présomptions de l’al. 258(1)</w:t>
      </w:r>
      <w:r w:rsidRPr="00635A9F">
        <w:rPr>
          <w:i/>
          <w:sz w:val="20"/>
          <w:lang w:val="fr-CA"/>
        </w:rPr>
        <w:t>c</w:t>
      </w:r>
      <w:r w:rsidRPr="00635A9F">
        <w:rPr>
          <w:sz w:val="20"/>
          <w:lang w:val="fr-CA"/>
        </w:rPr>
        <w:t>).</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L’alinéa 258(1</w:t>
      </w:r>
      <w:proofErr w:type="gramStart"/>
      <w:r w:rsidRPr="00635A9F">
        <w:rPr>
          <w:sz w:val="20"/>
          <w:lang w:val="fr-CA"/>
        </w:rPr>
        <w:t>)</w:t>
      </w:r>
      <w:r w:rsidRPr="00635A9F">
        <w:rPr>
          <w:i/>
          <w:sz w:val="20"/>
          <w:lang w:val="fr-CA"/>
        </w:rPr>
        <w:t>d.1</w:t>
      </w:r>
      <w:proofErr w:type="gramEnd"/>
      <w:r w:rsidRPr="00635A9F">
        <w:rPr>
          <w:sz w:val="20"/>
          <w:lang w:val="fr-CA"/>
        </w:rPr>
        <w:t xml:space="preserve">) du </w:t>
      </w:r>
      <w:r w:rsidRPr="00635A9F">
        <w:rPr>
          <w:i/>
          <w:sz w:val="20"/>
          <w:lang w:val="fr-CA"/>
        </w:rPr>
        <w:t>Code criminel</w:t>
      </w:r>
      <w:r w:rsidRPr="00635A9F">
        <w:rPr>
          <w:sz w:val="20"/>
          <w:lang w:val="fr-CA"/>
        </w:rPr>
        <w:t xml:space="preserve"> établit pour sa part une deuxième présomption d’identité, suivant laquelle un taux d’alcoolémie supérieur à 0,08 au moment de l’analyse est présumé correspondre à celui qui existait au moment de l’infraction reprochée.  Comme l’al. 258(1</w:t>
      </w:r>
      <w:proofErr w:type="gramStart"/>
      <w:r w:rsidRPr="00635A9F">
        <w:rPr>
          <w:sz w:val="20"/>
          <w:lang w:val="fr-CA"/>
        </w:rPr>
        <w:t>)</w:t>
      </w:r>
      <w:r w:rsidRPr="00635A9F">
        <w:rPr>
          <w:i/>
          <w:sz w:val="20"/>
          <w:lang w:val="fr-CA"/>
        </w:rPr>
        <w:t>d.1</w:t>
      </w:r>
      <w:proofErr w:type="gramEnd"/>
      <w:r w:rsidRPr="00635A9F">
        <w:rPr>
          <w:sz w:val="20"/>
          <w:lang w:val="fr-CA"/>
        </w:rPr>
        <w:t>) dispense la poursuite d’avoir à établir la culpabilité de la personne accusée hors de tout doute raisonnable avant que celle</w:t>
      </w:r>
      <w:r w:rsidRPr="00635A9F">
        <w:rPr>
          <w:sz w:val="20"/>
          <w:lang w:val="fr-CA"/>
        </w:rPr>
        <w:noBreakHyphen/>
        <w:t>ci n’ait à répondre, il porte atteinte à la présomption d’innocence.  Pour contrer cette deuxième présomption d’identité, la preuve contraire présentée par la personne accusée doit tendre à démontrer deux faits : (1) la consommation d’alcool était compatible avec une alcoolémie ne dépassant pas 0,08 au moment où l’infraction aurait été commise; (2) la consommation d’alcool était compatible avec les résultats des analyses.  L’objectif des ces exigences est urgent et réel. Le lien rationnel entre chacune des deux exigences et leur objectif législatif respectif peut facilement être établi.  Elles satisfont aussi au critère de l’atteinte minimale.  L’alinéa 258(1</w:t>
      </w:r>
      <w:proofErr w:type="gramStart"/>
      <w:r w:rsidRPr="00635A9F">
        <w:rPr>
          <w:sz w:val="20"/>
          <w:lang w:val="fr-CA"/>
        </w:rPr>
        <w:t>)</w:t>
      </w:r>
      <w:r w:rsidRPr="00635A9F">
        <w:rPr>
          <w:i/>
          <w:sz w:val="20"/>
          <w:lang w:val="fr-CA"/>
        </w:rPr>
        <w:t>d.1</w:t>
      </w:r>
      <w:proofErr w:type="gramEnd"/>
      <w:r w:rsidRPr="00635A9F">
        <w:rPr>
          <w:sz w:val="20"/>
          <w:lang w:val="fr-CA"/>
        </w:rPr>
        <w:t>) établit un juste équilibre entre les droits collectifs et les droits individuels, et il s’insère dans un régime législatif plus vaste tendant à faire reconnaître la primauté des résultats des alcootests. Il constitue une atteinte justifiée à la présomption d’innocence.</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La présomption d’identité de l’al. 258(1</w:t>
      </w:r>
      <w:proofErr w:type="gramStart"/>
      <w:r w:rsidRPr="00635A9F">
        <w:rPr>
          <w:sz w:val="20"/>
          <w:lang w:val="fr-CA"/>
        </w:rPr>
        <w:t>)</w:t>
      </w:r>
      <w:r w:rsidRPr="00635A9F">
        <w:rPr>
          <w:i/>
          <w:sz w:val="20"/>
          <w:lang w:val="fr-CA"/>
        </w:rPr>
        <w:t>d.1</w:t>
      </w:r>
      <w:proofErr w:type="gramEnd"/>
      <w:r w:rsidRPr="00635A9F">
        <w:rPr>
          <w:sz w:val="20"/>
          <w:lang w:val="fr-CA"/>
        </w:rPr>
        <w:t>) est fondée sur le comportement habituel des conducteurs; ceux</w:t>
      </w:r>
      <w:r w:rsidRPr="00635A9F">
        <w:rPr>
          <w:sz w:val="20"/>
          <w:lang w:val="fr-CA"/>
        </w:rPr>
        <w:noBreakHyphen/>
        <w:t>ci ne boivent généralement pas une quantité d’alcool suffisante pour influencer les résultats juste avant ou juste après l’interpellation.  C’est véritablement le caractère exceptionnel du comportement de la personne accusée, plutôt que la présomption légale dont bénéficie la poursuite en vertu de l’al. 258(1</w:t>
      </w:r>
      <w:proofErr w:type="gramStart"/>
      <w:r w:rsidRPr="00635A9F">
        <w:rPr>
          <w:sz w:val="20"/>
          <w:lang w:val="fr-CA"/>
        </w:rPr>
        <w:t>)</w:t>
      </w:r>
      <w:r w:rsidRPr="00635A9F">
        <w:rPr>
          <w:i/>
          <w:sz w:val="20"/>
          <w:lang w:val="fr-CA"/>
        </w:rPr>
        <w:t>d.1</w:t>
      </w:r>
      <w:proofErr w:type="gramEnd"/>
      <w:r w:rsidRPr="00635A9F">
        <w:rPr>
          <w:sz w:val="20"/>
          <w:lang w:val="fr-CA"/>
        </w:rPr>
        <w:t>), qui fait en sorte que celle</w:t>
      </w:r>
      <w:r w:rsidRPr="00635A9F">
        <w:rPr>
          <w:sz w:val="20"/>
          <w:lang w:val="fr-CA"/>
        </w:rPr>
        <w:noBreakHyphen/>
        <w:t>ci doive témoigner.  Le choix de cette personne de témoigner à cet égard découle d’une décision qui survient chaque fois que la preuve du ministère public est suffisante pour mener à une déclaration de culpabilité.  Il n’y a donc pas atteinte à la protection contre l’auto</w:t>
      </w:r>
      <w:r w:rsidRPr="00635A9F">
        <w:rPr>
          <w:sz w:val="20"/>
          <w:lang w:val="fr-CA"/>
        </w:rPr>
        <w:noBreakHyphen/>
        <w:t>incrimination garantie par l’al. 11</w:t>
      </w:r>
      <w:r w:rsidRPr="00635A9F">
        <w:rPr>
          <w:i/>
          <w:sz w:val="20"/>
          <w:lang w:val="fr-CA"/>
        </w:rPr>
        <w:t>c</w:t>
      </w:r>
      <w:r w:rsidRPr="00635A9F">
        <w:rPr>
          <w:sz w:val="20"/>
          <w:lang w:val="fr-CA"/>
        </w:rPr>
        <w:t xml:space="preserve">) de la </w:t>
      </w:r>
      <w:r w:rsidRPr="00635A9F">
        <w:rPr>
          <w:i/>
          <w:sz w:val="20"/>
          <w:lang w:val="fr-CA"/>
        </w:rPr>
        <w:t>Charte</w:t>
      </w:r>
      <w:r w:rsidRPr="00635A9F">
        <w:rPr>
          <w:sz w:val="20"/>
          <w:lang w:val="fr-CA"/>
        </w:rPr>
        <w:t>.</w:t>
      </w:r>
    </w:p>
    <w:p w:rsidR="00635A9F" w:rsidRPr="00635A9F" w:rsidRDefault="00635A9F" w:rsidP="00635A9F">
      <w:pPr>
        <w:pStyle w:val="SCCNormalDoubleSpacing"/>
        <w:spacing w:line="240" w:lineRule="auto"/>
        <w:rPr>
          <w:sz w:val="20"/>
          <w:lang w:val="fr-CA"/>
        </w:rPr>
      </w:pPr>
    </w:p>
    <w:p w:rsidR="00635A9F" w:rsidRPr="008635DB" w:rsidRDefault="00635A9F" w:rsidP="00635A9F">
      <w:pPr>
        <w:pStyle w:val="SCCNormalDoubleSpacing"/>
        <w:spacing w:line="240" w:lineRule="auto"/>
        <w:rPr>
          <w:sz w:val="20"/>
          <w:lang w:val="fr-FR"/>
        </w:rPr>
      </w:pPr>
      <w:r w:rsidRPr="00635A9F">
        <w:rPr>
          <w:sz w:val="20"/>
          <w:lang w:val="fr-CA"/>
        </w:rPr>
        <w:tab/>
        <w:t>En l’espèce, bien que le juge de première instance ait, à tort, considéré que L pouvait repousser la présomption d’exactitude de l’al. 258(1)</w:t>
      </w:r>
      <w:r w:rsidRPr="00635A9F">
        <w:rPr>
          <w:i/>
          <w:sz w:val="20"/>
          <w:lang w:val="fr-CA"/>
        </w:rPr>
        <w:t>c</w:t>
      </w:r>
      <w:r w:rsidRPr="00635A9F">
        <w:rPr>
          <w:sz w:val="20"/>
          <w:lang w:val="fr-CA"/>
        </w:rPr>
        <w:t xml:space="preserve">) du </w:t>
      </w:r>
      <w:r w:rsidRPr="00635A9F">
        <w:rPr>
          <w:i/>
          <w:sz w:val="20"/>
          <w:lang w:val="fr-CA"/>
        </w:rPr>
        <w:t>Code criminel</w:t>
      </w:r>
      <w:r w:rsidRPr="00635A9F">
        <w:rPr>
          <w:sz w:val="20"/>
          <w:lang w:val="fr-CA"/>
        </w:rPr>
        <w:t xml:space="preserve"> en présentant une défense de type </w:t>
      </w:r>
      <w:r w:rsidRPr="00635A9F">
        <w:rPr>
          <w:i/>
          <w:sz w:val="20"/>
          <w:lang w:val="fr-CA"/>
        </w:rPr>
        <w:t>Carter</w:t>
      </w:r>
      <w:r w:rsidRPr="00635A9F">
        <w:rPr>
          <w:sz w:val="20"/>
          <w:lang w:val="fr-CA"/>
        </w:rPr>
        <w:t xml:space="preserve">, cette erreur n’a pas affecté sa conclusion, étant donné qu’il n’a pas cru L en définitive.  </w:t>
      </w:r>
      <w:r w:rsidRPr="008635DB">
        <w:rPr>
          <w:sz w:val="20"/>
          <w:lang w:val="fr-FR"/>
        </w:rPr>
        <w:t>La déclaration de culpabilité de L est donc confirmée.</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r>
      <w:r w:rsidRPr="00635A9F">
        <w:rPr>
          <w:i/>
          <w:sz w:val="20"/>
          <w:lang w:val="fr-CA"/>
        </w:rPr>
        <w:t>Les juges</w:t>
      </w:r>
      <w:r w:rsidRPr="00635A9F">
        <w:rPr>
          <w:sz w:val="20"/>
          <w:lang w:val="fr-CA"/>
        </w:rPr>
        <w:t xml:space="preserve"> Rothstein et </w:t>
      </w:r>
      <w:r w:rsidRPr="00635A9F">
        <w:rPr>
          <w:b/>
          <w:sz w:val="20"/>
          <w:lang w:val="fr-CA"/>
        </w:rPr>
        <w:t>Cromwell</w:t>
      </w:r>
      <w:r w:rsidRPr="00635A9F">
        <w:rPr>
          <w:sz w:val="20"/>
          <w:lang w:val="fr-CA"/>
        </w:rPr>
        <w:t> : Le pourvoi est accueilli et il faut répondre négativement aux questions constitutionnelles.</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Les alinéas 258(1)</w:t>
      </w:r>
      <w:r w:rsidRPr="00635A9F">
        <w:rPr>
          <w:i/>
          <w:sz w:val="20"/>
          <w:lang w:val="fr-CA"/>
        </w:rPr>
        <w:t>c</w:t>
      </w:r>
      <w:r w:rsidRPr="00635A9F">
        <w:rPr>
          <w:sz w:val="20"/>
          <w:lang w:val="fr-CA"/>
        </w:rPr>
        <w:t>), 258(1</w:t>
      </w:r>
      <w:proofErr w:type="gramStart"/>
      <w:r w:rsidRPr="00635A9F">
        <w:rPr>
          <w:sz w:val="20"/>
          <w:lang w:val="fr-CA"/>
        </w:rPr>
        <w:t>)</w:t>
      </w:r>
      <w:r w:rsidRPr="00635A9F">
        <w:rPr>
          <w:i/>
          <w:sz w:val="20"/>
          <w:lang w:val="fr-CA"/>
        </w:rPr>
        <w:t>d.01</w:t>
      </w:r>
      <w:proofErr w:type="gramEnd"/>
      <w:r w:rsidRPr="00635A9F">
        <w:rPr>
          <w:sz w:val="20"/>
          <w:lang w:val="fr-CA"/>
        </w:rPr>
        <w:t>) et 258(1)</w:t>
      </w:r>
      <w:r w:rsidRPr="00635A9F">
        <w:rPr>
          <w:i/>
          <w:sz w:val="20"/>
          <w:lang w:val="fr-CA"/>
        </w:rPr>
        <w:t>d.1</w:t>
      </w:r>
      <w:r w:rsidRPr="00635A9F">
        <w:rPr>
          <w:sz w:val="20"/>
          <w:lang w:val="fr-CA"/>
        </w:rPr>
        <w:t xml:space="preserve">) du </w:t>
      </w:r>
      <w:r w:rsidRPr="00635A9F">
        <w:rPr>
          <w:i/>
          <w:sz w:val="20"/>
          <w:lang w:val="fr-CA"/>
        </w:rPr>
        <w:t>Code criminel</w:t>
      </w:r>
      <w:r w:rsidRPr="00635A9F">
        <w:rPr>
          <w:sz w:val="20"/>
          <w:lang w:val="fr-CA"/>
        </w:rPr>
        <w:t xml:space="preserve"> reposent sur trois idées assez simples.  Si toutes les conditions prescrites par la loi pour le prélèvement et l’analyse des échantillons d’haleine sont observées : (1) les résultats indiqués par l’alcootest sont fiables, en l’absence d’éléments de preuve permettant d’en douter; (2) le taux d’alcoolémie (« TA ») estimé au moyen d’éléments de preuve relatifs au taux d’absorption ou d’élimination (la preuve de type </w:t>
      </w:r>
      <w:r w:rsidRPr="00635A9F">
        <w:rPr>
          <w:i/>
          <w:sz w:val="20"/>
          <w:lang w:val="fr-CA"/>
        </w:rPr>
        <w:t>Carter</w:t>
      </w:r>
      <w:r w:rsidRPr="00635A9F">
        <w:rPr>
          <w:sz w:val="20"/>
          <w:lang w:val="fr-CA"/>
        </w:rPr>
        <w:t>) n’est pas assez fiable pour être utilisé pour contester l’exactitude des résultats indiqués par l’alcootest; (3) le TA au moment des analyses ne sera pas plus élevé qu’au moment où l’accusé conduisait, sauf si ce dernier a consommé une grande quantité d’alcool peu de temps avant de conduire ou s’il a consommé de l’alcool entre le moment où il conduisait et celui où il a subi le test.</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Aucune des dispositions contestées ne limite le droit de ne pas être contraint de témoigner garanti par l’al. 11</w:t>
      </w:r>
      <w:r w:rsidRPr="00635A9F">
        <w:rPr>
          <w:i/>
          <w:sz w:val="20"/>
          <w:lang w:val="fr-CA"/>
        </w:rPr>
        <w:t>c</w:t>
      </w:r>
      <w:r w:rsidRPr="00635A9F">
        <w:rPr>
          <w:sz w:val="20"/>
          <w:lang w:val="fr-CA"/>
        </w:rPr>
        <w:t xml:space="preserve">) de la </w:t>
      </w:r>
      <w:r w:rsidRPr="00635A9F">
        <w:rPr>
          <w:i/>
          <w:sz w:val="20"/>
          <w:lang w:val="fr-CA"/>
        </w:rPr>
        <w:t>Charte</w:t>
      </w:r>
      <w:r w:rsidRPr="00635A9F">
        <w:rPr>
          <w:sz w:val="20"/>
          <w:lang w:val="fr-CA"/>
        </w:rPr>
        <w:t>. Bien que toutes les dispositions soient contestées sur le fondement de l’al. 11</w:t>
      </w:r>
      <w:r w:rsidRPr="00635A9F">
        <w:rPr>
          <w:i/>
          <w:sz w:val="20"/>
          <w:lang w:val="fr-CA"/>
        </w:rPr>
        <w:t>d</w:t>
      </w:r>
      <w:r w:rsidRPr="00635A9F">
        <w:rPr>
          <w:sz w:val="20"/>
          <w:lang w:val="fr-CA"/>
        </w:rPr>
        <w:t xml:space="preserve">) et de l’art. 7 de la </w:t>
      </w:r>
      <w:r w:rsidRPr="00635A9F">
        <w:rPr>
          <w:i/>
          <w:sz w:val="20"/>
          <w:lang w:val="fr-CA"/>
        </w:rPr>
        <w:t>Charte</w:t>
      </w:r>
      <w:r w:rsidRPr="00635A9F">
        <w:rPr>
          <w:sz w:val="20"/>
          <w:lang w:val="fr-CA"/>
        </w:rPr>
        <w:t>, c’est en vertu de l’al. 11</w:t>
      </w:r>
      <w:r w:rsidRPr="00635A9F">
        <w:rPr>
          <w:i/>
          <w:sz w:val="20"/>
          <w:lang w:val="fr-CA"/>
        </w:rPr>
        <w:t>d</w:t>
      </w:r>
      <w:r w:rsidRPr="00635A9F">
        <w:rPr>
          <w:sz w:val="20"/>
          <w:lang w:val="fr-CA"/>
        </w:rPr>
        <w:t>) qu’il convient d’analyser la constitutionnalité des dispositions touchant au fardeau de la preuve, et en vertu de l’art. 7 qu’il convient d’analyser la constitutionnalité de celles qui limitent la pertinence de certaines questions ou excluent la preuve s’y rapportant.</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Le fait que l’al. 258(1</w:t>
      </w:r>
      <w:proofErr w:type="gramStart"/>
      <w:r w:rsidRPr="00635A9F">
        <w:rPr>
          <w:sz w:val="20"/>
          <w:lang w:val="fr-CA"/>
        </w:rPr>
        <w:t>)</w:t>
      </w:r>
      <w:r w:rsidRPr="00635A9F">
        <w:rPr>
          <w:i/>
          <w:sz w:val="20"/>
          <w:lang w:val="fr-CA"/>
        </w:rPr>
        <w:t>d.01</w:t>
      </w:r>
      <w:proofErr w:type="gramEnd"/>
      <w:r w:rsidRPr="00635A9F">
        <w:rPr>
          <w:sz w:val="20"/>
          <w:lang w:val="fr-CA"/>
        </w:rPr>
        <w:t xml:space="preserve">) du </w:t>
      </w:r>
      <w:r w:rsidRPr="00635A9F">
        <w:rPr>
          <w:i/>
          <w:sz w:val="20"/>
          <w:lang w:val="fr-CA"/>
        </w:rPr>
        <w:t>Code criminel</w:t>
      </w:r>
      <w:r w:rsidRPr="00635A9F">
        <w:rPr>
          <w:sz w:val="20"/>
          <w:lang w:val="fr-CA"/>
        </w:rPr>
        <w:t xml:space="preserve"> exclut l’utilisation de la preuve de type </w:t>
      </w:r>
      <w:r w:rsidRPr="00635A9F">
        <w:rPr>
          <w:i/>
          <w:sz w:val="20"/>
          <w:lang w:val="fr-CA"/>
        </w:rPr>
        <w:t>Carter</w:t>
      </w:r>
      <w:r w:rsidRPr="00635A9F">
        <w:rPr>
          <w:sz w:val="20"/>
          <w:lang w:val="fr-CA"/>
        </w:rPr>
        <w:t xml:space="preserve"> pour contester le bon fonctionnement ou l’utilisation correcte de l’appareil approuvé ne viole pas l’art. 7 de la </w:t>
      </w:r>
      <w:r w:rsidRPr="00635A9F">
        <w:rPr>
          <w:i/>
          <w:sz w:val="20"/>
          <w:lang w:val="fr-CA"/>
        </w:rPr>
        <w:t>Charte</w:t>
      </w:r>
      <w:r w:rsidRPr="00635A9F">
        <w:rPr>
          <w:sz w:val="20"/>
          <w:lang w:val="fr-CA"/>
        </w:rPr>
        <w:t>.  Les parties contestant la disposition n’ont pas démontré que l’al. 258(1</w:t>
      </w:r>
      <w:proofErr w:type="gramStart"/>
      <w:r w:rsidRPr="00635A9F">
        <w:rPr>
          <w:sz w:val="20"/>
          <w:lang w:val="fr-CA"/>
        </w:rPr>
        <w:t>)</w:t>
      </w:r>
      <w:r w:rsidRPr="00635A9F">
        <w:rPr>
          <w:i/>
          <w:sz w:val="20"/>
          <w:lang w:val="fr-CA"/>
        </w:rPr>
        <w:t>d.01</w:t>
      </w:r>
      <w:proofErr w:type="gramEnd"/>
      <w:r w:rsidRPr="00635A9F">
        <w:rPr>
          <w:sz w:val="20"/>
          <w:lang w:val="fr-CA"/>
        </w:rPr>
        <w:t xml:space="preserve">) limite de quelque manière significative le droit de présenter une défense pleine et entière.  Vu la preuve convaincante présentée par le ministère public à propos de la nature généralement trompeuse de la preuve de type </w:t>
      </w:r>
      <w:r w:rsidRPr="00635A9F">
        <w:rPr>
          <w:i/>
          <w:sz w:val="20"/>
          <w:lang w:val="fr-CA"/>
        </w:rPr>
        <w:t>Carter</w:t>
      </w:r>
      <w:r w:rsidRPr="00635A9F">
        <w:rPr>
          <w:sz w:val="20"/>
          <w:lang w:val="fr-CA"/>
        </w:rPr>
        <w:t xml:space="preserve"> en ce qui a trait à l’exactitude de l’alcootest, ceux qui contestent l’exclusion de ce genre de preuve avaient l’obligation d’apporter certaines données tendant à indiquer que, malgré le risque considérable d’erreur susceptible de découler d’une preuve de type </w:t>
      </w:r>
      <w:r w:rsidRPr="00635A9F">
        <w:rPr>
          <w:i/>
          <w:sz w:val="20"/>
          <w:lang w:val="fr-CA"/>
        </w:rPr>
        <w:t>Carter</w:t>
      </w:r>
      <w:r w:rsidRPr="00635A9F">
        <w:rPr>
          <w:sz w:val="20"/>
          <w:lang w:val="fr-CA"/>
        </w:rPr>
        <w:t xml:space="preserve">, il existait encore des raisons de ne pas limiter l’utilisation d’une telle preuve.  Le dossier ne renferme aucune donnée de ce genre en l’espèce. Bien que des situations hypothétiques puissent constituer le fondement d’une contestation fondée sur la </w:t>
      </w:r>
      <w:r w:rsidRPr="00635A9F">
        <w:rPr>
          <w:i/>
          <w:sz w:val="20"/>
          <w:lang w:val="fr-CA"/>
        </w:rPr>
        <w:t>Charte</w:t>
      </w:r>
      <w:r w:rsidRPr="00635A9F">
        <w:rPr>
          <w:sz w:val="20"/>
          <w:lang w:val="fr-CA"/>
        </w:rPr>
        <w:t>, de telles hypothèses doivent être raisonnables.  L’autre motif invoqué à l’appui de la contestation fondée sur l’art. 7, à savoir que l’al. 258(1</w:t>
      </w:r>
      <w:proofErr w:type="gramStart"/>
      <w:r w:rsidRPr="00635A9F">
        <w:rPr>
          <w:sz w:val="20"/>
          <w:lang w:val="fr-CA"/>
        </w:rPr>
        <w:t>)</w:t>
      </w:r>
      <w:r w:rsidRPr="00635A9F">
        <w:rPr>
          <w:i/>
          <w:sz w:val="20"/>
          <w:lang w:val="fr-CA"/>
        </w:rPr>
        <w:t>d.01</w:t>
      </w:r>
      <w:proofErr w:type="gramEnd"/>
      <w:r w:rsidRPr="00635A9F">
        <w:rPr>
          <w:sz w:val="20"/>
          <w:lang w:val="fr-CA"/>
        </w:rPr>
        <w:t xml:space="preserve">) rend « illusoire » la présentation d’une défense, doit aussi être rejeté.  </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L’al. 258(1)</w:t>
      </w:r>
      <w:r w:rsidRPr="00635A9F">
        <w:rPr>
          <w:i/>
          <w:sz w:val="20"/>
          <w:lang w:val="fr-CA"/>
        </w:rPr>
        <w:t>c</w:t>
      </w:r>
      <w:r w:rsidRPr="00635A9F">
        <w:rPr>
          <w:sz w:val="20"/>
          <w:lang w:val="fr-CA"/>
        </w:rPr>
        <w:t xml:space="preserve">) du </w:t>
      </w:r>
      <w:r w:rsidRPr="00635A9F">
        <w:rPr>
          <w:i/>
          <w:sz w:val="20"/>
          <w:lang w:val="fr-CA"/>
        </w:rPr>
        <w:t>Code criminel</w:t>
      </w:r>
      <w:r w:rsidRPr="00635A9F">
        <w:rPr>
          <w:sz w:val="20"/>
          <w:lang w:val="fr-CA"/>
        </w:rPr>
        <w:t xml:space="preserve"> limite la preuve qui peut être présentée relativement à la précision de l’appareil à une preuve tendant à démontrer trois choses : (1) que l’appareil fonctionnait mal ou que l’analyse a été effectuée incorrectement, (2) que le TA supérieur à 0,08 de l’accusé découle de ce mauvais fonctionnement ou de cette utilisation incorrecte et (3) que le TA de l’accusé était dans les faits inférieur à 0,08 au moment de l’infraction reprochée.  Les deux premiers éléments ne font rien de plus que reconnaître la réalité que, lorsqu’ils ont été obtenus conformément aux exigences prescrites par la loi, les résultats des analyses doivent être considérés comme étant exacts en l’absence de quelque raison de croire le contraire.  En l’absence de preuve tendant à montrer que l’analyse n’est pas exacte, un doute raisonnable qui reposerait simplement sur l’idée générale que la technologie n’est pas infaillible ou qu’il existe une possibilité théorique — mais non étayée par la preuve — que l’appareil ait mal fonctionné ou ait été utilisé incorrectement ne serait pas une conclusion rationnelle.  Par conséquent, le fait d’exiger que, en l’absence de preuve à l’effet contraire, le tribunal tire une inférence d’exactitude ne limite pas le droit de l’accusé de présenter une défense pleine et entière.  Pour ce qui est du troisième élément, il ne fait qu’énoncer, sous forme de disposition législative, ce que la Cour a toujours jugé comme étant la preuve requise sur le plan de la logique et de la pertinence pour réfuter la présomption d’exactitude.</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Une disposition a pour effet de limiter le droit à la présomption d’innocence garantie par l’al. 11</w:t>
      </w:r>
      <w:r w:rsidRPr="00635A9F">
        <w:rPr>
          <w:i/>
          <w:sz w:val="20"/>
          <w:lang w:val="fr-CA"/>
        </w:rPr>
        <w:t>d</w:t>
      </w:r>
      <w:r w:rsidRPr="00635A9F">
        <w:rPr>
          <w:sz w:val="20"/>
          <w:lang w:val="fr-CA"/>
        </w:rPr>
        <w:t xml:space="preserve">) de la </w:t>
      </w:r>
      <w:r w:rsidRPr="00635A9F">
        <w:rPr>
          <w:i/>
          <w:sz w:val="20"/>
          <w:lang w:val="fr-CA"/>
        </w:rPr>
        <w:t>Charte</w:t>
      </w:r>
      <w:r w:rsidRPr="00635A9F">
        <w:rPr>
          <w:sz w:val="20"/>
          <w:lang w:val="fr-CA"/>
        </w:rPr>
        <w:t xml:space="preserve"> dans les cas suivants : a) elle décharge le ministère public de son obligation de présenter une preuve complète contre l’accusé avant que celui</w:t>
      </w:r>
      <w:r w:rsidRPr="00635A9F">
        <w:rPr>
          <w:sz w:val="20"/>
          <w:lang w:val="fr-CA"/>
        </w:rPr>
        <w:noBreakHyphen/>
        <w:t>ci n’ait besoin de répondre; b) elle crée un risque de déclaration de culpabilité même si, sans elle, le juge des faits pourrait avoir un doute raisonnable quant à la culpabilité de l’accusé.  La présomption d’exactitude énoncée à l’al. 258(1)</w:t>
      </w:r>
      <w:r w:rsidRPr="00635A9F">
        <w:rPr>
          <w:i/>
          <w:sz w:val="20"/>
          <w:lang w:val="fr-CA"/>
        </w:rPr>
        <w:t>c</w:t>
      </w:r>
      <w:r w:rsidRPr="00635A9F">
        <w:rPr>
          <w:sz w:val="20"/>
          <w:lang w:val="fr-CA"/>
        </w:rPr>
        <w:t xml:space="preserve">) ne risque pas d’entraîner une déclaration de culpabilité s’il existe un doute raisonnable au sujet de la culpabilité.  Elle ne limite donc pas le droit à la présomption d’innocence et, de ce fait, il n’est pas nécessaire de procéder à l’analyse fondée sur l’article premier de la </w:t>
      </w:r>
      <w:r w:rsidRPr="00635A9F">
        <w:rPr>
          <w:i/>
          <w:sz w:val="20"/>
          <w:lang w:val="fr-CA"/>
        </w:rPr>
        <w:t>Charte</w:t>
      </w:r>
      <w:r w:rsidRPr="00635A9F">
        <w:rPr>
          <w:sz w:val="20"/>
          <w:lang w:val="fr-CA"/>
        </w:rPr>
        <w:t>.  En requérant des éléments de preuve tendant à démontrer le mauvais fonctionnement ou l’utilisation incorrecte de l’alcootest, la disposition ne fait qu’exprimer une exigence que dicte par ailleurs le bon sens, à la lumière des faits scientifiques acceptés.  Le législateur a le droit d’édicter une telle présomption plutôt que d’exiger la production d’une preuve dans chaque poursuite fondée sur un TA supérieur à la limite.  En outre, sur le plan de la logique et de la pertinence, constitue une preuve contraire une preuve qui tend à soulever un doute et amène le tribunal à penser que le TA ne dépassait pas dans les faits 0,08.  Il s’ensuit que ce troisième aspect de l’al. 258(1)</w:t>
      </w:r>
      <w:r w:rsidRPr="00635A9F">
        <w:rPr>
          <w:i/>
          <w:sz w:val="20"/>
          <w:lang w:val="fr-CA"/>
        </w:rPr>
        <w:t>c</w:t>
      </w:r>
      <w:r w:rsidRPr="00635A9F">
        <w:rPr>
          <w:sz w:val="20"/>
          <w:lang w:val="fr-CA"/>
        </w:rPr>
        <w:t>) importe simplement cette exigence de pertinence dans l’examen de la question de savoir si l’appareil fonctionnait mal ou a été utilisé incorrectement.</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Quant aux présomptions d’identité prévues aux al. 258(1)</w:t>
      </w:r>
      <w:r w:rsidRPr="00635A9F">
        <w:rPr>
          <w:i/>
          <w:sz w:val="20"/>
          <w:lang w:val="fr-CA"/>
        </w:rPr>
        <w:t>c</w:t>
      </w:r>
      <w:r w:rsidRPr="00635A9F">
        <w:rPr>
          <w:sz w:val="20"/>
          <w:lang w:val="fr-CA"/>
        </w:rPr>
        <w:t>) et 258(1</w:t>
      </w:r>
      <w:proofErr w:type="gramStart"/>
      <w:r w:rsidRPr="00635A9F">
        <w:rPr>
          <w:sz w:val="20"/>
          <w:lang w:val="fr-CA"/>
        </w:rPr>
        <w:t>)</w:t>
      </w:r>
      <w:r w:rsidRPr="00635A9F">
        <w:rPr>
          <w:i/>
          <w:sz w:val="20"/>
          <w:lang w:val="fr-CA"/>
        </w:rPr>
        <w:t>d.1</w:t>
      </w:r>
      <w:proofErr w:type="gramEnd"/>
      <w:r w:rsidRPr="00635A9F">
        <w:rPr>
          <w:sz w:val="20"/>
          <w:lang w:val="fr-CA"/>
        </w:rPr>
        <w:t xml:space="preserve">) du </w:t>
      </w:r>
      <w:r w:rsidRPr="00635A9F">
        <w:rPr>
          <w:i/>
          <w:sz w:val="20"/>
          <w:lang w:val="fr-CA"/>
        </w:rPr>
        <w:t>Code criminel</w:t>
      </w:r>
      <w:r w:rsidRPr="00635A9F">
        <w:rPr>
          <w:sz w:val="20"/>
          <w:lang w:val="fr-CA"/>
        </w:rPr>
        <w:t>, il existe une imposante preuve démontrant que des analyses d’alcoolémie effectuées conformément aux exigences prescrites par la loi et révélant un TA supérieur à 0,08 constituent une indication fiable que le TA de l’accusé au moment où il conduisait était égal ou supérieur au TA ainsi mesuré.  Le fait de présumer que le TA de l’accusé au moment des analyses correspond à son TA au moment où il conduisait ne viole pas le droit à la présomption d’innocence.  Le législateur a tout simplement énoncé dans la loi des faits bien établis, afin qu’il ne soit pas nécessaire de les prouver dans chaque instance.  Il n’y a aucun risque qu’un accusé soit déclaré coupable s’il existe un doute raisonnable sensé et logique, basé sur la preuve ou sur une absence de preuve.  Un doute quant à l’application des présomptions d’identité qui serait fondé sur la notion du dernier verre ou celle du verre d’après relèverait de la conjecture en l’absence de preuve que l’un ou l’autre de ces scénarios s’est réellement produit.  C’est d’abord et avant tout l’accusé lui</w:t>
      </w:r>
      <w:r w:rsidRPr="00635A9F">
        <w:rPr>
          <w:sz w:val="20"/>
          <w:lang w:val="fr-CA"/>
        </w:rPr>
        <w:noBreakHyphen/>
        <w:t>même qui sait s’il a bu après avoir conduit, et ce serait imposer un fardeau indûment lourd à la poursuite que de l’obliger à réfuter dans tous les cas cette possibilité plutôt inhabituelle, même quand celle</w:t>
      </w:r>
      <w:r w:rsidRPr="00635A9F">
        <w:rPr>
          <w:sz w:val="20"/>
          <w:lang w:val="fr-CA"/>
        </w:rPr>
        <w:noBreakHyphen/>
        <w:t>ci n’est aucunement étayée par la preuve.  De plus, les dispositions contestées ne libèrent pas le ministère public de son obligation de présenter une preuve complète contre l’accusé avant que celui</w:t>
      </w:r>
      <w:r w:rsidRPr="00635A9F">
        <w:rPr>
          <w:sz w:val="20"/>
          <w:lang w:val="fr-CA"/>
        </w:rPr>
        <w:noBreakHyphen/>
        <w:t xml:space="preserve">ci ne soit tenu de répondre.  Lorsqu’une analyse effectuée en conformité avec les exigences prescrites par la loi indique un TA supérieur à 0,08, le juge du procès ne saurait conclure que rien dans la preuve ne lui permet de prononcer raisonnablement une déclaration de culpabilité contre l’accusé.  </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 xml:space="preserve">Même </w:t>
      </w:r>
      <w:proofErr w:type="gramStart"/>
      <w:r w:rsidRPr="00635A9F">
        <w:rPr>
          <w:sz w:val="20"/>
          <w:lang w:val="fr-CA"/>
        </w:rPr>
        <w:t>en supposant</w:t>
      </w:r>
      <w:proofErr w:type="gramEnd"/>
      <w:r w:rsidRPr="00635A9F">
        <w:rPr>
          <w:sz w:val="20"/>
          <w:lang w:val="fr-CA"/>
        </w:rPr>
        <w:t xml:space="preserve"> que les al. 258(1)</w:t>
      </w:r>
      <w:r w:rsidRPr="00635A9F">
        <w:rPr>
          <w:i/>
          <w:sz w:val="20"/>
          <w:lang w:val="fr-CA"/>
        </w:rPr>
        <w:t>c</w:t>
      </w:r>
      <w:r w:rsidRPr="00635A9F">
        <w:rPr>
          <w:sz w:val="20"/>
          <w:lang w:val="fr-CA"/>
        </w:rPr>
        <w:t>), 258(1</w:t>
      </w:r>
      <w:proofErr w:type="gramStart"/>
      <w:r w:rsidRPr="00635A9F">
        <w:rPr>
          <w:sz w:val="20"/>
          <w:lang w:val="fr-CA"/>
        </w:rPr>
        <w:t>)</w:t>
      </w:r>
      <w:r w:rsidRPr="00635A9F">
        <w:rPr>
          <w:i/>
          <w:sz w:val="20"/>
          <w:lang w:val="fr-CA"/>
        </w:rPr>
        <w:t>d.01</w:t>
      </w:r>
      <w:proofErr w:type="gramEnd"/>
      <w:r w:rsidRPr="00635A9F">
        <w:rPr>
          <w:sz w:val="20"/>
          <w:lang w:val="fr-CA"/>
        </w:rPr>
        <w:t>) ou 258(1)</w:t>
      </w:r>
      <w:r w:rsidRPr="00635A9F">
        <w:rPr>
          <w:i/>
          <w:sz w:val="20"/>
          <w:lang w:val="fr-CA"/>
        </w:rPr>
        <w:t>d.1</w:t>
      </w:r>
      <w:r w:rsidRPr="00635A9F">
        <w:rPr>
          <w:sz w:val="20"/>
          <w:lang w:val="fr-CA"/>
        </w:rPr>
        <w:t xml:space="preserve">) du </w:t>
      </w:r>
      <w:r w:rsidRPr="00635A9F">
        <w:rPr>
          <w:i/>
          <w:sz w:val="20"/>
          <w:lang w:val="fr-CA"/>
        </w:rPr>
        <w:t>Code criminel</w:t>
      </w:r>
      <w:r w:rsidRPr="00635A9F">
        <w:rPr>
          <w:sz w:val="20"/>
          <w:lang w:val="fr-CA"/>
        </w:rPr>
        <w:t xml:space="preserve"> limitent le droit à la présomption d’innocence garanti par l’al. 11</w:t>
      </w:r>
      <w:r w:rsidRPr="00635A9F">
        <w:rPr>
          <w:i/>
          <w:sz w:val="20"/>
          <w:lang w:val="fr-CA"/>
        </w:rPr>
        <w:t>d</w:t>
      </w:r>
      <w:r w:rsidRPr="00635A9F">
        <w:rPr>
          <w:sz w:val="20"/>
          <w:lang w:val="fr-CA"/>
        </w:rPr>
        <w:t xml:space="preserve">) de la </w:t>
      </w:r>
      <w:r w:rsidRPr="00635A9F">
        <w:rPr>
          <w:i/>
          <w:sz w:val="20"/>
          <w:lang w:val="fr-CA"/>
        </w:rPr>
        <w:t>Charte</w:t>
      </w:r>
      <w:r w:rsidRPr="00635A9F">
        <w:rPr>
          <w:sz w:val="20"/>
          <w:lang w:val="fr-CA"/>
        </w:rPr>
        <w:t>, il s’agit d’une limite raisonnable et justifiée dans le cadre d’une société libre et démocratique.</w:t>
      </w:r>
    </w:p>
    <w:p w:rsidR="00635A9F" w:rsidRPr="00635A9F" w:rsidRDefault="00635A9F" w:rsidP="00635A9F">
      <w:pPr>
        <w:pStyle w:val="SCCNormalDoubleSpacing"/>
        <w:spacing w:line="240" w:lineRule="auto"/>
        <w:rPr>
          <w:sz w:val="20"/>
          <w:lang w:val="fr-CA"/>
        </w:rPr>
      </w:pPr>
    </w:p>
    <w:p w:rsidR="00635A9F" w:rsidRPr="00635A9F" w:rsidRDefault="00635A9F" w:rsidP="00635A9F">
      <w:pPr>
        <w:pStyle w:val="SCCNormalDoubleSpacing"/>
        <w:spacing w:line="240" w:lineRule="auto"/>
        <w:rPr>
          <w:sz w:val="20"/>
          <w:lang w:val="fr-CA"/>
        </w:rPr>
      </w:pPr>
      <w:r w:rsidRPr="00635A9F">
        <w:rPr>
          <w:sz w:val="20"/>
          <w:lang w:val="fr-CA"/>
        </w:rPr>
        <w:tab/>
        <w:t>POURVOI contre un jugement de la Cour du Québec (le juge Chapdelaine), 2010 QCCQ 8552, [2010] J.Q. n</w:t>
      </w:r>
      <w:r w:rsidRPr="00635A9F">
        <w:rPr>
          <w:sz w:val="20"/>
          <w:vertAlign w:val="superscript"/>
          <w:lang w:val="fr-CA"/>
        </w:rPr>
        <w:t>o</w:t>
      </w:r>
      <w:r w:rsidRPr="00635A9F">
        <w:rPr>
          <w:sz w:val="20"/>
          <w:lang w:val="fr-CA"/>
        </w:rPr>
        <w:t> 10077 (QL), 2010 CarswellQue 10716, qui a déclaré l’accusée coupable de conduite d’un véhicule avec une alcoolémie supérieure à la limite légale et qui a confirmé en partie la constitutionnalité des al. 258(1)</w:t>
      </w:r>
      <w:proofErr w:type="gramStart"/>
      <w:r w:rsidRPr="00635A9F">
        <w:rPr>
          <w:i/>
          <w:sz w:val="20"/>
          <w:lang w:val="fr-CA"/>
        </w:rPr>
        <w:t>c</w:t>
      </w:r>
      <w:proofErr w:type="gramEnd"/>
      <w:r w:rsidRPr="00635A9F">
        <w:rPr>
          <w:sz w:val="20"/>
          <w:lang w:val="fr-CA"/>
        </w:rPr>
        <w:t xml:space="preserve">), </w:t>
      </w:r>
      <w:r w:rsidRPr="00635A9F">
        <w:rPr>
          <w:i/>
          <w:sz w:val="20"/>
          <w:lang w:val="fr-CA"/>
        </w:rPr>
        <w:t>d.01</w:t>
      </w:r>
      <w:r w:rsidRPr="00635A9F">
        <w:rPr>
          <w:sz w:val="20"/>
          <w:lang w:val="fr-CA"/>
        </w:rPr>
        <w:t xml:space="preserve">) et </w:t>
      </w:r>
      <w:r w:rsidRPr="00635A9F">
        <w:rPr>
          <w:i/>
          <w:sz w:val="20"/>
          <w:lang w:val="fr-CA"/>
        </w:rPr>
        <w:t>d.1</w:t>
      </w:r>
      <w:r w:rsidRPr="00635A9F">
        <w:rPr>
          <w:sz w:val="20"/>
          <w:lang w:val="fr-CA"/>
        </w:rPr>
        <w:t xml:space="preserve">) du </w:t>
      </w:r>
      <w:r w:rsidRPr="00635A9F">
        <w:rPr>
          <w:i/>
          <w:sz w:val="20"/>
          <w:lang w:val="fr-CA"/>
        </w:rPr>
        <w:t>Code criminel</w:t>
      </w:r>
      <w:r w:rsidRPr="00635A9F">
        <w:rPr>
          <w:sz w:val="20"/>
          <w:lang w:val="fr-CA"/>
        </w:rPr>
        <w:t>.  Pourvoi accueilli en partie, les juges Rothstein et Cromwell sont dissidents en partie.</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Michel Déom</w:t>
      </w:r>
      <w:r w:rsidRPr="00635A9F">
        <w:rPr>
          <w:sz w:val="20"/>
          <w:lang w:val="fr-CA"/>
        </w:rPr>
        <w:t xml:space="preserve">, </w:t>
      </w:r>
      <w:r w:rsidRPr="00635A9F">
        <w:rPr>
          <w:i/>
          <w:sz w:val="20"/>
          <w:lang w:val="fr-CA"/>
        </w:rPr>
        <w:t>Jean</w:t>
      </w:r>
      <w:r w:rsidRPr="00635A9F">
        <w:rPr>
          <w:i/>
          <w:sz w:val="20"/>
          <w:lang w:val="fr-CA"/>
        </w:rPr>
        <w:noBreakHyphen/>
        <w:t>Vincent Lacroix, Marie</w:t>
      </w:r>
      <w:r w:rsidRPr="00635A9F">
        <w:rPr>
          <w:i/>
          <w:sz w:val="20"/>
          <w:lang w:val="fr-CA"/>
        </w:rPr>
        <w:noBreakHyphen/>
        <w:t>Ève Mayer</w:t>
      </w:r>
      <w:r w:rsidRPr="00635A9F">
        <w:rPr>
          <w:sz w:val="20"/>
          <w:lang w:val="fr-CA"/>
        </w:rPr>
        <w:t xml:space="preserve"> et </w:t>
      </w:r>
      <w:r w:rsidRPr="00635A9F">
        <w:rPr>
          <w:i/>
          <w:sz w:val="20"/>
          <w:lang w:val="fr-CA"/>
        </w:rPr>
        <w:t>Patricia Blair</w:t>
      </w:r>
      <w:r w:rsidRPr="00635A9F">
        <w:rPr>
          <w:sz w:val="20"/>
          <w:lang w:val="fr-CA"/>
        </w:rPr>
        <w:t>, pour les appelants.</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Patrick Fréchette</w:t>
      </w:r>
      <w:r w:rsidRPr="00635A9F">
        <w:rPr>
          <w:sz w:val="20"/>
          <w:lang w:val="fr-CA"/>
        </w:rPr>
        <w:t>, pour l’intimée.</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François Joyal et Ginette Gobeil</w:t>
      </w:r>
      <w:r w:rsidRPr="00635A9F">
        <w:rPr>
          <w:sz w:val="20"/>
          <w:lang w:val="fr-CA"/>
        </w:rPr>
        <w:t>, pour l’intervenant le procureur général du Canada.</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James V. Palangio</w:t>
      </w:r>
      <w:r w:rsidRPr="00635A9F">
        <w:rPr>
          <w:sz w:val="20"/>
          <w:lang w:val="fr-CA"/>
        </w:rPr>
        <w:t xml:space="preserve"> et </w:t>
      </w:r>
      <w:r w:rsidRPr="00635A9F">
        <w:rPr>
          <w:i/>
          <w:sz w:val="20"/>
          <w:lang w:val="fr-CA"/>
        </w:rPr>
        <w:t>Philip Perlmutter</w:t>
      </w:r>
      <w:r w:rsidRPr="00635A9F">
        <w:rPr>
          <w:sz w:val="20"/>
          <w:lang w:val="fr-CA"/>
        </w:rPr>
        <w:t>, pour l’intervenant le procureur général de l’Ontario.</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Christian Vanderhooft et Nathaniel Carnegie</w:t>
      </w:r>
      <w:r w:rsidRPr="00635A9F">
        <w:rPr>
          <w:sz w:val="20"/>
          <w:lang w:val="fr-CA"/>
        </w:rPr>
        <w:t>, pour l’intervenant le procureur général du Manitoba.</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Rodney Garson et Roger F. Cutler</w:t>
      </w:r>
      <w:r w:rsidRPr="00635A9F">
        <w:rPr>
          <w:sz w:val="20"/>
          <w:lang w:val="fr-CA"/>
        </w:rPr>
        <w:t>, pour l’intervenant le procureur général de la Colombie</w:t>
      </w:r>
      <w:r w:rsidRPr="00635A9F">
        <w:rPr>
          <w:sz w:val="20"/>
          <w:lang w:val="fr-CA"/>
        </w:rPr>
        <w:noBreakHyphen/>
        <w:t>Britannique.</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Jason R. Russell</w:t>
      </w:r>
      <w:r w:rsidRPr="00635A9F">
        <w:rPr>
          <w:sz w:val="20"/>
          <w:lang w:val="fr-CA"/>
        </w:rPr>
        <w:t xml:space="preserve"> et </w:t>
      </w:r>
      <w:r w:rsidRPr="00635A9F">
        <w:rPr>
          <w:i/>
          <w:sz w:val="20"/>
          <w:lang w:val="fr-CA"/>
        </w:rPr>
        <w:t>Robert Palser</w:t>
      </w:r>
      <w:r w:rsidRPr="00635A9F">
        <w:rPr>
          <w:sz w:val="20"/>
          <w:lang w:val="fr-CA"/>
        </w:rPr>
        <w:t xml:space="preserve">, pour l’intervenant le procureur général de l’Alberta. </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Marco LaBrie et Jean</w:t>
      </w:r>
      <w:r w:rsidRPr="00635A9F">
        <w:rPr>
          <w:i/>
          <w:sz w:val="20"/>
          <w:lang w:val="fr-CA"/>
        </w:rPr>
        <w:noBreakHyphen/>
        <w:t>Philippe Marcoux</w:t>
      </w:r>
      <w:r w:rsidRPr="00635A9F">
        <w:rPr>
          <w:sz w:val="20"/>
          <w:lang w:val="fr-CA"/>
        </w:rPr>
        <w:t xml:space="preserve">, pour l’intervenant le Barreau du Québec. </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Éric Downs</w:t>
      </w:r>
      <w:r w:rsidRPr="00635A9F">
        <w:rPr>
          <w:sz w:val="20"/>
          <w:lang w:val="fr-CA"/>
        </w:rPr>
        <w:t xml:space="preserve"> et </w:t>
      </w:r>
      <w:r w:rsidRPr="00635A9F">
        <w:rPr>
          <w:i/>
          <w:sz w:val="20"/>
          <w:lang w:val="fr-CA"/>
        </w:rPr>
        <w:t>Julie Bolduc</w:t>
      </w:r>
      <w:r w:rsidRPr="00635A9F">
        <w:rPr>
          <w:sz w:val="20"/>
          <w:lang w:val="fr-CA"/>
        </w:rPr>
        <w:t>, pour l’intervenante l’Association québécoise des avocats et avocates de la défense.</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Patrick Ducharme et Paul Burstein</w:t>
      </w:r>
      <w:r w:rsidRPr="00635A9F">
        <w:rPr>
          <w:sz w:val="20"/>
          <w:lang w:val="fr-CA"/>
        </w:rPr>
        <w:t>, pour l’intervenante Criminal Lawyers’ Association of Ontario.</w:t>
      </w:r>
    </w:p>
    <w:p w:rsidR="00635A9F" w:rsidRPr="00635A9F" w:rsidRDefault="00635A9F" w:rsidP="00635A9F">
      <w:pPr>
        <w:pStyle w:val="SCCNormalDoubleSpacing"/>
        <w:spacing w:line="240" w:lineRule="auto"/>
        <w:rPr>
          <w:i/>
          <w:sz w:val="20"/>
          <w:lang w:val="fr-CA"/>
        </w:rPr>
      </w:pPr>
    </w:p>
    <w:p w:rsidR="00635A9F" w:rsidRPr="00635A9F" w:rsidRDefault="00635A9F" w:rsidP="00635A9F">
      <w:pPr>
        <w:pStyle w:val="SCCNormalDoubleSpacing"/>
        <w:spacing w:line="240" w:lineRule="auto"/>
        <w:rPr>
          <w:sz w:val="20"/>
          <w:lang w:val="fr-CA"/>
        </w:rPr>
      </w:pPr>
      <w:r w:rsidRPr="00635A9F">
        <w:rPr>
          <w:i/>
          <w:sz w:val="20"/>
          <w:lang w:val="fr-CA"/>
        </w:rPr>
        <w:tab/>
        <w:t>Shannon K. C. Prithipaul</w:t>
      </w:r>
      <w:r w:rsidRPr="00635A9F">
        <w:rPr>
          <w:sz w:val="20"/>
          <w:lang w:val="fr-CA"/>
        </w:rPr>
        <w:t>, pour l’intervenante Criminal Trial Lawyers’ Association.</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 des appelants : Procureur général du Québec, Montréal.</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Procureurs de l’intimée : Fréchette, Blanchette, Sherbrooke.</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 de l’intervenant le procureur général du Canada : Procureur général du Canada, Montréal.</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 de l’intervenant le procureur général de l’Ontario : Procureur général de l’Ontario, Toronto.</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 de l’intervenant le procureur général du Manitoba : Procureur général du Manitoba, Winnipeg.</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 de l’intervenant le procureur général de la Colombie</w:t>
      </w:r>
      <w:r w:rsidRPr="00635A9F">
        <w:rPr>
          <w:sz w:val="20"/>
          <w:lang w:val="fr-CA"/>
        </w:rPr>
        <w:noBreakHyphen/>
        <w:t>Britannique : Procureur général de la Colombie</w:t>
      </w:r>
      <w:r w:rsidRPr="00635A9F">
        <w:rPr>
          <w:sz w:val="20"/>
          <w:lang w:val="fr-CA"/>
        </w:rPr>
        <w:noBreakHyphen/>
        <w:t>Britannique, Victoria.</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 de l’intervenant le procureur général de l’Alberta : Procureur général de l’Alberta, Edmonton.</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Procureurs de l’intervenant le Barreau du Québec : LaBrie, Gariépy &amp; Associés, Longueuil.</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Procureurs de l’intervenante l’Association québécoise des avocats et avocates de la défense : Downs Lepage, Montréal.</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 xml:space="preserve">Procureurs de l’intervenante Criminal Lawyers’ Association of Ontario : Ducharme Fox, Windsor; Burstein Bryant, Toronto. </w:t>
      </w:r>
    </w:p>
    <w:p w:rsidR="00635A9F" w:rsidRPr="00635A9F" w:rsidRDefault="00635A9F" w:rsidP="00635A9F">
      <w:pPr>
        <w:pStyle w:val="SCCLawFirm"/>
        <w:spacing w:line="240" w:lineRule="auto"/>
        <w:rPr>
          <w:sz w:val="20"/>
          <w:lang w:val="fr-CA"/>
        </w:rPr>
      </w:pPr>
    </w:p>
    <w:p w:rsidR="00635A9F" w:rsidRPr="00635A9F" w:rsidRDefault="00635A9F" w:rsidP="00635A9F">
      <w:pPr>
        <w:pStyle w:val="SCCLawFirm"/>
        <w:spacing w:line="240" w:lineRule="auto"/>
        <w:rPr>
          <w:sz w:val="20"/>
          <w:lang w:val="fr-CA"/>
        </w:rPr>
      </w:pPr>
      <w:r w:rsidRPr="00635A9F">
        <w:rPr>
          <w:sz w:val="20"/>
          <w:lang w:val="fr-CA"/>
        </w:rPr>
        <w:tab/>
        <w:t>Procureurs de l’intervenante Criminal Trial Lawyers’ Association : Gunn Law Group, Edmonton.</w:t>
      </w:r>
    </w:p>
    <w:p w:rsidR="00635A9F" w:rsidRPr="00635A9F" w:rsidRDefault="00635A9F" w:rsidP="00635A9F">
      <w:pPr>
        <w:rPr>
          <w:rFonts w:cs="Times New Roman"/>
          <w:sz w:val="20"/>
          <w:szCs w:val="20"/>
        </w:rPr>
      </w:pPr>
      <w:r w:rsidRPr="00635A9F">
        <w:rPr>
          <w:rFonts w:cs="Times New Roman"/>
          <w:sz w:val="20"/>
          <w:szCs w:val="20"/>
        </w:rPr>
        <w:t>________________________</w:t>
      </w:r>
    </w:p>
    <w:p w:rsidR="00635A9F" w:rsidRPr="00635A9F" w:rsidRDefault="00635A9F" w:rsidP="00635A9F">
      <w:pPr>
        <w:rPr>
          <w:rFonts w:cs="Times New Roman"/>
          <w:sz w:val="20"/>
          <w:szCs w:val="20"/>
        </w:rPr>
      </w:pPr>
    </w:p>
    <w:p w:rsidR="006B3BA7" w:rsidRPr="00E7285F" w:rsidRDefault="006B3BA7" w:rsidP="006B3BA7">
      <w:pPr>
        <w:jc w:val="both"/>
        <w:rPr>
          <w:sz w:val="20"/>
          <w:szCs w:val="20"/>
        </w:rPr>
      </w:pPr>
      <w:r w:rsidRPr="00E7285F">
        <w:rPr>
          <w:sz w:val="20"/>
          <w:szCs w:val="20"/>
        </w:rPr>
        <w:t>Present:  McLachlin C.J. and LeBel, Deschamps, Fish, Abella, Rothstein and Cromwell JJ.</w:t>
      </w:r>
    </w:p>
    <w:p w:rsidR="006B3BA7" w:rsidRDefault="006B3BA7" w:rsidP="006B3BA7">
      <w:pPr>
        <w:pStyle w:val="SCCLowerCourtNameLowercase"/>
        <w:spacing w:line="240" w:lineRule="auto"/>
        <w:rPr>
          <w:sz w:val="20"/>
        </w:rPr>
      </w:pPr>
    </w:p>
    <w:p w:rsidR="006B3BA7" w:rsidRPr="00E7285F" w:rsidRDefault="006B3BA7" w:rsidP="006B3BA7">
      <w:pPr>
        <w:pStyle w:val="SCCNormalDoubleSpacing"/>
        <w:spacing w:line="240" w:lineRule="auto"/>
        <w:rPr>
          <w:i/>
          <w:sz w:val="20"/>
        </w:rPr>
      </w:pPr>
      <w:r w:rsidRPr="00E7285F">
        <w:rPr>
          <w:sz w:val="20"/>
        </w:rPr>
        <w:tab/>
      </w:r>
      <w:r w:rsidRPr="00E7285F">
        <w:rPr>
          <w:i/>
          <w:sz w:val="20"/>
        </w:rPr>
        <w:t>Constitutional law — Charter of Rights — Presumption of innocence — Statutory amendments affecting evidence that can be adduced to rebut presumption of accuracy and presumptions of identity in context of prosecution for driving with blood alcohol level over legal limit — Exclusion of possibility that “Carter” defence would suffice on its own to cast doubt on breathalyzer test results — Whether new provisions of Criminal Code infringe right to be presumed innocent — If so, whether infringement justified — Criminal Code, R.S.C. 1985, c. C</w:t>
      </w:r>
      <w:r w:rsidRPr="00E7285F">
        <w:rPr>
          <w:i/>
          <w:sz w:val="20"/>
        </w:rPr>
        <w:noBreakHyphen/>
        <w:t xml:space="preserve">46, ss. 258(1)(c), 258(1)(d.01), 258(1)(d.1) — </w:t>
      </w:r>
      <w:r w:rsidRPr="00E7285F">
        <w:rPr>
          <w:i/>
          <w:iCs/>
          <w:sz w:val="20"/>
        </w:rPr>
        <w:t>Tackling Violent Crime Act</w:t>
      </w:r>
      <w:r w:rsidRPr="00E7285F">
        <w:rPr>
          <w:i/>
          <w:sz w:val="20"/>
        </w:rPr>
        <w:t>, S.C. 2008, c. 6 — Canadian Charter of Rights and Freedoms</w:t>
      </w:r>
      <w:r w:rsidRPr="00E7285F">
        <w:rPr>
          <w:sz w:val="20"/>
        </w:rPr>
        <w:t>, ss. </w:t>
      </w:r>
      <w:r w:rsidRPr="00E7285F">
        <w:rPr>
          <w:i/>
          <w:sz w:val="20"/>
        </w:rPr>
        <w:t>1, 11(d).</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i/>
          <w:sz w:val="20"/>
        </w:rPr>
      </w:pPr>
      <w:r w:rsidRPr="00E7285F">
        <w:rPr>
          <w:sz w:val="20"/>
        </w:rPr>
        <w:tab/>
      </w:r>
      <w:r w:rsidRPr="00E7285F">
        <w:rPr>
          <w:i/>
          <w:sz w:val="20"/>
        </w:rPr>
        <w:t>Constitutional law — Charter of Rights — Fundamental justice — Right to make full answer and defence — Statutory amendments affecting evidence that can be adduced to rebut presumption of accuracy and presumptions of identity in context of prosecution for driving with blood alcohol level over legal limit — Exclusion of possibility that “Carter” defence would suffice on its own to cast doubt on breathalyzer test results — Whether new provisions of Criminal Code infringe right to make full answer and defence — If so, whether infringement justified — Criminal Code, R.S.C. 1985, c. C</w:t>
      </w:r>
      <w:r w:rsidRPr="00E7285F">
        <w:rPr>
          <w:i/>
          <w:sz w:val="20"/>
        </w:rPr>
        <w:noBreakHyphen/>
        <w:t xml:space="preserve">46, ss. 258(1)(c), 258(1)(d.01), 258(1)(d.1) — </w:t>
      </w:r>
      <w:r w:rsidRPr="00E7285F">
        <w:rPr>
          <w:i/>
          <w:iCs/>
          <w:sz w:val="20"/>
        </w:rPr>
        <w:t>Tackling Violent Crime Act</w:t>
      </w:r>
      <w:r w:rsidRPr="00E7285F">
        <w:rPr>
          <w:i/>
          <w:sz w:val="20"/>
        </w:rPr>
        <w:t>, S.C. 2008, c. 6 — Canadian Charter of Rights and Freedoms</w:t>
      </w:r>
      <w:r w:rsidRPr="00E7285F">
        <w:rPr>
          <w:sz w:val="20"/>
        </w:rPr>
        <w:t>, ss. </w:t>
      </w:r>
      <w:r w:rsidRPr="00E7285F">
        <w:rPr>
          <w:i/>
          <w:sz w:val="20"/>
        </w:rPr>
        <w:t>1, 7.</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i/>
          <w:sz w:val="20"/>
        </w:rPr>
      </w:pPr>
      <w:r w:rsidRPr="00E7285F">
        <w:rPr>
          <w:sz w:val="20"/>
        </w:rPr>
        <w:tab/>
      </w:r>
      <w:r w:rsidRPr="00E7285F">
        <w:rPr>
          <w:i/>
          <w:sz w:val="20"/>
        </w:rPr>
        <w:t>Constitutional law — Charter of Rights — Self</w:t>
      </w:r>
      <w:r w:rsidRPr="00E7285F">
        <w:rPr>
          <w:i/>
          <w:sz w:val="20"/>
        </w:rPr>
        <w:noBreakHyphen/>
        <w:t>incrimination — Statutory amendments affecting evidence that can be adduced to rebut presumption of accuracy and presumptions of identity in context of prosecution for driving with blood alcohol level over legal limit — Exclusion of possibility that “Carter” defence would suffice on its own to cast doubt on breathalyzer test results — Whether new provisions of Criminal Code infringe protection against self</w:t>
      </w:r>
      <w:r w:rsidRPr="00E7285F">
        <w:rPr>
          <w:i/>
          <w:sz w:val="20"/>
        </w:rPr>
        <w:noBreakHyphen/>
        <w:t>incrimination — If so, whether infringement justified — Criminal Code, R.S.C. 1985, c. C</w:t>
      </w:r>
      <w:r w:rsidRPr="00E7285F">
        <w:rPr>
          <w:i/>
          <w:sz w:val="20"/>
        </w:rPr>
        <w:noBreakHyphen/>
        <w:t xml:space="preserve">46, ss. 258(1)(c), 258(1)(d.01), 258(1)(d.1) — </w:t>
      </w:r>
      <w:r w:rsidRPr="00E7285F">
        <w:rPr>
          <w:i/>
          <w:iCs/>
          <w:sz w:val="20"/>
        </w:rPr>
        <w:t>Tackling Violent Crime Act</w:t>
      </w:r>
      <w:r w:rsidRPr="00E7285F">
        <w:rPr>
          <w:i/>
          <w:sz w:val="20"/>
        </w:rPr>
        <w:t>, S.C. 2008, c. 6 — Canadian Charter of Rights and Freedoms, ss. 1, 11(c).</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 xml:space="preserve">L was charged with operating a vehicle with a blood alcohol level over the legal limit.  At trial, she argued that the new provisions of the </w:t>
      </w:r>
      <w:r w:rsidRPr="00E7285F">
        <w:rPr>
          <w:i/>
          <w:sz w:val="20"/>
        </w:rPr>
        <w:t xml:space="preserve">Criminal Code </w:t>
      </w:r>
      <w:r w:rsidRPr="00E7285F">
        <w:rPr>
          <w:sz w:val="20"/>
        </w:rPr>
        <w:t xml:space="preserve">with respect to breathalyzer test results are unconstitutional.  The trial judge found that the statutory amendments did not bar L from presenting a </w:t>
      </w:r>
      <w:r w:rsidRPr="00E7285F">
        <w:rPr>
          <w:i/>
          <w:sz w:val="20"/>
        </w:rPr>
        <w:t>Carter</w:t>
      </w:r>
      <w:r w:rsidRPr="00E7285F">
        <w:rPr>
          <w:sz w:val="20"/>
        </w:rPr>
        <w:t xml:space="preserve"> defence to rebut the presumption of accuracy.  In light of the evidence, he concluded that L’s testimony about her alcohol consumption was not sufficiently serious or probative to raise a reasonable doubt.  Finding that the qualified technician’s explanations were sufficient and that the presumptions established in s. 258(1</w:t>
      </w:r>
      <w:proofErr w:type="gramStart"/>
      <w:r w:rsidRPr="00E7285F">
        <w:rPr>
          <w:sz w:val="20"/>
        </w:rPr>
        <w:t>)(</w:t>
      </w:r>
      <w:proofErr w:type="gramEnd"/>
      <w:r w:rsidRPr="00E7285F">
        <w:rPr>
          <w:i/>
          <w:sz w:val="20"/>
        </w:rPr>
        <w:t>c</w:t>
      </w:r>
      <w:r w:rsidRPr="00E7285F">
        <w:rPr>
          <w:sz w:val="20"/>
        </w:rPr>
        <w:t>) and s. 258(1)(</w:t>
      </w:r>
      <w:r w:rsidRPr="00E7285F">
        <w:rPr>
          <w:i/>
          <w:sz w:val="20"/>
        </w:rPr>
        <w:t>d.1</w:t>
      </w:r>
      <w:r w:rsidRPr="00E7285F">
        <w:rPr>
          <w:sz w:val="20"/>
        </w:rPr>
        <w:t xml:space="preserve">) of the </w:t>
      </w:r>
      <w:r w:rsidRPr="00E7285F">
        <w:rPr>
          <w:i/>
          <w:sz w:val="20"/>
        </w:rPr>
        <w:t>Criminal Code</w:t>
      </w:r>
      <w:r w:rsidRPr="00E7285F">
        <w:rPr>
          <w:sz w:val="20"/>
        </w:rPr>
        <w:t xml:space="preserve"> applied, he convicted L.  The trial judge upheld in part the constitutionality of the new </w:t>
      </w:r>
      <w:r w:rsidRPr="00E7285F">
        <w:rPr>
          <w:i/>
          <w:sz w:val="20"/>
        </w:rPr>
        <w:t>Criminal Code</w:t>
      </w:r>
      <w:r w:rsidRPr="00E7285F">
        <w:rPr>
          <w:sz w:val="20"/>
        </w:rPr>
        <w:t xml:space="preserve"> provisions.</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r>
      <w:r w:rsidRPr="00E7285F">
        <w:rPr>
          <w:i/>
          <w:sz w:val="20"/>
        </w:rPr>
        <w:t>Held</w:t>
      </w:r>
      <w:r w:rsidRPr="00E7285F">
        <w:rPr>
          <w:sz w:val="20"/>
        </w:rPr>
        <w:t> (Rothstein and Cromwell JJ. dissenting in part):  The appeal should be allowed in part.  Sections 258(1)(</w:t>
      </w:r>
      <w:r w:rsidRPr="00E7285F">
        <w:rPr>
          <w:i/>
          <w:sz w:val="20"/>
        </w:rPr>
        <w:t>c</w:t>
      </w:r>
      <w:r w:rsidRPr="00E7285F">
        <w:rPr>
          <w:sz w:val="20"/>
        </w:rPr>
        <w:t>), 258(1)(</w:t>
      </w:r>
      <w:r w:rsidRPr="00E7285F">
        <w:rPr>
          <w:i/>
          <w:sz w:val="20"/>
        </w:rPr>
        <w:t>d.01</w:t>
      </w:r>
      <w:r w:rsidRPr="00E7285F">
        <w:rPr>
          <w:sz w:val="20"/>
        </w:rPr>
        <w:t>) and 258(1)(</w:t>
      </w:r>
      <w:r w:rsidRPr="00E7285F">
        <w:rPr>
          <w:i/>
          <w:sz w:val="20"/>
        </w:rPr>
        <w:t>d.1</w:t>
      </w:r>
      <w:r w:rsidRPr="00E7285F">
        <w:rPr>
          <w:sz w:val="20"/>
        </w:rPr>
        <w:t xml:space="preserve">) of the </w:t>
      </w:r>
      <w:r w:rsidRPr="00E7285F">
        <w:rPr>
          <w:i/>
          <w:sz w:val="20"/>
        </w:rPr>
        <w:t>Criminal Code</w:t>
      </w:r>
      <w:r w:rsidRPr="00E7285F">
        <w:rPr>
          <w:sz w:val="20"/>
        </w:rPr>
        <w:t xml:space="preserve"> do not infringe s. 7 and s. 11(</w:t>
      </w:r>
      <w:r w:rsidRPr="00E7285F">
        <w:rPr>
          <w:i/>
          <w:sz w:val="20"/>
        </w:rPr>
        <w:t>c</w:t>
      </w:r>
      <w:r w:rsidRPr="00E7285F">
        <w:rPr>
          <w:sz w:val="20"/>
        </w:rPr>
        <w:t xml:space="preserve">) of the </w:t>
      </w:r>
      <w:r w:rsidRPr="00E7285F">
        <w:rPr>
          <w:i/>
          <w:sz w:val="20"/>
        </w:rPr>
        <w:t>Canadian Charter of Rights and Freedoms</w:t>
      </w:r>
      <w:r w:rsidRPr="00E7285F">
        <w:rPr>
          <w:sz w:val="20"/>
        </w:rPr>
        <w:t>, but do infringe s. 11(</w:t>
      </w:r>
      <w:r w:rsidRPr="00E7285F">
        <w:rPr>
          <w:i/>
          <w:sz w:val="20"/>
        </w:rPr>
        <w:t>d</w:t>
      </w:r>
      <w:r w:rsidRPr="00E7285F">
        <w:rPr>
          <w:sz w:val="20"/>
        </w:rPr>
        <w:t>).  Sections 258(1</w:t>
      </w:r>
      <w:proofErr w:type="gramStart"/>
      <w:r w:rsidRPr="00E7285F">
        <w:rPr>
          <w:sz w:val="20"/>
        </w:rPr>
        <w:t>)(</w:t>
      </w:r>
      <w:proofErr w:type="gramEnd"/>
      <w:r w:rsidRPr="00E7285F">
        <w:rPr>
          <w:i/>
          <w:sz w:val="20"/>
        </w:rPr>
        <w:t>d.01</w:t>
      </w:r>
      <w:r w:rsidRPr="00E7285F">
        <w:rPr>
          <w:sz w:val="20"/>
        </w:rPr>
        <w:t>) and 258(1)(</w:t>
      </w:r>
      <w:r w:rsidRPr="00E7285F">
        <w:rPr>
          <w:i/>
          <w:sz w:val="20"/>
        </w:rPr>
        <w:t>d.1</w:t>
      </w:r>
      <w:r w:rsidRPr="00E7285F">
        <w:rPr>
          <w:sz w:val="20"/>
        </w:rPr>
        <w:t>), and s. 258(1)(</w:t>
      </w:r>
      <w:r w:rsidRPr="00E7285F">
        <w:rPr>
          <w:i/>
          <w:sz w:val="20"/>
        </w:rPr>
        <w:t>c</w:t>
      </w:r>
      <w:r w:rsidRPr="00E7285F">
        <w:rPr>
          <w:sz w:val="20"/>
        </w:rPr>
        <w:t xml:space="preserve">) after severance of the second and third requirements for rebutting the presumptions, are justified under s. 1 of the </w:t>
      </w:r>
      <w:r w:rsidRPr="00E7285F">
        <w:rPr>
          <w:i/>
          <w:sz w:val="20"/>
        </w:rPr>
        <w:t>Charter</w:t>
      </w:r>
      <w:r w:rsidRPr="00E7285F">
        <w:rPr>
          <w:sz w:val="20"/>
        </w:rPr>
        <w:t>.</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r>
      <w:r w:rsidRPr="00E7285F">
        <w:rPr>
          <w:i/>
          <w:sz w:val="20"/>
        </w:rPr>
        <w:t xml:space="preserve">Per </w:t>
      </w:r>
      <w:r w:rsidRPr="00E7285F">
        <w:rPr>
          <w:sz w:val="20"/>
        </w:rPr>
        <w:t xml:space="preserve">McLachlin C.J. and LeBel, </w:t>
      </w:r>
      <w:r w:rsidRPr="00E7285F">
        <w:rPr>
          <w:b/>
          <w:sz w:val="20"/>
        </w:rPr>
        <w:t>Deschamps</w:t>
      </w:r>
      <w:r w:rsidRPr="00E7285F">
        <w:rPr>
          <w:sz w:val="20"/>
        </w:rPr>
        <w:t xml:space="preserve">, Fish and Abella JJ.:  A statutory presumption violates the right to be presumed innocent if its effect is that an accused person can be convicted even though the trier of fact has a reasonable doubt.  The expert evidence filed in this case reveals that the possibility of an instrument malfunctioning or being used improperly when breath samples are taken is not merely speculative, but is very real.  The Alcohol Test Committee of the Canadian Society of Forensic Science has made a series of recommendations concerning the procedures to be followed by the professionals who operate the instruments and verify that they are properly maintained.  These recommendations shed light on the circumstances that might explain how an instrument malfunctioned or was used improperly.  However, Parliament did not adopt the Committee’s recommendations, and the prosecution referred to no alternative mechanisms that would enable a court to find that the instruments are generally maintained and operated properly or that the rate of failure attributable to improper maintenance or operation is insignificant.  The trier of fact could therefore entertain a reasonable doubt about the validity of the test results, since he or she will not have shown why they can be relied on in the case of the accused </w:t>
      </w:r>
      <w:proofErr w:type="gramStart"/>
      <w:r w:rsidRPr="00E7285F">
        <w:rPr>
          <w:sz w:val="20"/>
        </w:rPr>
        <w:t>who</w:t>
      </w:r>
      <w:proofErr w:type="gramEnd"/>
      <w:r w:rsidRPr="00E7285F">
        <w:rPr>
          <w:sz w:val="20"/>
        </w:rPr>
        <w:t xml:space="preserve"> is on trial.  But a judge who entertains such a doubt will nevertheless remain bound by the presumptions of accuracy and identity of s. 258(1</w:t>
      </w:r>
      <w:proofErr w:type="gramStart"/>
      <w:r w:rsidRPr="00E7285F">
        <w:rPr>
          <w:sz w:val="20"/>
        </w:rPr>
        <w:t>)(</w:t>
      </w:r>
      <w:proofErr w:type="gramEnd"/>
      <w:r w:rsidRPr="00E7285F">
        <w:rPr>
          <w:i/>
          <w:sz w:val="20"/>
        </w:rPr>
        <w:t>c</w:t>
      </w:r>
      <w:r w:rsidRPr="00E7285F">
        <w:rPr>
          <w:sz w:val="20"/>
        </w:rPr>
        <w:t xml:space="preserve">) of the </w:t>
      </w:r>
      <w:r w:rsidRPr="00E7285F">
        <w:rPr>
          <w:i/>
          <w:sz w:val="20"/>
        </w:rPr>
        <w:t xml:space="preserve">Criminal Code </w:t>
      </w:r>
      <w:r w:rsidRPr="00E7285F">
        <w:rPr>
          <w:sz w:val="20"/>
        </w:rPr>
        <w:t>and will be required to convict the accused unless the accused rebuts those presumptions in accordance with the requirements of that provision.  In view of the mechanism for applying the statutory presumptions established in s. 258(1</w:t>
      </w:r>
      <w:proofErr w:type="gramStart"/>
      <w:r w:rsidRPr="00E7285F">
        <w:rPr>
          <w:sz w:val="20"/>
        </w:rPr>
        <w:t>)(</w:t>
      </w:r>
      <w:proofErr w:type="gramEnd"/>
      <w:r w:rsidRPr="00E7285F">
        <w:rPr>
          <w:i/>
          <w:sz w:val="20"/>
        </w:rPr>
        <w:t>c</w:t>
      </w:r>
      <w:r w:rsidRPr="00E7285F">
        <w:rPr>
          <w:sz w:val="20"/>
        </w:rPr>
        <w:t>), ss. 258(1)(</w:t>
      </w:r>
      <w:r w:rsidRPr="00E7285F">
        <w:rPr>
          <w:i/>
          <w:sz w:val="20"/>
        </w:rPr>
        <w:t>c</w:t>
      </w:r>
      <w:r w:rsidRPr="00E7285F">
        <w:rPr>
          <w:sz w:val="20"/>
        </w:rPr>
        <w:t>) and 258(1)(</w:t>
      </w:r>
      <w:r w:rsidRPr="00E7285F">
        <w:rPr>
          <w:i/>
          <w:sz w:val="20"/>
        </w:rPr>
        <w:t>d.01</w:t>
      </w:r>
      <w:r w:rsidRPr="00E7285F">
        <w:rPr>
          <w:sz w:val="20"/>
        </w:rPr>
        <w:t>) infringe s. 11(</w:t>
      </w:r>
      <w:r w:rsidRPr="00E7285F">
        <w:rPr>
          <w:i/>
          <w:sz w:val="20"/>
        </w:rPr>
        <w:t>d</w:t>
      </w:r>
      <w:r w:rsidRPr="00E7285F">
        <w:rPr>
          <w:sz w:val="20"/>
        </w:rPr>
        <w:t xml:space="preserve">) of the </w:t>
      </w:r>
      <w:r w:rsidRPr="00E7285F">
        <w:rPr>
          <w:i/>
          <w:sz w:val="20"/>
        </w:rPr>
        <w:t>Charter</w:t>
      </w:r>
      <w:r w:rsidRPr="00E7285F">
        <w:rPr>
          <w:sz w:val="20"/>
        </w:rPr>
        <w:t>.</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 xml:space="preserve">Whether a statutory presumption can be justified under s. 1 of the </w:t>
      </w:r>
      <w:r w:rsidRPr="00E7285F">
        <w:rPr>
          <w:i/>
          <w:sz w:val="20"/>
        </w:rPr>
        <w:t xml:space="preserve">Charter </w:t>
      </w:r>
      <w:r w:rsidRPr="00E7285F">
        <w:rPr>
          <w:sz w:val="20"/>
        </w:rPr>
        <w:t>depends on several factors, including the importance of the legislative objective, how difficult it would be for the prosecution to prove the substituted fact beyond a reasonable doubt, whether it is possible, and how easy it is, for the accused to rebut the presumption, and, as can be seen from this case, scientific advances.  The objective of the amendments — to give breathalyzer test results a weight consistent with their scientific value — is pressing and substantial.  Section 258(1</w:t>
      </w:r>
      <w:proofErr w:type="gramStart"/>
      <w:r w:rsidRPr="00E7285F">
        <w:rPr>
          <w:sz w:val="20"/>
        </w:rPr>
        <w:t>)(</w:t>
      </w:r>
      <w:proofErr w:type="gramEnd"/>
      <w:r w:rsidRPr="00E7285F">
        <w:rPr>
          <w:i/>
          <w:sz w:val="20"/>
        </w:rPr>
        <w:t>c</w:t>
      </w:r>
      <w:r w:rsidRPr="00E7285F">
        <w:rPr>
          <w:sz w:val="20"/>
        </w:rPr>
        <w:t xml:space="preserve">) of the </w:t>
      </w:r>
      <w:r w:rsidRPr="00E7285F">
        <w:rPr>
          <w:i/>
          <w:sz w:val="20"/>
        </w:rPr>
        <w:t xml:space="preserve">Criminal Code </w:t>
      </w:r>
      <w:r w:rsidRPr="00E7285F">
        <w:rPr>
          <w:sz w:val="20"/>
        </w:rPr>
        <w:t>contains three separate and cumulative new requirements that the accused must satisfy to rebut the presumptions of accuracy and identity.  These requirements must be considered separately for the remainder of the justification analysis.</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First, the accused must raise a doubt that the instrument was functioning and was operated properly.  This requirement is rationally connected with Parliament’s objective.  According to the scientific evidence on which Parliament relied, if the instrument functions properly and all the relevant procedures are followed, the results should be reliable.  In addition, the measure violates the right to be presumed innocent as little as reasonably possible.  The reliability of breathalyzer tests has been recognized by the scientific and legal communities.  Moreover, the new provisions do not make it impossible to disprove the test results, but require that evidence tending to cast doubt on the reliability of the results relate directly to possible deficiencies in the maintenance of the instruments or in the test process.  Finally, the effects of this limit on the right to be presumed innocent are proportional to Parliament’s objective.  The objective of the first requirement of s. 258(1</w:t>
      </w:r>
      <w:proofErr w:type="gramStart"/>
      <w:r w:rsidRPr="00E7285F">
        <w:rPr>
          <w:sz w:val="20"/>
        </w:rPr>
        <w:t>)(</w:t>
      </w:r>
      <w:proofErr w:type="gramEnd"/>
      <w:r w:rsidRPr="00E7285F">
        <w:rPr>
          <w:i/>
          <w:sz w:val="20"/>
        </w:rPr>
        <w:t>c</w:t>
      </w:r>
      <w:r w:rsidRPr="00E7285F">
        <w:rPr>
          <w:sz w:val="20"/>
        </w:rPr>
        <w:t>), as clarified by s. 258(1)(</w:t>
      </w:r>
      <w:r w:rsidRPr="00E7285F">
        <w:rPr>
          <w:i/>
          <w:sz w:val="20"/>
        </w:rPr>
        <w:t>d.01</w:t>
      </w:r>
      <w:r w:rsidRPr="00E7285F">
        <w:rPr>
          <w:sz w:val="20"/>
        </w:rPr>
        <w:t xml:space="preserve">), is to confirm the scientific value and ensure the primacy of breathalyzer test results.  This statutory amendment was a response to the serious disconnect that existed in the fact that the </w:t>
      </w:r>
      <w:r w:rsidRPr="00E7285F">
        <w:rPr>
          <w:i/>
          <w:sz w:val="20"/>
        </w:rPr>
        <w:t>Carter</w:t>
      </w:r>
      <w:r w:rsidRPr="00E7285F">
        <w:rPr>
          <w:sz w:val="20"/>
        </w:rPr>
        <w:t xml:space="preserve"> defence had a high success rate despite the recognized scientific reliability of the results.  Furthermore, the scheme adopted for breathalyzer tests includes certain guarantees that place limits on police action and protect the presumption of innocence.</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Second, s. 258(1</w:t>
      </w:r>
      <w:proofErr w:type="gramStart"/>
      <w:r w:rsidRPr="00E7285F">
        <w:rPr>
          <w:sz w:val="20"/>
        </w:rPr>
        <w:t>)(</w:t>
      </w:r>
      <w:proofErr w:type="gramEnd"/>
      <w:r w:rsidRPr="00E7285F">
        <w:rPr>
          <w:i/>
          <w:sz w:val="20"/>
        </w:rPr>
        <w:t>c</w:t>
      </w:r>
      <w:r w:rsidRPr="00E7285F">
        <w:rPr>
          <w:sz w:val="20"/>
        </w:rPr>
        <w:t>) requires evidence tending to show that the malfunction or improper operation of the instrument resulted in a reading according to which the blood alcohol level of the accused exceeded .08.  This requirement constitutes a serious infringement of the right to be presumed innocent that cannot be justified in a democratic society.  The requirement that the accused raise a doubt that his or her blood alcohol level in fact exceeded .08 constitutes an excessive burden in the context of a statutory scheme under which the evidence must relate directly to the functioning or operation of the instrument.</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The third requirement of s. 258(1</w:t>
      </w:r>
      <w:proofErr w:type="gramStart"/>
      <w:r w:rsidRPr="00E7285F">
        <w:rPr>
          <w:sz w:val="20"/>
        </w:rPr>
        <w:t>)(</w:t>
      </w:r>
      <w:proofErr w:type="gramEnd"/>
      <w:r w:rsidRPr="00E7285F">
        <w:rPr>
          <w:i/>
          <w:sz w:val="20"/>
        </w:rPr>
        <w:t>c</w:t>
      </w:r>
      <w:r w:rsidRPr="00E7285F">
        <w:rPr>
          <w:sz w:val="20"/>
        </w:rPr>
        <w:t xml:space="preserve">) cannot be justified under s. 1 of the </w:t>
      </w:r>
      <w:r w:rsidRPr="00E7285F">
        <w:rPr>
          <w:i/>
          <w:sz w:val="20"/>
        </w:rPr>
        <w:t>Charter</w:t>
      </w:r>
      <w:r w:rsidRPr="00E7285F">
        <w:rPr>
          <w:sz w:val="20"/>
        </w:rPr>
        <w:t>.  There is no rational connection between the objective of the new legislative measures and the requirement of adducing evidence to raise a doubt that the blood alcohol level of the accused in fact exceeded .08.  This requirement is in addition to the requirement of showing that the instrument malfunctioned or was operated improperly.  If the accused has already identified a defect that could cast doubt on the reliability of the results, it is difficult to justify requiring the court to nevertheless accept that the results have probative value if the accused has produced no evidence regarding his or her blood alcohol level.</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It was open to Parliament to exclude, in s. 258(1)(</w:t>
      </w:r>
      <w:r w:rsidRPr="00E7285F">
        <w:rPr>
          <w:i/>
          <w:sz w:val="20"/>
        </w:rPr>
        <w:t>d.01</w:t>
      </w:r>
      <w:r w:rsidRPr="00E7285F">
        <w:rPr>
          <w:sz w:val="20"/>
        </w:rPr>
        <w:t>), the production of evidence of the alcohol consumption of the accused that tends to show that the instrument was malfunctioning or was operated improperly, and to provide that such evidence is legally insufficient to cast doubt on the reliability of the test results.  This exclusion does not infringe the rights protected by s. 7, nor does it render the rebuttal of the presumptions established in s. 258(1)(</w:t>
      </w:r>
      <w:r w:rsidRPr="00E7285F">
        <w:rPr>
          <w:i/>
          <w:sz w:val="20"/>
        </w:rPr>
        <w:t>c</w:t>
      </w:r>
      <w:r w:rsidRPr="00E7285F">
        <w:rPr>
          <w:sz w:val="20"/>
        </w:rPr>
        <w:t>) illusory.</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Section 258(1)(</w:t>
      </w:r>
      <w:r w:rsidRPr="00E7285F">
        <w:rPr>
          <w:i/>
          <w:sz w:val="20"/>
        </w:rPr>
        <w:t>d.1</w:t>
      </w:r>
      <w:r w:rsidRPr="00E7285F">
        <w:rPr>
          <w:sz w:val="20"/>
        </w:rPr>
        <w:t xml:space="preserve">) of the </w:t>
      </w:r>
      <w:r w:rsidRPr="00E7285F">
        <w:rPr>
          <w:i/>
          <w:sz w:val="20"/>
        </w:rPr>
        <w:t>Criminal Code</w:t>
      </w:r>
      <w:r w:rsidRPr="00E7285F">
        <w:rPr>
          <w:sz w:val="20"/>
        </w:rPr>
        <w:t xml:space="preserve"> establishes a second presumption of identity according to which a blood alcohol level over .08 at the time of the analysis is presumed to be the same as the blood alcohol level of the accused at the time of the alleged offence.  Since s. 258(1</w:t>
      </w:r>
      <w:proofErr w:type="gramStart"/>
      <w:r w:rsidRPr="00E7285F">
        <w:rPr>
          <w:sz w:val="20"/>
        </w:rPr>
        <w:t>)(</w:t>
      </w:r>
      <w:proofErr w:type="gramEnd"/>
      <w:r w:rsidRPr="00E7285F">
        <w:rPr>
          <w:i/>
          <w:sz w:val="20"/>
        </w:rPr>
        <w:t>d.1</w:t>
      </w:r>
      <w:r w:rsidRPr="00E7285F">
        <w:rPr>
          <w:sz w:val="20"/>
        </w:rPr>
        <w:t>) exempts the prosecution from having to establish the guilt of the accused beyond a reasonable doubt before the accused must respond, it infringes the right to be presumed innocent.  To rebut this second presumption of identity, evidence to the contrary adduced by the accused must tend to show two facts:  (1) the consumption of alcohol of the accused was consistent with a blood alcohol level that did not exceed .08 at the time when the offence was alleged to have been committed; and (2) the consumption of alcohol of the accused was consistent with the test results.  The objective of these requirements is pressing and substantial.  A rational connection can easily be established between each of these requirements and the requirement’s legislative objective.  They also satisfy the minimal impairment test.  Section 258(1</w:t>
      </w:r>
      <w:proofErr w:type="gramStart"/>
      <w:r w:rsidRPr="00E7285F">
        <w:rPr>
          <w:sz w:val="20"/>
        </w:rPr>
        <w:t>)(</w:t>
      </w:r>
      <w:proofErr w:type="gramEnd"/>
      <w:r w:rsidRPr="00E7285F">
        <w:rPr>
          <w:i/>
          <w:sz w:val="20"/>
        </w:rPr>
        <w:t>d.1</w:t>
      </w:r>
      <w:r w:rsidRPr="00E7285F">
        <w:rPr>
          <w:sz w:val="20"/>
        </w:rPr>
        <w:t>) strikes a fair balance between collective rights and individual rights, and is part of a broader legislative scheme designed to confirm the primacy of breathalyzer test results.  It is a justified infringement of the right to be presumed innocent.</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The presumption of identity established in s. 258(1)(</w:t>
      </w:r>
      <w:r w:rsidRPr="00E7285F">
        <w:rPr>
          <w:i/>
          <w:sz w:val="20"/>
        </w:rPr>
        <w:t>d.1</w:t>
      </w:r>
      <w:r w:rsidRPr="00E7285F">
        <w:rPr>
          <w:sz w:val="20"/>
        </w:rPr>
        <w:t>) is based on the usual behaviour of drivers, who do not generally drink a sufficient quantity of alcohol to alter the results either just before or just after being pulled over by the police.  It is in fact the exceptional behaviour of the accused, not the statutory presumption in the prosecution’s favour under s. 258(1</w:t>
      </w:r>
      <w:proofErr w:type="gramStart"/>
      <w:r w:rsidRPr="00E7285F">
        <w:rPr>
          <w:sz w:val="20"/>
        </w:rPr>
        <w:t>)(</w:t>
      </w:r>
      <w:proofErr w:type="gramEnd"/>
      <w:r w:rsidRPr="00E7285F">
        <w:rPr>
          <w:i/>
          <w:sz w:val="20"/>
        </w:rPr>
        <w:t>d.1</w:t>
      </w:r>
      <w:r w:rsidRPr="00E7285F">
        <w:rPr>
          <w:sz w:val="20"/>
        </w:rPr>
        <w:t>), that makes it necessary for the accused to testify.  The choice by the accused to testify in this regard flows from a decision that must be made whenever the Crown’s evidence is sufficient to support a conviction.  Thus, the protection against self</w:t>
      </w:r>
      <w:r w:rsidRPr="00E7285F">
        <w:rPr>
          <w:sz w:val="20"/>
        </w:rPr>
        <w:noBreakHyphen/>
        <w:t>incrimination guaranteed by s. 11(</w:t>
      </w:r>
      <w:r w:rsidRPr="00E7285F">
        <w:rPr>
          <w:i/>
          <w:sz w:val="20"/>
        </w:rPr>
        <w:t>c</w:t>
      </w:r>
      <w:r w:rsidRPr="00E7285F">
        <w:rPr>
          <w:sz w:val="20"/>
        </w:rPr>
        <w:t xml:space="preserve">) of the </w:t>
      </w:r>
      <w:r w:rsidRPr="00E7285F">
        <w:rPr>
          <w:i/>
          <w:sz w:val="20"/>
        </w:rPr>
        <w:t>Charter</w:t>
      </w:r>
      <w:r w:rsidRPr="00E7285F">
        <w:rPr>
          <w:sz w:val="20"/>
        </w:rPr>
        <w:t xml:space="preserve"> is not infringed.</w:t>
      </w:r>
    </w:p>
    <w:p w:rsidR="006B3BA7" w:rsidRDefault="006B3BA7" w:rsidP="006B3BA7">
      <w:pPr>
        <w:pStyle w:val="SCCNormalDoubleSpacing"/>
        <w:spacing w:line="240" w:lineRule="auto"/>
        <w:rPr>
          <w:sz w:val="20"/>
        </w:rPr>
      </w:pPr>
    </w:p>
    <w:p w:rsidR="006B3BA7" w:rsidRPr="00E7285F" w:rsidRDefault="006B3BA7" w:rsidP="006B3BA7">
      <w:pPr>
        <w:pStyle w:val="SCCNormalDoubleSpacing"/>
        <w:spacing w:line="240" w:lineRule="auto"/>
        <w:rPr>
          <w:sz w:val="20"/>
        </w:rPr>
      </w:pPr>
      <w:r w:rsidRPr="00E7285F">
        <w:rPr>
          <w:sz w:val="20"/>
        </w:rPr>
        <w:tab/>
        <w:t>In this case, the trial judge erred in holding that L could rebut the presumption of accuracy of s. 258(1)(</w:t>
      </w:r>
      <w:r w:rsidRPr="00E7285F">
        <w:rPr>
          <w:i/>
          <w:sz w:val="20"/>
        </w:rPr>
        <w:t>c</w:t>
      </w:r>
      <w:r w:rsidRPr="00E7285F">
        <w:rPr>
          <w:sz w:val="20"/>
        </w:rPr>
        <w:t xml:space="preserve">) of the </w:t>
      </w:r>
      <w:r w:rsidRPr="00E7285F">
        <w:rPr>
          <w:i/>
          <w:sz w:val="20"/>
        </w:rPr>
        <w:t xml:space="preserve">Criminal Code </w:t>
      </w:r>
      <w:r w:rsidRPr="00E7285F">
        <w:rPr>
          <w:sz w:val="20"/>
        </w:rPr>
        <w:t xml:space="preserve">by presenting a </w:t>
      </w:r>
      <w:r w:rsidRPr="00E7285F">
        <w:rPr>
          <w:i/>
          <w:sz w:val="20"/>
        </w:rPr>
        <w:t>Carter</w:t>
      </w:r>
      <w:r w:rsidRPr="00E7285F">
        <w:rPr>
          <w:sz w:val="20"/>
        </w:rPr>
        <w:t xml:space="preserve"> defence, but that error did not affect his conclusion, since, when all is said and done, he did not believe L.  L’s conviction is therefore upheld.</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lang w:val="en-US"/>
        </w:rPr>
      </w:pPr>
      <w:r w:rsidRPr="00E7285F">
        <w:rPr>
          <w:sz w:val="20"/>
          <w:lang w:val="en-US"/>
        </w:rPr>
        <w:tab/>
      </w:r>
      <w:r w:rsidRPr="00E7285F">
        <w:rPr>
          <w:i/>
          <w:sz w:val="20"/>
          <w:lang w:val="en-US"/>
        </w:rPr>
        <w:t>Per</w:t>
      </w:r>
      <w:r w:rsidRPr="00E7285F">
        <w:rPr>
          <w:sz w:val="20"/>
          <w:lang w:val="en-US"/>
        </w:rPr>
        <w:t xml:space="preserve"> Rothstein and </w:t>
      </w:r>
      <w:r w:rsidRPr="00E7285F">
        <w:rPr>
          <w:b/>
          <w:sz w:val="20"/>
          <w:lang w:val="en-US"/>
        </w:rPr>
        <w:t>Cromwell </w:t>
      </w:r>
      <w:proofErr w:type="gramStart"/>
      <w:r w:rsidRPr="00E7285F">
        <w:rPr>
          <w:sz w:val="20"/>
          <w:lang w:val="en-US"/>
        </w:rPr>
        <w:t>JJ.:</w:t>
      </w:r>
      <w:proofErr w:type="gramEnd"/>
      <w:r w:rsidRPr="00E7285F">
        <w:rPr>
          <w:sz w:val="20"/>
          <w:lang w:val="en-US"/>
        </w:rPr>
        <w:t xml:space="preserve">  The appeal should be allowed and the constitutional questions should be answered in the negative.</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lang w:val="en-US"/>
        </w:rPr>
      </w:pPr>
      <w:r w:rsidRPr="00E7285F">
        <w:rPr>
          <w:sz w:val="20"/>
          <w:lang w:val="en-US"/>
        </w:rPr>
        <w:tab/>
        <w:t>Sections 258(1</w:t>
      </w:r>
      <w:proofErr w:type="gramStart"/>
      <w:r w:rsidRPr="00E7285F">
        <w:rPr>
          <w:sz w:val="20"/>
          <w:lang w:val="en-US"/>
        </w:rPr>
        <w:t>)(</w:t>
      </w:r>
      <w:proofErr w:type="gramEnd"/>
      <w:r w:rsidRPr="00E7285F">
        <w:rPr>
          <w:i/>
          <w:sz w:val="20"/>
          <w:lang w:val="en-US"/>
        </w:rPr>
        <w:t>c</w:t>
      </w:r>
      <w:r w:rsidRPr="00E7285F">
        <w:rPr>
          <w:sz w:val="20"/>
          <w:lang w:val="en-US"/>
        </w:rPr>
        <w:t>), 258(1)(</w:t>
      </w:r>
      <w:r w:rsidRPr="00E7285F">
        <w:rPr>
          <w:i/>
          <w:sz w:val="20"/>
          <w:lang w:val="en-US"/>
        </w:rPr>
        <w:t>d.01</w:t>
      </w:r>
      <w:r w:rsidRPr="00E7285F">
        <w:rPr>
          <w:sz w:val="20"/>
          <w:lang w:val="en-US"/>
        </w:rPr>
        <w:t>) and 258(1)(</w:t>
      </w:r>
      <w:r w:rsidRPr="00E7285F">
        <w:rPr>
          <w:i/>
          <w:sz w:val="20"/>
          <w:lang w:val="en-US"/>
        </w:rPr>
        <w:t>d.1</w:t>
      </w:r>
      <w:r w:rsidRPr="00E7285F">
        <w:rPr>
          <w:sz w:val="20"/>
          <w:lang w:val="en-US"/>
        </w:rPr>
        <w:t xml:space="preserve">) of the </w:t>
      </w:r>
      <w:r w:rsidRPr="00E7285F">
        <w:rPr>
          <w:i/>
          <w:sz w:val="20"/>
          <w:lang w:val="en-US"/>
        </w:rPr>
        <w:t>Criminal Code</w:t>
      </w:r>
      <w:r w:rsidRPr="00E7285F">
        <w:rPr>
          <w:sz w:val="20"/>
          <w:lang w:val="en-US"/>
        </w:rPr>
        <w:t xml:space="preserve"> are based on three quite straight</w:t>
      </w:r>
      <w:r w:rsidRPr="00E7285F">
        <w:rPr>
          <w:sz w:val="20"/>
          <w:lang w:val="en-US"/>
        </w:rPr>
        <w:noBreakHyphen/>
        <w:t>forward ideas.  These ideas are that if all of the statutory requirements for taking and analyzing breath samples are observed:  (1) the breathalyzer results are reliable in the absence of some basis in the evidence to doubt them; (2) the estimated blood alcohol concentration (BAC) arrived at by consumption and elimination evidence (so</w:t>
      </w:r>
      <w:r w:rsidRPr="00E7285F">
        <w:rPr>
          <w:sz w:val="20"/>
          <w:lang w:val="en-US"/>
        </w:rPr>
        <w:noBreakHyphen/>
        <w:t xml:space="preserve">called </w:t>
      </w:r>
      <w:r w:rsidRPr="00E7285F">
        <w:rPr>
          <w:i/>
          <w:sz w:val="20"/>
          <w:lang w:val="en-US"/>
        </w:rPr>
        <w:t>Carter</w:t>
      </w:r>
      <w:r w:rsidRPr="00E7285F">
        <w:rPr>
          <w:sz w:val="20"/>
          <w:lang w:val="en-US"/>
        </w:rPr>
        <w:t xml:space="preserve"> evidence) is not sufficiently reliable to be used to challenge the accuracy of breathalyzer results; and (3) the BAC at the time of testing will not be higher than at the time of driving, unless the accused drank a large quantity of alcohol shortly before driving or consumed alcohol between driving and testing.</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lang w:val="en-US"/>
        </w:rPr>
      </w:pPr>
      <w:r w:rsidRPr="00E7285F">
        <w:rPr>
          <w:sz w:val="20"/>
          <w:lang w:val="en-US"/>
        </w:rPr>
        <w:tab/>
        <w:t>None of the challenged provisions limits the right under s. 11(</w:t>
      </w:r>
      <w:r w:rsidRPr="00E7285F">
        <w:rPr>
          <w:i/>
          <w:sz w:val="20"/>
          <w:lang w:val="en-US"/>
        </w:rPr>
        <w:t>c</w:t>
      </w:r>
      <w:r w:rsidRPr="00E7285F">
        <w:rPr>
          <w:sz w:val="20"/>
          <w:lang w:val="en-US"/>
        </w:rPr>
        <w:t xml:space="preserve">) of the </w:t>
      </w:r>
      <w:r w:rsidRPr="00E7285F">
        <w:rPr>
          <w:i/>
          <w:sz w:val="20"/>
          <w:lang w:val="en-US"/>
        </w:rPr>
        <w:t xml:space="preserve">Charter </w:t>
      </w:r>
      <w:r w:rsidRPr="00E7285F">
        <w:rPr>
          <w:sz w:val="20"/>
          <w:lang w:val="en-US"/>
        </w:rPr>
        <w:t>not to be compelled to testify.  Although all of the provisions are challenged under ss. 7 and 11(</w:t>
      </w:r>
      <w:r w:rsidRPr="00E7285F">
        <w:rPr>
          <w:i/>
          <w:sz w:val="20"/>
          <w:lang w:val="en-US"/>
        </w:rPr>
        <w:t>d</w:t>
      </w:r>
      <w:r w:rsidRPr="00E7285F">
        <w:rPr>
          <w:sz w:val="20"/>
          <w:lang w:val="en-US"/>
        </w:rPr>
        <w:t xml:space="preserve">) of the </w:t>
      </w:r>
      <w:r w:rsidRPr="00E7285F">
        <w:rPr>
          <w:i/>
          <w:sz w:val="20"/>
          <w:lang w:val="en-US"/>
        </w:rPr>
        <w:t>Charter</w:t>
      </w:r>
      <w:r w:rsidRPr="00E7285F">
        <w:rPr>
          <w:sz w:val="20"/>
          <w:lang w:val="en-US"/>
        </w:rPr>
        <w:t>, the constitutionality of the provisions which address the burden of proof are best analyzed under s. 11(</w:t>
      </w:r>
      <w:r w:rsidRPr="00E7285F">
        <w:rPr>
          <w:i/>
          <w:sz w:val="20"/>
          <w:lang w:val="en-US"/>
        </w:rPr>
        <w:t>d</w:t>
      </w:r>
      <w:r w:rsidRPr="00E7285F">
        <w:rPr>
          <w:sz w:val="20"/>
          <w:lang w:val="en-US"/>
        </w:rPr>
        <w:t>), while those which limit the relevance of, or exclude evidence in relation to, particular issues are best analyzed under s. 7.</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lang w:val="en-US"/>
        </w:rPr>
      </w:pPr>
      <w:r w:rsidRPr="00E7285F">
        <w:rPr>
          <w:sz w:val="20"/>
          <w:lang w:val="en-US"/>
        </w:rPr>
        <w:tab/>
        <w:t>The fact that s. 258(1</w:t>
      </w:r>
      <w:proofErr w:type="gramStart"/>
      <w:r w:rsidRPr="00E7285F">
        <w:rPr>
          <w:sz w:val="20"/>
          <w:lang w:val="en-US"/>
        </w:rPr>
        <w:t>)(</w:t>
      </w:r>
      <w:proofErr w:type="gramEnd"/>
      <w:r w:rsidRPr="00E7285F">
        <w:rPr>
          <w:i/>
          <w:sz w:val="20"/>
          <w:lang w:val="en-US"/>
        </w:rPr>
        <w:t>d.01</w:t>
      </w:r>
      <w:r w:rsidRPr="00E7285F">
        <w:rPr>
          <w:sz w:val="20"/>
          <w:lang w:val="en-US"/>
        </w:rPr>
        <w:t xml:space="preserve">) of the </w:t>
      </w:r>
      <w:r w:rsidRPr="00E7285F">
        <w:rPr>
          <w:i/>
          <w:sz w:val="20"/>
          <w:lang w:val="en-US"/>
        </w:rPr>
        <w:t xml:space="preserve">Criminal Code </w:t>
      </w:r>
      <w:r w:rsidRPr="00E7285F">
        <w:rPr>
          <w:sz w:val="20"/>
          <w:lang w:val="en-US"/>
        </w:rPr>
        <w:t xml:space="preserve">excludes </w:t>
      </w:r>
      <w:r w:rsidRPr="00E7285F">
        <w:rPr>
          <w:i/>
          <w:sz w:val="20"/>
          <w:lang w:val="en-US"/>
        </w:rPr>
        <w:t xml:space="preserve">Carter </w:t>
      </w:r>
      <w:r w:rsidRPr="00E7285F">
        <w:rPr>
          <w:sz w:val="20"/>
          <w:lang w:val="en-US"/>
        </w:rPr>
        <w:t xml:space="preserve">evidence to challenge the proper functioning or operation of the approved instrument does not violate s. 7 of the </w:t>
      </w:r>
      <w:r w:rsidRPr="00E7285F">
        <w:rPr>
          <w:i/>
          <w:sz w:val="20"/>
          <w:lang w:val="en-US"/>
        </w:rPr>
        <w:t>Charter</w:t>
      </w:r>
      <w:r w:rsidRPr="00E7285F">
        <w:rPr>
          <w:sz w:val="20"/>
          <w:lang w:val="en-US"/>
        </w:rPr>
        <w:t>.  The parties contesting the provision have not shown that s. 258(1</w:t>
      </w:r>
      <w:proofErr w:type="gramStart"/>
      <w:r w:rsidRPr="00E7285F">
        <w:rPr>
          <w:sz w:val="20"/>
          <w:lang w:val="en-US"/>
        </w:rPr>
        <w:t>)(</w:t>
      </w:r>
      <w:proofErr w:type="gramEnd"/>
      <w:r w:rsidRPr="00E7285F">
        <w:rPr>
          <w:i/>
          <w:sz w:val="20"/>
          <w:lang w:val="en-US"/>
        </w:rPr>
        <w:t>d.01</w:t>
      </w:r>
      <w:r w:rsidRPr="00E7285F">
        <w:rPr>
          <w:sz w:val="20"/>
          <w:lang w:val="en-US"/>
        </w:rPr>
        <w:t xml:space="preserve">) limits in any meaningful respect the right to make full answer and defence.  In the face of the compelling evidence presented by the Crown about the generally misleading nature of </w:t>
      </w:r>
      <w:r w:rsidRPr="00E7285F">
        <w:rPr>
          <w:i/>
          <w:sz w:val="20"/>
          <w:lang w:val="en-US"/>
        </w:rPr>
        <w:t>Carter</w:t>
      </w:r>
      <w:r w:rsidRPr="00E7285F">
        <w:rPr>
          <w:sz w:val="20"/>
          <w:lang w:val="en-US"/>
        </w:rPr>
        <w:t xml:space="preserve"> evidence in relation to the accuracy of the breathalyzer, those challenging the exclusion of this evidence had to advance some evidence suggesting that, despite its great potential to mislead, there remained some reason not to restrict the use of </w:t>
      </w:r>
      <w:r w:rsidRPr="00E7285F">
        <w:rPr>
          <w:i/>
          <w:sz w:val="20"/>
          <w:lang w:val="en-US"/>
        </w:rPr>
        <w:t>Carter</w:t>
      </w:r>
      <w:r w:rsidRPr="00E7285F">
        <w:rPr>
          <w:sz w:val="20"/>
          <w:lang w:val="en-US"/>
        </w:rPr>
        <w:t xml:space="preserve"> type evidence.  There is no such evidence in this record.  Although hypothetical scenarios can form the basis of a </w:t>
      </w:r>
      <w:r w:rsidRPr="00E7285F">
        <w:rPr>
          <w:i/>
          <w:sz w:val="20"/>
          <w:lang w:val="en-US"/>
        </w:rPr>
        <w:t xml:space="preserve">Charter </w:t>
      </w:r>
      <w:r w:rsidRPr="00E7285F">
        <w:rPr>
          <w:sz w:val="20"/>
          <w:lang w:val="en-US"/>
        </w:rPr>
        <w:t>challenge, they must be reasonable.  The other ground advanced in support of the s. 7 challenge — that s. 258(1)(</w:t>
      </w:r>
      <w:r w:rsidRPr="00E7285F">
        <w:rPr>
          <w:i/>
          <w:sz w:val="20"/>
          <w:lang w:val="en-US"/>
        </w:rPr>
        <w:t>d.01</w:t>
      </w:r>
      <w:r w:rsidRPr="00E7285F">
        <w:rPr>
          <w:sz w:val="20"/>
          <w:lang w:val="en-US"/>
        </w:rPr>
        <w:t>) makes a defence “illusory” — must also be rejected.</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lang w:val="en-US"/>
        </w:rPr>
      </w:pPr>
      <w:r w:rsidRPr="00E7285F">
        <w:rPr>
          <w:sz w:val="20"/>
          <w:lang w:val="en-US"/>
        </w:rPr>
        <w:tab/>
        <w:t>Section 258(1</w:t>
      </w:r>
      <w:proofErr w:type="gramStart"/>
      <w:r w:rsidRPr="00E7285F">
        <w:rPr>
          <w:sz w:val="20"/>
          <w:lang w:val="en-US"/>
        </w:rPr>
        <w:t>)(</w:t>
      </w:r>
      <w:proofErr w:type="gramEnd"/>
      <w:r w:rsidRPr="00E7285F">
        <w:rPr>
          <w:i/>
          <w:sz w:val="20"/>
          <w:lang w:val="en-US"/>
        </w:rPr>
        <w:t>c</w:t>
      </w:r>
      <w:r w:rsidRPr="00E7285F">
        <w:rPr>
          <w:sz w:val="20"/>
          <w:lang w:val="en-US"/>
        </w:rPr>
        <w:t xml:space="preserve">) of the </w:t>
      </w:r>
      <w:r w:rsidRPr="00E7285F">
        <w:rPr>
          <w:i/>
          <w:sz w:val="20"/>
          <w:lang w:val="en-US"/>
        </w:rPr>
        <w:t xml:space="preserve">Criminal Code </w:t>
      </w:r>
      <w:r w:rsidRPr="00E7285F">
        <w:rPr>
          <w:sz w:val="20"/>
          <w:lang w:val="en-US"/>
        </w:rPr>
        <w:t>restricts evidence in relation to the accuracy of the device to evidence that tends to show three things:  (1) that the device malfunctioned or the analysis was performed improperly, (2) that the improper performance resulted in the determination that the accused’s BAC exceeded .08, and (3) that the accused’s BAC was in fact lower than .08 at the time of the offence.  The first two of these elements do nothing more than to recognize the reality that breathalyzer readings, when obtained under the statutory requirements, should be taken as accurate absent some reason to think otherwise.  Absent some evidence to suggest that the analysis is not accurate, a reasonable doubt based simply on the general notion that technology may be fallible or that there is a hypothetical possibility not founded on the evidence that the device malfunctioned or was not operated properly would not be a rational conclusion.  Thus, requiring the inference of accuracy to be drawn absent evidence to the contrary does not limit the right to make full answer and defence.  As for the third component, it does no more than set out in statutory form what this Court has consistently held is required as a matter of logic and relevance to rebut the presumption of accuracy.</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lang w:val="en-US"/>
        </w:rPr>
      </w:pPr>
      <w:r w:rsidRPr="00E7285F">
        <w:rPr>
          <w:sz w:val="20"/>
          <w:lang w:val="en-US"/>
        </w:rPr>
        <w:tab/>
        <w:t>A provision limits the right to be presumed innocent guaranteed by s. 11(</w:t>
      </w:r>
      <w:r w:rsidRPr="00E7285F">
        <w:rPr>
          <w:i/>
          <w:sz w:val="20"/>
          <w:lang w:val="en-US"/>
        </w:rPr>
        <w:t>d</w:t>
      </w:r>
      <w:r w:rsidRPr="00E7285F">
        <w:rPr>
          <w:sz w:val="20"/>
          <w:lang w:val="en-US"/>
        </w:rPr>
        <w:t xml:space="preserve">) of the </w:t>
      </w:r>
      <w:r w:rsidRPr="00E7285F">
        <w:rPr>
          <w:i/>
          <w:sz w:val="20"/>
          <w:lang w:val="en-US"/>
        </w:rPr>
        <w:t xml:space="preserve">Charter </w:t>
      </w:r>
      <w:r w:rsidRPr="00E7285F">
        <w:rPr>
          <w:sz w:val="20"/>
          <w:lang w:val="en-US"/>
        </w:rPr>
        <w:t>if it either (a) relieves the Crown of having to present a case to meet before the accused is called on to answer or (b) creates the risk of conviction even if, without the provision, the trier of fact could have a reasonable doubt about the accused’s guilt.  The presumption of accuracy in s. 258(1</w:t>
      </w:r>
      <w:proofErr w:type="gramStart"/>
      <w:r w:rsidRPr="00E7285F">
        <w:rPr>
          <w:sz w:val="20"/>
          <w:lang w:val="en-US"/>
        </w:rPr>
        <w:t>)(</w:t>
      </w:r>
      <w:proofErr w:type="gramEnd"/>
      <w:r w:rsidRPr="00E7285F">
        <w:rPr>
          <w:i/>
          <w:sz w:val="20"/>
          <w:lang w:val="en-US"/>
        </w:rPr>
        <w:t>c</w:t>
      </w:r>
      <w:r w:rsidRPr="00E7285F">
        <w:rPr>
          <w:sz w:val="20"/>
          <w:lang w:val="en-US"/>
        </w:rPr>
        <w:t xml:space="preserve">) does not create a risk of conviction in the presence of a reasonable doubt about guilt.  It therefore does not limit the right to be presumed innocent and there is no need to consider whether any limitation is justified under s. 1 of the </w:t>
      </w:r>
      <w:r w:rsidRPr="00E7285F">
        <w:rPr>
          <w:i/>
          <w:sz w:val="20"/>
          <w:lang w:val="en-US"/>
        </w:rPr>
        <w:t>Charter</w:t>
      </w:r>
      <w:r w:rsidRPr="00E7285F">
        <w:rPr>
          <w:sz w:val="20"/>
          <w:lang w:val="en-US"/>
        </w:rPr>
        <w:t>.  In requiring some evidence tending to show improper functioning or operation, the provision simply enacts common sense in light of accepted scientific fact.  Parliament is entitled to legislate this rather than require the evidence to be called in every “blowing over” prosecution.  Furthermore, in order to constitute evidence to the contrary as a matter of logic and relevance, that evidence must tend to raise a doubt that the BAC in fact did not exceed .08.  It follows that this third aspect of s. 258(1</w:t>
      </w:r>
      <w:proofErr w:type="gramStart"/>
      <w:r w:rsidRPr="00E7285F">
        <w:rPr>
          <w:sz w:val="20"/>
          <w:lang w:val="en-US"/>
        </w:rPr>
        <w:t>)(</w:t>
      </w:r>
      <w:proofErr w:type="gramEnd"/>
      <w:r w:rsidRPr="00E7285F">
        <w:rPr>
          <w:i/>
          <w:sz w:val="20"/>
          <w:lang w:val="en-US"/>
        </w:rPr>
        <w:t>c</w:t>
      </w:r>
      <w:r w:rsidRPr="00E7285F">
        <w:rPr>
          <w:sz w:val="20"/>
          <w:lang w:val="en-US"/>
        </w:rPr>
        <w:t xml:space="preserve">) simply translates that requirement for materiality into the consideration of whether the device functioned or was operated improperly. </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lang w:val="en-US"/>
        </w:rPr>
      </w:pPr>
      <w:r w:rsidRPr="00E7285F">
        <w:rPr>
          <w:sz w:val="20"/>
          <w:lang w:val="en-US"/>
        </w:rPr>
        <w:tab/>
        <w:t>With respect to the presumptions of identity in ss. 258(1</w:t>
      </w:r>
      <w:proofErr w:type="gramStart"/>
      <w:r w:rsidRPr="00E7285F">
        <w:rPr>
          <w:sz w:val="20"/>
          <w:lang w:val="en-US"/>
        </w:rPr>
        <w:t>)(</w:t>
      </w:r>
      <w:proofErr w:type="gramEnd"/>
      <w:r w:rsidRPr="00E7285F">
        <w:rPr>
          <w:i/>
          <w:sz w:val="20"/>
          <w:lang w:val="en-US"/>
        </w:rPr>
        <w:t>c</w:t>
      </w:r>
      <w:r w:rsidRPr="00E7285F">
        <w:rPr>
          <w:sz w:val="20"/>
          <w:lang w:val="en-US"/>
        </w:rPr>
        <w:t>) and 258(1)(</w:t>
      </w:r>
      <w:r w:rsidRPr="00E7285F">
        <w:rPr>
          <w:i/>
          <w:sz w:val="20"/>
          <w:lang w:val="en-US"/>
        </w:rPr>
        <w:t>d.1</w:t>
      </w:r>
      <w:r w:rsidRPr="00E7285F">
        <w:rPr>
          <w:sz w:val="20"/>
          <w:lang w:val="en-US"/>
        </w:rPr>
        <w:t xml:space="preserve">) of the </w:t>
      </w:r>
      <w:r w:rsidRPr="00E7285F">
        <w:rPr>
          <w:i/>
          <w:sz w:val="20"/>
          <w:lang w:val="en-US"/>
        </w:rPr>
        <w:t>Criminal Code</w:t>
      </w:r>
      <w:r w:rsidRPr="00E7285F">
        <w:rPr>
          <w:sz w:val="20"/>
          <w:lang w:val="en-US"/>
        </w:rPr>
        <w:t>, there is overwhelming evidence that a breathalyzer test administered in accordance with the statutory requirements and which reveals an over .08 result is a reliable indication that the accused had a BAC which was equal to or higher than that at the time of driving.  There is no infringement of the right to be presumed innocent by deeming that the BAC at the time of testing is the same as at the time of driving.  Parliament has simply legislated well</w:t>
      </w:r>
      <w:r w:rsidRPr="00E7285F">
        <w:rPr>
          <w:sz w:val="20"/>
          <w:lang w:val="en-US"/>
        </w:rPr>
        <w:noBreakHyphen/>
        <w:t>established facts so that they do not have to be proved in every case.  There is no risk of conviction on the basis of a reasonable doubt that has a basis in common sense and logic in the evidence or the absence of evidence.  A doubt about the presumptions of identity based on “bolus or intervening drinking” would be speculative, absent evidence supporting the fact that one or the other of those scenarios had actually occurred.  The fact of post</w:t>
      </w:r>
      <w:r w:rsidRPr="00E7285F">
        <w:rPr>
          <w:sz w:val="20"/>
          <w:lang w:val="en-US"/>
        </w:rPr>
        <w:noBreakHyphen/>
        <w:t>driving drinking is peculiarly in the knowledge of the accused and it would be unduly onerous to require the prosecution to negate this rather unusual possibility in every case even when it had no foundation in the evidence.  Also, the challenged provisions do not relieve the Crown of its obligation to present a case to meet before the accused is called on to answer.  Where an over .08 breathalyzer test result is obtained in accordance with the statutory requirements, a trial judge cannot conclude that there is no evidence upon which he could reasonably convict an accused person.</w:t>
      </w:r>
    </w:p>
    <w:p w:rsidR="006B3BA7" w:rsidRDefault="006B3BA7" w:rsidP="006B3BA7">
      <w:pPr>
        <w:pStyle w:val="SCCNormalDoubleSpacing"/>
        <w:spacing w:line="240" w:lineRule="auto"/>
        <w:rPr>
          <w:sz w:val="20"/>
          <w:lang w:val="en-US"/>
        </w:rPr>
      </w:pPr>
    </w:p>
    <w:p w:rsidR="006B3BA7" w:rsidRDefault="006B3BA7" w:rsidP="006B3BA7">
      <w:pPr>
        <w:pStyle w:val="SCCNormalDoubleSpacing"/>
        <w:spacing w:line="240" w:lineRule="auto"/>
        <w:rPr>
          <w:sz w:val="20"/>
          <w:lang w:val="en-US"/>
        </w:rPr>
      </w:pPr>
      <w:r w:rsidRPr="00E7285F">
        <w:rPr>
          <w:sz w:val="20"/>
          <w:lang w:val="en-US"/>
        </w:rPr>
        <w:tab/>
        <w:t>Even assuming that ss. 258(1)(</w:t>
      </w:r>
      <w:r w:rsidRPr="00E7285F">
        <w:rPr>
          <w:i/>
          <w:sz w:val="20"/>
          <w:lang w:val="en-US"/>
        </w:rPr>
        <w:t>c</w:t>
      </w:r>
      <w:r w:rsidRPr="00E7285F">
        <w:rPr>
          <w:sz w:val="20"/>
          <w:lang w:val="en-US"/>
        </w:rPr>
        <w:t>), 258(1)(</w:t>
      </w:r>
      <w:r w:rsidRPr="00E7285F">
        <w:rPr>
          <w:i/>
          <w:sz w:val="20"/>
          <w:lang w:val="en-US"/>
        </w:rPr>
        <w:t>d.01</w:t>
      </w:r>
      <w:r w:rsidRPr="00E7285F">
        <w:rPr>
          <w:sz w:val="20"/>
          <w:lang w:val="en-US"/>
        </w:rPr>
        <w:t>) or 258(1)(</w:t>
      </w:r>
      <w:r w:rsidRPr="00E7285F">
        <w:rPr>
          <w:i/>
          <w:sz w:val="20"/>
          <w:lang w:val="en-US"/>
        </w:rPr>
        <w:t>d.1</w:t>
      </w:r>
      <w:r w:rsidRPr="00E7285F">
        <w:rPr>
          <w:sz w:val="20"/>
          <w:lang w:val="en-US"/>
        </w:rPr>
        <w:t>) of the C</w:t>
      </w:r>
      <w:r w:rsidRPr="00E7285F">
        <w:rPr>
          <w:i/>
          <w:sz w:val="20"/>
          <w:lang w:val="en-US"/>
        </w:rPr>
        <w:t>riminal Code</w:t>
      </w:r>
      <w:r w:rsidRPr="00E7285F">
        <w:rPr>
          <w:sz w:val="20"/>
          <w:lang w:val="en-US"/>
        </w:rPr>
        <w:t xml:space="preserve"> limit the right to be presumed innocent as guaranteed by s. 11(</w:t>
      </w:r>
      <w:r w:rsidRPr="00E7285F">
        <w:rPr>
          <w:i/>
          <w:sz w:val="20"/>
          <w:lang w:val="en-US"/>
        </w:rPr>
        <w:t>d</w:t>
      </w:r>
      <w:r w:rsidRPr="00E7285F">
        <w:rPr>
          <w:sz w:val="20"/>
          <w:lang w:val="en-US"/>
        </w:rPr>
        <w:t xml:space="preserve">) of the </w:t>
      </w:r>
      <w:r w:rsidRPr="00E7285F">
        <w:rPr>
          <w:i/>
          <w:sz w:val="20"/>
          <w:lang w:val="en-US"/>
        </w:rPr>
        <w:t>Charter</w:t>
      </w:r>
      <w:r w:rsidRPr="00E7285F">
        <w:rPr>
          <w:sz w:val="20"/>
          <w:lang w:val="en-US"/>
        </w:rPr>
        <w:t>, any limitation is reasonable and demonstrably justified in a free and democratic society.</w:t>
      </w:r>
    </w:p>
    <w:p w:rsidR="006B3BA7" w:rsidRDefault="006B3BA7" w:rsidP="006B3BA7">
      <w:pPr>
        <w:pStyle w:val="SCCNormalDoubleSpacing"/>
        <w:spacing w:line="240" w:lineRule="auto"/>
        <w:rPr>
          <w:sz w:val="20"/>
          <w:lang w:val="en-US"/>
        </w:rPr>
      </w:pPr>
    </w:p>
    <w:p w:rsidR="006B3BA7" w:rsidRPr="00E7285F" w:rsidRDefault="006B3BA7" w:rsidP="006B3BA7">
      <w:pPr>
        <w:pStyle w:val="SCCNormalDoubleSpacing"/>
        <w:spacing w:line="240" w:lineRule="auto"/>
        <w:rPr>
          <w:sz w:val="20"/>
        </w:rPr>
      </w:pPr>
      <w:r w:rsidRPr="00E7285F">
        <w:rPr>
          <w:sz w:val="20"/>
          <w:lang w:val="en-US"/>
        </w:rPr>
        <w:tab/>
      </w:r>
      <w:r w:rsidRPr="00E7285F">
        <w:rPr>
          <w:sz w:val="20"/>
        </w:rPr>
        <w:t>APPEAL from a judgment of the Court of Québec (Judge Chapdelaine), 2010 QCCQ 8552, [2010] J.Q. n</w:t>
      </w:r>
      <w:r w:rsidRPr="00E7285F">
        <w:rPr>
          <w:sz w:val="20"/>
          <w:vertAlign w:val="superscript"/>
        </w:rPr>
        <w:t>o</w:t>
      </w:r>
      <w:r w:rsidRPr="00E7285F">
        <w:rPr>
          <w:sz w:val="20"/>
        </w:rPr>
        <w:t> 10077 (QL), 2010 CarswellQue 10716, convicting the accused of driving with a blood alcohol level over the legal limit and upholding in part the constitutionality of ss. 258(1)(</w:t>
      </w:r>
      <w:r w:rsidRPr="00E7285F">
        <w:rPr>
          <w:i/>
          <w:sz w:val="20"/>
        </w:rPr>
        <w:t>c</w:t>
      </w:r>
      <w:r w:rsidRPr="00E7285F">
        <w:rPr>
          <w:sz w:val="20"/>
        </w:rPr>
        <w:t>), (</w:t>
      </w:r>
      <w:r w:rsidRPr="00E7285F">
        <w:rPr>
          <w:i/>
          <w:sz w:val="20"/>
        </w:rPr>
        <w:t>d.01</w:t>
      </w:r>
      <w:r w:rsidRPr="00E7285F">
        <w:rPr>
          <w:sz w:val="20"/>
        </w:rPr>
        <w:t>) and (</w:t>
      </w:r>
      <w:r w:rsidRPr="00E7285F">
        <w:rPr>
          <w:i/>
          <w:sz w:val="20"/>
        </w:rPr>
        <w:t>d.1</w:t>
      </w:r>
      <w:r w:rsidRPr="00E7285F">
        <w:rPr>
          <w:sz w:val="20"/>
        </w:rPr>
        <w:t xml:space="preserve">) of the </w:t>
      </w:r>
      <w:r w:rsidRPr="00E7285F">
        <w:rPr>
          <w:i/>
          <w:sz w:val="20"/>
        </w:rPr>
        <w:t>Criminal Code</w:t>
      </w:r>
      <w:r w:rsidRPr="00E7285F">
        <w:rPr>
          <w:sz w:val="20"/>
        </w:rPr>
        <w:t xml:space="preserve">.  Appeal allowed in part, Rothstein and Cromwell JJ. </w:t>
      </w:r>
      <w:proofErr w:type="gramStart"/>
      <w:r w:rsidRPr="00E7285F">
        <w:rPr>
          <w:sz w:val="20"/>
        </w:rPr>
        <w:t>dissenting</w:t>
      </w:r>
      <w:proofErr w:type="gramEnd"/>
      <w:r w:rsidRPr="00E7285F">
        <w:rPr>
          <w:sz w:val="20"/>
        </w:rPr>
        <w:t xml:space="preserve"> in part.</w:t>
      </w:r>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r>
      <w:proofErr w:type="gramStart"/>
      <w:r w:rsidRPr="00E7285F">
        <w:rPr>
          <w:i/>
          <w:sz w:val="20"/>
        </w:rPr>
        <w:t>Michel Déom</w:t>
      </w:r>
      <w:r w:rsidRPr="00E7285F">
        <w:rPr>
          <w:sz w:val="20"/>
        </w:rPr>
        <w:t xml:space="preserve">, </w:t>
      </w:r>
      <w:r w:rsidRPr="00E7285F">
        <w:rPr>
          <w:i/>
          <w:sz w:val="20"/>
        </w:rPr>
        <w:t>Jean</w:t>
      </w:r>
      <w:r w:rsidRPr="00E7285F">
        <w:rPr>
          <w:i/>
          <w:sz w:val="20"/>
        </w:rPr>
        <w:noBreakHyphen/>
        <w:t>Vincent Lacroix, Marie</w:t>
      </w:r>
      <w:r w:rsidRPr="00E7285F">
        <w:rPr>
          <w:i/>
          <w:sz w:val="20"/>
        </w:rPr>
        <w:noBreakHyphen/>
        <w:t>Ève Mayer</w:t>
      </w:r>
      <w:r w:rsidRPr="00E7285F">
        <w:rPr>
          <w:sz w:val="20"/>
        </w:rPr>
        <w:t xml:space="preserve"> and </w:t>
      </w:r>
      <w:r w:rsidRPr="00E7285F">
        <w:rPr>
          <w:i/>
          <w:sz w:val="20"/>
        </w:rPr>
        <w:t>Patricia Blair</w:t>
      </w:r>
      <w:r w:rsidRPr="00E7285F">
        <w:rPr>
          <w:sz w:val="20"/>
        </w:rPr>
        <w:t>, for the appellants.</w:t>
      </w:r>
      <w:proofErr w:type="gramEnd"/>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r>
      <w:proofErr w:type="gramStart"/>
      <w:r w:rsidRPr="00E7285F">
        <w:rPr>
          <w:i/>
          <w:sz w:val="20"/>
        </w:rPr>
        <w:t xml:space="preserve">Patrick Fréchette, </w:t>
      </w:r>
      <w:r w:rsidRPr="00E7285F">
        <w:rPr>
          <w:sz w:val="20"/>
        </w:rPr>
        <w:t>for the respondent.</w:t>
      </w:r>
      <w:proofErr w:type="gramEnd"/>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r>
      <w:proofErr w:type="gramStart"/>
      <w:r w:rsidRPr="00E7285F">
        <w:rPr>
          <w:i/>
          <w:sz w:val="20"/>
        </w:rPr>
        <w:t>François Joyal</w:t>
      </w:r>
      <w:r w:rsidRPr="00E7285F">
        <w:rPr>
          <w:sz w:val="20"/>
        </w:rPr>
        <w:t xml:space="preserve"> and </w:t>
      </w:r>
      <w:r w:rsidRPr="00E7285F">
        <w:rPr>
          <w:i/>
          <w:sz w:val="20"/>
        </w:rPr>
        <w:t>Ginette Gobeil</w:t>
      </w:r>
      <w:r w:rsidRPr="00E7285F">
        <w:rPr>
          <w:sz w:val="20"/>
        </w:rPr>
        <w:t>, for the intervener the Attorney General of Canada.</w:t>
      </w:r>
      <w:proofErr w:type="gramEnd"/>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r>
      <w:proofErr w:type="gramStart"/>
      <w:r w:rsidRPr="00E7285F">
        <w:rPr>
          <w:i/>
          <w:sz w:val="20"/>
        </w:rPr>
        <w:t>James V. Palangio</w:t>
      </w:r>
      <w:r w:rsidRPr="00E7285F">
        <w:rPr>
          <w:sz w:val="20"/>
        </w:rPr>
        <w:t xml:space="preserve"> and </w:t>
      </w:r>
      <w:r w:rsidRPr="00E7285F">
        <w:rPr>
          <w:i/>
          <w:sz w:val="20"/>
        </w:rPr>
        <w:t>Philip Perlmutter</w:t>
      </w:r>
      <w:r w:rsidRPr="00E7285F">
        <w:rPr>
          <w:sz w:val="20"/>
        </w:rPr>
        <w:t>, for the intervener the Attorney General of Ontario.</w:t>
      </w:r>
      <w:proofErr w:type="gramEnd"/>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t>Christian Vanderhooft and Nathaniel Carnegie</w:t>
      </w:r>
      <w:r w:rsidRPr="00E7285F">
        <w:rPr>
          <w:sz w:val="20"/>
        </w:rPr>
        <w:t>, for the intervener the Attorney General of Manitoba.</w:t>
      </w:r>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t>Rodney Garson and Roger F. Cutler</w:t>
      </w:r>
      <w:r w:rsidRPr="00E7285F">
        <w:rPr>
          <w:sz w:val="20"/>
        </w:rPr>
        <w:t>, for the intervener the Attorney General of British Columbia.</w:t>
      </w:r>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r>
      <w:proofErr w:type="gramStart"/>
      <w:r w:rsidRPr="00E7285F">
        <w:rPr>
          <w:i/>
          <w:sz w:val="20"/>
        </w:rPr>
        <w:t>Jason R. Russell</w:t>
      </w:r>
      <w:r w:rsidRPr="00E7285F">
        <w:rPr>
          <w:sz w:val="20"/>
        </w:rPr>
        <w:t xml:space="preserve"> and </w:t>
      </w:r>
      <w:r w:rsidRPr="00E7285F">
        <w:rPr>
          <w:i/>
          <w:sz w:val="20"/>
        </w:rPr>
        <w:t>Robert Palser</w:t>
      </w:r>
      <w:r w:rsidRPr="00E7285F">
        <w:rPr>
          <w:sz w:val="20"/>
        </w:rPr>
        <w:t>, for the intervener the Attorney General of Alberta.</w:t>
      </w:r>
      <w:proofErr w:type="gramEnd"/>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lang w:val="fr-CA"/>
        </w:rPr>
      </w:pPr>
      <w:r w:rsidRPr="00E7285F">
        <w:rPr>
          <w:i/>
          <w:sz w:val="20"/>
        </w:rPr>
        <w:tab/>
      </w:r>
      <w:r w:rsidRPr="00E7285F">
        <w:rPr>
          <w:i/>
          <w:sz w:val="20"/>
          <w:lang w:val="fr-CA"/>
        </w:rPr>
        <w:t>Marco LaBrie and Jean</w:t>
      </w:r>
      <w:r w:rsidRPr="00E7285F">
        <w:rPr>
          <w:i/>
          <w:sz w:val="20"/>
          <w:lang w:val="fr-CA"/>
        </w:rPr>
        <w:noBreakHyphen/>
        <w:t>Philippe Marcoux</w:t>
      </w:r>
      <w:r w:rsidRPr="00E7285F">
        <w:rPr>
          <w:sz w:val="20"/>
          <w:lang w:val="fr-CA"/>
        </w:rPr>
        <w:t xml:space="preserve">, for the intervener Barreau du Québec. </w:t>
      </w:r>
    </w:p>
    <w:p w:rsidR="006B3BA7" w:rsidRDefault="006B3BA7" w:rsidP="006B3BA7">
      <w:pPr>
        <w:pStyle w:val="SCCNormalDoubleSpacing"/>
        <w:spacing w:line="240" w:lineRule="auto"/>
        <w:rPr>
          <w:i/>
          <w:sz w:val="20"/>
          <w:lang w:val="fr-CA"/>
        </w:rPr>
      </w:pPr>
    </w:p>
    <w:p w:rsidR="006B3BA7" w:rsidRPr="00E7285F" w:rsidRDefault="006B3BA7" w:rsidP="006B3BA7">
      <w:pPr>
        <w:pStyle w:val="SCCNormalDoubleSpacing"/>
        <w:spacing w:line="240" w:lineRule="auto"/>
        <w:rPr>
          <w:sz w:val="20"/>
          <w:lang w:val="fr-CA"/>
        </w:rPr>
      </w:pPr>
      <w:r w:rsidRPr="00E7285F">
        <w:rPr>
          <w:i/>
          <w:sz w:val="20"/>
          <w:lang w:val="fr-CA"/>
        </w:rPr>
        <w:tab/>
        <w:t>Éric Downs</w:t>
      </w:r>
      <w:r w:rsidRPr="00E7285F">
        <w:rPr>
          <w:sz w:val="20"/>
          <w:lang w:val="fr-CA"/>
        </w:rPr>
        <w:t xml:space="preserve"> and </w:t>
      </w:r>
      <w:r w:rsidRPr="00E7285F">
        <w:rPr>
          <w:i/>
          <w:sz w:val="20"/>
          <w:lang w:val="fr-CA"/>
        </w:rPr>
        <w:t>Julie Bolduc</w:t>
      </w:r>
      <w:r w:rsidRPr="00E7285F">
        <w:rPr>
          <w:sz w:val="20"/>
          <w:lang w:val="fr-CA"/>
        </w:rPr>
        <w:t>, for the intervener Association québécoise des avocats et avocates de la défense.</w:t>
      </w:r>
    </w:p>
    <w:p w:rsidR="006B3BA7" w:rsidRDefault="006B3BA7" w:rsidP="006B3BA7">
      <w:pPr>
        <w:pStyle w:val="SCCNormalDoubleSpacing"/>
        <w:spacing w:line="240" w:lineRule="auto"/>
        <w:rPr>
          <w:i/>
          <w:sz w:val="20"/>
          <w:lang w:val="fr-CA"/>
        </w:rPr>
      </w:pPr>
    </w:p>
    <w:p w:rsidR="006B3BA7" w:rsidRPr="00E7285F" w:rsidRDefault="006B3BA7" w:rsidP="006B3BA7">
      <w:pPr>
        <w:pStyle w:val="SCCNormalDoubleSpacing"/>
        <w:spacing w:line="240" w:lineRule="auto"/>
        <w:rPr>
          <w:sz w:val="20"/>
        </w:rPr>
      </w:pPr>
      <w:r w:rsidRPr="00E7285F">
        <w:rPr>
          <w:i/>
          <w:sz w:val="20"/>
          <w:lang w:val="fr-CA"/>
        </w:rPr>
        <w:tab/>
      </w:r>
      <w:r w:rsidRPr="00E7285F">
        <w:rPr>
          <w:i/>
          <w:sz w:val="20"/>
        </w:rPr>
        <w:t>Patrick Ducharme and Paul Burstein</w:t>
      </w:r>
      <w:r w:rsidRPr="00E7285F">
        <w:rPr>
          <w:sz w:val="20"/>
        </w:rPr>
        <w:t>, for the intervener the Criminal Lawyers’ Association of Ontario.</w:t>
      </w:r>
    </w:p>
    <w:p w:rsidR="006B3BA7" w:rsidRDefault="006B3BA7" w:rsidP="006B3BA7">
      <w:pPr>
        <w:pStyle w:val="SCCNormalDoubleSpacing"/>
        <w:spacing w:line="240" w:lineRule="auto"/>
        <w:rPr>
          <w:i/>
          <w:sz w:val="20"/>
        </w:rPr>
      </w:pPr>
    </w:p>
    <w:p w:rsidR="006B3BA7" w:rsidRPr="00E7285F" w:rsidRDefault="006B3BA7" w:rsidP="006B3BA7">
      <w:pPr>
        <w:pStyle w:val="SCCNormalDoubleSpacing"/>
        <w:spacing w:line="240" w:lineRule="auto"/>
        <w:rPr>
          <w:sz w:val="20"/>
        </w:rPr>
      </w:pPr>
      <w:r w:rsidRPr="00E7285F">
        <w:rPr>
          <w:i/>
          <w:sz w:val="20"/>
        </w:rPr>
        <w:tab/>
      </w:r>
      <w:proofErr w:type="gramStart"/>
      <w:r w:rsidRPr="00E7285F">
        <w:rPr>
          <w:i/>
          <w:sz w:val="20"/>
        </w:rPr>
        <w:t>Shannon K. C. Prithipaul</w:t>
      </w:r>
      <w:r w:rsidRPr="00E7285F">
        <w:rPr>
          <w:sz w:val="20"/>
        </w:rPr>
        <w:t>, for the intervener the Criminal Trial Lawyers’ Association.</w:t>
      </w:r>
      <w:proofErr w:type="gramEnd"/>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rPr>
      </w:pPr>
      <w:r w:rsidRPr="00E7285F">
        <w:rPr>
          <w:sz w:val="20"/>
        </w:rPr>
        <w:tab/>
        <w:t>Solicitor for the appellants:  Attorney general of Quebec, Montréal.</w:t>
      </w:r>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rPr>
      </w:pPr>
      <w:r w:rsidRPr="00E7285F">
        <w:rPr>
          <w:sz w:val="20"/>
        </w:rPr>
        <w:tab/>
        <w:t>Solicitors for the respondent:  Fréchette, Blanchette, Sherbrooke.</w:t>
      </w:r>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rPr>
      </w:pPr>
      <w:r w:rsidRPr="00E7285F">
        <w:rPr>
          <w:sz w:val="20"/>
        </w:rPr>
        <w:tab/>
        <w:t>Solicitor for the intervener the Attorney General of Canada:  Attorney general of Canada, Montréal.</w:t>
      </w:r>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rPr>
      </w:pPr>
      <w:r w:rsidRPr="00E7285F">
        <w:rPr>
          <w:sz w:val="20"/>
        </w:rPr>
        <w:tab/>
        <w:t>Solicitor for the intervener the Attorney General of Ontario:   Attorney General of Ontario, Toronto.</w:t>
      </w:r>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rPr>
      </w:pPr>
      <w:r w:rsidRPr="00E7285F">
        <w:rPr>
          <w:sz w:val="20"/>
        </w:rPr>
        <w:tab/>
        <w:t>Solicitor for the intervener the Attorney General of Manitoba:  Attorney General of Manitoba, Winnipeg.</w:t>
      </w:r>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rPr>
      </w:pPr>
      <w:r w:rsidRPr="00E7285F">
        <w:rPr>
          <w:sz w:val="20"/>
        </w:rPr>
        <w:tab/>
        <w:t>Solicitor for the intervener the Attorney General of British Columbia:  Attorney General of British Columbia, Victoria.</w:t>
      </w:r>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rPr>
      </w:pPr>
      <w:r w:rsidRPr="00E7285F">
        <w:rPr>
          <w:sz w:val="20"/>
        </w:rPr>
        <w:tab/>
        <w:t>Solicitor for the intervener the Attorney General of Alberta:  Attorney General of Alberta, Edmonton.</w:t>
      </w:r>
    </w:p>
    <w:p w:rsidR="006B3BA7" w:rsidRDefault="006B3BA7" w:rsidP="006B3BA7">
      <w:pPr>
        <w:pStyle w:val="SCCLawFirm"/>
        <w:spacing w:line="240" w:lineRule="auto"/>
        <w:rPr>
          <w:sz w:val="20"/>
        </w:rPr>
      </w:pPr>
    </w:p>
    <w:p w:rsidR="006B3BA7" w:rsidRPr="00E7285F" w:rsidRDefault="006B3BA7" w:rsidP="006B3BA7">
      <w:pPr>
        <w:pStyle w:val="SCCLawFirm"/>
        <w:spacing w:line="240" w:lineRule="auto"/>
        <w:rPr>
          <w:sz w:val="20"/>
          <w:lang w:val="fr-CA"/>
        </w:rPr>
      </w:pPr>
      <w:r w:rsidRPr="00E7285F">
        <w:rPr>
          <w:sz w:val="20"/>
        </w:rPr>
        <w:tab/>
      </w:r>
      <w:r w:rsidRPr="00E7285F">
        <w:rPr>
          <w:sz w:val="20"/>
          <w:lang w:val="fr-CA"/>
        </w:rPr>
        <w:t>Solicitors for the intervener Barreau du Québec:</w:t>
      </w:r>
      <w:proofErr w:type="gramStart"/>
      <w:r w:rsidRPr="00E7285F">
        <w:rPr>
          <w:sz w:val="20"/>
          <w:lang w:val="fr-CA"/>
        </w:rPr>
        <w:t>  LaBrie</w:t>
      </w:r>
      <w:proofErr w:type="gramEnd"/>
      <w:r w:rsidRPr="00E7285F">
        <w:rPr>
          <w:sz w:val="20"/>
          <w:lang w:val="fr-CA"/>
        </w:rPr>
        <w:t>, Gariépy &amp; Associés, Longueuil.</w:t>
      </w:r>
    </w:p>
    <w:p w:rsidR="006B3BA7" w:rsidRDefault="006B3BA7" w:rsidP="006B3BA7">
      <w:pPr>
        <w:pStyle w:val="SCCLawFirm"/>
        <w:spacing w:line="240" w:lineRule="auto"/>
        <w:rPr>
          <w:sz w:val="20"/>
          <w:lang w:val="fr-CA"/>
        </w:rPr>
      </w:pPr>
    </w:p>
    <w:p w:rsidR="006B3BA7" w:rsidRPr="00E7285F" w:rsidRDefault="006B3BA7" w:rsidP="006B3BA7">
      <w:pPr>
        <w:pStyle w:val="SCCLawFirm"/>
        <w:spacing w:line="240" w:lineRule="auto"/>
        <w:rPr>
          <w:sz w:val="20"/>
          <w:lang w:val="fr-CA"/>
        </w:rPr>
      </w:pPr>
      <w:r w:rsidRPr="00E7285F">
        <w:rPr>
          <w:sz w:val="20"/>
          <w:lang w:val="fr-CA"/>
        </w:rPr>
        <w:tab/>
        <w:t>Solicitors for the intervener Association québécoise des avocats et avocates de la défense:</w:t>
      </w:r>
      <w:proofErr w:type="gramStart"/>
      <w:r w:rsidRPr="00E7285F">
        <w:rPr>
          <w:sz w:val="20"/>
          <w:lang w:val="fr-CA"/>
        </w:rPr>
        <w:t>  Downs</w:t>
      </w:r>
      <w:proofErr w:type="gramEnd"/>
      <w:r w:rsidRPr="00E7285F">
        <w:rPr>
          <w:sz w:val="20"/>
          <w:lang w:val="fr-CA"/>
        </w:rPr>
        <w:t xml:space="preserve"> Lepage, Montréal.</w:t>
      </w:r>
    </w:p>
    <w:p w:rsidR="006B3BA7" w:rsidRDefault="006B3BA7" w:rsidP="006B3BA7">
      <w:pPr>
        <w:pStyle w:val="SCCLawFirm"/>
        <w:spacing w:line="240" w:lineRule="auto"/>
        <w:rPr>
          <w:sz w:val="20"/>
          <w:lang w:val="fr-CA"/>
        </w:rPr>
      </w:pPr>
    </w:p>
    <w:p w:rsidR="006B3BA7" w:rsidRPr="00E7285F" w:rsidRDefault="006B3BA7" w:rsidP="006B3BA7">
      <w:pPr>
        <w:pStyle w:val="SCCLawFirm"/>
        <w:spacing w:line="240" w:lineRule="auto"/>
        <w:rPr>
          <w:sz w:val="20"/>
        </w:rPr>
      </w:pPr>
      <w:r w:rsidRPr="00E7285F">
        <w:rPr>
          <w:sz w:val="20"/>
          <w:lang w:val="fr-CA"/>
        </w:rPr>
        <w:tab/>
      </w:r>
      <w:r w:rsidRPr="00E7285F">
        <w:rPr>
          <w:sz w:val="20"/>
        </w:rPr>
        <w:t>Solicitors for the intervener the Criminal Lawyers’ Association of Ontario:  Ducharme Fox, Windsor; Burstein Bryant, Toronto.</w:t>
      </w:r>
    </w:p>
    <w:p w:rsidR="006B3BA7" w:rsidRDefault="006B3BA7" w:rsidP="006B3BA7">
      <w:pPr>
        <w:pStyle w:val="SCCLawFirm"/>
        <w:spacing w:line="240" w:lineRule="auto"/>
        <w:rPr>
          <w:sz w:val="20"/>
        </w:rPr>
      </w:pPr>
    </w:p>
    <w:p w:rsidR="006B3BA7" w:rsidRDefault="006B3BA7" w:rsidP="006B3BA7">
      <w:pPr>
        <w:pStyle w:val="SCCLawFirm"/>
        <w:spacing w:line="240" w:lineRule="auto"/>
        <w:rPr>
          <w:sz w:val="20"/>
        </w:rPr>
      </w:pPr>
      <w:r w:rsidRPr="00E7285F">
        <w:rPr>
          <w:sz w:val="20"/>
        </w:rPr>
        <w:tab/>
        <w:t>Solicitors for the intervener the Criminal Trial Lawyers’ Association:  Gunn Law Group, Edmonton.</w:t>
      </w:r>
    </w:p>
    <w:p w:rsidR="00DD0B49" w:rsidRPr="005571F9" w:rsidRDefault="00DD0B49" w:rsidP="00DD0B49">
      <w:pPr>
        <w:rPr>
          <w:rFonts w:cs="Times New Roman"/>
          <w:sz w:val="20"/>
          <w:szCs w:val="20"/>
        </w:rPr>
      </w:pPr>
    </w:p>
    <w:p w:rsidR="005C6840" w:rsidRDefault="002048ED" w:rsidP="005C6840">
      <w:pPr>
        <w:rPr>
          <w:lang w:val="fr-CA"/>
        </w:rPr>
      </w:pPr>
      <w:r w:rsidRPr="002048ED">
        <w:rPr>
          <w:rFonts w:cs="Times New Roman"/>
          <w:sz w:val="20"/>
          <w:szCs w:val="20"/>
          <w:lang w:val="fr-CA"/>
        </w:rPr>
        <w:pict>
          <v:rect id="_x0000_i1101" style="width:144.3pt;height:1pt" o:hrpct="300" o:hralign="center" o:hrstd="t" o:hrnoshade="t" o:hr="t" fillcolor="black [3213]" stroked="f"/>
        </w:pict>
      </w:r>
      <w:r w:rsidR="005C6840">
        <w:rPr>
          <w:lang w:val="fr-CA"/>
        </w:rPr>
        <w:br w:type="page"/>
      </w:r>
    </w:p>
    <w:p w:rsidR="00CA4EDA" w:rsidRPr="00DF5B36" w:rsidRDefault="00CA4EDA" w:rsidP="00CA4EDA">
      <w:pPr>
        <w:jc w:val="both"/>
        <w:rPr>
          <w:rStyle w:val="Strong"/>
          <w:rFonts w:eastAsia="Calibri" w:cs="Times New Roman"/>
          <w:b w:val="0"/>
          <w:bCs w:val="0"/>
          <w:color w:val="000000"/>
          <w:sz w:val="20"/>
          <w:szCs w:val="20"/>
        </w:rPr>
      </w:pPr>
      <w:proofErr w:type="gramStart"/>
      <w:r w:rsidRPr="00DF5B36">
        <w:rPr>
          <w:rStyle w:val="Strong"/>
          <w:rFonts w:eastAsia="Calibri" w:cs="Times New Roman"/>
          <w:b w:val="0"/>
          <w:i/>
          <w:color w:val="000000"/>
          <w:sz w:val="20"/>
          <w:szCs w:val="20"/>
        </w:rPr>
        <w:t>Samuel Dineley v.</w:t>
      </w:r>
      <w:proofErr w:type="gramEnd"/>
      <w:r w:rsidRPr="00DF5B36">
        <w:rPr>
          <w:rStyle w:val="Strong"/>
          <w:rFonts w:eastAsia="Calibri" w:cs="Times New Roman"/>
          <w:b w:val="0"/>
          <w:i/>
          <w:color w:val="000000"/>
          <w:sz w:val="20"/>
          <w:szCs w:val="20"/>
        </w:rPr>
        <w:t xml:space="preserve"> Her Majesty the Queen </w:t>
      </w:r>
      <w:r w:rsidRPr="00DF5B36">
        <w:rPr>
          <w:rStyle w:val="Strong"/>
          <w:rFonts w:eastAsia="Calibri" w:cs="Times New Roman"/>
          <w:b w:val="0"/>
          <w:color w:val="000000"/>
          <w:sz w:val="20"/>
          <w:szCs w:val="20"/>
        </w:rPr>
        <w:t>(Ont.) (</w:t>
      </w:r>
      <w:r w:rsidRPr="00DF5B36">
        <w:rPr>
          <w:rFonts w:eastAsia="Calibri" w:cs="Times New Roman"/>
          <w:sz w:val="20"/>
          <w:szCs w:val="20"/>
        </w:rPr>
        <w:t>33640)</w:t>
      </w:r>
    </w:p>
    <w:p w:rsidR="007D064A" w:rsidRPr="00F938BB" w:rsidRDefault="007D064A" w:rsidP="007D064A">
      <w:pPr>
        <w:jc w:val="both"/>
        <w:rPr>
          <w:b/>
          <w:sz w:val="20"/>
          <w:szCs w:val="20"/>
        </w:rPr>
      </w:pPr>
      <w:r w:rsidRPr="00F938BB">
        <w:rPr>
          <w:b/>
          <w:sz w:val="20"/>
          <w:szCs w:val="20"/>
        </w:rPr>
        <w:t xml:space="preserve">Indexed as:  R. </w:t>
      </w:r>
      <w:r w:rsidRPr="00F938BB">
        <w:rPr>
          <w:b/>
          <w:i/>
          <w:sz w:val="20"/>
          <w:szCs w:val="20"/>
        </w:rPr>
        <w:t>v</w:t>
      </w:r>
      <w:r w:rsidRPr="00F938BB">
        <w:rPr>
          <w:b/>
          <w:sz w:val="20"/>
          <w:szCs w:val="20"/>
        </w:rPr>
        <w:t xml:space="preserve">. </w:t>
      </w:r>
      <w:r w:rsidRPr="007D064A">
        <w:rPr>
          <w:rStyle w:val="SCCAppellantForIndexChar"/>
          <w:rFonts w:eastAsia="Calibri"/>
          <w:sz w:val="20"/>
          <w:lang w:val="en-CA"/>
        </w:rPr>
        <w:t>Dineley</w:t>
      </w:r>
      <w:r w:rsidRPr="00F938BB">
        <w:rPr>
          <w:b/>
          <w:sz w:val="20"/>
          <w:szCs w:val="20"/>
        </w:rPr>
        <w:t xml:space="preserve"> </w:t>
      </w:r>
      <w:r>
        <w:rPr>
          <w:b/>
          <w:sz w:val="20"/>
          <w:szCs w:val="20"/>
        </w:rPr>
        <w:t xml:space="preserve">/ </w:t>
      </w:r>
      <w:proofErr w:type="gramStart"/>
      <w:r w:rsidRPr="00447708">
        <w:rPr>
          <w:b/>
          <w:sz w:val="20"/>
          <w:szCs w:val="20"/>
        </w:rPr>
        <w:t>Répertorié :</w:t>
      </w:r>
      <w:proofErr w:type="gramEnd"/>
      <w:r w:rsidRPr="00447708">
        <w:rPr>
          <w:b/>
          <w:sz w:val="20"/>
          <w:szCs w:val="20"/>
        </w:rPr>
        <w:t xml:space="preserve"> R. </w:t>
      </w:r>
      <w:r w:rsidRPr="00447708">
        <w:rPr>
          <w:b/>
          <w:i/>
          <w:sz w:val="20"/>
          <w:szCs w:val="20"/>
        </w:rPr>
        <w:t>c</w:t>
      </w:r>
      <w:r w:rsidRPr="00447708">
        <w:rPr>
          <w:b/>
          <w:sz w:val="20"/>
          <w:szCs w:val="20"/>
        </w:rPr>
        <w:t>. Dineley</w:t>
      </w:r>
    </w:p>
    <w:p w:rsidR="005C6840" w:rsidRPr="007D064A" w:rsidRDefault="005C6840" w:rsidP="005C6840">
      <w:pPr>
        <w:pStyle w:val="SCCSystemYear"/>
        <w:jc w:val="both"/>
        <w:rPr>
          <w:sz w:val="20"/>
        </w:rPr>
      </w:pPr>
      <w:r w:rsidRPr="007D064A">
        <w:rPr>
          <w:sz w:val="20"/>
        </w:rPr>
        <w:t>Neutral citation</w:t>
      </w:r>
      <w:proofErr w:type="gramStart"/>
      <w:r w:rsidRPr="007D064A">
        <w:rPr>
          <w:sz w:val="20"/>
        </w:rPr>
        <w:t>:  201</w:t>
      </w:r>
      <w:r w:rsidR="00CA4EDA" w:rsidRPr="007D064A">
        <w:rPr>
          <w:sz w:val="20"/>
        </w:rPr>
        <w:t>2</w:t>
      </w:r>
      <w:proofErr w:type="gramEnd"/>
      <w:r w:rsidRPr="007D064A">
        <w:rPr>
          <w:sz w:val="20"/>
        </w:rPr>
        <w:t xml:space="preserve"> SCC </w:t>
      </w:r>
      <w:r w:rsidR="00CA4EDA" w:rsidRPr="007D064A">
        <w:rPr>
          <w:sz w:val="20"/>
        </w:rPr>
        <w:t>58</w:t>
      </w:r>
      <w:r w:rsidRPr="007D064A">
        <w:rPr>
          <w:sz w:val="20"/>
        </w:rPr>
        <w:t xml:space="preserve"> / Référence neutre : 201</w:t>
      </w:r>
      <w:r w:rsidR="00CA4EDA" w:rsidRPr="007D064A">
        <w:rPr>
          <w:sz w:val="20"/>
        </w:rPr>
        <w:t>2</w:t>
      </w:r>
      <w:r w:rsidRPr="007D064A">
        <w:rPr>
          <w:sz w:val="20"/>
        </w:rPr>
        <w:t xml:space="preserve"> CSC </w:t>
      </w:r>
      <w:r w:rsidR="00CA4EDA" w:rsidRPr="007D064A">
        <w:rPr>
          <w:sz w:val="20"/>
        </w:rPr>
        <w:t>58</w:t>
      </w:r>
    </w:p>
    <w:p w:rsidR="005C6840" w:rsidRPr="007D064A" w:rsidRDefault="005C6840" w:rsidP="005C6840">
      <w:pPr>
        <w:rPr>
          <w:sz w:val="20"/>
          <w:szCs w:val="20"/>
          <w:lang w:val="fr-CA"/>
        </w:rPr>
      </w:pPr>
      <w:r w:rsidRPr="007D064A">
        <w:rPr>
          <w:sz w:val="20"/>
          <w:szCs w:val="20"/>
          <w:lang w:val="fr-CA"/>
        </w:rPr>
        <w:t>Hearing</w:t>
      </w:r>
      <w:proofErr w:type="gramStart"/>
      <w:r w:rsidRPr="007D064A">
        <w:rPr>
          <w:sz w:val="20"/>
          <w:szCs w:val="20"/>
          <w:lang w:val="fr-CA"/>
        </w:rPr>
        <w:t xml:space="preserve">:  </w:t>
      </w:r>
      <w:r w:rsidR="007D064A" w:rsidRPr="007D064A">
        <w:rPr>
          <w:sz w:val="20"/>
          <w:szCs w:val="20"/>
          <w:lang w:val="fr-CA"/>
        </w:rPr>
        <w:t>October</w:t>
      </w:r>
      <w:proofErr w:type="gramEnd"/>
      <w:r w:rsidR="007D064A" w:rsidRPr="007D064A">
        <w:rPr>
          <w:sz w:val="20"/>
          <w:szCs w:val="20"/>
          <w:lang w:val="fr-CA"/>
        </w:rPr>
        <w:t xml:space="preserve"> </w:t>
      </w:r>
      <w:r w:rsidRPr="007D064A">
        <w:rPr>
          <w:sz w:val="20"/>
          <w:szCs w:val="20"/>
          <w:lang w:val="fr-CA"/>
        </w:rPr>
        <w:t>1</w:t>
      </w:r>
      <w:r w:rsidR="007D064A" w:rsidRPr="007D064A">
        <w:rPr>
          <w:sz w:val="20"/>
          <w:szCs w:val="20"/>
          <w:lang w:val="fr-CA"/>
        </w:rPr>
        <w:t>3</w:t>
      </w:r>
      <w:r w:rsidRPr="007D064A">
        <w:rPr>
          <w:sz w:val="20"/>
          <w:szCs w:val="20"/>
          <w:lang w:val="fr-CA"/>
        </w:rPr>
        <w:t>, 201</w:t>
      </w:r>
      <w:r w:rsidR="007D064A" w:rsidRPr="007D064A">
        <w:rPr>
          <w:sz w:val="20"/>
          <w:szCs w:val="20"/>
          <w:lang w:val="fr-CA"/>
        </w:rPr>
        <w:t>1</w:t>
      </w:r>
      <w:r w:rsidRPr="007D064A">
        <w:rPr>
          <w:sz w:val="20"/>
          <w:szCs w:val="20"/>
          <w:lang w:val="fr-CA"/>
        </w:rPr>
        <w:t xml:space="preserve"> / Judgment:  </w:t>
      </w:r>
      <w:r w:rsidR="00CA4EDA" w:rsidRPr="007D064A">
        <w:rPr>
          <w:sz w:val="20"/>
          <w:szCs w:val="20"/>
          <w:lang w:val="fr-CA"/>
        </w:rPr>
        <w:t>Novem</w:t>
      </w:r>
      <w:r w:rsidRPr="007D064A">
        <w:rPr>
          <w:sz w:val="20"/>
          <w:szCs w:val="20"/>
          <w:lang w:val="fr-CA"/>
        </w:rPr>
        <w:t>ber 2, 201</w:t>
      </w:r>
      <w:r w:rsidR="00CA4EDA" w:rsidRPr="007D064A">
        <w:rPr>
          <w:sz w:val="20"/>
          <w:szCs w:val="20"/>
          <w:lang w:val="fr-CA"/>
        </w:rPr>
        <w:t>2</w:t>
      </w:r>
    </w:p>
    <w:p w:rsidR="005C6840" w:rsidRPr="003B3977" w:rsidRDefault="005C6840" w:rsidP="005C6840">
      <w:pPr>
        <w:rPr>
          <w:sz w:val="20"/>
          <w:szCs w:val="20"/>
          <w:lang w:val="fr-CA"/>
        </w:rPr>
      </w:pPr>
      <w:r w:rsidRPr="003B3977">
        <w:rPr>
          <w:sz w:val="20"/>
          <w:szCs w:val="20"/>
          <w:lang w:val="fr-CA"/>
        </w:rPr>
        <w:t>Audition : Le 1</w:t>
      </w:r>
      <w:r w:rsidR="007D064A">
        <w:rPr>
          <w:sz w:val="20"/>
          <w:szCs w:val="20"/>
          <w:lang w:val="fr-CA"/>
        </w:rPr>
        <w:t>3</w:t>
      </w:r>
      <w:r w:rsidRPr="003B3977">
        <w:rPr>
          <w:sz w:val="20"/>
          <w:szCs w:val="20"/>
          <w:lang w:val="fr-CA"/>
        </w:rPr>
        <w:t xml:space="preserve"> </w:t>
      </w:r>
      <w:r w:rsidR="007D064A">
        <w:rPr>
          <w:sz w:val="20"/>
          <w:szCs w:val="20"/>
          <w:lang w:val="fr-CA"/>
        </w:rPr>
        <w:t>octobre</w:t>
      </w:r>
      <w:r w:rsidRPr="003B3977">
        <w:rPr>
          <w:sz w:val="20"/>
          <w:szCs w:val="20"/>
          <w:lang w:val="fr-CA"/>
        </w:rPr>
        <w:t xml:space="preserve"> 201</w:t>
      </w:r>
      <w:r w:rsidR="007D064A">
        <w:rPr>
          <w:sz w:val="20"/>
          <w:szCs w:val="20"/>
          <w:lang w:val="fr-CA"/>
        </w:rPr>
        <w:t>1</w:t>
      </w:r>
      <w:r w:rsidRPr="003B3977">
        <w:rPr>
          <w:sz w:val="20"/>
          <w:szCs w:val="20"/>
          <w:lang w:val="fr-CA"/>
        </w:rPr>
        <w:t xml:space="preserve"> / Jugement : Le 2</w:t>
      </w:r>
      <w:r w:rsidR="00CA4EDA">
        <w:rPr>
          <w:sz w:val="20"/>
          <w:szCs w:val="20"/>
          <w:lang w:val="fr-CA"/>
        </w:rPr>
        <w:t xml:space="preserve"> novem</w:t>
      </w:r>
      <w:r w:rsidRPr="003B3977">
        <w:rPr>
          <w:sz w:val="20"/>
          <w:szCs w:val="20"/>
          <w:lang w:val="fr-CA"/>
        </w:rPr>
        <w:t>bre 201</w:t>
      </w:r>
      <w:r w:rsidR="00CA4EDA">
        <w:rPr>
          <w:sz w:val="20"/>
          <w:szCs w:val="20"/>
          <w:lang w:val="fr-CA"/>
        </w:rPr>
        <w:t>2</w:t>
      </w:r>
    </w:p>
    <w:p w:rsidR="005C6840" w:rsidRPr="003B3977" w:rsidRDefault="002048ED" w:rsidP="005C6840">
      <w:pPr>
        <w:rPr>
          <w:sz w:val="20"/>
          <w:szCs w:val="20"/>
          <w:lang w:val="fr-CA"/>
        </w:rPr>
      </w:pPr>
      <w:r w:rsidRPr="002048ED">
        <w:rPr>
          <w:i/>
          <w:sz w:val="20"/>
          <w:szCs w:val="20"/>
        </w:rPr>
        <w:pict>
          <v:rect id="_x0000_i1102" style="width:480.95pt;height:1pt" o:hralign="center" o:hrstd="t" o:hrnoshade="t" o:hr="t" fillcolor="black [3213]" stroked="f"/>
        </w:pict>
      </w:r>
    </w:p>
    <w:p w:rsidR="005C6840" w:rsidRDefault="005C6840" w:rsidP="005C6840">
      <w:pPr>
        <w:spacing w:line="0" w:lineRule="atLeast"/>
        <w:rPr>
          <w:sz w:val="20"/>
          <w:szCs w:val="20"/>
          <w:lang w:val="fr-CA"/>
        </w:rPr>
      </w:pPr>
    </w:p>
    <w:p w:rsidR="007D064A" w:rsidRPr="00F938BB" w:rsidRDefault="007D064A" w:rsidP="007D064A">
      <w:pPr>
        <w:jc w:val="both"/>
        <w:rPr>
          <w:sz w:val="20"/>
        </w:rPr>
      </w:pPr>
      <w:r w:rsidRPr="00F938BB">
        <w:rPr>
          <w:sz w:val="20"/>
        </w:rPr>
        <w:t>Present:  McLachlin C.J. and LeBel, Deschamps, Fish, Abella, Rothstein and Cromwell JJ.</w:t>
      </w:r>
    </w:p>
    <w:p w:rsidR="007D064A" w:rsidRDefault="007D064A" w:rsidP="007D064A">
      <w:pPr>
        <w:pStyle w:val="SCCLowerCourtNameLowercase"/>
        <w:spacing w:line="240" w:lineRule="auto"/>
        <w:rPr>
          <w:sz w:val="20"/>
        </w:rPr>
      </w:pPr>
    </w:p>
    <w:p w:rsidR="007D064A" w:rsidRPr="00F938BB" w:rsidRDefault="007D064A" w:rsidP="007D064A">
      <w:pPr>
        <w:pStyle w:val="SCCNormalDoubleSpacing"/>
        <w:spacing w:line="240" w:lineRule="auto"/>
        <w:rPr>
          <w:i/>
          <w:sz w:val="20"/>
        </w:rPr>
      </w:pPr>
      <w:r w:rsidRPr="00F938BB">
        <w:rPr>
          <w:sz w:val="20"/>
        </w:rPr>
        <w:tab/>
      </w:r>
      <w:r w:rsidRPr="00F938BB">
        <w:rPr>
          <w:i/>
          <w:sz w:val="20"/>
        </w:rPr>
        <w:t>Criminal Law — Defences — “Carter defence” — Accused charged with impaired driving and driving “over 80” — Amendments brought to Criminal Code during accused’s trial limiting evidence that may be adduced in defence to raise doubt about reliability of breathalyzer test results — Whether Carter defence available to accused — Whether amendments have retrospective effect to time of alleged offences — Whether amendments affect procedural or substantive rights — Criminal Code, R.S.C. 1985, c. C</w:t>
      </w:r>
      <w:r w:rsidRPr="00F938BB">
        <w:rPr>
          <w:i/>
          <w:sz w:val="20"/>
        </w:rPr>
        <w:noBreakHyphen/>
        <w:t>46, ss. 258(1)(c), 258(1)(d.01) — Tackling Violent Crime Act, S.C. 2008, c. 6.</w:t>
      </w:r>
    </w:p>
    <w:p w:rsidR="007D064A" w:rsidRDefault="007D064A" w:rsidP="007D064A">
      <w:pPr>
        <w:pStyle w:val="SCCNormalDoubleSpacing"/>
        <w:spacing w:line="240" w:lineRule="auto"/>
        <w:rPr>
          <w:i/>
          <w:sz w:val="20"/>
        </w:rPr>
      </w:pPr>
    </w:p>
    <w:p w:rsidR="007D064A" w:rsidRPr="00F938BB" w:rsidRDefault="007D064A" w:rsidP="007D064A">
      <w:pPr>
        <w:pStyle w:val="SCCNormalDoubleSpacing"/>
        <w:spacing w:line="240" w:lineRule="auto"/>
        <w:rPr>
          <w:i/>
          <w:sz w:val="20"/>
        </w:rPr>
      </w:pPr>
      <w:r w:rsidRPr="00F938BB">
        <w:rPr>
          <w:i/>
          <w:sz w:val="20"/>
        </w:rPr>
        <w:tab/>
        <w:t xml:space="preserve">Legislation — Interpretation — Effect of new legislation — Amendments brought to Criminal Code during accused’s trial limiting evidence that may be adduced in defence to raise doubt about reliability of breathalyzer test results — Whether amendments have retrospective effect to time of alleged offences — Whether amendments affect procedural or substantive rights — Whether </w:t>
      </w:r>
      <w:r w:rsidRPr="00F938BB">
        <w:rPr>
          <w:i/>
          <w:sz w:val="20"/>
          <w:lang w:val="en-US"/>
        </w:rPr>
        <w:t>Parliament provided for preservation of evidence for cases that began before amendments came into force</w:t>
      </w:r>
      <w:r w:rsidRPr="00F938BB">
        <w:rPr>
          <w:i/>
          <w:sz w:val="20"/>
        </w:rPr>
        <w:t xml:space="preserve"> — Criminal Code, R.S.C. 1985, c. C</w:t>
      </w:r>
      <w:r w:rsidRPr="00F938BB">
        <w:rPr>
          <w:i/>
          <w:sz w:val="20"/>
        </w:rPr>
        <w:noBreakHyphen/>
        <w:t>46, ss. 258(1)(c), 258(1)(d.01) — Tackling Violent Crime Act, S.C. 2008, c. 6.</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D was involved in a motor vehicle incident, following which he was asked to submit to breathalyzer tests.  The instrument registered 99 and 97 mg of alcohol per 100 ml of blood.  D was charged with impaired driving and driving with a blood alcohol level over the legal limit of 80 mg of alcohol in 100 ml of blood.</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 xml:space="preserve">At the beginning of D’s trial, counsel for D advised the judge that he intended to tender a toxicology report in order to challenge the accuracy of the breathalyzer test results — what is known as a </w:t>
      </w:r>
      <w:r w:rsidRPr="00F938BB">
        <w:rPr>
          <w:i/>
          <w:sz w:val="20"/>
        </w:rPr>
        <w:t>Carter</w:t>
      </w:r>
      <w:r w:rsidRPr="00F938BB">
        <w:rPr>
          <w:sz w:val="20"/>
        </w:rPr>
        <w:t xml:space="preserve"> defence.  Crown counsel wished to cross</w:t>
      </w:r>
      <w:r w:rsidRPr="00F938BB">
        <w:rPr>
          <w:sz w:val="20"/>
        </w:rPr>
        <w:noBreakHyphen/>
        <w:t xml:space="preserve">examine the toxicologist on his report, but the latter was not present and the trial was accordingly adjourned.  Following the adjournment but prior to the resumption of D’s trial, amendments to the </w:t>
      </w:r>
      <w:r w:rsidRPr="00F938BB">
        <w:rPr>
          <w:i/>
          <w:sz w:val="20"/>
        </w:rPr>
        <w:t>Criminal Code</w:t>
      </w:r>
      <w:r w:rsidRPr="00F938BB">
        <w:rPr>
          <w:sz w:val="20"/>
        </w:rPr>
        <w:t xml:space="preserve"> were enacted, the effect of which is to eliminate the </w:t>
      </w:r>
      <w:r w:rsidRPr="00F938BB">
        <w:rPr>
          <w:i/>
          <w:sz w:val="20"/>
        </w:rPr>
        <w:t xml:space="preserve">Carter </w:t>
      </w:r>
      <w:r w:rsidRPr="00F938BB">
        <w:rPr>
          <w:sz w:val="20"/>
        </w:rPr>
        <w:t>defence as an independent means to raise a doubt about the reliability of breathalyzer test results.</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 xml:space="preserve">The trial judge accepted the </w:t>
      </w:r>
      <w:r w:rsidRPr="00F938BB">
        <w:rPr>
          <w:i/>
          <w:sz w:val="20"/>
        </w:rPr>
        <w:t>Carter</w:t>
      </w:r>
      <w:r w:rsidRPr="00F938BB">
        <w:rPr>
          <w:sz w:val="20"/>
        </w:rPr>
        <w:t xml:space="preserve"> defence adduced by D and entered an acquittal.  The summary conviction appeal judge upheld that decision concluding that the new legislative provisions virtually eliminated the </w:t>
      </w:r>
      <w:r w:rsidRPr="00F938BB">
        <w:rPr>
          <w:i/>
          <w:sz w:val="20"/>
        </w:rPr>
        <w:t>Carter</w:t>
      </w:r>
      <w:r w:rsidRPr="00F938BB">
        <w:rPr>
          <w:sz w:val="20"/>
        </w:rPr>
        <w:t xml:space="preserve"> defence, that they were substantive in nature and not procedural, and that they therefore applied only prospectively.  The Court of Appeal reversed that decision and held that the new legislative provisions were merely evidentiary and that they therefore applied to the case.  A new trial was ordered to proceed on the basis of s. 258(1) of the </w:t>
      </w:r>
      <w:r w:rsidRPr="00F938BB">
        <w:rPr>
          <w:i/>
          <w:sz w:val="20"/>
        </w:rPr>
        <w:t>Criminal Code</w:t>
      </w:r>
      <w:r w:rsidRPr="00F938BB">
        <w:rPr>
          <w:sz w:val="20"/>
        </w:rPr>
        <w:t xml:space="preserve"> as amended.</w:t>
      </w:r>
    </w:p>
    <w:p w:rsidR="007D064A" w:rsidRPr="00F9545D" w:rsidRDefault="007D064A" w:rsidP="007D064A">
      <w:pPr>
        <w:pStyle w:val="SCCNormalDoubleSpacing"/>
        <w:spacing w:line="240" w:lineRule="auto"/>
        <w:rPr>
          <w:rStyle w:val="QuoteChar"/>
          <w:i w:val="0"/>
          <w:sz w:val="20"/>
        </w:rPr>
      </w:pPr>
    </w:p>
    <w:p w:rsidR="007D064A" w:rsidRPr="00F9545D" w:rsidRDefault="007D064A" w:rsidP="007D064A">
      <w:pPr>
        <w:pStyle w:val="SCCNormalDoubleSpacing"/>
        <w:spacing w:line="240" w:lineRule="auto"/>
        <w:rPr>
          <w:sz w:val="20"/>
        </w:rPr>
      </w:pPr>
      <w:r w:rsidRPr="00F9545D">
        <w:rPr>
          <w:rStyle w:val="QuoteChar"/>
          <w:i w:val="0"/>
          <w:sz w:val="20"/>
        </w:rPr>
        <w:tab/>
      </w:r>
      <w:r w:rsidRPr="00F9545D">
        <w:rPr>
          <w:rStyle w:val="QuoteChar"/>
          <w:sz w:val="20"/>
        </w:rPr>
        <w:t>Held</w:t>
      </w:r>
      <w:r w:rsidRPr="00F9545D">
        <w:rPr>
          <w:rStyle w:val="QuoteChar"/>
          <w:i w:val="0"/>
          <w:sz w:val="20"/>
        </w:rPr>
        <w:t xml:space="preserve"> (McLachlin C.J. and Rothstein and Cromwell JJ. dissenting):</w:t>
      </w:r>
      <w:r w:rsidRPr="00F9545D">
        <w:rPr>
          <w:sz w:val="20"/>
        </w:rPr>
        <w:t xml:space="preserve">  The appeal should be allowed and the acquittal restored.</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r>
      <w:r w:rsidRPr="00F938BB">
        <w:rPr>
          <w:i/>
          <w:sz w:val="20"/>
        </w:rPr>
        <w:t>Per</w:t>
      </w:r>
      <w:r w:rsidRPr="00F938BB">
        <w:rPr>
          <w:sz w:val="20"/>
        </w:rPr>
        <w:t xml:space="preserve"> LeBel, </w:t>
      </w:r>
      <w:r w:rsidRPr="00F938BB">
        <w:rPr>
          <w:b/>
          <w:sz w:val="20"/>
        </w:rPr>
        <w:t>Deschamps</w:t>
      </w:r>
      <w:r w:rsidRPr="00F938BB">
        <w:rPr>
          <w:sz w:val="20"/>
        </w:rPr>
        <w:t xml:space="preserve">, Fish and Abella JJ.:  Courts have long recognized that the cases in which legislation has retrospective effect must be exceptional.  More specifically, where new legislative provisions affect either vested or substantive rights, retrospectivity has been found to be undesirable.  The key task in determining the temporal application of new legislative provisions lies not in labelling the provisions “procedural” or “substantive”, but in discerning whether they affect substantive rights. </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 xml:space="preserve">The fact that new legislation has an effect on the content or existence of a defence, as opposed to affecting only the manner in which it is presented, is an indication that substantive rights are affected.  As a result of the amendments to the </w:t>
      </w:r>
      <w:r w:rsidRPr="00F938BB">
        <w:rPr>
          <w:i/>
          <w:sz w:val="20"/>
        </w:rPr>
        <w:t>Criminal Code</w:t>
      </w:r>
      <w:r w:rsidRPr="00F938BB">
        <w:rPr>
          <w:sz w:val="20"/>
        </w:rPr>
        <w:t xml:space="preserve"> and the decision in </w:t>
      </w:r>
      <w:r w:rsidRPr="00F938BB">
        <w:rPr>
          <w:i/>
          <w:sz w:val="20"/>
        </w:rPr>
        <w:t>R. v. St</w:t>
      </w:r>
      <w:r w:rsidRPr="00F938BB">
        <w:rPr>
          <w:i/>
          <w:sz w:val="20"/>
        </w:rPr>
        <w:noBreakHyphen/>
        <w:t>Onge Lamoureux</w:t>
      </w:r>
      <w:r w:rsidRPr="00F938BB">
        <w:rPr>
          <w:sz w:val="20"/>
        </w:rPr>
        <w:t xml:space="preserve">, 2012 SCC 57, the only evidence that can be tendered to raise a reasonable doubt about the reliability of breathalyzer test results is now evidence that the instrument was malfunctioning or was operated improperly.  The </w:t>
      </w:r>
      <w:r w:rsidRPr="00F938BB">
        <w:rPr>
          <w:i/>
          <w:sz w:val="20"/>
        </w:rPr>
        <w:t>Carter</w:t>
      </w:r>
      <w:r w:rsidRPr="00F938BB">
        <w:rPr>
          <w:sz w:val="20"/>
        </w:rPr>
        <w:t xml:space="preserve"> defence has been eliminated as an independent means to raise a reasonable doubt about the reliability of breathalyzer test results.  This illustrates that the amendments to the </w:t>
      </w:r>
      <w:r w:rsidRPr="00F938BB">
        <w:rPr>
          <w:i/>
          <w:sz w:val="20"/>
        </w:rPr>
        <w:t>Criminal Code</w:t>
      </w:r>
      <w:r w:rsidRPr="00F938BB">
        <w:rPr>
          <w:sz w:val="20"/>
        </w:rPr>
        <w:t xml:space="preserve"> are not merely procedural; they affect a defence open to an accused and are therefore subject to the presumption against the retrospective application of new legislation.</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 xml:space="preserve">The broad scheme put in place by Parliament is based on presumptions that the results of the breathalyzer analyses are accurate and that they are identical to the blood alcohol level of the accused at the time of the alleged offence.  As discussed in </w:t>
      </w:r>
      <w:r w:rsidRPr="00F938BB">
        <w:rPr>
          <w:i/>
          <w:sz w:val="20"/>
        </w:rPr>
        <w:t>St</w:t>
      </w:r>
      <w:r w:rsidRPr="00F938BB">
        <w:rPr>
          <w:i/>
          <w:sz w:val="20"/>
        </w:rPr>
        <w:noBreakHyphen/>
        <w:t>Onge Lamoureux</w:t>
      </w:r>
      <w:r w:rsidRPr="00F938BB">
        <w:rPr>
          <w:sz w:val="20"/>
        </w:rPr>
        <w:t>, these statutory presumptions infringe the constitutionally protected right to be presumed innocent.  The conclusion that the infringement is justified in the context of the new legislation does not alter the fact that constitutional rights are affected.  This is a further indication that the new legislation affects substantive rights, since constitutional rights are necessarily substantive.  When constitutional rights are affected, the general rule against the retrospective application of legislation should apply.</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 xml:space="preserve">Finally, where </w:t>
      </w:r>
      <w:r w:rsidRPr="00F938BB">
        <w:rPr>
          <w:sz w:val="20"/>
          <w:lang w:val="en-US"/>
        </w:rPr>
        <w:t xml:space="preserve">the former legislation </w:t>
      </w:r>
      <w:r w:rsidRPr="00F938BB">
        <w:rPr>
          <w:sz w:val="20"/>
        </w:rPr>
        <w:t>does</w:t>
      </w:r>
      <w:r w:rsidRPr="00F938BB">
        <w:rPr>
          <w:sz w:val="20"/>
          <w:lang w:val="en-US"/>
        </w:rPr>
        <w:t xml:space="preserve"> not contemplate the gathering of evidence that is required by the new legislation, the new legislation can only be prospective.</w:t>
      </w:r>
    </w:p>
    <w:p w:rsidR="007D064A" w:rsidRPr="00235936" w:rsidRDefault="007D064A" w:rsidP="007D064A">
      <w:pPr>
        <w:pStyle w:val="SCCNormalDoubleSpacing"/>
        <w:spacing w:line="240" w:lineRule="auto"/>
        <w:rPr>
          <w:rStyle w:val="QuoteChar"/>
          <w:i w:val="0"/>
          <w:sz w:val="20"/>
        </w:rPr>
      </w:pPr>
    </w:p>
    <w:p w:rsidR="007D064A" w:rsidRPr="00235936" w:rsidRDefault="007D064A" w:rsidP="007D064A">
      <w:pPr>
        <w:pStyle w:val="SCCNormalDoubleSpacing"/>
        <w:spacing w:line="240" w:lineRule="auto"/>
        <w:rPr>
          <w:sz w:val="20"/>
        </w:rPr>
      </w:pPr>
      <w:r w:rsidRPr="00235936">
        <w:rPr>
          <w:rStyle w:val="QuoteChar"/>
          <w:i w:val="0"/>
          <w:sz w:val="20"/>
        </w:rPr>
        <w:tab/>
      </w:r>
      <w:proofErr w:type="gramStart"/>
      <w:r w:rsidRPr="00235936">
        <w:rPr>
          <w:rStyle w:val="QuoteChar"/>
          <w:sz w:val="20"/>
        </w:rPr>
        <w:t>Per</w:t>
      </w:r>
      <w:r w:rsidRPr="00235936">
        <w:rPr>
          <w:rStyle w:val="QuoteChar"/>
          <w:i w:val="0"/>
          <w:sz w:val="20"/>
        </w:rPr>
        <w:t xml:space="preserve"> McLachlin C.J. and Rothstein and </w:t>
      </w:r>
      <w:r w:rsidRPr="00235936">
        <w:rPr>
          <w:rStyle w:val="QuoteChar"/>
          <w:b/>
          <w:i w:val="0"/>
          <w:sz w:val="20"/>
        </w:rPr>
        <w:t>Cromwell</w:t>
      </w:r>
      <w:r w:rsidRPr="00235936">
        <w:rPr>
          <w:rStyle w:val="QuoteChar"/>
          <w:i w:val="0"/>
          <w:sz w:val="20"/>
        </w:rPr>
        <w:t> JJ.</w:t>
      </w:r>
      <w:proofErr w:type="gramEnd"/>
      <w:r w:rsidRPr="00235936">
        <w:rPr>
          <w:rStyle w:val="QuoteChar"/>
          <w:i w:val="0"/>
          <w:sz w:val="20"/>
        </w:rPr>
        <w:t xml:space="preserve"> (</w:t>
      </w:r>
      <w:proofErr w:type="gramStart"/>
      <w:r w:rsidRPr="00235936">
        <w:rPr>
          <w:rStyle w:val="QuoteChar"/>
          <w:i w:val="0"/>
          <w:sz w:val="20"/>
        </w:rPr>
        <w:t>dissenting</w:t>
      </w:r>
      <w:proofErr w:type="gramEnd"/>
      <w:r w:rsidRPr="00235936">
        <w:rPr>
          <w:rStyle w:val="QuoteChar"/>
          <w:i w:val="0"/>
          <w:sz w:val="20"/>
        </w:rPr>
        <w:t xml:space="preserve">): </w:t>
      </w:r>
      <w:r w:rsidRPr="00235936">
        <w:rPr>
          <w:sz w:val="20"/>
        </w:rPr>
        <w:t xml:space="preserve"> There are three principles of statutory interpretation that are potentially relevant to the issue of when new legislative provisions apply.  One principle is that the legislature is presumed not to intend legislation to change the legal character or consequences of actions that occurred before its enactment.  Another is that the legislature is presumed not to intend to interfere with vested rights.  A third is that the legislature intends an enactment dealing with exclusively procedural matters, including matters of evidence, to apply immediately to all proceedings, whether commenced before or after the enactment comes into force.  The principal question in this case is whether the new legislative provisions at issue are procedural or substantive.</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The new legislative provisions in issue meet all of the tests enunciated in the Court’s jurisprudence for determining whether a provision is procedural and they have none of the characteristics of provisions which are properly characterized as substantive.  The provisions deal with factual presumptions and what is required to rebut them, and their operation is dependent on the existence of litigation.  Evidentiary provisions like these are ordinarily considered to be procedural.  Moreover, the provisions have none of the hallmarks of substantive provisions.  They do not attach new consequences to past acts or change the substantive content of a defence, nor do they change the existence or content of a right.  The elements of the offence have not changed and it remains open to the accused to point to evidence raising a reasonable doubt about the existence of those elements.  The provisions do not make conduct unlawful that was lawful at the time it occurred.  In addition, the fact that a provision is found to limit an accused’s right to be presumed innocent under s. 11(</w:t>
      </w:r>
      <w:r w:rsidRPr="00F938BB">
        <w:rPr>
          <w:i/>
          <w:sz w:val="20"/>
        </w:rPr>
        <w:t>d</w:t>
      </w:r>
      <w:r w:rsidRPr="00F938BB">
        <w:rPr>
          <w:sz w:val="20"/>
        </w:rPr>
        <w:t xml:space="preserve">) of the </w:t>
      </w:r>
      <w:r w:rsidRPr="00F938BB">
        <w:rPr>
          <w:i/>
          <w:sz w:val="20"/>
        </w:rPr>
        <w:t>Charter</w:t>
      </w:r>
      <w:r w:rsidRPr="00F938BB">
        <w:rPr>
          <w:sz w:val="20"/>
        </w:rPr>
        <w:t xml:space="preserve"> does not support the conclusion that the provision is substantive.</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The new provisions do not eliminate or neuter a defence.  The so</w:t>
      </w:r>
      <w:r w:rsidRPr="00F938BB">
        <w:rPr>
          <w:sz w:val="20"/>
        </w:rPr>
        <w:noBreakHyphen/>
        <w:t>called “</w:t>
      </w:r>
      <w:r w:rsidRPr="00F938BB">
        <w:rPr>
          <w:i/>
          <w:sz w:val="20"/>
        </w:rPr>
        <w:t xml:space="preserve">Carter </w:t>
      </w:r>
      <w:r w:rsidRPr="00F938BB">
        <w:rPr>
          <w:sz w:val="20"/>
        </w:rPr>
        <w:t>defence” in reality is a particular type of evidence adduced in order to raise a reasonable doubt.  If these provisions are characterized as taking away a defence, then any evidentiary provision that increases the risk of conviction would have to be so characterized.  The jurisprudence of this Court makes clear that this is not the case.</w:t>
      </w:r>
    </w:p>
    <w:p w:rsidR="007D064A" w:rsidRDefault="007D064A" w:rsidP="007D064A">
      <w:pPr>
        <w:pStyle w:val="SCCNormalDoubleSpacing"/>
        <w:spacing w:line="240" w:lineRule="auto"/>
        <w:rPr>
          <w:sz w:val="20"/>
        </w:rPr>
      </w:pPr>
    </w:p>
    <w:p w:rsidR="007D064A" w:rsidRDefault="007D064A" w:rsidP="007D064A">
      <w:pPr>
        <w:pStyle w:val="SCCNormalDoubleSpacing"/>
        <w:spacing w:line="240" w:lineRule="auto"/>
        <w:rPr>
          <w:sz w:val="20"/>
        </w:rPr>
      </w:pPr>
      <w:r w:rsidRPr="00F938BB">
        <w:rPr>
          <w:sz w:val="20"/>
        </w:rPr>
        <w:tab/>
        <w:t>The new provisions accordingly relate only to the rules of evidence which apply at trial and they are therefore purely procedural.  As such, these new provisions are subject to the presumption of immediate application, and there is nothing to rebut this presumption.</w:t>
      </w:r>
    </w:p>
    <w:p w:rsidR="007D064A" w:rsidRDefault="007D064A" w:rsidP="007D064A">
      <w:pPr>
        <w:pStyle w:val="SCCNormalDoubleSpacing"/>
        <w:spacing w:line="240" w:lineRule="auto"/>
        <w:rPr>
          <w:sz w:val="20"/>
        </w:rPr>
      </w:pPr>
    </w:p>
    <w:p w:rsidR="007D064A" w:rsidRPr="00F938BB" w:rsidRDefault="007D064A" w:rsidP="007D064A">
      <w:pPr>
        <w:pStyle w:val="SCCNormalDoubleSpacing"/>
        <w:spacing w:line="240" w:lineRule="auto"/>
        <w:rPr>
          <w:sz w:val="20"/>
        </w:rPr>
      </w:pPr>
      <w:r w:rsidRPr="00F938BB">
        <w:rPr>
          <w:sz w:val="20"/>
        </w:rPr>
        <w:tab/>
        <w:t xml:space="preserve">APPEAL from a judgment of the Ontario Court of Appeal (MacPherson, Cronk and Epstein JJ.A.), 2009 ONCA 814, 98 O.R. (3d) 81, 248 C.C.C. (3d) 489, 71 C.R. (6th) 25, 256 O.A.C. 235, 86 M.V.R. (5th) 45, [2009] O.J. No. 4875 (QL), 2009 CarswellOnt 7170, setting aside a decision of Sproat J. (2009), 86 M.V.R (5th) 34, 2009 CanLII 24636, [2009] O.J. No. 2007 (QL), 2009 CarswellOnt 2698, upholding the acquittal entered by Clements J.  Appeal allowed, McLachlin C.J. and Rothstein and Cromwell JJ. </w:t>
      </w:r>
      <w:proofErr w:type="gramStart"/>
      <w:r w:rsidRPr="00F938BB">
        <w:rPr>
          <w:sz w:val="20"/>
        </w:rPr>
        <w:t>dissenting</w:t>
      </w:r>
      <w:proofErr w:type="gramEnd"/>
      <w:r w:rsidRPr="00F938BB">
        <w:rPr>
          <w:sz w:val="20"/>
        </w:rPr>
        <w:t xml:space="preserve">. </w:t>
      </w:r>
    </w:p>
    <w:p w:rsidR="007D064A" w:rsidRDefault="007D064A" w:rsidP="007D064A">
      <w:pPr>
        <w:pStyle w:val="SCCNormalDoubleSpacing"/>
        <w:spacing w:line="240" w:lineRule="auto"/>
        <w:rPr>
          <w:rStyle w:val="SCCCounselNameChar"/>
          <w:sz w:val="20"/>
        </w:rPr>
      </w:pPr>
    </w:p>
    <w:p w:rsidR="007D064A" w:rsidRPr="00F938BB" w:rsidRDefault="007D064A" w:rsidP="007D064A">
      <w:pPr>
        <w:pStyle w:val="SCCNormalDoubleSpacing"/>
        <w:spacing w:line="240" w:lineRule="auto"/>
        <w:rPr>
          <w:sz w:val="20"/>
        </w:rPr>
      </w:pPr>
      <w:r w:rsidRPr="00F938BB">
        <w:rPr>
          <w:rStyle w:val="SCCCounselNameChar"/>
          <w:sz w:val="20"/>
        </w:rPr>
        <w:tab/>
      </w:r>
      <w:proofErr w:type="gramStart"/>
      <w:r w:rsidRPr="00F938BB">
        <w:rPr>
          <w:rStyle w:val="SCCCounselNameChar"/>
          <w:sz w:val="20"/>
        </w:rPr>
        <w:t>Paul Burstein</w:t>
      </w:r>
      <w:r w:rsidRPr="007D064A">
        <w:rPr>
          <w:rStyle w:val="SCCCounselSeparatorChar"/>
          <w:sz w:val="20"/>
          <w:lang w:val="en-CA"/>
        </w:rPr>
        <w:t xml:space="preserve"> and </w:t>
      </w:r>
      <w:r w:rsidRPr="00F938BB">
        <w:rPr>
          <w:rStyle w:val="SCCCounselNameChar"/>
          <w:sz w:val="20"/>
        </w:rPr>
        <w:t>J. Thomas Wiley</w:t>
      </w:r>
      <w:r w:rsidRPr="00F938BB">
        <w:rPr>
          <w:rStyle w:val="SCCCounselPartyRoleChar"/>
          <w:sz w:val="20"/>
        </w:rPr>
        <w:t>, for the appellant.</w:t>
      </w:r>
      <w:proofErr w:type="gramEnd"/>
    </w:p>
    <w:p w:rsidR="007D064A" w:rsidRDefault="007D064A" w:rsidP="007D064A">
      <w:pPr>
        <w:pStyle w:val="SCCNormalDoubleSpacing"/>
        <w:spacing w:line="240" w:lineRule="auto"/>
        <w:rPr>
          <w:rStyle w:val="SCCCounselNameChar"/>
          <w:sz w:val="20"/>
        </w:rPr>
      </w:pPr>
    </w:p>
    <w:p w:rsidR="007D064A" w:rsidRPr="00F938BB" w:rsidRDefault="007D064A" w:rsidP="007D064A">
      <w:pPr>
        <w:pStyle w:val="SCCNormalDoubleSpacing"/>
        <w:spacing w:line="240" w:lineRule="auto"/>
        <w:rPr>
          <w:sz w:val="20"/>
        </w:rPr>
      </w:pPr>
      <w:r w:rsidRPr="00F938BB">
        <w:rPr>
          <w:rStyle w:val="SCCCounselNameChar"/>
          <w:sz w:val="20"/>
        </w:rPr>
        <w:tab/>
      </w:r>
      <w:proofErr w:type="gramStart"/>
      <w:r w:rsidRPr="00F938BB">
        <w:rPr>
          <w:rStyle w:val="SCCCounselNameChar"/>
          <w:sz w:val="20"/>
        </w:rPr>
        <w:t>Philip Perlmutter</w:t>
      </w:r>
      <w:r w:rsidRPr="007D064A">
        <w:rPr>
          <w:rStyle w:val="SCCCounselSeparatorChar"/>
          <w:sz w:val="20"/>
          <w:lang w:val="en-CA"/>
        </w:rPr>
        <w:t xml:space="preserve"> and </w:t>
      </w:r>
      <w:r w:rsidRPr="00F938BB">
        <w:rPr>
          <w:rStyle w:val="SCCCounselNameChar"/>
          <w:sz w:val="20"/>
        </w:rPr>
        <w:t>James Palangio</w:t>
      </w:r>
      <w:r w:rsidRPr="00F938BB">
        <w:rPr>
          <w:rStyle w:val="SCCCounselPartyRoleChar"/>
          <w:sz w:val="20"/>
        </w:rPr>
        <w:t>, for the respondent.</w:t>
      </w:r>
      <w:proofErr w:type="gramEnd"/>
    </w:p>
    <w:p w:rsidR="007D064A" w:rsidRDefault="007D064A" w:rsidP="007D064A">
      <w:pPr>
        <w:pStyle w:val="SCCNormalDoubleSpacing"/>
        <w:spacing w:line="240" w:lineRule="auto"/>
        <w:rPr>
          <w:rStyle w:val="SCCCounselNameChar"/>
          <w:sz w:val="20"/>
        </w:rPr>
      </w:pPr>
    </w:p>
    <w:p w:rsidR="007D064A" w:rsidRPr="00F938BB" w:rsidRDefault="007D064A" w:rsidP="007D064A">
      <w:pPr>
        <w:pStyle w:val="SCCNormalDoubleSpacing"/>
        <w:spacing w:line="240" w:lineRule="auto"/>
        <w:rPr>
          <w:sz w:val="20"/>
        </w:rPr>
      </w:pPr>
      <w:r w:rsidRPr="00F938BB">
        <w:rPr>
          <w:rStyle w:val="SCCCounselNameChar"/>
          <w:sz w:val="20"/>
        </w:rPr>
        <w:tab/>
      </w:r>
      <w:proofErr w:type="gramStart"/>
      <w:r w:rsidRPr="00F938BB">
        <w:rPr>
          <w:rStyle w:val="SCCCounselNameChar"/>
          <w:sz w:val="20"/>
        </w:rPr>
        <w:t>Jeffrey G. Johnston</w:t>
      </w:r>
      <w:r w:rsidRPr="00F938BB">
        <w:rPr>
          <w:rStyle w:val="SCCCounselPartyRoleChar"/>
          <w:sz w:val="20"/>
        </w:rPr>
        <w:t>, for the intervener the Attorney General of Canada.</w:t>
      </w:r>
      <w:proofErr w:type="gramEnd"/>
    </w:p>
    <w:p w:rsidR="007D064A" w:rsidRDefault="007D064A" w:rsidP="007D064A">
      <w:pPr>
        <w:pStyle w:val="SCCNormalDoubleSpacing"/>
        <w:spacing w:line="240" w:lineRule="auto"/>
        <w:rPr>
          <w:rStyle w:val="SCCCounselNameChar"/>
          <w:sz w:val="20"/>
        </w:rPr>
      </w:pPr>
    </w:p>
    <w:p w:rsidR="007D064A" w:rsidRPr="00F938BB" w:rsidRDefault="007D064A" w:rsidP="007D064A">
      <w:pPr>
        <w:pStyle w:val="SCCNormalDoubleSpacing"/>
        <w:spacing w:line="240" w:lineRule="auto"/>
        <w:rPr>
          <w:sz w:val="20"/>
        </w:rPr>
      </w:pPr>
      <w:r w:rsidRPr="00F938BB">
        <w:rPr>
          <w:rStyle w:val="SCCCounselNameChar"/>
          <w:sz w:val="20"/>
        </w:rPr>
        <w:tab/>
      </w:r>
      <w:proofErr w:type="gramStart"/>
      <w:r w:rsidRPr="00F938BB">
        <w:rPr>
          <w:rStyle w:val="SCCCounselNameChar"/>
          <w:sz w:val="20"/>
        </w:rPr>
        <w:t>Michel Déom</w:t>
      </w:r>
      <w:r w:rsidRPr="007D064A">
        <w:rPr>
          <w:rStyle w:val="SCCCounselSeparatorChar"/>
          <w:sz w:val="20"/>
          <w:lang w:val="en-CA"/>
        </w:rPr>
        <w:t xml:space="preserve">, </w:t>
      </w:r>
      <w:r w:rsidRPr="00F938BB">
        <w:rPr>
          <w:rStyle w:val="SCCCounselNameChar"/>
          <w:sz w:val="20"/>
        </w:rPr>
        <w:t>Jean</w:t>
      </w:r>
      <w:r w:rsidRPr="00F938BB">
        <w:rPr>
          <w:rStyle w:val="SCCCounselNameChar"/>
          <w:sz w:val="20"/>
        </w:rPr>
        <w:noBreakHyphen/>
        <w:t>Vincent Lacroix</w:t>
      </w:r>
      <w:r w:rsidRPr="00F938BB">
        <w:rPr>
          <w:rStyle w:val="SCCCounselPartyRoleChar"/>
          <w:sz w:val="20"/>
        </w:rPr>
        <w:t xml:space="preserve">, </w:t>
      </w:r>
      <w:r w:rsidRPr="00F938BB">
        <w:rPr>
          <w:rStyle w:val="SCCCounselNameChar"/>
          <w:sz w:val="20"/>
        </w:rPr>
        <w:t>Marie</w:t>
      </w:r>
      <w:r w:rsidRPr="00F938BB">
        <w:rPr>
          <w:rStyle w:val="SCCCounselNameChar"/>
          <w:sz w:val="20"/>
        </w:rPr>
        <w:noBreakHyphen/>
        <w:t>Ève Mayer</w:t>
      </w:r>
      <w:r w:rsidRPr="007D064A">
        <w:rPr>
          <w:rStyle w:val="SCCCounselSeparatorChar"/>
          <w:sz w:val="20"/>
          <w:lang w:val="en-CA"/>
        </w:rPr>
        <w:t xml:space="preserve"> and </w:t>
      </w:r>
      <w:r w:rsidRPr="007D064A">
        <w:rPr>
          <w:rStyle w:val="SCCCounselSeparatorChar"/>
          <w:i/>
          <w:sz w:val="20"/>
          <w:lang w:val="en-CA"/>
        </w:rPr>
        <w:t>Patricia Blair</w:t>
      </w:r>
      <w:r w:rsidRPr="007D064A">
        <w:rPr>
          <w:rStyle w:val="SCCCounselSeparatorChar"/>
          <w:sz w:val="20"/>
          <w:lang w:val="en-CA"/>
        </w:rPr>
        <w:t xml:space="preserve">, </w:t>
      </w:r>
      <w:r w:rsidRPr="00F938BB">
        <w:rPr>
          <w:rStyle w:val="SCCCounselPartyRoleChar"/>
          <w:sz w:val="20"/>
        </w:rPr>
        <w:t>for the intervener the Attorney General of Quebec.</w:t>
      </w:r>
      <w:proofErr w:type="gramEnd"/>
      <w:r w:rsidRPr="00F938BB">
        <w:rPr>
          <w:rStyle w:val="SCCCounselPartyRoleChar"/>
          <w:sz w:val="20"/>
        </w:rPr>
        <w:t xml:space="preserve"> </w:t>
      </w:r>
    </w:p>
    <w:p w:rsidR="007D064A" w:rsidRDefault="007D064A" w:rsidP="007D064A">
      <w:pPr>
        <w:pStyle w:val="SCCLawFirm"/>
        <w:spacing w:line="240" w:lineRule="auto"/>
        <w:rPr>
          <w:sz w:val="20"/>
        </w:rPr>
      </w:pPr>
    </w:p>
    <w:p w:rsidR="007D064A" w:rsidRPr="00F938BB" w:rsidRDefault="007D064A" w:rsidP="007D064A">
      <w:pPr>
        <w:pStyle w:val="SCCLawFirm"/>
        <w:spacing w:line="240" w:lineRule="auto"/>
        <w:rPr>
          <w:sz w:val="20"/>
        </w:rPr>
      </w:pPr>
      <w:r w:rsidRPr="00F938BB">
        <w:rPr>
          <w:sz w:val="20"/>
        </w:rPr>
        <w:tab/>
        <w:t>Solicitors for the appellant:  Burstein Bryant, Toronto; J. Thomas Wiley, Brampton.</w:t>
      </w:r>
    </w:p>
    <w:p w:rsidR="007D064A" w:rsidRDefault="007D064A" w:rsidP="007D064A">
      <w:pPr>
        <w:pStyle w:val="SCCLawFirm"/>
        <w:spacing w:line="240" w:lineRule="auto"/>
        <w:rPr>
          <w:sz w:val="20"/>
        </w:rPr>
      </w:pPr>
    </w:p>
    <w:p w:rsidR="007D064A" w:rsidRPr="00F938BB" w:rsidRDefault="007D064A" w:rsidP="007D064A">
      <w:pPr>
        <w:pStyle w:val="SCCLawFirm"/>
        <w:spacing w:line="240" w:lineRule="auto"/>
        <w:rPr>
          <w:sz w:val="20"/>
        </w:rPr>
      </w:pPr>
      <w:r w:rsidRPr="00F938BB">
        <w:rPr>
          <w:sz w:val="20"/>
        </w:rPr>
        <w:tab/>
        <w:t>Solicitor for the respondent:  Attorney General of Ontario, Toronto.</w:t>
      </w:r>
    </w:p>
    <w:p w:rsidR="007D064A" w:rsidRDefault="007D064A" w:rsidP="007D064A">
      <w:pPr>
        <w:pStyle w:val="SCCLawFirm"/>
        <w:spacing w:line="240" w:lineRule="auto"/>
        <w:rPr>
          <w:sz w:val="20"/>
        </w:rPr>
      </w:pPr>
    </w:p>
    <w:p w:rsidR="007D064A" w:rsidRPr="00F938BB" w:rsidRDefault="007D064A" w:rsidP="007D064A">
      <w:pPr>
        <w:pStyle w:val="SCCLawFirm"/>
        <w:spacing w:line="240" w:lineRule="auto"/>
        <w:rPr>
          <w:sz w:val="20"/>
        </w:rPr>
      </w:pPr>
      <w:r w:rsidRPr="00F938BB">
        <w:rPr>
          <w:sz w:val="20"/>
        </w:rPr>
        <w:tab/>
        <w:t>Solicitor for the intervener the Attorney General of Canada:  Attorney General of Canada, Ottawa.</w:t>
      </w:r>
    </w:p>
    <w:p w:rsidR="007D064A" w:rsidRDefault="007D064A" w:rsidP="007D064A">
      <w:pPr>
        <w:pStyle w:val="SCCLawFirm"/>
        <w:spacing w:line="240" w:lineRule="auto"/>
        <w:rPr>
          <w:sz w:val="20"/>
        </w:rPr>
      </w:pPr>
    </w:p>
    <w:p w:rsidR="007D064A" w:rsidRDefault="007D064A" w:rsidP="007D064A">
      <w:pPr>
        <w:pStyle w:val="SCCLawFirm"/>
        <w:spacing w:line="240" w:lineRule="auto"/>
        <w:rPr>
          <w:sz w:val="20"/>
        </w:rPr>
      </w:pPr>
      <w:r w:rsidRPr="00F938BB">
        <w:rPr>
          <w:sz w:val="20"/>
        </w:rPr>
        <w:tab/>
        <w:t>Solicitor for the intervener the Attorney General of Quebec:  Attorney General of Quebec, Montréal.</w:t>
      </w:r>
    </w:p>
    <w:p w:rsidR="003B3977" w:rsidRPr="007D064A" w:rsidRDefault="003B3977" w:rsidP="003B3977">
      <w:pPr>
        <w:rPr>
          <w:sz w:val="20"/>
          <w:szCs w:val="20"/>
          <w:lang w:val="fr-CA"/>
        </w:rPr>
      </w:pPr>
      <w:r w:rsidRPr="007D064A">
        <w:rPr>
          <w:sz w:val="20"/>
          <w:szCs w:val="20"/>
          <w:lang w:val="fr-CA"/>
        </w:rPr>
        <w:t>________________________</w:t>
      </w:r>
    </w:p>
    <w:p w:rsidR="003B3977" w:rsidRPr="007D064A" w:rsidRDefault="003B3977" w:rsidP="003B3977">
      <w:pPr>
        <w:rPr>
          <w:sz w:val="20"/>
          <w:szCs w:val="20"/>
          <w:lang w:val="fr-CA"/>
        </w:rPr>
      </w:pPr>
    </w:p>
    <w:p w:rsidR="007D064A" w:rsidRPr="007D064A" w:rsidRDefault="007D064A" w:rsidP="007D064A">
      <w:pPr>
        <w:jc w:val="both"/>
        <w:rPr>
          <w:sz w:val="20"/>
          <w:szCs w:val="20"/>
          <w:lang w:val="fr-CA"/>
        </w:rPr>
      </w:pPr>
      <w:r w:rsidRPr="007D064A">
        <w:rPr>
          <w:sz w:val="20"/>
          <w:szCs w:val="20"/>
          <w:lang w:val="fr-CA"/>
        </w:rPr>
        <w:t>Présents : La juge en chef McLachlin et les juges LeBel, Deschamps, Fish, Abella, Rothstein et Cromwell.</w:t>
      </w:r>
    </w:p>
    <w:p w:rsidR="007D064A" w:rsidRPr="007D064A" w:rsidRDefault="007D064A" w:rsidP="007D064A">
      <w:pPr>
        <w:pStyle w:val="SCCLowerCourtNameLowercase"/>
        <w:spacing w:line="240" w:lineRule="auto"/>
        <w:rPr>
          <w:sz w:val="20"/>
          <w:lang w:val="fr-CA"/>
        </w:rPr>
      </w:pPr>
    </w:p>
    <w:p w:rsidR="007D064A" w:rsidRPr="007D064A" w:rsidRDefault="007D064A" w:rsidP="007D064A">
      <w:pPr>
        <w:pStyle w:val="SCCNormalDoubleSpacing"/>
        <w:spacing w:line="240" w:lineRule="auto"/>
        <w:rPr>
          <w:i/>
          <w:sz w:val="20"/>
          <w:lang w:val="fr-CA"/>
        </w:rPr>
      </w:pPr>
      <w:r w:rsidRPr="007D064A">
        <w:rPr>
          <w:sz w:val="20"/>
          <w:lang w:val="fr-CA"/>
        </w:rPr>
        <w:tab/>
      </w:r>
      <w:r w:rsidRPr="007D064A">
        <w:rPr>
          <w:i/>
          <w:sz w:val="20"/>
          <w:lang w:val="fr-CA"/>
        </w:rPr>
        <w:t>Droit criminel — Moyens de défense — « Défense de type Carter » — Accusé inculpé de conduite avec facultés affaiblies et de conduite avec une alcoolémie « supérieure à 0.08 » — Modifications apportées au Code criminel durant le procès de l’accusé limitent les éléments de preuve qui peuvent être produits en défense pour mettre en doute la fiabilité des résultats obtenus par l’utilisation d’un alcootest — L’accusé peut-il se prévaloir de la défense de type Carter? — Les modifications s’appliquent-elles rétrospectivement au moment où les infractions reprochées auraient été commises? — Les modifications portent-elles atteinte à des droits procéduraux ou substantiels? — Code criminel, L.R.C. 1985, ch. C-46, art. 258(1)c), 258(1</w:t>
      </w:r>
      <w:proofErr w:type="gramStart"/>
      <w:r w:rsidRPr="007D064A">
        <w:rPr>
          <w:i/>
          <w:sz w:val="20"/>
          <w:lang w:val="fr-CA"/>
        </w:rPr>
        <w:t>)d.01</w:t>
      </w:r>
      <w:proofErr w:type="gramEnd"/>
      <w:r w:rsidRPr="007D064A">
        <w:rPr>
          <w:i/>
          <w:sz w:val="20"/>
          <w:lang w:val="fr-CA"/>
        </w:rPr>
        <w:t>) — Loi sur la lutte contre les crimes violents</w:t>
      </w:r>
      <w:r w:rsidRPr="007D064A">
        <w:rPr>
          <w:sz w:val="20"/>
          <w:lang w:val="fr-CA"/>
        </w:rPr>
        <w:t xml:space="preserve">, </w:t>
      </w:r>
      <w:r w:rsidRPr="007D064A">
        <w:rPr>
          <w:i/>
          <w:sz w:val="20"/>
          <w:lang w:val="fr-CA"/>
        </w:rPr>
        <w:t>L.C. 2008, ch. 6.</w:t>
      </w:r>
    </w:p>
    <w:p w:rsidR="007D064A" w:rsidRPr="007D064A" w:rsidRDefault="007D064A" w:rsidP="007D064A">
      <w:pPr>
        <w:pStyle w:val="SCCNormalDoubleSpacing"/>
        <w:spacing w:line="240" w:lineRule="auto"/>
        <w:rPr>
          <w:i/>
          <w:sz w:val="20"/>
          <w:lang w:val="fr-CA"/>
        </w:rPr>
      </w:pPr>
    </w:p>
    <w:p w:rsidR="007D064A" w:rsidRPr="007D064A" w:rsidRDefault="007D064A" w:rsidP="007D064A">
      <w:pPr>
        <w:pStyle w:val="SCCNormalDoubleSpacing"/>
        <w:spacing w:line="240" w:lineRule="auto"/>
        <w:rPr>
          <w:i/>
          <w:sz w:val="20"/>
          <w:lang w:val="fr-CA"/>
        </w:rPr>
      </w:pPr>
      <w:r w:rsidRPr="007D064A">
        <w:rPr>
          <w:i/>
          <w:sz w:val="20"/>
          <w:lang w:val="fr-CA"/>
        </w:rPr>
        <w:tab/>
        <w:t>Législation — Interprétation — Effet d’une nouvelle loi — Modifications apportées au Code criminel durant le procès de l’accusé limitent les éléments de preuve qui peuvent être produits en défense pour mettre en doute la fiabilité des résultats obtenus par l’utilisation d’un alcootest — Les modifications s’appliquent-elles rétrospectivement au moment où les infractions reprochées auraient été commises? — Les modifications portent-elles atteinte à des droits procéduraux ou substantiels? — Le législateur a-t-il prévu la conservation d’éléments de preuve en vue des procès intentés avant l’entrée en vigueur des modifications? — Code criminel, L.R.C. 1985, ch. C-46, art. 258(1)c), 258(1</w:t>
      </w:r>
      <w:proofErr w:type="gramStart"/>
      <w:r w:rsidRPr="007D064A">
        <w:rPr>
          <w:i/>
          <w:sz w:val="20"/>
          <w:lang w:val="fr-CA"/>
        </w:rPr>
        <w:t>)d.01</w:t>
      </w:r>
      <w:proofErr w:type="gramEnd"/>
      <w:r w:rsidRPr="007D064A">
        <w:rPr>
          <w:i/>
          <w:sz w:val="20"/>
          <w:lang w:val="fr-CA"/>
        </w:rPr>
        <w:t>) — Loi sur la lutte contre les crimes violents</w:t>
      </w:r>
      <w:r w:rsidRPr="007D064A">
        <w:rPr>
          <w:sz w:val="20"/>
          <w:lang w:val="fr-CA"/>
        </w:rPr>
        <w:t xml:space="preserve">, </w:t>
      </w:r>
      <w:r w:rsidRPr="007D064A">
        <w:rPr>
          <w:i/>
          <w:sz w:val="20"/>
          <w:lang w:val="fr-CA"/>
        </w:rPr>
        <w:t>L.C. 2008, ch. 6.</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D a été impliqué dans un accident automobile après lequel on lui a demandé de se soumettre à des alcootests qui ont révélé des taux de 99 et 97 mg d’alcool par 100 ml de sang.  D a été inculpé de conduite avec facultés affaiblies et de conduite avec une alcoolémie supérieure à la limite légale de 80 mg d’alcool par 100 ml de sang.</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 xml:space="preserve">Au début du procès de D, l’avocat de ce dernier a informé le juge qu’il comptait produire le rapport d’un toxicologue pour contester l’exactitude des résultats de l’alcootest — ce qu’on appelle une défense de type </w:t>
      </w:r>
      <w:r w:rsidRPr="007D064A">
        <w:rPr>
          <w:i/>
          <w:sz w:val="20"/>
          <w:lang w:val="fr-CA"/>
        </w:rPr>
        <w:t>Carter</w:t>
      </w:r>
      <w:r w:rsidRPr="007D064A">
        <w:rPr>
          <w:sz w:val="20"/>
          <w:lang w:val="fr-CA"/>
        </w:rPr>
        <w:t xml:space="preserve">.  L’avocat du ministère public souhaitait contre-interroger le toxicologue au sujet de son rapport, mais ce dernier était absent.  Le procès a donc été ajourné.  Après l’ajournement, mais avant la reprise du procès de D, des modifications au </w:t>
      </w:r>
      <w:r w:rsidRPr="007D064A">
        <w:rPr>
          <w:i/>
          <w:sz w:val="20"/>
          <w:lang w:val="fr-CA"/>
        </w:rPr>
        <w:t>Code criminel</w:t>
      </w:r>
      <w:r w:rsidRPr="007D064A">
        <w:rPr>
          <w:sz w:val="20"/>
          <w:lang w:val="fr-CA"/>
        </w:rPr>
        <w:t xml:space="preserve"> ont été adoptées, ce qui a eu pour effet d’éliminer la défense de type </w:t>
      </w:r>
      <w:r w:rsidRPr="007D064A">
        <w:rPr>
          <w:i/>
          <w:sz w:val="20"/>
          <w:lang w:val="fr-CA"/>
        </w:rPr>
        <w:t>Carter</w:t>
      </w:r>
      <w:r w:rsidRPr="007D064A">
        <w:rPr>
          <w:sz w:val="20"/>
          <w:lang w:val="fr-CA"/>
        </w:rPr>
        <w:t xml:space="preserve"> comme moyen indépendant pour soulever un doute raisonnable quant à la fiabilité des résultats de l’alcootest.</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 xml:space="preserve">Le juge du procès a conclu à la recevabilité de la défense de type </w:t>
      </w:r>
      <w:r w:rsidRPr="007D064A">
        <w:rPr>
          <w:i/>
          <w:sz w:val="20"/>
          <w:lang w:val="fr-CA"/>
        </w:rPr>
        <w:t>Carter</w:t>
      </w:r>
      <w:r w:rsidRPr="007D064A">
        <w:rPr>
          <w:sz w:val="20"/>
          <w:lang w:val="fr-CA"/>
        </w:rPr>
        <w:t xml:space="preserve"> présentée par D et a acquitté ce dernier.  Le juge de la cour d’appel des poursuites sommaires a maintenu cette décision, concluant que les nouvelles dispositions législatives avaient pratiquement supprimé la défense de type </w:t>
      </w:r>
      <w:r w:rsidRPr="007D064A">
        <w:rPr>
          <w:i/>
          <w:sz w:val="20"/>
          <w:lang w:val="fr-CA"/>
        </w:rPr>
        <w:t>Carter</w:t>
      </w:r>
      <w:r w:rsidRPr="007D064A">
        <w:rPr>
          <w:sz w:val="20"/>
          <w:lang w:val="fr-CA"/>
        </w:rPr>
        <w:t xml:space="preserve">, qu’elles étaient des dispositions substantielles et non procédurales, et qu’elles ne s’appliquaient donc que pour l’avenir.  La Cour d’appel a infirmé cette décision et conclu que les nouvelles dispositions législatives portaient simplement sur la preuve et qu’elles s’appliquaient par conséquent au cas à l’étude.  La tenue d’un nouveau procès sur le fondement du par. 258(1) du </w:t>
      </w:r>
      <w:r w:rsidRPr="007D064A">
        <w:rPr>
          <w:i/>
          <w:sz w:val="20"/>
          <w:lang w:val="fr-CA"/>
        </w:rPr>
        <w:t>Code criminel</w:t>
      </w:r>
      <w:r w:rsidRPr="007D064A">
        <w:rPr>
          <w:sz w:val="20"/>
          <w:lang w:val="fr-CA"/>
        </w:rPr>
        <w:t xml:space="preserve"> tel que modifié a été ordonnée. </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r>
      <w:r w:rsidRPr="007D064A">
        <w:rPr>
          <w:i/>
          <w:sz w:val="20"/>
          <w:lang w:val="fr-CA"/>
        </w:rPr>
        <w:t>Arrêt (la juge en chef McLachlin et les juges Rothstein et Cromwell sont dissidents) :</w:t>
      </w:r>
      <w:r w:rsidRPr="007D064A">
        <w:rPr>
          <w:sz w:val="20"/>
          <w:lang w:val="fr-CA"/>
        </w:rPr>
        <w:t xml:space="preserve"> Le pourvoi est accueilli et l’acquittement est rétabli.  </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r>
      <w:r w:rsidRPr="007D064A">
        <w:rPr>
          <w:i/>
          <w:sz w:val="20"/>
          <w:lang w:val="fr-CA"/>
        </w:rPr>
        <w:t>Les juges</w:t>
      </w:r>
      <w:r w:rsidRPr="007D064A">
        <w:rPr>
          <w:sz w:val="20"/>
          <w:lang w:val="fr-CA"/>
        </w:rPr>
        <w:t xml:space="preserve"> LeBel, </w:t>
      </w:r>
      <w:r w:rsidRPr="007D064A">
        <w:rPr>
          <w:b/>
          <w:sz w:val="20"/>
          <w:lang w:val="fr-CA"/>
        </w:rPr>
        <w:t>Deschamps</w:t>
      </w:r>
      <w:r w:rsidRPr="007D064A">
        <w:rPr>
          <w:sz w:val="20"/>
          <w:lang w:val="fr-CA"/>
        </w:rPr>
        <w:t>, Fish et Abella : Les tribunaux reconnaissent depuis longtemps le caractère exceptionnel des mesures législatives applicables rétrospectivement.  Plus précisément, ils ont jugé indésirable l’application rétrospective de dispositions législatives portant atteinte à des droits acquis ou substantiels.  La tâche qui s’impose pour statuer sur l’application dans le temps des nouvelles dispositions législatives consiste non pas à les qualifier de « dispositions procédurales » ou de « dispositions substantielles », mais à déterminer si elles portent atteinte à des droits substantiels.</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 xml:space="preserve">Le fait qu’une nouvelle mesure législative influe sur le contenu ou sur l’existence d’un moyen de défense, plutôt qu’uniquement sur sa présentation, indique que des droits substantiels sont en jeu.  Étant donné les modifications apportées au </w:t>
      </w:r>
      <w:r w:rsidRPr="007D064A">
        <w:rPr>
          <w:i/>
          <w:sz w:val="20"/>
          <w:lang w:val="fr-CA"/>
        </w:rPr>
        <w:t>Code criminel</w:t>
      </w:r>
      <w:r w:rsidRPr="007D064A">
        <w:rPr>
          <w:sz w:val="20"/>
          <w:lang w:val="fr-CA"/>
        </w:rPr>
        <w:t xml:space="preserve"> et l’arrêt </w:t>
      </w:r>
      <w:r w:rsidRPr="007D064A">
        <w:rPr>
          <w:i/>
          <w:sz w:val="20"/>
          <w:lang w:val="fr-CA"/>
        </w:rPr>
        <w:t>St-Onge Lamoureux</w:t>
      </w:r>
      <w:r w:rsidRPr="007D064A">
        <w:rPr>
          <w:sz w:val="20"/>
          <w:lang w:val="fr-CA"/>
        </w:rPr>
        <w:t xml:space="preserve">, 2012 CSC 57, la seule preuve pouvant être produite pour soulever un doute raisonnable quant à la fiabilité des résultats de l’alcootest se limite désormais à celle du mauvais fonctionnement ou de l’utilisation incorrecte de l’alcootest.  La défense de type </w:t>
      </w:r>
      <w:r w:rsidRPr="007D064A">
        <w:rPr>
          <w:i/>
          <w:sz w:val="20"/>
          <w:lang w:val="fr-CA"/>
        </w:rPr>
        <w:t>Carter</w:t>
      </w:r>
      <w:r w:rsidRPr="007D064A">
        <w:rPr>
          <w:sz w:val="20"/>
          <w:lang w:val="fr-CA"/>
        </w:rPr>
        <w:t xml:space="preserve"> a été supprimée comme moyen de défense susceptible de soulever, à lui seul, un doute raisonnable quant à la fiabilité des résultats de l’analyse.  Cela indique que les modifications au </w:t>
      </w:r>
      <w:r w:rsidRPr="007D064A">
        <w:rPr>
          <w:i/>
          <w:sz w:val="20"/>
          <w:lang w:val="fr-CA"/>
        </w:rPr>
        <w:t>Code criminel</w:t>
      </w:r>
      <w:r w:rsidRPr="007D064A">
        <w:rPr>
          <w:sz w:val="20"/>
          <w:lang w:val="fr-CA"/>
        </w:rPr>
        <w:t xml:space="preserve"> ne sont pas simplement de nature procédurale; elles ont une incidence sur un moyen de défense dont dispose l’accusé et sont, par le fait même, assujetties à la présomption de non</w:t>
      </w:r>
      <w:r w:rsidRPr="007D064A">
        <w:rPr>
          <w:sz w:val="20"/>
          <w:lang w:val="fr-CA"/>
        </w:rPr>
        <w:noBreakHyphen/>
        <w:t>rétrospectivité des nouvelles mesures législatives.</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 xml:space="preserve">Le régime général instauré par le législateur repose sur des présomptions voulant que les résultats des analyses soient exacts et correspondent à l’alcoolémie de l’accusé au moment où l’infraction reprochée aurait été commise.  Comme l’illustre l’arrêt </w:t>
      </w:r>
      <w:r w:rsidRPr="007D064A">
        <w:rPr>
          <w:i/>
          <w:sz w:val="20"/>
          <w:lang w:val="fr-CA"/>
        </w:rPr>
        <w:t>St-Onge Lamoureux</w:t>
      </w:r>
      <w:r w:rsidRPr="007D064A">
        <w:rPr>
          <w:sz w:val="20"/>
          <w:lang w:val="fr-CA"/>
        </w:rPr>
        <w:t>, ces présomptions légales portent atteinte à la présomption d’innocence garantie par la Constitution.  La conclusion selon laquelle l’atteinte est justifiée sous le régime des nouvelles dispositions législatives ne change rien au fait qu’il a été porté atteinte à des droits constitutionnels.  Il s’agit d’une indication supplémentaire que les nouvelles mesures législatives portent atteinte à des droits substantiels puisque les droits constitutionnels sont forcément de nature substantielle. La règle générale interdisant l’application rétrospective des mesures législatives devrait s’appliquer en cas d’atteinte à des droits constitutionnels.</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Finalement, dans les cas où l’ancienne disposition législative n’envisage pas la collecte d’éléments de preuve devenue nécessaire en raison de la nouvelle disposition législative, celle-ci ne peut s’appliquer que pour l’avenir.</w:t>
      </w:r>
    </w:p>
    <w:p w:rsidR="007D064A" w:rsidRPr="007D064A" w:rsidRDefault="007D064A" w:rsidP="007D064A">
      <w:pPr>
        <w:pStyle w:val="SCCNormalDoubleSpacing"/>
        <w:spacing w:line="240" w:lineRule="auto"/>
        <w:rPr>
          <w:i/>
          <w:sz w:val="20"/>
          <w:lang w:val="fr-CA"/>
        </w:rPr>
      </w:pPr>
    </w:p>
    <w:p w:rsidR="007D064A" w:rsidRPr="007D064A" w:rsidRDefault="007D064A" w:rsidP="007D064A">
      <w:pPr>
        <w:pStyle w:val="SCCNormalDoubleSpacing"/>
        <w:spacing w:line="240" w:lineRule="auto"/>
        <w:rPr>
          <w:i/>
          <w:sz w:val="20"/>
          <w:lang w:val="fr-CA"/>
        </w:rPr>
      </w:pPr>
      <w:r w:rsidRPr="007D064A">
        <w:rPr>
          <w:i/>
          <w:sz w:val="20"/>
          <w:lang w:val="fr-CA"/>
        </w:rPr>
        <w:tab/>
        <w:t xml:space="preserve">La juge en chef McLachlin et les juges Rothstein et </w:t>
      </w:r>
      <w:r w:rsidRPr="007D064A">
        <w:rPr>
          <w:b/>
          <w:i/>
          <w:sz w:val="20"/>
          <w:lang w:val="fr-CA"/>
        </w:rPr>
        <w:t>Cromwell</w:t>
      </w:r>
      <w:r w:rsidRPr="007D064A">
        <w:rPr>
          <w:i/>
          <w:sz w:val="20"/>
          <w:lang w:val="fr-CA"/>
        </w:rPr>
        <w:t xml:space="preserve"> (dissidents) : </w:t>
      </w:r>
      <w:r w:rsidRPr="00447708">
        <w:rPr>
          <w:sz w:val="20"/>
          <w:lang w:val="fr-FR"/>
        </w:rPr>
        <w:t xml:space="preserve">Trois principes d’interprétation des lois peuvent être pertinents pour déterminer dans quels cas s’appliquent de nouvelles dispositions législatives.  Selon le premier d’entre eux, le législateur est présumé ne pas souhaiter que la loi modifie la nature ou les conséquences </w:t>
      </w:r>
      <w:r w:rsidRPr="007D064A">
        <w:rPr>
          <w:sz w:val="20"/>
          <w:lang w:val="fr-CA"/>
        </w:rPr>
        <w:t>juridiques</w:t>
      </w:r>
      <w:r w:rsidRPr="00447708">
        <w:rPr>
          <w:sz w:val="20"/>
          <w:lang w:val="fr-FR"/>
        </w:rPr>
        <w:t xml:space="preserve"> des actes commis avant son adoption.  Selon le deuxième principe, le législateur est présumé ne pas avoir l’intention de porter atteinte à des droits acquis.  Selon le troisième, le législateur souhaite qu’un texte portant exclusivement sur des questions de procédure, y compris de preuve, s’applique immédiatement à toutes les instances, que celles</w:t>
      </w:r>
      <w:r w:rsidRPr="00447708">
        <w:rPr>
          <w:sz w:val="20"/>
          <w:lang w:val="fr-FR"/>
        </w:rPr>
        <w:noBreakHyphen/>
        <w:t xml:space="preserve">ci aient été engagées avant ou après l’entrée en vigueur du texte.  </w:t>
      </w:r>
      <w:r w:rsidRPr="007D064A">
        <w:rPr>
          <w:sz w:val="20"/>
          <w:lang w:val="fr-CA"/>
        </w:rPr>
        <w:t>La principale question en litige en l’espèce est celle de savoir si les nouvelles dispositions législatives en cause sont de nature procédurale ou substantielle.</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 xml:space="preserve">Les nouvelles dispositions législatives en cause </w:t>
      </w:r>
      <w:r w:rsidRPr="00447708">
        <w:rPr>
          <w:sz w:val="20"/>
          <w:lang w:val="fr-FR"/>
        </w:rPr>
        <w:t>satisfont à tous les critères énoncés par la Cour dans sa jurisprudence pour établir qu’une disposition est de nature procédurale, et elles n’ont aucune des caractéristiques des dispositions considérées à juste titre comme relevant du fond.  Les dispositions traitent de présomptions de fait et des éléments de preuve nécessaires pour les réfuter, et elles ne sont pertinentes que s’il y a bel et bien un litige.  Les dispositions relatives à la preuve comme celles en cause en l’espèce sont habituellement considérées de nature procédurale.  Qui plus est, ces dispositions n</w:t>
      </w:r>
      <w:r w:rsidRPr="007D064A">
        <w:rPr>
          <w:sz w:val="20"/>
          <w:lang w:val="fr-CA"/>
        </w:rPr>
        <w:t>’ont aucune des caractéristiques des dispositions de fond</w:t>
      </w:r>
      <w:r w:rsidRPr="00447708">
        <w:rPr>
          <w:sz w:val="20"/>
          <w:lang w:val="fr-FR"/>
        </w:rPr>
        <w:t>.  Elles ne confèrent pas de conséquences nouvelles à des actes antérieurs, ni ne modifient le contenu substantiel d’un moyen de défense.  Elles n’influent pas non plus sur l’existence ou sur le contenu d’un droit.  Les éléments de l’infraction n’ont pas changé et il demeure loisible à l’accusé de présenter une preuve soulevant un doute raisonnable quant à l’existence de ces éléments.  Les dispositions n’interdisent pas une conduite qui était légale au moment où elle est survenue.  En outre, le fait que la disposition limite le droit de l’accusé d’être présumé innocent protégé par l’al. 11</w:t>
      </w:r>
      <w:r w:rsidRPr="00447708">
        <w:rPr>
          <w:i/>
          <w:sz w:val="20"/>
          <w:lang w:val="fr-FR"/>
        </w:rPr>
        <w:t>d</w:t>
      </w:r>
      <w:r w:rsidRPr="00447708">
        <w:rPr>
          <w:sz w:val="20"/>
          <w:lang w:val="fr-FR"/>
        </w:rPr>
        <w:t xml:space="preserve">) de la </w:t>
      </w:r>
      <w:r w:rsidRPr="00447708">
        <w:rPr>
          <w:i/>
          <w:sz w:val="20"/>
          <w:lang w:val="fr-FR"/>
        </w:rPr>
        <w:t>Charte</w:t>
      </w:r>
      <w:r w:rsidRPr="00447708">
        <w:rPr>
          <w:sz w:val="20"/>
          <w:lang w:val="fr-FR"/>
        </w:rPr>
        <w:t xml:space="preserve"> ne soutient pas la conclusion que la disposition en est une de fond.</w:t>
      </w:r>
    </w:p>
    <w:p w:rsidR="007D064A" w:rsidRPr="007D064A" w:rsidRDefault="007D064A" w:rsidP="007D064A">
      <w:pPr>
        <w:pStyle w:val="SCCNormalDoubleSpacing"/>
        <w:spacing w:line="240" w:lineRule="auto"/>
        <w:rPr>
          <w:sz w:val="20"/>
          <w:lang w:val="fr-CA"/>
        </w:rPr>
      </w:pPr>
    </w:p>
    <w:p w:rsidR="007D064A" w:rsidRPr="007D064A" w:rsidRDefault="007D064A" w:rsidP="007D064A">
      <w:pPr>
        <w:pStyle w:val="SCCNormalDoubleSpacing"/>
        <w:spacing w:line="240" w:lineRule="auto"/>
        <w:rPr>
          <w:sz w:val="20"/>
          <w:lang w:val="fr-CA"/>
        </w:rPr>
      </w:pPr>
      <w:r w:rsidRPr="007D064A">
        <w:rPr>
          <w:sz w:val="20"/>
          <w:lang w:val="fr-CA"/>
        </w:rPr>
        <w:tab/>
        <w:t xml:space="preserve">Les nouvelles dispositions n’éliminent pas de moyen de défense, elles n’en neutralisent pas non plus.  </w:t>
      </w:r>
      <w:r w:rsidRPr="00447708">
        <w:rPr>
          <w:sz w:val="20"/>
          <w:lang w:val="fr-FR"/>
        </w:rPr>
        <w:t xml:space="preserve">Ce que l’on appelle la « défense de type </w:t>
      </w:r>
      <w:r w:rsidRPr="00447708">
        <w:rPr>
          <w:i/>
          <w:sz w:val="20"/>
          <w:lang w:val="fr-FR"/>
        </w:rPr>
        <w:t>Carter</w:t>
      </w:r>
      <w:r w:rsidRPr="00447708">
        <w:rPr>
          <w:sz w:val="20"/>
          <w:lang w:val="fr-FR"/>
        </w:rPr>
        <w:t> » est en fait un type particulier de preuve présentée afin de soulever un doute raisonnable.  Si l’on considère que ces dispositions écartent un moyen de défense, il faudrait alors considérer que toute disposition relative à la preuve qui augmente le risque de condamnation a le même effet.  La jurisprudence de la Cour indique clairement qu’il n’en est rien.</w:t>
      </w:r>
    </w:p>
    <w:p w:rsidR="007D064A" w:rsidRPr="007D064A" w:rsidRDefault="007D064A" w:rsidP="007D064A">
      <w:pPr>
        <w:pStyle w:val="SCCNormalDoubleSpacing"/>
        <w:spacing w:line="240" w:lineRule="auto"/>
        <w:rPr>
          <w:sz w:val="20"/>
          <w:lang w:val="fr-CA"/>
        </w:rPr>
      </w:pPr>
    </w:p>
    <w:p w:rsidR="007D064A" w:rsidRPr="00447708" w:rsidRDefault="007D064A" w:rsidP="007D064A">
      <w:pPr>
        <w:pStyle w:val="SCCNormalDoubleSpacing"/>
        <w:spacing w:line="240" w:lineRule="auto"/>
        <w:rPr>
          <w:sz w:val="20"/>
          <w:lang w:val="fr-FR"/>
        </w:rPr>
      </w:pPr>
      <w:r w:rsidRPr="007D064A">
        <w:rPr>
          <w:sz w:val="20"/>
          <w:lang w:val="fr-CA"/>
        </w:rPr>
        <w:tab/>
        <w:t xml:space="preserve">Ainsi, les nouvelles dispositions </w:t>
      </w:r>
      <w:r w:rsidRPr="00447708">
        <w:rPr>
          <w:sz w:val="20"/>
          <w:lang w:val="fr-FR"/>
        </w:rPr>
        <w:t xml:space="preserve">ne concernent que les règles de preuve applicables lors </w:t>
      </w:r>
      <w:r w:rsidRPr="007D064A">
        <w:rPr>
          <w:sz w:val="20"/>
          <w:lang w:val="fr-CA"/>
        </w:rPr>
        <w:t>d’un</w:t>
      </w:r>
      <w:r w:rsidRPr="00447708">
        <w:rPr>
          <w:sz w:val="20"/>
          <w:lang w:val="fr-FR"/>
        </w:rPr>
        <w:t xml:space="preserve"> procès et qu’elles sont donc purement procédurales.  Cela étant, elles sont présumées s’appliquer immédiatement, et rien ne réfute cette présomption.</w:t>
      </w:r>
    </w:p>
    <w:p w:rsidR="007D064A" w:rsidRPr="00447708" w:rsidRDefault="007D064A" w:rsidP="007D064A">
      <w:pPr>
        <w:pStyle w:val="SCCNormalDoubleSpacing"/>
        <w:spacing w:line="240" w:lineRule="auto"/>
        <w:rPr>
          <w:sz w:val="20"/>
          <w:lang w:val="fr-FR"/>
        </w:rPr>
      </w:pPr>
    </w:p>
    <w:p w:rsidR="007D064A" w:rsidRPr="007D064A" w:rsidRDefault="007D064A" w:rsidP="007D064A">
      <w:pPr>
        <w:pStyle w:val="SCCNormalDoubleSpacing"/>
        <w:spacing w:line="240" w:lineRule="auto"/>
        <w:rPr>
          <w:sz w:val="20"/>
          <w:lang w:val="fr-CA"/>
        </w:rPr>
      </w:pPr>
      <w:r w:rsidRPr="007D064A">
        <w:rPr>
          <w:sz w:val="20"/>
          <w:lang w:val="fr-CA"/>
        </w:rPr>
        <w:tab/>
        <w:t xml:space="preserve">POURVOI contre un arrêt de la Cour d’appel de l’Ontario (les juges MacPherson, Cronk et Epstein), 2009 ONCA 814, 98 O.R. (3d) 81, 248 C.C.C. (3d) 489, 71 C.R. (6th) 25, 256 O.A.C. 235, 86 M.V.R. (5th) 45, [2009] O.J. No. 4875 (QL), 2009 CarswellOnt 7170, qui a infirmé une décision du juge Sproat (2009), 86 M.V.R (5th) 34, 2009 CanLII 24636, [2009] O.J. No. 2007 (QL), 2009 CarswellOnt 2698, confirmant l’acquittement prononcé par le juge Clements.  Pourvoi accueilli, la juge en chef McLachlin et les juges Rothstein et Cromwell sont dissidents. </w:t>
      </w:r>
    </w:p>
    <w:p w:rsidR="007D064A" w:rsidRPr="007D064A" w:rsidRDefault="007D064A" w:rsidP="007D064A">
      <w:pPr>
        <w:pStyle w:val="SCCNormalDoubleSpacing"/>
        <w:spacing w:line="240" w:lineRule="auto"/>
        <w:rPr>
          <w:i/>
          <w:sz w:val="20"/>
          <w:lang w:val="fr-CA"/>
        </w:rPr>
      </w:pPr>
    </w:p>
    <w:p w:rsidR="007D064A" w:rsidRPr="007D064A" w:rsidRDefault="007D064A" w:rsidP="007D064A">
      <w:pPr>
        <w:pStyle w:val="SCCNormalDoubleSpacing"/>
        <w:spacing w:line="240" w:lineRule="auto"/>
        <w:rPr>
          <w:sz w:val="20"/>
          <w:lang w:val="fr-CA"/>
        </w:rPr>
      </w:pPr>
      <w:r w:rsidRPr="007D064A">
        <w:rPr>
          <w:i/>
          <w:sz w:val="20"/>
          <w:lang w:val="fr-CA"/>
        </w:rPr>
        <w:tab/>
        <w:t>Paul Burstein</w:t>
      </w:r>
      <w:r w:rsidRPr="007D064A">
        <w:rPr>
          <w:sz w:val="20"/>
          <w:lang w:val="fr-CA"/>
        </w:rPr>
        <w:t xml:space="preserve"> et </w:t>
      </w:r>
      <w:r w:rsidRPr="007D064A">
        <w:rPr>
          <w:i/>
          <w:sz w:val="20"/>
          <w:lang w:val="fr-CA"/>
        </w:rPr>
        <w:t>J. Thomas Wiley</w:t>
      </w:r>
      <w:r w:rsidRPr="007D064A">
        <w:rPr>
          <w:sz w:val="20"/>
          <w:lang w:val="fr-CA"/>
        </w:rPr>
        <w:t>, pour l’appelant.</w:t>
      </w:r>
    </w:p>
    <w:p w:rsidR="007D064A" w:rsidRPr="007D064A" w:rsidRDefault="007D064A" w:rsidP="007D064A">
      <w:pPr>
        <w:pStyle w:val="SCCNormalDoubleSpacing"/>
        <w:spacing w:line="240" w:lineRule="auto"/>
        <w:rPr>
          <w:i/>
          <w:sz w:val="20"/>
          <w:lang w:val="fr-CA"/>
        </w:rPr>
      </w:pPr>
    </w:p>
    <w:p w:rsidR="007D064A" w:rsidRPr="007D064A" w:rsidRDefault="007D064A" w:rsidP="007D064A">
      <w:pPr>
        <w:pStyle w:val="SCCNormalDoubleSpacing"/>
        <w:spacing w:line="240" w:lineRule="auto"/>
        <w:rPr>
          <w:sz w:val="20"/>
          <w:lang w:val="fr-CA"/>
        </w:rPr>
      </w:pPr>
      <w:r w:rsidRPr="007D064A">
        <w:rPr>
          <w:i/>
          <w:sz w:val="20"/>
          <w:lang w:val="fr-CA"/>
        </w:rPr>
        <w:tab/>
        <w:t>Philip Perlmutter</w:t>
      </w:r>
      <w:r w:rsidRPr="007D064A">
        <w:rPr>
          <w:sz w:val="20"/>
          <w:lang w:val="fr-CA"/>
        </w:rPr>
        <w:t xml:space="preserve"> et </w:t>
      </w:r>
      <w:r w:rsidRPr="007D064A">
        <w:rPr>
          <w:i/>
          <w:sz w:val="20"/>
          <w:lang w:val="fr-CA"/>
        </w:rPr>
        <w:t>James Palangio</w:t>
      </w:r>
      <w:r w:rsidRPr="007D064A">
        <w:rPr>
          <w:sz w:val="20"/>
          <w:lang w:val="fr-CA"/>
        </w:rPr>
        <w:t>, pour l’intimée.</w:t>
      </w:r>
    </w:p>
    <w:p w:rsidR="007D064A" w:rsidRPr="007D064A" w:rsidRDefault="007D064A" w:rsidP="007D064A">
      <w:pPr>
        <w:pStyle w:val="SCCNormalDoubleSpacing"/>
        <w:spacing w:line="240" w:lineRule="auto"/>
        <w:rPr>
          <w:i/>
          <w:sz w:val="20"/>
          <w:lang w:val="fr-CA"/>
        </w:rPr>
      </w:pPr>
    </w:p>
    <w:p w:rsidR="007D064A" w:rsidRPr="007D064A" w:rsidRDefault="007D064A" w:rsidP="007D064A">
      <w:pPr>
        <w:pStyle w:val="SCCNormalDoubleSpacing"/>
        <w:spacing w:line="240" w:lineRule="auto"/>
        <w:rPr>
          <w:sz w:val="20"/>
          <w:lang w:val="fr-CA"/>
        </w:rPr>
      </w:pPr>
      <w:r w:rsidRPr="007D064A">
        <w:rPr>
          <w:i/>
          <w:sz w:val="20"/>
          <w:lang w:val="fr-CA"/>
        </w:rPr>
        <w:tab/>
        <w:t>Jeffrey G. Johnston</w:t>
      </w:r>
      <w:r w:rsidRPr="007D064A">
        <w:rPr>
          <w:sz w:val="20"/>
          <w:lang w:val="fr-CA"/>
        </w:rPr>
        <w:t>, pour l’intervenant le procureur général du Canada.</w:t>
      </w:r>
    </w:p>
    <w:p w:rsidR="007D064A" w:rsidRPr="007D064A" w:rsidRDefault="007D064A" w:rsidP="007D064A">
      <w:pPr>
        <w:pStyle w:val="SCCNormalDoubleSpacing"/>
        <w:spacing w:line="240" w:lineRule="auto"/>
        <w:rPr>
          <w:i/>
          <w:sz w:val="20"/>
          <w:lang w:val="fr-CA"/>
        </w:rPr>
      </w:pPr>
    </w:p>
    <w:p w:rsidR="007D064A" w:rsidRPr="007D064A" w:rsidRDefault="007D064A" w:rsidP="007D064A">
      <w:pPr>
        <w:pStyle w:val="SCCNormalDoubleSpacing"/>
        <w:spacing w:line="240" w:lineRule="auto"/>
        <w:rPr>
          <w:sz w:val="20"/>
          <w:lang w:val="fr-CA"/>
        </w:rPr>
      </w:pPr>
      <w:r w:rsidRPr="007D064A">
        <w:rPr>
          <w:i/>
          <w:sz w:val="20"/>
          <w:lang w:val="fr-CA"/>
        </w:rPr>
        <w:tab/>
        <w:t>Michel Déom</w:t>
      </w:r>
      <w:r w:rsidRPr="007D064A">
        <w:rPr>
          <w:sz w:val="20"/>
          <w:lang w:val="fr-CA"/>
        </w:rPr>
        <w:t xml:space="preserve">, </w:t>
      </w:r>
      <w:r w:rsidRPr="007D064A">
        <w:rPr>
          <w:i/>
          <w:sz w:val="20"/>
          <w:lang w:val="fr-CA"/>
        </w:rPr>
        <w:t>Jean</w:t>
      </w:r>
      <w:r w:rsidRPr="007D064A">
        <w:rPr>
          <w:i/>
          <w:sz w:val="20"/>
          <w:lang w:val="fr-CA"/>
        </w:rPr>
        <w:noBreakHyphen/>
        <w:t>Vincent Lacroix</w:t>
      </w:r>
      <w:r w:rsidRPr="007D064A">
        <w:rPr>
          <w:sz w:val="20"/>
          <w:lang w:val="fr-CA"/>
        </w:rPr>
        <w:t xml:space="preserve">, </w:t>
      </w:r>
      <w:r w:rsidRPr="007D064A">
        <w:rPr>
          <w:i/>
          <w:sz w:val="20"/>
          <w:lang w:val="fr-CA"/>
        </w:rPr>
        <w:t>Marie</w:t>
      </w:r>
      <w:r w:rsidRPr="007D064A">
        <w:rPr>
          <w:i/>
          <w:sz w:val="20"/>
          <w:lang w:val="fr-CA"/>
        </w:rPr>
        <w:noBreakHyphen/>
        <w:t>Ève Mayer</w:t>
      </w:r>
      <w:r w:rsidRPr="007D064A">
        <w:rPr>
          <w:sz w:val="20"/>
          <w:lang w:val="fr-CA"/>
        </w:rPr>
        <w:t xml:space="preserve"> et </w:t>
      </w:r>
      <w:r w:rsidRPr="007D064A">
        <w:rPr>
          <w:i/>
          <w:sz w:val="20"/>
          <w:lang w:val="fr-CA"/>
        </w:rPr>
        <w:t>Patricia Blair</w:t>
      </w:r>
      <w:r w:rsidRPr="007D064A">
        <w:rPr>
          <w:sz w:val="20"/>
          <w:lang w:val="fr-CA"/>
        </w:rPr>
        <w:t>, pour l’intervenant le procureur général du Québec.</w:t>
      </w:r>
    </w:p>
    <w:p w:rsidR="007D064A" w:rsidRPr="007D064A" w:rsidRDefault="007D064A" w:rsidP="007D064A">
      <w:pPr>
        <w:pStyle w:val="SCCLawFirm"/>
        <w:spacing w:line="240" w:lineRule="auto"/>
        <w:rPr>
          <w:sz w:val="20"/>
          <w:lang w:val="fr-CA"/>
        </w:rPr>
      </w:pPr>
    </w:p>
    <w:p w:rsidR="007D064A" w:rsidRPr="007D064A" w:rsidRDefault="007D064A" w:rsidP="007D064A">
      <w:pPr>
        <w:pStyle w:val="SCCLawFirm"/>
        <w:spacing w:line="240" w:lineRule="auto"/>
        <w:rPr>
          <w:sz w:val="20"/>
          <w:lang w:val="fr-CA"/>
        </w:rPr>
      </w:pPr>
      <w:r w:rsidRPr="007D064A">
        <w:rPr>
          <w:sz w:val="20"/>
          <w:lang w:val="fr-CA"/>
        </w:rPr>
        <w:tab/>
        <w:t>Procureurs de l’appelant : Burstein Bryant, Toronto; J. Thomas Wiley, Brampton.</w:t>
      </w:r>
    </w:p>
    <w:p w:rsidR="007D064A" w:rsidRPr="007D064A" w:rsidRDefault="007D064A" w:rsidP="007D064A">
      <w:pPr>
        <w:pStyle w:val="SCCLawFirm"/>
        <w:spacing w:line="240" w:lineRule="auto"/>
        <w:rPr>
          <w:sz w:val="20"/>
          <w:lang w:val="fr-CA"/>
        </w:rPr>
      </w:pPr>
    </w:p>
    <w:p w:rsidR="007D064A" w:rsidRPr="007D064A" w:rsidRDefault="007D064A" w:rsidP="007D064A">
      <w:pPr>
        <w:pStyle w:val="SCCLawFirm"/>
        <w:spacing w:line="240" w:lineRule="auto"/>
        <w:rPr>
          <w:sz w:val="20"/>
          <w:lang w:val="fr-CA"/>
        </w:rPr>
      </w:pPr>
      <w:r w:rsidRPr="007D064A">
        <w:rPr>
          <w:sz w:val="20"/>
          <w:lang w:val="fr-CA"/>
        </w:rPr>
        <w:tab/>
        <w:t>Procureur de l’intimée : Procureur général de l’Ontario, Toronto.</w:t>
      </w:r>
    </w:p>
    <w:p w:rsidR="007D064A" w:rsidRPr="007D064A" w:rsidRDefault="007D064A" w:rsidP="007D064A">
      <w:pPr>
        <w:pStyle w:val="SCCLawFirm"/>
        <w:spacing w:line="240" w:lineRule="auto"/>
        <w:rPr>
          <w:sz w:val="20"/>
          <w:lang w:val="fr-CA"/>
        </w:rPr>
      </w:pPr>
    </w:p>
    <w:p w:rsidR="007D064A" w:rsidRPr="007D064A" w:rsidRDefault="007D064A" w:rsidP="007D064A">
      <w:pPr>
        <w:pStyle w:val="SCCLawFirm"/>
        <w:spacing w:line="240" w:lineRule="auto"/>
        <w:rPr>
          <w:sz w:val="20"/>
          <w:lang w:val="fr-CA"/>
        </w:rPr>
      </w:pPr>
      <w:r w:rsidRPr="007D064A">
        <w:rPr>
          <w:sz w:val="20"/>
          <w:lang w:val="fr-CA"/>
        </w:rPr>
        <w:tab/>
        <w:t>Procureur de l’intervenant le procureur général du Canada : Procureur général du Canada, Ottawa.</w:t>
      </w:r>
    </w:p>
    <w:p w:rsidR="007D064A" w:rsidRPr="007D064A" w:rsidRDefault="007D064A" w:rsidP="007D064A">
      <w:pPr>
        <w:pStyle w:val="SCCLawFirm"/>
        <w:spacing w:line="240" w:lineRule="auto"/>
        <w:rPr>
          <w:sz w:val="20"/>
          <w:lang w:val="fr-CA"/>
        </w:rPr>
      </w:pPr>
    </w:p>
    <w:p w:rsidR="007D064A" w:rsidRPr="007D064A" w:rsidRDefault="007D064A" w:rsidP="007D064A">
      <w:pPr>
        <w:pStyle w:val="SCCLawFirm"/>
        <w:spacing w:line="240" w:lineRule="auto"/>
        <w:rPr>
          <w:sz w:val="20"/>
          <w:lang w:val="fr-CA"/>
        </w:rPr>
      </w:pPr>
      <w:r w:rsidRPr="007D064A">
        <w:rPr>
          <w:sz w:val="20"/>
          <w:lang w:val="fr-CA"/>
        </w:rPr>
        <w:tab/>
        <w:t>Procureur de l’intervenant le procureur général du Québec : Procureur général du Québec, Montréal.</w:t>
      </w:r>
    </w:p>
    <w:p w:rsidR="007D064A" w:rsidRPr="007D064A" w:rsidRDefault="007D064A" w:rsidP="003B3977">
      <w:pPr>
        <w:rPr>
          <w:sz w:val="20"/>
          <w:szCs w:val="20"/>
          <w:lang w:val="fr-CA"/>
        </w:rPr>
      </w:pPr>
    </w:p>
    <w:p w:rsidR="007D064A" w:rsidRDefault="002048ED" w:rsidP="003B3977">
      <w:pPr>
        <w:rPr>
          <w:sz w:val="20"/>
          <w:szCs w:val="20"/>
        </w:rPr>
      </w:pPr>
      <w:r w:rsidRPr="002048ED">
        <w:rPr>
          <w:rFonts w:cs="Times New Roman"/>
          <w:sz w:val="20"/>
          <w:szCs w:val="20"/>
          <w:lang w:val="fr-CA"/>
        </w:rPr>
        <w:pict>
          <v:rect id="_x0000_i1103" style="width:144.3pt;height:1pt" o:hrpct="300" o:hralign="center" o:hrstd="t" o:hrnoshade="t" o:hr="t" fillcolor="black [3213]" stroked="f"/>
        </w:pict>
      </w:r>
    </w:p>
    <w:p w:rsidR="007D064A" w:rsidRPr="003F4721" w:rsidRDefault="007D064A"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091FA6" w:rsidRPr="002E0C7E" w:rsidRDefault="002048ED"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9C7C0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C7C08">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C7C08">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DECEMBER - DÉCEMBRE</w:t>
            </w:r>
          </w:p>
        </w:tc>
      </w:tr>
      <w:tr w:rsidR="00091FA6" w:rsidRPr="002E0C7E" w:rsidTr="009C7C0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r>
      <w:tr w:rsidR="00091FA6" w:rsidRPr="002E0C7E" w:rsidTr="009C7C0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w:t>
            </w:r>
          </w:p>
        </w:tc>
      </w:tr>
      <w:tr w:rsidR="00091FA6" w:rsidRPr="002E0C7E" w:rsidTr="009C7C08">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9C7C08">
            <w:pPr>
              <w:widowControl w:val="0"/>
              <w:jc w:val="center"/>
              <w:rPr>
                <w:rFonts w:ascii="Arial" w:hAnsi="Arial"/>
                <w:b/>
                <w:sz w:val="14"/>
              </w:rPr>
            </w:pPr>
            <w:r w:rsidRPr="000C583B">
              <w:rPr>
                <w:rFonts w:ascii="Arial" w:hAnsi="Arial"/>
                <w:b/>
                <w:sz w:val="14"/>
              </w:rPr>
              <w:t>H</w:t>
            </w:r>
          </w:p>
          <w:p w:rsidR="00091FA6" w:rsidRPr="002E0C7E" w:rsidRDefault="00091FA6" w:rsidP="009C7C08">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9C7C08">
            <w:pPr>
              <w:widowControl w:val="0"/>
              <w:jc w:val="center"/>
              <w:rPr>
                <w:rFonts w:ascii="Arial" w:hAnsi="Arial"/>
                <w:b/>
                <w:sz w:val="14"/>
              </w:rPr>
            </w:pPr>
            <w:r w:rsidRPr="000C583B">
              <w:rPr>
                <w:rFonts w:ascii="Arial" w:hAnsi="Arial"/>
                <w:b/>
                <w:sz w:val="14"/>
              </w:rPr>
              <w:t>M</w:t>
            </w:r>
          </w:p>
          <w:p w:rsidR="00091FA6" w:rsidRPr="002E0C7E" w:rsidRDefault="00091FA6" w:rsidP="009C7C08">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M</w:t>
            </w:r>
          </w:p>
          <w:p w:rsidR="00091FA6" w:rsidRPr="002E0C7E" w:rsidRDefault="00091FA6" w:rsidP="009C7C08">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M</w:t>
            </w:r>
          </w:p>
          <w:p w:rsidR="00091FA6" w:rsidRPr="002E0C7E" w:rsidRDefault="00091FA6" w:rsidP="009C7C08">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8</w:t>
            </w:r>
          </w:p>
        </w:tc>
      </w:tr>
      <w:tr w:rsidR="00091FA6" w:rsidRPr="002E0C7E" w:rsidTr="009C7C0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9C7C08">
            <w:pPr>
              <w:widowControl w:val="0"/>
              <w:jc w:val="center"/>
              <w:rPr>
                <w:rFonts w:ascii="Arial" w:hAnsi="Arial"/>
                <w:b/>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9C7C08">
            <w:pPr>
              <w:widowControl w:val="0"/>
              <w:jc w:val="center"/>
              <w:rPr>
                <w:rFonts w:ascii="Arial" w:hAnsi="Arial"/>
                <w:sz w:val="14"/>
              </w:rPr>
            </w:pPr>
            <w:r>
              <w:rPr>
                <w:rFonts w:ascii="Arial" w:hAnsi="Arial"/>
                <w:b/>
                <w:sz w:val="14"/>
              </w:rPr>
              <w:t>H</w:t>
            </w: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C7C08">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C7C08">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Pr>
                <w:rFonts w:ascii="Arial" w:hAnsi="Arial"/>
                <w:sz w:val="14"/>
              </w:rPr>
              <w:t>23</w:t>
            </w:r>
          </w:p>
          <w:p w:rsidR="00091FA6" w:rsidRPr="002E0C7E" w:rsidRDefault="00091FA6" w:rsidP="009C7C08">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Pr>
                <w:rFonts w:ascii="Arial" w:hAnsi="Arial"/>
                <w:sz w:val="14"/>
              </w:rPr>
              <w:t>24</w:t>
            </w:r>
          </w:p>
          <w:p w:rsidR="00091FA6" w:rsidRPr="002E0C7E" w:rsidRDefault="00091FA6" w:rsidP="009C7C08">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H</w:t>
            </w: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9C7C0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C7C08">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C7C0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MARCH - MARS</w:t>
            </w:r>
          </w:p>
        </w:tc>
      </w:tr>
      <w:tr w:rsidR="00091FA6" w:rsidRPr="002E0C7E" w:rsidTr="009C7C08">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r>
      <w:tr w:rsidR="00091FA6" w:rsidRPr="002E0C7E" w:rsidTr="009C7C0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9C7C08">
            <w:pPr>
              <w:widowControl w:val="0"/>
              <w:jc w:val="center"/>
              <w:rPr>
                <w:rFonts w:ascii="Arial" w:hAnsi="Arial"/>
                <w:b/>
                <w:sz w:val="14"/>
              </w:rPr>
            </w:pPr>
            <w:r>
              <w:rPr>
                <w:rFonts w:ascii="Arial" w:hAnsi="Arial"/>
                <w:b/>
                <w:sz w:val="14"/>
              </w:rPr>
              <w:t>H</w:t>
            </w:r>
          </w:p>
          <w:p w:rsidR="00091FA6" w:rsidRPr="002E0C7E" w:rsidRDefault="00091FA6" w:rsidP="009C7C08">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r>
      <w:tr w:rsidR="00091FA6" w:rsidRPr="002E0C7E" w:rsidTr="009C7C0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r>
      <w:tr w:rsidR="00091FA6" w:rsidRPr="002E0C7E" w:rsidTr="009C7C08">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9C7C08">
            <w:pPr>
              <w:widowControl w:val="0"/>
              <w:jc w:val="center"/>
              <w:rPr>
                <w:rFonts w:ascii="Arial" w:hAnsi="Arial"/>
                <w:b/>
                <w:sz w:val="14"/>
              </w:rPr>
            </w:pPr>
            <w:r>
              <w:rPr>
                <w:rFonts w:ascii="Arial" w:hAnsi="Arial"/>
                <w:b/>
                <w:sz w:val="14"/>
              </w:rPr>
              <w:t>M</w:t>
            </w: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9C7C08">
            <w:pPr>
              <w:widowControl w:val="0"/>
              <w:jc w:val="center"/>
              <w:rPr>
                <w:rFonts w:ascii="Arial" w:hAnsi="Arial"/>
                <w:b/>
                <w:sz w:val="14"/>
              </w:rPr>
            </w:pPr>
            <w:r>
              <w:rPr>
                <w:rFonts w:ascii="Arial" w:hAnsi="Arial"/>
                <w:b/>
                <w:sz w:val="14"/>
              </w:rPr>
              <w:t>M</w:t>
            </w: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9C7C08">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9C7C08">
            <w:pPr>
              <w:widowControl w:val="0"/>
              <w:jc w:val="center"/>
              <w:rPr>
                <w:rFonts w:ascii="Arial" w:hAnsi="Arial"/>
                <w:b/>
                <w:sz w:val="14"/>
              </w:rPr>
            </w:pPr>
            <w:r>
              <w:rPr>
                <w:rFonts w:ascii="Arial" w:hAnsi="Arial"/>
                <w:b/>
                <w:sz w:val="14"/>
              </w:rPr>
              <w:t>M</w:t>
            </w: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9C7C08">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Pr>
                <w:rFonts w:ascii="Arial" w:hAnsi="Arial"/>
                <w:sz w:val="14"/>
              </w:rPr>
              <w:t>24</w:t>
            </w:r>
          </w:p>
          <w:p w:rsidR="00091FA6" w:rsidRPr="002E0C7E" w:rsidRDefault="00091FA6" w:rsidP="009C7C08">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9C7C08">
            <w:pPr>
              <w:widowControl w:val="0"/>
              <w:jc w:val="center"/>
              <w:rPr>
                <w:rFonts w:ascii="Arial" w:hAnsi="Arial"/>
                <w:b/>
                <w:sz w:val="14"/>
              </w:rPr>
            </w:pPr>
            <w:r w:rsidRPr="00261B35">
              <w:rPr>
                <w:rFonts w:ascii="Arial" w:hAnsi="Arial"/>
                <w:b/>
                <w:sz w:val="14"/>
              </w:rPr>
              <w:t>H</w:t>
            </w:r>
          </w:p>
          <w:p w:rsidR="00091FA6" w:rsidRPr="002E0C7E" w:rsidRDefault="00091FA6" w:rsidP="009C7C08">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9C7C08">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C7C08">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9C7C08">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9C7C08">
            <w:pPr>
              <w:widowControl w:val="0"/>
              <w:jc w:val="center"/>
              <w:rPr>
                <w:rFonts w:ascii="Arial" w:hAnsi="Arial"/>
                <w:sz w:val="14"/>
              </w:rPr>
            </w:pPr>
            <w:r w:rsidRPr="002E0C7E">
              <w:rPr>
                <w:rFonts w:ascii="Arial" w:hAnsi="Arial"/>
                <w:b/>
                <w:sz w:val="14"/>
              </w:rPr>
              <w:t>JUNE - JUIN</w:t>
            </w:r>
          </w:p>
        </w:tc>
      </w:tr>
      <w:tr w:rsidR="00091FA6" w:rsidRPr="002E0C7E" w:rsidTr="009C7C08">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M</w:t>
            </w:r>
          </w:p>
          <w:p w:rsidR="00091FA6" w:rsidRPr="002E0C7E" w:rsidRDefault="00091FA6" w:rsidP="009C7C08">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W</w:t>
            </w:r>
          </w:p>
          <w:p w:rsidR="00091FA6" w:rsidRPr="002E0C7E" w:rsidRDefault="00091FA6" w:rsidP="009C7C0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T</w:t>
            </w:r>
          </w:p>
          <w:p w:rsidR="00091FA6" w:rsidRPr="002E0C7E" w:rsidRDefault="00091FA6" w:rsidP="009C7C0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F</w:t>
            </w:r>
          </w:p>
          <w:p w:rsidR="00091FA6" w:rsidRPr="002E0C7E" w:rsidRDefault="00091FA6" w:rsidP="009C7C0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sidRPr="002E0C7E">
              <w:rPr>
                <w:rFonts w:ascii="Arial" w:hAnsi="Arial"/>
                <w:sz w:val="14"/>
              </w:rPr>
              <w:t>s</w:t>
            </w:r>
          </w:p>
          <w:p w:rsidR="00091FA6" w:rsidRPr="002E0C7E" w:rsidRDefault="00091FA6" w:rsidP="009C7C08">
            <w:pPr>
              <w:widowControl w:val="0"/>
              <w:jc w:val="center"/>
              <w:rPr>
                <w:rFonts w:ascii="Arial" w:hAnsi="Arial"/>
                <w:sz w:val="14"/>
              </w:rPr>
            </w:pPr>
            <w:r w:rsidRPr="002E0C7E">
              <w:rPr>
                <w:rFonts w:ascii="Arial" w:hAnsi="Arial"/>
                <w:sz w:val="14"/>
              </w:rPr>
              <w:t>s</w:t>
            </w:r>
          </w:p>
        </w:tc>
      </w:tr>
      <w:tr w:rsidR="00091FA6" w:rsidRPr="002E0C7E" w:rsidTr="009C7C08">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9C7C08">
            <w:pPr>
              <w:widowControl w:val="0"/>
              <w:jc w:val="center"/>
              <w:rPr>
                <w:rFonts w:ascii="Arial" w:hAnsi="Arial"/>
                <w:b/>
                <w:sz w:val="14"/>
              </w:rPr>
            </w:pPr>
            <w:r w:rsidRPr="002453E3">
              <w:rPr>
                <w:rFonts w:ascii="Arial" w:hAnsi="Arial"/>
                <w:b/>
                <w:sz w:val="14"/>
              </w:rPr>
              <w:t>H</w:t>
            </w:r>
          </w:p>
          <w:p w:rsidR="00091FA6" w:rsidRPr="002E0C7E" w:rsidRDefault="00091FA6" w:rsidP="009C7C0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b/>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w:t>
            </w:r>
          </w:p>
        </w:tc>
      </w:tr>
      <w:tr w:rsidR="00091FA6" w:rsidRPr="002E0C7E" w:rsidTr="009C7C0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9C7C08">
            <w:pPr>
              <w:widowControl w:val="0"/>
              <w:jc w:val="center"/>
              <w:rPr>
                <w:rFonts w:ascii="Arial" w:hAnsi="Arial"/>
                <w:b/>
                <w:sz w:val="14"/>
              </w:rPr>
            </w:pPr>
          </w:p>
          <w:p w:rsidR="00091FA6" w:rsidRPr="002E0C7E" w:rsidRDefault="00091FA6" w:rsidP="009C7C0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8</w:t>
            </w:r>
          </w:p>
        </w:tc>
      </w:tr>
      <w:tr w:rsidR="00091FA6" w:rsidRPr="002E0C7E" w:rsidTr="009C7C08">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9C7C08">
            <w:pPr>
              <w:widowControl w:val="0"/>
              <w:jc w:val="center"/>
              <w:rPr>
                <w:rFonts w:ascii="Arial" w:hAnsi="Arial"/>
                <w:b/>
                <w:sz w:val="14"/>
              </w:rPr>
            </w:pPr>
            <w:r w:rsidRPr="00DB5777">
              <w:rPr>
                <w:rFonts w:ascii="Arial" w:hAnsi="Arial"/>
                <w:b/>
                <w:sz w:val="14"/>
              </w:rPr>
              <w:t>M</w:t>
            </w: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9C7C08">
            <w:pPr>
              <w:widowControl w:val="0"/>
              <w:jc w:val="center"/>
              <w:rPr>
                <w:rFonts w:ascii="Arial" w:hAnsi="Arial"/>
                <w:b/>
                <w:sz w:val="14"/>
              </w:rPr>
            </w:pPr>
            <w:r w:rsidRPr="002453E3">
              <w:rPr>
                <w:rFonts w:ascii="Arial" w:hAnsi="Arial"/>
                <w:b/>
                <w:sz w:val="14"/>
              </w:rPr>
              <w:t>M</w:t>
            </w: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9C7C08">
            <w:pPr>
              <w:widowControl w:val="0"/>
              <w:jc w:val="center"/>
              <w:rPr>
                <w:rFonts w:ascii="Arial" w:hAnsi="Arial"/>
                <w:b/>
                <w:sz w:val="14"/>
              </w:rPr>
            </w:pPr>
            <w:r w:rsidRPr="006A1E8D">
              <w:rPr>
                <w:rFonts w:ascii="Arial" w:hAnsi="Arial"/>
                <w:b/>
                <w:sz w:val="14"/>
              </w:rPr>
              <w:t>M</w:t>
            </w: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9C7C08">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9C7C08">
            <w:pPr>
              <w:widowControl w:val="0"/>
              <w:jc w:val="center"/>
              <w:rPr>
                <w:rFonts w:ascii="Arial" w:hAnsi="Arial"/>
                <w:b/>
                <w:sz w:val="14"/>
              </w:rPr>
            </w:pPr>
            <w:r>
              <w:rPr>
                <w:rFonts w:ascii="Arial" w:hAnsi="Arial"/>
                <w:b/>
                <w:sz w:val="14"/>
              </w:rPr>
              <w:t>H</w:t>
            </w: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9C7C08">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r>
              <w:rPr>
                <w:rFonts w:ascii="Arial" w:hAnsi="Arial"/>
                <w:sz w:val="14"/>
              </w:rPr>
              <w:t>23</w:t>
            </w:r>
          </w:p>
          <w:p w:rsidR="00091FA6" w:rsidRPr="002E0C7E" w:rsidRDefault="00091FA6" w:rsidP="009C7C08">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9C7C08">
            <w:pPr>
              <w:widowControl w:val="0"/>
              <w:jc w:val="center"/>
              <w:rPr>
                <w:rFonts w:ascii="Arial" w:hAnsi="Arial"/>
                <w:sz w:val="14"/>
              </w:rPr>
            </w:pPr>
          </w:p>
          <w:p w:rsidR="00091FA6" w:rsidRPr="002E0C7E" w:rsidRDefault="00091FA6" w:rsidP="009C7C08">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9C7C08">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9C7C08">
            <w:pPr>
              <w:widowControl w:val="0"/>
              <w:rPr>
                <w:rFonts w:ascii="Arial" w:hAnsi="Arial"/>
                <w:sz w:val="16"/>
              </w:rPr>
            </w:pPr>
            <w:r w:rsidRPr="002E0C7E">
              <w:rPr>
                <w:rFonts w:ascii="Arial" w:hAnsi="Arial"/>
                <w:sz w:val="16"/>
              </w:rPr>
              <w:t>Sittings of the court:</w:t>
            </w:r>
          </w:p>
          <w:p w:rsidR="00091FA6" w:rsidRPr="002E0C7E" w:rsidRDefault="00091FA6" w:rsidP="009C7C0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9C7C08">
            <w:pPr>
              <w:widowControl w:val="0"/>
              <w:rPr>
                <w:rFonts w:ascii="Arial" w:hAnsi="Arial"/>
                <w:sz w:val="16"/>
              </w:rPr>
            </w:pPr>
          </w:p>
          <w:p w:rsidR="00091FA6" w:rsidRPr="002E0C7E" w:rsidRDefault="00091FA6" w:rsidP="009C7C0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C7C0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9C7C0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9C7C08">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9C7C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9"/>
      <w:footerReference w:type="default" r:id="rId5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71" w:rsidRDefault="00401D71" w:rsidP="00A87207">
      <w:r>
        <w:separator/>
      </w:r>
    </w:p>
  </w:endnote>
  <w:endnote w:type="continuationSeparator" w:id="0">
    <w:p w:rsidR="00401D71" w:rsidRDefault="00401D7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pPr>
      <w:pStyle w:val="Footer"/>
      <w:rPr>
        <w:lang w:val="fr-CA"/>
      </w:rPr>
    </w:pPr>
    <w:r w:rsidRPr="002048ED">
      <w:rPr>
        <w:lang w:val="fr-CA"/>
      </w:rPr>
      <w:pict>
        <v:rect id="_x0000_i1089" style="width:480.95pt;height:1pt" o:hralign="center" o:hrstd="t" o:hrnoshade="t" o:hr="t" fillcolor="black [3213]" stroked="f"/>
      </w:pict>
    </w:r>
  </w:p>
  <w:p w:rsidR="00401D71" w:rsidRDefault="00401D71" w:rsidP="00245129">
    <w:pPr>
      <w:tabs>
        <w:tab w:val="center" w:pos="4680"/>
      </w:tabs>
    </w:pPr>
    <w:r>
      <w:tab/>
    </w:r>
    <w:r w:rsidRPr="0009648D">
      <w:t xml:space="preserve">- </w:t>
    </w:r>
    <w:fldSimple w:instr=" PAGE   \* MERGEFORMAT ">
      <w:r w:rsidR="005571F9">
        <w:rPr>
          <w:noProof/>
        </w:rPr>
        <w:t>1618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1D71" w:rsidRDefault="00401D7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755F22">
    <w:pPr>
      <w:tabs>
        <w:tab w:val="left" w:pos="-1440"/>
        <w:tab w:val="left" w:pos="-720"/>
      </w:tabs>
    </w:pPr>
    <w:r>
      <w:pict>
        <v:rect id="_x0000_i1094" style="width:480.95pt;height:1pt" o:hralign="center" o:hrstd="t" o:hrnoshade="t" o:hr="t" fillcolor="black [3213]" stroked="f"/>
      </w:pict>
    </w:r>
  </w:p>
  <w:p w:rsidR="00401D71" w:rsidRDefault="00401D71" w:rsidP="00EB2B90">
    <w:pPr>
      <w:tabs>
        <w:tab w:val="center" w:pos="4680"/>
      </w:tabs>
    </w:pPr>
    <w:r>
      <w:tab/>
      <w:t xml:space="preserve">- </w:t>
    </w:r>
    <w:fldSimple w:instr=" PAGE   \* MERGEFORMAT ">
      <w:r w:rsidR="005571F9">
        <w:rPr>
          <w:noProof/>
        </w:rPr>
        <w:t>1659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EB2B90">
    <w:pPr>
      <w:tabs>
        <w:tab w:val="center" w:pos="4680"/>
      </w:tabs>
    </w:pPr>
    <w:r>
      <w:pict>
        <v:rect id="_x0000_i1095" style="width:480.95pt;height:1pt" o:hralign="center" o:hrstd="t" o:hrnoshade="t" o:hr="t" fillcolor="black [3213]" stroked="f"/>
      </w:pict>
    </w:r>
  </w:p>
  <w:p w:rsidR="00401D71" w:rsidRPr="0031432F" w:rsidRDefault="00401D71" w:rsidP="00EB2B90">
    <w:pPr>
      <w:tabs>
        <w:tab w:val="center" w:pos="4680"/>
      </w:tabs>
    </w:pPr>
    <w:r>
      <w:tab/>
      <w:t xml:space="preserve">- </w:t>
    </w:r>
    <w:fldSimple w:instr=" PAGE   \* MERGEFORMAT ">
      <w:r w:rsidR="005571F9">
        <w:rPr>
          <w:noProof/>
        </w:rPr>
        <w:t>1656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1D71" w:rsidRDefault="00401D7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732DB7">
    <w:r>
      <w:pict>
        <v:rect id="_x0000_i1098" style="width:480.95pt;height:1pt" o:hralign="center" o:hrstd="t" o:hrnoshade="t" o:hr="t" fillcolor="black" stroked="f"/>
      </w:pict>
    </w:r>
  </w:p>
  <w:p w:rsidR="00401D71" w:rsidRDefault="00401D71">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pPr>
      <w:pStyle w:val="Footer"/>
    </w:pPr>
    <w:r>
      <w:pict>
        <v:rect id="_x0000_i1099" style="width:480.95pt;height:1pt" o:hralign="center" o:hrstd="t" o:hrnoshade="t" o:hr="t" fillcolor="black [3213]" stroked="f"/>
      </w:pict>
    </w:r>
  </w:p>
  <w:p w:rsidR="00401D71" w:rsidRPr="003C2C0F" w:rsidRDefault="00401D71" w:rsidP="00697C62">
    <w:pPr>
      <w:tabs>
        <w:tab w:val="center" w:pos="4680"/>
      </w:tabs>
    </w:pPr>
    <w:r>
      <w:tab/>
      <w:t xml:space="preserve">- </w:t>
    </w:r>
    <w:fldSimple w:instr=" PAGE   \* MERGEFORMAT ">
      <w:r w:rsidR="005571F9">
        <w:rPr>
          <w:noProof/>
        </w:rPr>
        <w:t>1660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1D71" w:rsidRDefault="00401D71">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1D71" w:rsidRDefault="00204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4" style="width:480.95pt;height:1pt" o:hralign="center" o:hrstd="t" o:hrnoshade="t" o:hr="t" fillcolor="black [3213]" stroked="f"/>
      </w:pict>
    </w:r>
  </w:p>
  <w:p w:rsidR="00401D71" w:rsidRDefault="00401D71" w:rsidP="00782AE4">
    <w:pPr>
      <w:tabs>
        <w:tab w:val="center" w:pos="4680"/>
      </w:tabs>
    </w:pPr>
    <w:r>
      <w:tab/>
      <w:t xml:space="preserve">- </w:t>
    </w:r>
    <w:r w:rsidR="002048ED" w:rsidRPr="001775C1">
      <w:rPr>
        <w:szCs w:val="24"/>
      </w:rPr>
      <w:fldChar w:fldCharType="begin"/>
    </w:r>
    <w:r w:rsidRPr="001775C1">
      <w:rPr>
        <w:szCs w:val="24"/>
      </w:rPr>
      <w:instrText xml:space="preserve"> PAGE   \* MERGEFORMAT </w:instrText>
    </w:r>
    <w:r w:rsidR="002048ED" w:rsidRPr="001775C1">
      <w:rPr>
        <w:szCs w:val="24"/>
      </w:rPr>
      <w:fldChar w:fldCharType="separate"/>
    </w:r>
    <w:r w:rsidR="005571F9">
      <w:rPr>
        <w:noProof/>
        <w:szCs w:val="24"/>
      </w:rPr>
      <w:t>1677</w:t>
    </w:r>
    <w:r w:rsidR="002048ED"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782AE4">
    <w:pPr>
      <w:tabs>
        <w:tab w:val="center" w:pos="4680"/>
      </w:tabs>
    </w:pPr>
    <w:r>
      <w:pict>
        <v:rect id="_x0000_i1105" style="width:480.95pt;height:1pt" o:hralign="center" o:hrstd="t" o:hrnoshade="t" o:hr="t" fillcolor="black [3213]" stroked="f"/>
      </w:pict>
    </w:r>
  </w:p>
  <w:p w:rsidR="00401D71" w:rsidRDefault="00401D71" w:rsidP="00782AE4">
    <w:pPr>
      <w:tabs>
        <w:tab w:val="center" w:pos="4680"/>
      </w:tabs>
    </w:pPr>
    <w:r>
      <w:tab/>
      <w:t xml:space="preserve">- </w:t>
    </w:r>
    <w:r w:rsidR="002048ED" w:rsidRPr="001775C1">
      <w:rPr>
        <w:szCs w:val="24"/>
      </w:rPr>
      <w:fldChar w:fldCharType="begin"/>
    </w:r>
    <w:r w:rsidRPr="001775C1">
      <w:rPr>
        <w:szCs w:val="24"/>
      </w:rPr>
      <w:instrText xml:space="preserve"> PAGE   \* MERGEFORMAT </w:instrText>
    </w:r>
    <w:r w:rsidR="002048ED" w:rsidRPr="001775C1">
      <w:rPr>
        <w:szCs w:val="24"/>
      </w:rPr>
      <w:fldChar w:fldCharType="separate"/>
    </w:r>
    <w:r w:rsidR="005571F9">
      <w:rPr>
        <w:noProof/>
        <w:szCs w:val="24"/>
      </w:rPr>
      <w:t>1663</w:t>
    </w:r>
    <w:r w:rsidR="002048ED"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Pr="00924065" w:rsidRDefault="00401D7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A87207">
    <w:pPr>
      <w:pStyle w:val="Footer"/>
    </w:pPr>
    <w:r>
      <w:pict>
        <v:rect id="_x0000_i1041" style="width:480.95pt;height:1pt" o:hralign="center" o:hrstd="t" o:hrnoshade="t" o:hr="t" fillcolor="black [3213]" stroked="f"/>
      </w:pict>
    </w:r>
  </w:p>
  <w:p w:rsidR="00401D71" w:rsidRPr="00B7374B" w:rsidRDefault="00401D71" w:rsidP="00B7374B">
    <w:pPr>
      <w:tabs>
        <w:tab w:val="center" w:pos="4680"/>
      </w:tabs>
      <w:rPr>
        <w:szCs w:val="24"/>
      </w:rPr>
    </w:pPr>
    <w:r w:rsidRPr="00954D22">
      <w:rPr>
        <w:szCs w:val="24"/>
      </w:rPr>
      <w:tab/>
      <w:t xml:space="preserve">- </w:t>
    </w:r>
    <w:r w:rsidR="002048ED" w:rsidRPr="00954D22">
      <w:rPr>
        <w:szCs w:val="24"/>
      </w:rPr>
      <w:fldChar w:fldCharType="begin"/>
    </w:r>
    <w:r w:rsidRPr="00954D22">
      <w:rPr>
        <w:szCs w:val="24"/>
      </w:rPr>
      <w:instrText xml:space="preserve"> PAGE   \* MERGEFORMAT </w:instrText>
    </w:r>
    <w:r w:rsidR="002048ED" w:rsidRPr="00954D22">
      <w:rPr>
        <w:szCs w:val="24"/>
      </w:rPr>
      <w:fldChar w:fldCharType="separate"/>
    </w:r>
    <w:r w:rsidR="005571F9">
      <w:rPr>
        <w:noProof/>
        <w:szCs w:val="24"/>
      </w:rPr>
      <w:t>1616</w:t>
    </w:r>
    <w:r w:rsidR="002048E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755F22">
    <w:pPr>
      <w:tabs>
        <w:tab w:val="left" w:pos="-1440"/>
        <w:tab w:val="left" w:pos="-720"/>
      </w:tabs>
    </w:pPr>
    <w:r>
      <w:pict>
        <v:rect id="_x0000_i1042" style="width:480.95pt;height:1pt" o:hralign="center" o:hrstd="t" o:hrnoshade="t" o:hr="t" fillcolor="black [3213]" stroked="f"/>
      </w:pict>
    </w:r>
  </w:p>
  <w:p w:rsidR="00401D71" w:rsidRPr="00954D22" w:rsidRDefault="00401D71" w:rsidP="00B7374B">
    <w:pPr>
      <w:tabs>
        <w:tab w:val="center" w:pos="4680"/>
      </w:tabs>
      <w:rPr>
        <w:szCs w:val="24"/>
      </w:rPr>
    </w:pPr>
    <w:r w:rsidRPr="00954D22">
      <w:rPr>
        <w:szCs w:val="24"/>
      </w:rPr>
      <w:tab/>
      <w:t xml:space="preserve">- </w:t>
    </w:r>
    <w:r w:rsidR="002048ED">
      <w:rPr>
        <w:szCs w:val="24"/>
      </w:rPr>
      <w:fldChar w:fldCharType="begin"/>
    </w:r>
    <w:r>
      <w:rPr>
        <w:szCs w:val="24"/>
      </w:rPr>
      <w:instrText xml:space="preserve"> PAGE   \* MERGEFORMAT </w:instrText>
    </w:r>
    <w:r w:rsidR="002048ED">
      <w:rPr>
        <w:szCs w:val="24"/>
      </w:rPr>
      <w:fldChar w:fldCharType="separate"/>
    </w:r>
    <w:r w:rsidR="005571F9">
      <w:rPr>
        <w:noProof/>
        <w:szCs w:val="24"/>
      </w:rPr>
      <w:t>1615</w:t>
    </w:r>
    <w:r w:rsidR="002048ED">
      <w:rPr>
        <w:szCs w:val="24"/>
      </w:rPr>
      <w:fldChar w:fldCharType="end"/>
    </w:r>
    <w:r w:rsidRPr="00954D22">
      <w:rPr>
        <w:szCs w:val="24"/>
      </w:rPr>
      <w:t xml:space="preserve"> -</w:t>
    </w:r>
  </w:p>
  <w:p w:rsidR="00401D71" w:rsidRDefault="00401D7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A87207">
    <w:pPr>
      <w:pStyle w:val="Footer"/>
    </w:pPr>
    <w:r>
      <w:pict>
        <v:rect id="_x0000_i1044" style="width:480.95pt;height:1pt" o:hralign="center" o:hrstd="t" o:hrnoshade="t" o:hr="t" fillcolor="black [3213]" stroked="f"/>
      </w:pict>
    </w:r>
  </w:p>
  <w:p w:rsidR="00401D71" w:rsidRPr="00B7374B" w:rsidRDefault="00401D71" w:rsidP="00B7374B">
    <w:pPr>
      <w:tabs>
        <w:tab w:val="center" w:pos="4680"/>
      </w:tabs>
      <w:rPr>
        <w:szCs w:val="24"/>
      </w:rPr>
    </w:pPr>
    <w:r w:rsidRPr="00954D22">
      <w:rPr>
        <w:szCs w:val="24"/>
      </w:rPr>
      <w:tab/>
      <w:t xml:space="preserve">- </w:t>
    </w:r>
    <w:r w:rsidR="002048ED" w:rsidRPr="00954D22">
      <w:rPr>
        <w:szCs w:val="24"/>
      </w:rPr>
      <w:fldChar w:fldCharType="begin"/>
    </w:r>
    <w:r w:rsidRPr="00954D22">
      <w:rPr>
        <w:szCs w:val="24"/>
      </w:rPr>
      <w:instrText xml:space="preserve"> PAGE   \* MERGEFORMAT </w:instrText>
    </w:r>
    <w:r w:rsidR="002048ED" w:rsidRPr="00954D22">
      <w:rPr>
        <w:szCs w:val="24"/>
      </w:rPr>
      <w:fldChar w:fldCharType="separate"/>
    </w:r>
    <w:r>
      <w:rPr>
        <w:noProof/>
        <w:szCs w:val="24"/>
      </w:rPr>
      <w:t>1618</w:t>
    </w:r>
    <w:r w:rsidR="002048E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401D71" w:rsidRPr="00954D22" w:rsidRDefault="00401D71" w:rsidP="00B7374B">
    <w:pPr>
      <w:tabs>
        <w:tab w:val="center" w:pos="4680"/>
      </w:tabs>
      <w:rPr>
        <w:szCs w:val="24"/>
      </w:rPr>
    </w:pPr>
    <w:r w:rsidRPr="00954D22">
      <w:rPr>
        <w:szCs w:val="24"/>
      </w:rPr>
      <w:tab/>
      <w:t xml:space="preserve">- </w:t>
    </w:r>
    <w:r w:rsidR="002048ED" w:rsidRPr="00954D22">
      <w:rPr>
        <w:szCs w:val="24"/>
      </w:rPr>
      <w:fldChar w:fldCharType="begin"/>
    </w:r>
    <w:r w:rsidRPr="00954D22">
      <w:rPr>
        <w:szCs w:val="24"/>
      </w:rPr>
      <w:instrText xml:space="preserve"> PAGE   \* MERGEFORMAT </w:instrText>
    </w:r>
    <w:r w:rsidR="002048ED" w:rsidRPr="00954D22">
      <w:rPr>
        <w:szCs w:val="24"/>
      </w:rPr>
      <w:fldChar w:fldCharType="separate"/>
    </w:r>
    <w:r w:rsidR="005571F9">
      <w:rPr>
        <w:noProof/>
        <w:szCs w:val="24"/>
      </w:rPr>
      <w:t>1617</w:t>
    </w:r>
    <w:r w:rsidR="002048E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1D71" w:rsidRDefault="00401D7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204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48ED">
      <w:rPr>
        <w:lang w:val="fr-CA"/>
      </w:rPr>
      <w:pict>
        <v:rect id="_x0000_i1088" style="width:480.95pt;height:1pt" o:hralign="center" o:hrstd="t" o:hrnoshade="t" o:hr="t" fillcolor="black [3213]" stroked="f"/>
      </w:pict>
    </w:r>
  </w:p>
  <w:p w:rsidR="00401D71" w:rsidRPr="0009648D" w:rsidRDefault="00401D71" w:rsidP="00ED7E83">
    <w:pPr>
      <w:tabs>
        <w:tab w:val="center" w:pos="4680"/>
      </w:tabs>
    </w:pPr>
    <w:r>
      <w:tab/>
    </w:r>
    <w:r w:rsidRPr="0009648D">
      <w:t xml:space="preserve">- </w:t>
    </w:r>
    <w:fldSimple w:instr=" PAGE   \* MERGEFORMAT ">
      <w:r w:rsidR="005571F9">
        <w:rPr>
          <w:noProof/>
        </w:rPr>
        <w:t>1655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71" w:rsidRDefault="00401D71" w:rsidP="00A87207">
      <w:r>
        <w:separator/>
      </w:r>
    </w:p>
  </w:footnote>
  <w:footnote w:type="continuationSeparator" w:id="0">
    <w:p w:rsidR="00401D71" w:rsidRDefault="00401D7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01D71">
      <w:tc>
        <w:tcPr>
          <w:tcW w:w="4230" w:type="dxa"/>
          <w:tcMar>
            <w:left w:w="0" w:type="dxa"/>
            <w:right w:w="0" w:type="dxa"/>
          </w:tcMar>
        </w:tcPr>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01D71" w:rsidRDefault="00401D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1D71" w:rsidRDefault="00401D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01D71">
      <w:trPr>
        <w:gridAfter w:val="2"/>
        <w:wAfter w:w="5250" w:type="dxa"/>
      </w:trPr>
      <w:tc>
        <w:tcPr>
          <w:tcW w:w="4230" w:type="dxa"/>
          <w:tcMar>
            <w:left w:w="0" w:type="dxa"/>
            <w:right w:w="0" w:type="dxa"/>
          </w:tcMar>
        </w:tcPr>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01D71" w:rsidRPr="00755F22" w:rsidTr="00245129">
      <w:tc>
        <w:tcPr>
          <w:tcW w:w="4230" w:type="dxa"/>
          <w:tcMar>
            <w:left w:w="0" w:type="dxa"/>
            <w:right w:w="0" w:type="dxa"/>
          </w:tcMar>
        </w:tcPr>
        <w:p w:rsidR="00401D71" w:rsidRPr="00755F22" w:rsidRDefault="00401D71" w:rsidP="00831CA9">
          <w:pPr>
            <w:keepNext/>
            <w:keepLines/>
            <w:rPr>
              <w:sz w:val="20"/>
              <w:szCs w:val="20"/>
            </w:rPr>
          </w:pPr>
          <w:r w:rsidRPr="00755F22">
            <w:rPr>
              <w:sz w:val="20"/>
              <w:szCs w:val="20"/>
            </w:rPr>
            <w:t>MOTIONS</w:t>
          </w:r>
        </w:p>
      </w:tc>
      <w:tc>
        <w:tcPr>
          <w:tcW w:w="1170" w:type="dxa"/>
          <w:tcMar>
            <w:left w:w="0" w:type="dxa"/>
            <w:right w:w="0" w:type="dxa"/>
          </w:tcMar>
        </w:tcPr>
        <w:p w:rsidR="00401D71" w:rsidRPr="00755F22" w:rsidRDefault="00401D71" w:rsidP="00831CA9">
          <w:pPr>
            <w:keepLines/>
            <w:jc w:val="center"/>
            <w:rPr>
              <w:sz w:val="20"/>
              <w:szCs w:val="20"/>
            </w:rPr>
          </w:pPr>
        </w:p>
        <w:p w:rsidR="00401D71" w:rsidRPr="00755F22" w:rsidRDefault="00401D71" w:rsidP="00831CA9">
          <w:pPr>
            <w:keepLines/>
            <w:tabs>
              <w:tab w:val="left" w:pos="-1440"/>
              <w:tab w:val="left" w:pos="-720"/>
            </w:tabs>
            <w:jc w:val="center"/>
            <w:rPr>
              <w:sz w:val="20"/>
              <w:szCs w:val="20"/>
            </w:rPr>
          </w:pPr>
        </w:p>
      </w:tc>
      <w:tc>
        <w:tcPr>
          <w:tcW w:w="4080" w:type="dxa"/>
          <w:tcMar>
            <w:left w:w="0" w:type="dxa"/>
            <w:right w:w="0" w:type="dxa"/>
          </w:tcMar>
        </w:tcPr>
        <w:p w:rsidR="00401D71" w:rsidRPr="00BA6468" w:rsidRDefault="00401D71" w:rsidP="00BA6468">
          <w:pPr>
            <w:keepLines/>
            <w:rPr>
              <w:sz w:val="20"/>
              <w:szCs w:val="20"/>
              <w:lang w:val="fr-CA"/>
            </w:rPr>
          </w:pPr>
          <w:r w:rsidRPr="00BA6468">
            <w:rPr>
              <w:sz w:val="20"/>
              <w:szCs w:val="20"/>
              <w:lang w:val="fr-CA"/>
            </w:rPr>
            <w:t>REQUÊTES</w:t>
          </w:r>
        </w:p>
      </w:tc>
    </w:tr>
  </w:tbl>
  <w:p w:rsidR="00401D71" w:rsidRDefault="00401D7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01D71" w:rsidRPr="0078080D">
      <w:tc>
        <w:tcPr>
          <w:tcW w:w="4200" w:type="dxa"/>
          <w:tcMar>
            <w:left w:w="0" w:type="dxa"/>
            <w:right w:w="0" w:type="dxa"/>
          </w:tcMar>
        </w:tcPr>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01D71" w:rsidRPr="003C2C0F" w:rsidRDefault="00401D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01D71" w:rsidRPr="003C2C0F"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01D71" w:rsidRPr="003C2C0F"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01D71" w:rsidRPr="0078080D" w:rsidTr="00245129">
      <w:tc>
        <w:tcPr>
          <w:tcW w:w="4200" w:type="dxa"/>
          <w:tcMar>
            <w:left w:w="0" w:type="dxa"/>
            <w:right w:w="0" w:type="dxa"/>
          </w:tcMar>
        </w:tcPr>
        <w:p w:rsidR="00401D71" w:rsidRPr="00FF6EEC" w:rsidRDefault="00401D71" w:rsidP="00FF6EEC">
          <w:pPr>
            <w:rPr>
              <w:sz w:val="20"/>
              <w:szCs w:val="20"/>
            </w:rPr>
          </w:pPr>
          <w:r w:rsidRPr="00FF6EEC">
            <w:rPr>
              <w:sz w:val="20"/>
              <w:szCs w:val="20"/>
            </w:rPr>
            <w:t>PRONOUNCEMENTS OF APPEALS RESERVED</w:t>
          </w:r>
        </w:p>
      </w:tc>
      <w:tc>
        <w:tcPr>
          <w:tcW w:w="1200" w:type="dxa"/>
          <w:tcMar>
            <w:left w:w="0" w:type="dxa"/>
            <w:right w:w="0" w:type="dxa"/>
          </w:tcMar>
        </w:tcPr>
        <w:p w:rsidR="00401D71" w:rsidRPr="00FF6EEC" w:rsidRDefault="00401D71" w:rsidP="00FF6EEC">
          <w:pPr>
            <w:jc w:val="center"/>
            <w:rPr>
              <w:sz w:val="20"/>
              <w:szCs w:val="20"/>
            </w:rPr>
          </w:pPr>
        </w:p>
        <w:p w:rsidR="00401D71" w:rsidRPr="00FF6EEC" w:rsidRDefault="00401D71" w:rsidP="00FF6EEC">
          <w:pPr>
            <w:jc w:val="center"/>
            <w:rPr>
              <w:sz w:val="20"/>
              <w:szCs w:val="20"/>
            </w:rPr>
          </w:pPr>
        </w:p>
        <w:p w:rsidR="00401D71" w:rsidRPr="00FF6EEC" w:rsidRDefault="00401D71" w:rsidP="00FF6EEC">
          <w:pPr>
            <w:jc w:val="center"/>
            <w:rPr>
              <w:sz w:val="20"/>
              <w:szCs w:val="20"/>
            </w:rPr>
          </w:pPr>
        </w:p>
      </w:tc>
      <w:tc>
        <w:tcPr>
          <w:tcW w:w="4080" w:type="dxa"/>
          <w:tcMar>
            <w:left w:w="0" w:type="dxa"/>
            <w:right w:w="0" w:type="dxa"/>
          </w:tcMar>
        </w:tcPr>
        <w:p w:rsidR="00401D71" w:rsidRPr="00FF6EEC" w:rsidRDefault="00401D71" w:rsidP="00FF6EEC">
          <w:pPr>
            <w:rPr>
              <w:sz w:val="20"/>
              <w:szCs w:val="20"/>
              <w:lang w:val="fr-CA"/>
            </w:rPr>
          </w:pPr>
          <w:r w:rsidRPr="00FF6EEC">
            <w:rPr>
              <w:sz w:val="20"/>
              <w:szCs w:val="20"/>
              <w:lang w:val="fr-CA"/>
            </w:rPr>
            <w:t>JUGEMENTS RENDUS SUR LES APPELS EN DÉLIBÉRÉ</w:t>
          </w:r>
        </w:p>
      </w:tc>
    </w:tr>
  </w:tbl>
  <w:p w:rsidR="00401D71" w:rsidRPr="003C2C0F" w:rsidRDefault="00401D7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01D71">
      <w:tc>
        <w:tcPr>
          <w:tcW w:w="4230" w:type="dxa"/>
          <w:tcMar>
            <w:left w:w="0" w:type="dxa"/>
            <w:right w:w="0" w:type="dxa"/>
          </w:tcMar>
        </w:tcPr>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01D71" w:rsidRDefault="00401D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01D71"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01D71" w:rsidRPr="00782AE4" w:rsidTr="00245129">
      <w:tc>
        <w:tcPr>
          <w:tcW w:w="4230" w:type="dxa"/>
          <w:tcMar>
            <w:left w:w="0" w:type="dxa"/>
            <w:right w:w="0" w:type="dxa"/>
          </w:tcMar>
        </w:tcPr>
        <w:p w:rsidR="00401D71" w:rsidRPr="00782AE4" w:rsidRDefault="00401D71" w:rsidP="00102926">
          <w:pPr>
            <w:keepNext/>
            <w:keepLines/>
            <w:tabs>
              <w:tab w:val="left" w:pos="-1440"/>
              <w:tab w:val="left" w:pos="-720"/>
            </w:tabs>
            <w:rPr>
              <w:sz w:val="20"/>
              <w:szCs w:val="20"/>
            </w:rPr>
          </w:pPr>
          <w:r w:rsidRPr="00782AE4">
            <w:rPr>
              <w:sz w:val="20"/>
              <w:szCs w:val="20"/>
            </w:rPr>
            <w:t xml:space="preserve">HEADNOTES OF RECENT </w:t>
          </w:r>
        </w:p>
        <w:p w:rsidR="00401D71" w:rsidRPr="00782AE4"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01D71" w:rsidRDefault="00401D71" w:rsidP="00102926">
          <w:pPr>
            <w:keepNext/>
            <w:keepLines/>
            <w:tabs>
              <w:tab w:val="left" w:pos="-1440"/>
              <w:tab w:val="left" w:pos="-720"/>
            </w:tabs>
            <w:jc w:val="center"/>
            <w:rPr>
              <w:sz w:val="20"/>
              <w:szCs w:val="20"/>
            </w:rPr>
          </w:pPr>
        </w:p>
        <w:p w:rsidR="00401D71" w:rsidRDefault="00401D71" w:rsidP="00102926">
          <w:pPr>
            <w:keepNext/>
            <w:keepLines/>
            <w:tabs>
              <w:tab w:val="left" w:pos="-1440"/>
              <w:tab w:val="left" w:pos="-720"/>
            </w:tabs>
            <w:jc w:val="center"/>
            <w:rPr>
              <w:sz w:val="20"/>
              <w:szCs w:val="20"/>
            </w:rPr>
          </w:pPr>
        </w:p>
        <w:p w:rsidR="00401D71" w:rsidRPr="00782AE4" w:rsidRDefault="00401D71" w:rsidP="00102926">
          <w:pPr>
            <w:keepNext/>
            <w:keepLines/>
            <w:tabs>
              <w:tab w:val="left" w:pos="-1440"/>
              <w:tab w:val="left" w:pos="-720"/>
            </w:tabs>
            <w:jc w:val="center"/>
            <w:rPr>
              <w:sz w:val="20"/>
              <w:szCs w:val="20"/>
            </w:rPr>
          </w:pPr>
        </w:p>
      </w:tc>
      <w:tc>
        <w:tcPr>
          <w:tcW w:w="4080" w:type="dxa"/>
          <w:tcMar>
            <w:left w:w="0" w:type="dxa"/>
            <w:right w:w="0" w:type="dxa"/>
          </w:tcMar>
        </w:tcPr>
        <w:p w:rsidR="00401D71" w:rsidRPr="00102926"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01D71" w:rsidRPr="00782AE4" w:rsidRDefault="00401D71" w:rsidP="00102926">
          <w:pPr>
            <w:keepLines/>
            <w:tabs>
              <w:tab w:val="left" w:pos="-1440"/>
              <w:tab w:val="left" w:pos="-720"/>
            </w:tabs>
            <w:rPr>
              <w:sz w:val="20"/>
              <w:szCs w:val="20"/>
            </w:rPr>
          </w:pPr>
          <w:r w:rsidRPr="00102926">
            <w:rPr>
              <w:sz w:val="20"/>
              <w:szCs w:val="20"/>
              <w:lang w:val="fr-CA"/>
            </w:rPr>
            <w:t>RÉCENTS</w:t>
          </w:r>
        </w:p>
      </w:tc>
    </w:tr>
  </w:tbl>
  <w:p w:rsidR="00401D71" w:rsidRDefault="00401D7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01D71" w:rsidRPr="0044776A" w:rsidTr="00245129">
      <w:tc>
        <w:tcPr>
          <w:tcW w:w="4290" w:type="dxa"/>
          <w:tcMar>
            <w:left w:w="0" w:type="dxa"/>
            <w:right w:w="0" w:type="dxa"/>
          </w:tcMar>
        </w:tcPr>
        <w:p w:rsidR="00401D71" w:rsidRPr="0044776A" w:rsidRDefault="00401D7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01D71" w:rsidRPr="0044776A" w:rsidRDefault="00401D71" w:rsidP="002E2327">
          <w:pPr>
            <w:keepNext/>
            <w:keepLines/>
            <w:tabs>
              <w:tab w:val="left" w:pos="-1440"/>
              <w:tab w:val="left" w:pos="-720"/>
            </w:tabs>
            <w:jc w:val="center"/>
            <w:rPr>
              <w:sz w:val="20"/>
              <w:szCs w:val="20"/>
            </w:rPr>
          </w:pPr>
        </w:p>
        <w:p w:rsidR="00401D71" w:rsidRPr="0044776A" w:rsidRDefault="00401D71" w:rsidP="002E2327">
          <w:pPr>
            <w:keepNext/>
            <w:keepLines/>
            <w:tabs>
              <w:tab w:val="left" w:pos="-1440"/>
              <w:tab w:val="left" w:pos="-720"/>
            </w:tabs>
            <w:jc w:val="center"/>
            <w:rPr>
              <w:sz w:val="20"/>
              <w:szCs w:val="20"/>
            </w:rPr>
          </w:pPr>
        </w:p>
        <w:p w:rsidR="00401D71" w:rsidRPr="0044776A" w:rsidRDefault="00401D71" w:rsidP="002E2327">
          <w:pPr>
            <w:keepNext/>
            <w:keepLines/>
            <w:tabs>
              <w:tab w:val="left" w:pos="-1440"/>
              <w:tab w:val="left" w:pos="-720"/>
            </w:tabs>
            <w:jc w:val="center"/>
            <w:rPr>
              <w:sz w:val="20"/>
              <w:szCs w:val="20"/>
            </w:rPr>
          </w:pPr>
        </w:p>
      </w:tc>
      <w:tc>
        <w:tcPr>
          <w:tcW w:w="4320" w:type="dxa"/>
          <w:tcMar>
            <w:left w:w="0" w:type="dxa"/>
            <w:right w:w="0" w:type="dxa"/>
          </w:tcMar>
        </w:tcPr>
        <w:p w:rsidR="00401D71" w:rsidRPr="0044776A" w:rsidRDefault="00401D71" w:rsidP="002E2327">
          <w:pPr>
            <w:keepLines/>
            <w:rPr>
              <w:sz w:val="20"/>
              <w:szCs w:val="20"/>
              <w:lang w:val="fr-CA"/>
            </w:rPr>
          </w:pPr>
          <w:r w:rsidRPr="0044776A">
            <w:rPr>
              <w:sz w:val="20"/>
              <w:szCs w:val="20"/>
              <w:lang w:val="fr-CA"/>
            </w:rPr>
            <w:t>DEMANDES D'AUTORISATION D'APPEL DÉPOSÉES</w:t>
          </w:r>
        </w:p>
      </w:tc>
    </w:tr>
  </w:tbl>
  <w:p w:rsidR="00401D71" w:rsidRDefault="00401D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01D71" w:rsidRPr="0078080D" w:rsidTr="00245129">
      <w:tc>
        <w:tcPr>
          <w:tcW w:w="4200" w:type="dxa"/>
          <w:tcMar>
            <w:left w:w="0" w:type="dxa"/>
            <w:right w:w="0" w:type="dxa"/>
          </w:tcMar>
        </w:tcPr>
        <w:p w:rsidR="00401D71" w:rsidRPr="0044776A" w:rsidRDefault="00401D71" w:rsidP="0044776A">
          <w:pPr>
            <w:keepNext/>
            <w:keepLines/>
            <w:widowControl w:val="0"/>
            <w:rPr>
              <w:sz w:val="20"/>
              <w:szCs w:val="20"/>
            </w:rPr>
          </w:pPr>
          <w:r>
            <w:rPr>
              <w:sz w:val="20"/>
              <w:szCs w:val="20"/>
            </w:rPr>
            <w:t>APPLICATIONS FOR LEAVE</w:t>
          </w:r>
        </w:p>
        <w:p w:rsidR="00401D71" w:rsidRPr="0044776A" w:rsidRDefault="00401D7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01D71" w:rsidRPr="0044776A" w:rsidRDefault="00401D71" w:rsidP="0044776A">
          <w:pPr>
            <w:keepNext/>
            <w:keepLines/>
            <w:widowControl w:val="0"/>
            <w:jc w:val="center"/>
            <w:rPr>
              <w:sz w:val="20"/>
              <w:szCs w:val="20"/>
            </w:rPr>
          </w:pPr>
        </w:p>
        <w:p w:rsidR="00401D71" w:rsidRPr="0044776A" w:rsidRDefault="00401D71" w:rsidP="0044776A">
          <w:pPr>
            <w:keepNext/>
            <w:keepLines/>
            <w:widowControl w:val="0"/>
            <w:jc w:val="center"/>
            <w:rPr>
              <w:sz w:val="20"/>
              <w:szCs w:val="20"/>
            </w:rPr>
          </w:pPr>
        </w:p>
        <w:p w:rsidR="00401D71" w:rsidRPr="0044776A" w:rsidRDefault="00401D71" w:rsidP="0044776A">
          <w:pPr>
            <w:keepNext/>
            <w:keepLines/>
            <w:widowControl w:val="0"/>
            <w:jc w:val="center"/>
            <w:rPr>
              <w:sz w:val="20"/>
              <w:szCs w:val="20"/>
            </w:rPr>
          </w:pPr>
        </w:p>
      </w:tc>
      <w:tc>
        <w:tcPr>
          <w:tcW w:w="4080" w:type="dxa"/>
          <w:tcMar>
            <w:left w:w="0" w:type="dxa"/>
            <w:right w:w="0" w:type="dxa"/>
          </w:tcMar>
        </w:tcPr>
        <w:p w:rsidR="00401D71" w:rsidRPr="0044776A" w:rsidRDefault="00401D71" w:rsidP="0044776A">
          <w:pPr>
            <w:keepLines/>
            <w:widowControl w:val="0"/>
            <w:rPr>
              <w:sz w:val="20"/>
              <w:szCs w:val="20"/>
              <w:lang w:val="fr-CA"/>
            </w:rPr>
          </w:pPr>
          <w:r w:rsidRPr="0044776A">
            <w:rPr>
              <w:sz w:val="20"/>
              <w:szCs w:val="20"/>
              <w:lang w:val="fr-CA"/>
            </w:rPr>
            <w:t>DEMANDES SOUMISES À LA COUR DEPUIS LA DERNIÈRE PARUTION</w:t>
          </w:r>
        </w:p>
        <w:p w:rsidR="00401D71" w:rsidRPr="0044776A" w:rsidRDefault="00401D71" w:rsidP="0044776A">
          <w:pPr>
            <w:widowControl w:val="0"/>
            <w:rPr>
              <w:sz w:val="20"/>
              <w:szCs w:val="20"/>
              <w:lang w:val="fr-CA"/>
            </w:rPr>
          </w:pPr>
        </w:p>
      </w:tc>
    </w:tr>
  </w:tbl>
  <w:p w:rsidR="00401D71" w:rsidRPr="002E2327" w:rsidRDefault="00401D7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71" w:rsidRDefault="00401D7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01D71" w:rsidRPr="0078080D">
      <w:tc>
        <w:tcPr>
          <w:tcW w:w="4200" w:type="dxa"/>
          <w:tcMar>
            <w:left w:w="0" w:type="dxa"/>
            <w:right w:w="0" w:type="dxa"/>
          </w:tcMar>
        </w:tcPr>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01D71"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01D71" w:rsidRDefault="00401D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1D71" w:rsidRPr="00FF6BA5" w:rsidRDefault="00401D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01D71" w:rsidRPr="00FF6BA5"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01D71" w:rsidRPr="00FF6BA5"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01D71" w:rsidRPr="00FF6BA5" w:rsidRDefault="00401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01D71" w:rsidRPr="0078080D" w:rsidTr="00245129">
      <w:tc>
        <w:tcPr>
          <w:tcW w:w="4200" w:type="dxa"/>
          <w:tcMar>
            <w:left w:w="0" w:type="dxa"/>
            <w:right w:w="0" w:type="dxa"/>
          </w:tcMar>
        </w:tcPr>
        <w:p w:rsidR="00401D71" w:rsidRPr="00755F22"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01D71" w:rsidRPr="00755F22" w:rsidRDefault="00401D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01D71" w:rsidRPr="00755F22" w:rsidRDefault="00401D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01D71" w:rsidRPr="00755F22" w:rsidRDefault="00401D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01D71" w:rsidRPr="00755F22" w:rsidRDefault="00401D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01D71" w:rsidRPr="00755F22" w:rsidRDefault="00401D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01D71" w:rsidRPr="00FF6BA5" w:rsidRDefault="00401D7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333"/>
    <w:multiLevelType w:val="hybridMultilevel"/>
    <w:tmpl w:val="37A29F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1264DAE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85600F6"/>
    <w:multiLevelType w:val="hybridMultilevel"/>
    <w:tmpl w:val="37A29F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32781"/>
  </w:hdrShapeDefaults>
  <w:footnotePr>
    <w:footnote w:id="-1"/>
    <w:footnote w:id="0"/>
  </w:footnotePr>
  <w:endnotePr>
    <w:endnote w:id="-1"/>
    <w:endnote w:id="0"/>
  </w:endnotePr>
  <w:compat/>
  <w:rsids>
    <w:rsidRoot w:val="00370FAE"/>
    <w:rsid w:val="0003223B"/>
    <w:rsid w:val="000327B2"/>
    <w:rsid w:val="00032CB5"/>
    <w:rsid w:val="00035B10"/>
    <w:rsid w:val="00045A72"/>
    <w:rsid w:val="00091FA6"/>
    <w:rsid w:val="00093B21"/>
    <w:rsid w:val="00096BD9"/>
    <w:rsid w:val="000B3C9A"/>
    <w:rsid w:val="000B40A2"/>
    <w:rsid w:val="000B4624"/>
    <w:rsid w:val="000C0ACD"/>
    <w:rsid w:val="00102926"/>
    <w:rsid w:val="0010587F"/>
    <w:rsid w:val="00111C6B"/>
    <w:rsid w:val="0012102B"/>
    <w:rsid w:val="0013369E"/>
    <w:rsid w:val="00164E6D"/>
    <w:rsid w:val="001716EE"/>
    <w:rsid w:val="00183369"/>
    <w:rsid w:val="0019613D"/>
    <w:rsid w:val="001B157C"/>
    <w:rsid w:val="001B5C23"/>
    <w:rsid w:val="001D0D5F"/>
    <w:rsid w:val="001D6B8C"/>
    <w:rsid w:val="001F1F83"/>
    <w:rsid w:val="001F2B98"/>
    <w:rsid w:val="002021A9"/>
    <w:rsid w:val="002048ED"/>
    <w:rsid w:val="002139A7"/>
    <w:rsid w:val="00215F7C"/>
    <w:rsid w:val="0022323B"/>
    <w:rsid w:val="00235936"/>
    <w:rsid w:val="002410B8"/>
    <w:rsid w:val="00242AEE"/>
    <w:rsid w:val="00245129"/>
    <w:rsid w:val="00245879"/>
    <w:rsid w:val="00266477"/>
    <w:rsid w:val="00267FD5"/>
    <w:rsid w:val="00283CE0"/>
    <w:rsid w:val="0028683C"/>
    <w:rsid w:val="002868D0"/>
    <w:rsid w:val="002A27D1"/>
    <w:rsid w:val="002A4AFA"/>
    <w:rsid w:val="002B516C"/>
    <w:rsid w:val="002D72EB"/>
    <w:rsid w:val="002E2327"/>
    <w:rsid w:val="002E3583"/>
    <w:rsid w:val="002E5576"/>
    <w:rsid w:val="00331B52"/>
    <w:rsid w:val="003340C3"/>
    <w:rsid w:val="003359D3"/>
    <w:rsid w:val="00355967"/>
    <w:rsid w:val="00370FAE"/>
    <w:rsid w:val="00382C47"/>
    <w:rsid w:val="00384384"/>
    <w:rsid w:val="003866AE"/>
    <w:rsid w:val="00395866"/>
    <w:rsid w:val="003A05A7"/>
    <w:rsid w:val="003B3977"/>
    <w:rsid w:val="00401D71"/>
    <w:rsid w:val="00432989"/>
    <w:rsid w:val="00440E24"/>
    <w:rsid w:val="0044776A"/>
    <w:rsid w:val="00460AFC"/>
    <w:rsid w:val="0047471F"/>
    <w:rsid w:val="004A5CFA"/>
    <w:rsid w:val="004A7E84"/>
    <w:rsid w:val="004B02D4"/>
    <w:rsid w:val="004B195E"/>
    <w:rsid w:val="004B66B4"/>
    <w:rsid w:val="004B7F60"/>
    <w:rsid w:val="004C1AAC"/>
    <w:rsid w:val="004F090E"/>
    <w:rsid w:val="00504D08"/>
    <w:rsid w:val="00527CC7"/>
    <w:rsid w:val="005505A5"/>
    <w:rsid w:val="005571F9"/>
    <w:rsid w:val="00571CA4"/>
    <w:rsid w:val="00582136"/>
    <w:rsid w:val="005C6840"/>
    <w:rsid w:val="005F263E"/>
    <w:rsid w:val="00600252"/>
    <w:rsid w:val="00612A40"/>
    <w:rsid w:val="006160A4"/>
    <w:rsid w:val="00632EE0"/>
    <w:rsid w:val="00635A9F"/>
    <w:rsid w:val="00675479"/>
    <w:rsid w:val="00680709"/>
    <w:rsid w:val="00696BF9"/>
    <w:rsid w:val="00697C62"/>
    <w:rsid w:val="006A329B"/>
    <w:rsid w:val="006A7EB8"/>
    <w:rsid w:val="006B3BA7"/>
    <w:rsid w:val="006B6926"/>
    <w:rsid w:val="006B7D83"/>
    <w:rsid w:val="006C3F47"/>
    <w:rsid w:val="006C5F7A"/>
    <w:rsid w:val="006E06AF"/>
    <w:rsid w:val="006F350F"/>
    <w:rsid w:val="0070513A"/>
    <w:rsid w:val="00732DB7"/>
    <w:rsid w:val="0074238B"/>
    <w:rsid w:val="00745EF7"/>
    <w:rsid w:val="00750F75"/>
    <w:rsid w:val="00755F22"/>
    <w:rsid w:val="00766E4A"/>
    <w:rsid w:val="0078080D"/>
    <w:rsid w:val="00780887"/>
    <w:rsid w:val="007820CE"/>
    <w:rsid w:val="00782AE4"/>
    <w:rsid w:val="0079724F"/>
    <w:rsid w:val="007A3EAE"/>
    <w:rsid w:val="007C04FC"/>
    <w:rsid w:val="007C0F86"/>
    <w:rsid w:val="007D064A"/>
    <w:rsid w:val="007D3E0F"/>
    <w:rsid w:val="007F387B"/>
    <w:rsid w:val="00802863"/>
    <w:rsid w:val="0081529E"/>
    <w:rsid w:val="00815B3C"/>
    <w:rsid w:val="008234C5"/>
    <w:rsid w:val="00824CE6"/>
    <w:rsid w:val="0082783A"/>
    <w:rsid w:val="00831CA9"/>
    <w:rsid w:val="00832B27"/>
    <w:rsid w:val="00850E1F"/>
    <w:rsid w:val="0085476B"/>
    <w:rsid w:val="00890FEB"/>
    <w:rsid w:val="008C5519"/>
    <w:rsid w:val="008D292F"/>
    <w:rsid w:val="008E03DC"/>
    <w:rsid w:val="008E61D2"/>
    <w:rsid w:val="00910721"/>
    <w:rsid w:val="00924065"/>
    <w:rsid w:val="00930D68"/>
    <w:rsid w:val="00932DB4"/>
    <w:rsid w:val="00941A4B"/>
    <w:rsid w:val="00946242"/>
    <w:rsid w:val="0094703F"/>
    <w:rsid w:val="0095096B"/>
    <w:rsid w:val="0095204A"/>
    <w:rsid w:val="00964102"/>
    <w:rsid w:val="009709DD"/>
    <w:rsid w:val="00970CD3"/>
    <w:rsid w:val="009723FA"/>
    <w:rsid w:val="00984546"/>
    <w:rsid w:val="00996510"/>
    <w:rsid w:val="009B1989"/>
    <w:rsid w:val="009C7C08"/>
    <w:rsid w:val="009D1F15"/>
    <w:rsid w:val="009D4997"/>
    <w:rsid w:val="009D555E"/>
    <w:rsid w:val="009F3024"/>
    <w:rsid w:val="00A0355E"/>
    <w:rsid w:val="00A375D1"/>
    <w:rsid w:val="00A51D10"/>
    <w:rsid w:val="00A5278F"/>
    <w:rsid w:val="00A52A83"/>
    <w:rsid w:val="00A6552C"/>
    <w:rsid w:val="00A87207"/>
    <w:rsid w:val="00A935AA"/>
    <w:rsid w:val="00AB2201"/>
    <w:rsid w:val="00AB2B79"/>
    <w:rsid w:val="00AC294B"/>
    <w:rsid w:val="00AC492E"/>
    <w:rsid w:val="00AD3259"/>
    <w:rsid w:val="00AE7E7C"/>
    <w:rsid w:val="00AF1715"/>
    <w:rsid w:val="00AF3904"/>
    <w:rsid w:val="00B010C0"/>
    <w:rsid w:val="00B4740D"/>
    <w:rsid w:val="00B52DF7"/>
    <w:rsid w:val="00B565D7"/>
    <w:rsid w:val="00B61629"/>
    <w:rsid w:val="00B7374B"/>
    <w:rsid w:val="00B90DC0"/>
    <w:rsid w:val="00BA084B"/>
    <w:rsid w:val="00BA116A"/>
    <w:rsid w:val="00BA5582"/>
    <w:rsid w:val="00BA6468"/>
    <w:rsid w:val="00BC40F3"/>
    <w:rsid w:val="00BD06DA"/>
    <w:rsid w:val="00BD080E"/>
    <w:rsid w:val="00BD4217"/>
    <w:rsid w:val="00BF25F3"/>
    <w:rsid w:val="00C022A6"/>
    <w:rsid w:val="00C1697B"/>
    <w:rsid w:val="00C21CB5"/>
    <w:rsid w:val="00C330A0"/>
    <w:rsid w:val="00C50A5C"/>
    <w:rsid w:val="00C50FDF"/>
    <w:rsid w:val="00C63381"/>
    <w:rsid w:val="00C73D06"/>
    <w:rsid w:val="00C73E1B"/>
    <w:rsid w:val="00C759B4"/>
    <w:rsid w:val="00C77713"/>
    <w:rsid w:val="00C90867"/>
    <w:rsid w:val="00CA4EDA"/>
    <w:rsid w:val="00CB43D5"/>
    <w:rsid w:val="00CC4D84"/>
    <w:rsid w:val="00CE198A"/>
    <w:rsid w:val="00CF6C0F"/>
    <w:rsid w:val="00D56769"/>
    <w:rsid w:val="00D64901"/>
    <w:rsid w:val="00D76BDF"/>
    <w:rsid w:val="00D862C1"/>
    <w:rsid w:val="00D93B50"/>
    <w:rsid w:val="00D94670"/>
    <w:rsid w:val="00DA46F6"/>
    <w:rsid w:val="00DD0B49"/>
    <w:rsid w:val="00DF0DEC"/>
    <w:rsid w:val="00E06DFA"/>
    <w:rsid w:val="00E20A0A"/>
    <w:rsid w:val="00E356C7"/>
    <w:rsid w:val="00E45FE4"/>
    <w:rsid w:val="00E535FD"/>
    <w:rsid w:val="00E64FA7"/>
    <w:rsid w:val="00E70948"/>
    <w:rsid w:val="00E770CB"/>
    <w:rsid w:val="00E903A1"/>
    <w:rsid w:val="00E940EB"/>
    <w:rsid w:val="00EB2B90"/>
    <w:rsid w:val="00ED5558"/>
    <w:rsid w:val="00ED7E83"/>
    <w:rsid w:val="00EF4B63"/>
    <w:rsid w:val="00F0068D"/>
    <w:rsid w:val="00F0158D"/>
    <w:rsid w:val="00F0380E"/>
    <w:rsid w:val="00F0576D"/>
    <w:rsid w:val="00F14E6D"/>
    <w:rsid w:val="00F15743"/>
    <w:rsid w:val="00F15EA8"/>
    <w:rsid w:val="00F16853"/>
    <w:rsid w:val="00F16C8D"/>
    <w:rsid w:val="00F26C61"/>
    <w:rsid w:val="00F33CCE"/>
    <w:rsid w:val="00F40249"/>
    <w:rsid w:val="00F526C8"/>
    <w:rsid w:val="00F73F77"/>
    <w:rsid w:val="00F9272D"/>
    <w:rsid w:val="00F9518C"/>
    <w:rsid w:val="00F9545D"/>
    <w:rsid w:val="00FA1074"/>
    <w:rsid w:val="00FA316E"/>
    <w:rsid w:val="00FA59EF"/>
    <w:rsid w:val="00FB19A2"/>
    <w:rsid w:val="00FB41F3"/>
    <w:rsid w:val="00FC69F7"/>
    <w:rsid w:val="00FC6B97"/>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character" w:styleId="Strong">
    <w:name w:val="Strong"/>
    <w:basedOn w:val="DefaultParagraphFont"/>
    <w:uiPriority w:val="22"/>
    <w:qFormat/>
    <w:rsid w:val="00CA4EDA"/>
    <w:rPr>
      <w:b/>
      <w:bCs/>
    </w:rPr>
  </w:style>
  <w:style w:type="paragraph" w:customStyle="1" w:styleId="SCCLsocParty">
    <w:name w:val="SCC.Lsoc.Party"/>
    <w:basedOn w:val="Normal"/>
    <w:next w:val="Normal"/>
    <w:link w:val="SCCLsocPartyChar"/>
    <w:rsid w:val="00CA4EDA"/>
    <w:pPr>
      <w:jc w:val="both"/>
    </w:pPr>
    <w:rPr>
      <w:rFonts w:eastAsia="Calibri" w:cs="Times New Roman"/>
      <w:i/>
      <w:lang w:val="fr-CA"/>
    </w:rPr>
  </w:style>
  <w:style w:type="character" w:customStyle="1" w:styleId="SCCLsocPartyChar">
    <w:name w:val="SCC.Lsoc.Party Char"/>
    <w:basedOn w:val="DefaultParagraphFont"/>
    <w:link w:val="SCCLsocParty"/>
    <w:rsid w:val="00CA4EDA"/>
    <w:rPr>
      <w:rFonts w:eastAsia="Calibri" w:cs="Times New Roman"/>
      <w:i/>
      <w:lang w:val="fr-CA"/>
    </w:rPr>
  </w:style>
  <w:style w:type="paragraph" w:customStyle="1" w:styleId="loose">
    <w:name w:val="loose"/>
    <w:basedOn w:val="Normal"/>
    <w:uiPriority w:val="99"/>
    <w:rsid w:val="00C022A6"/>
    <w:pPr>
      <w:spacing w:before="159"/>
    </w:pPr>
    <w:rPr>
      <w:rFonts w:eastAsia="Times New Roman" w:cs="Times New Roman"/>
      <w:szCs w:val="24"/>
      <w:lang w:val="en-US"/>
    </w:rPr>
  </w:style>
  <w:style w:type="paragraph" w:customStyle="1" w:styleId="SCCLowerCourtNameLowercase">
    <w:name w:val="SCC.LowerCourtNameLowercase"/>
    <w:basedOn w:val="SCCNormalDoubleSpacing"/>
    <w:next w:val="SCCNormalDoubleSpacing"/>
    <w:rsid w:val="006B3BA7"/>
    <w:pPr>
      <w:tabs>
        <w:tab w:val="left" w:pos="1168"/>
      </w:tabs>
    </w:pPr>
    <w:rPr>
      <w:smallCaps/>
    </w:rPr>
  </w:style>
  <w:style w:type="paragraph" w:styleId="Quote">
    <w:name w:val="Quote"/>
    <w:basedOn w:val="Normal"/>
    <w:next w:val="Normal"/>
    <w:link w:val="QuoteChar"/>
    <w:uiPriority w:val="29"/>
    <w:qFormat/>
    <w:rsid w:val="007D064A"/>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7D064A"/>
    <w:rPr>
      <w:rFonts w:eastAsia="Times New Roman" w:cs="Times New Roman"/>
      <w:i/>
      <w:iCs/>
      <w:color w:val="000000" w:themeColor="text1"/>
      <w:szCs w:val="20"/>
      <w:lang w:val="en-CA" w:eastAsia="en-CA"/>
    </w:rPr>
  </w:style>
  <w:style w:type="paragraph" w:customStyle="1" w:styleId="Citation-AltC">
    <w:name w:val="Citation - Alt C"/>
    <w:uiPriority w:val="2"/>
    <w:qFormat/>
    <w:rsid w:val="00BA084B"/>
    <w:pPr>
      <w:spacing w:after="720"/>
      <w:ind w:left="1166"/>
      <w:contextualSpacing/>
      <w:jc w:val="both"/>
    </w:pPr>
    <w:rPr>
      <w:rFonts w:eastAsia="Times New Roman" w:cs="Times New Roman"/>
      <w:szCs w:val="20"/>
      <w:lang w:val="fr-CA" w:eastAsia="en-CA"/>
    </w:rPr>
  </w:style>
  <w:style w:type="paragraph" w:customStyle="1" w:styleId="ParaNoNdepar-AltN">
    <w:name w:val="Para. No. / Nº de par. - Alt N"/>
    <w:qFormat/>
    <w:rsid w:val="00BA084B"/>
    <w:pPr>
      <w:numPr>
        <w:numId w:val="4"/>
      </w:numPr>
      <w:spacing w:before="480" w:after="480" w:line="480" w:lineRule="auto"/>
      <w:jc w:val="both"/>
    </w:pPr>
    <w:rPr>
      <w:rFonts w:eastAsia="Times New Roman"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92C2-F280-4570-96FE-A36BB3AC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29020</Words>
  <Characters>165415</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2012-11-02T17:59:00Z</dcterms:created>
  <dcterms:modified xsi:type="dcterms:W3CDTF">2012-11-02T18:00:00Z</dcterms:modified>
</cp:coreProperties>
</file>