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DC2D1F"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DC2D1F"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DC2D1F"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DC2D1F"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DC2D1F" w:rsidTr="002E5576">
        <w:tc>
          <w:tcPr>
            <w:tcW w:w="4518" w:type="dxa"/>
          </w:tcPr>
          <w:p w:rsidR="00BF25F3" w:rsidRPr="002E2327" w:rsidRDefault="00BF3B03"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3B0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DC2D1F"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DC2D1F"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9D0C06" w:rsidP="00F0068D">
      <w:pPr>
        <w:pBdr>
          <w:bottom w:val="single" w:sz="6" w:space="1" w:color="auto"/>
        </w:pBdr>
        <w:tabs>
          <w:tab w:val="center" w:pos="4680"/>
          <w:tab w:val="right" w:pos="9360"/>
        </w:tabs>
        <w:rPr>
          <w:lang w:val="fr-CA"/>
        </w:rPr>
      </w:pPr>
      <w:r>
        <w:rPr>
          <w:lang w:val="fr-CA"/>
        </w:rPr>
        <w:t>November</w:t>
      </w:r>
      <w:r w:rsidR="00440E24" w:rsidRPr="00675479">
        <w:rPr>
          <w:lang w:val="fr-CA"/>
        </w:rPr>
        <w:t xml:space="preserve"> </w:t>
      </w:r>
      <w:r>
        <w:rPr>
          <w:lang w:val="fr-CA"/>
        </w:rPr>
        <w:t>9</w:t>
      </w:r>
      <w:r w:rsidR="00440E24" w:rsidRPr="00675479">
        <w:rPr>
          <w:lang w:val="fr-CA"/>
        </w:rPr>
        <w:t>, 201</w:t>
      </w:r>
      <w:r w:rsidR="00C73D06">
        <w:rPr>
          <w:lang w:val="fr-CA"/>
        </w:rPr>
        <w:t>2</w:t>
      </w:r>
      <w:r w:rsidR="00F0068D" w:rsidRPr="00675479">
        <w:rPr>
          <w:lang w:val="fr-CA"/>
        </w:rPr>
        <w:tab/>
        <w:t>1</w:t>
      </w:r>
      <w:r>
        <w:rPr>
          <w:lang w:val="fr-CA"/>
        </w:rPr>
        <w:t>678</w:t>
      </w:r>
      <w:r w:rsidR="00F0068D" w:rsidRPr="00675479">
        <w:rPr>
          <w:lang w:val="fr-CA"/>
        </w:rPr>
        <w:t xml:space="preserve"> - </w:t>
      </w:r>
      <w:r w:rsidR="00294BC8">
        <w:rPr>
          <w:lang w:val="fr-CA"/>
        </w:rPr>
        <w:t>1747</w:t>
      </w:r>
      <w:r w:rsidR="00440E24" w:rsidRPr="00675479">
        <w:rPr>
          <w:lang w:val="fr-CA"/>
        </w:rPr>
        <w:tab/>
      </w:r>
      <w:r w:rsidR="00440E24" w:rsidRPr="002E2327">
        <w:rPr>
          <w:lang w:val="fr-CA"/>
        </w:rPr>
        <w:t>Le</w:t>
      </w:r>
      <w:r w:rsidR="00C73D06">
        <w:rPr>
          <w:lang w:val="fr-CA"/>
        </w:rPr>
        <w:t xml:space="preserve"> </w:t>
      </w:r>
      <w:r>
        <w:rPr>
          <w:lang w:val="fr-CA"/>
        </w:rPr>
        <w:t>9 novembre</w:t>
      </w:r>
      <w:r w:rsidR="00440E24" w:rsidRPr="002E2327">
        <w:rPr>
          <w:lang w:val="fr-CA"/>
        </w:rPr>
        <w:t xml:space="preserve"> 201</w:t>
      </w:r>
      <w:r w:rsidR="00C73D06">
        <w:rPr>
          <w:lang w:val="fr-CA"/>
        </w:rPr>
        <w:t>2</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Supreme Court of Canada (201</w:t>
      </w:r>
      <w:r w:rsidR="00C73D06">
        <w:rPr>
          <w:sz w:val="18"/>
          <w:szCs w:val="18"/>
          <w:lang w:val="fr-CA"/>
        </w:rPr>
        <w:t>2</w:t>
      </w:r>
      <w:r w:rsidRPr="007F387B">
        <w:rPr>
          <w:sz w:val="18"/>
          <w:szCs w:val="18"/>
          <w:lang w:val="fr-CA"/>
        </w:rPr>
        <w:t>)</w:t>
      </w:r>
      <w:r w:rsidRPr="007F387B">
        <w:rPr>
          <w:sz w:val="18"/>
          <w:szCs w:val="18"/>
          <w:lang w:val="fr-CA"/>
        </w:rPr>
        <w:tab/>
        <w:t>© Cour suprême du Canada (201</w:t>
      </w:r>
      <w:r w:rsidR="00C73D06">
        <w:rPr>
          <w:sz w:val="18"/>
          <w:szCs w:val="18"/>
          <w:lang w:val="fr-CA"/>
        </w:rPr>
        <w:t>2</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discontinuance filed since </w:t>
            </w:r>
          </w:p>
          <w:p w:rsidR="0095096B" w:rsidRPr="002E2327" w:rsidRDefault="0095096B" w:rsidP="0095096B">
            <w:pPr>
              <w:tabs>
                <w:tab w:val="right" w:pos="9360"/>
              </w:tabs>
              <w:rPr>
                <w:rFonts w:cs="Times New Roman"/>
                <w:sz w:val="20"/>
                <w:szCs w:val="20"/>
              </w:rPr>
            </w:pP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E45C23">
            <w:pPr>
              <w:tabs>
                <w:tab w:val="right" w:pos="9360"/>
              </w:tabs>
              <w:rPr>
                <w:rFonts w:cs="Times New Roman"/>
                <w:sz w:val="20"/>
                <w:szCs w:val="20"/>
              </w:rPr>
            </w:pPr>
          </w:p>
        </w:tc>
        <w:tc>
          <w:tcPr>
            <w:tcW w:w="1980" w:type="dxa"/>
          </w:tcPr>
          <w:p w:rsidR="0095096B" w:rsidRPr="002E2327" w:rsidRDefault="00680B0A" w:rsidP="0095096B">
            <w:pPr>
              <w:jc w:val="center"/>
              <w:rPr>
                <w:rFonts w:cs="Times New Roman"/>
                <w:sz w:val="20"/>
                <w:szCs w:val="20"/>
              </w:rPr>
            </w:pPr>
            <w:r>
              <w:rPr>
                <w:rFonts w:cs="Times New Roman"/>
                <w:sz w:val="20"/>
                <w:szCs w:val="20"/>
              </w:rPr>
              <w:t xml:space="preserve">1678 </w:t>
            </w:r>
            <w:r w:rsidR="00BF3B03" w:rsidRPr="002E2327">
              <w:rPr>
                <w:rFonts w:cs="Times New Roman"/>
                <w:sz w:val="20"/>
                <w:szCs w:val="20"/>
              </w:rPr>
              <w:fldChar w:fldCharType="begin"/>
            </w:r>
            <w:r w:rsidR="0095096B" w:rsidRPr="002E2327">
              <w:rPr>
                <w:rFonts w:cs="Times New Roman"/>
                <w:sz w:val="20"/>
                <w:szCs w:val="20"/>
              </w:rPr>
              <w:instrText xml:space="preserve"> SEQ CHAPTER \h \r 1</w:instrText>
            </w:r>
            <w:r w:rsidR="00BF3B03"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1679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80B0A" w:rsidP="0095096B">
            <w:pPr>
              <w:jc w:val="center"/>
              <w:rPr>
                <w:rFonts w:cs="Times New Roman"/>
                <w:sz w:val="20"/>
                <w:szCs w:val="20"/>
              </w:rPr>
            </w:pPr>
            <w:r>
              <w:rPr>
                <w:rFonts w:cs="Times New Roman"/>
                <w:sz w:val="20"/>
                <w:szCs w:val="20"/>
              </w:rPr>
              <w:t>1680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45C23" w:rsidP="0095096B">
            <w:pPr>
              <w:jc w:val="center"/>
              <w:rPr>
                <w:rFonts w:cs="Times New Roman"/>
                <w:sz w:val="20"/>
                <w:szCs w:val="20"/>
              </w:rPr>
            </w:pPr>
            <w:r>
              <w:rPr>
                <w:rFonts w:cs="Times New Roman"/>
                <w:sz w:val="20"/>
                <w:szCs w:val="20"/>
              </w:rPr>
              <w:t xml:space="preserve">1681 </w:t>
            </w:r>
            <w:r w:rsidR="0095096B" w:rsidRPr="002E2327">
              <w:rPr>
                <w:rFonts w:cs="Times New Roman"/>
                <w:sz w:val="20"/>
                <w:szCs w:val="20"/>
              </w:rPr>
              <w:t>-</w:t>
            </w:r>
            <w:r w:rsidR="00A81A07">
              <w:rPr>
                <w:rFonts w:cs="Times New Roman"/>
                <w:sz w:val="20"/>
                <w:szCs w:val="20"/>
              </w:rPr>
              <w:t xml:space="preserve"> 1721</w:t>
            </w:r>
          </w:p>
          <w:p w:rsidR="0095096B" w:rsidRPr="002E2327" w:rsidRDefault="0095096B" w:rsidP="0095096B">
            <w:pPr>
              <w:jc w:val="center"/>
              <w:rPr>
                <w:rFonts w:cs="Times New Roman"/>
                <w:sz w:val="20"/>
                <w:szCs w:val="20"/>
              </w:rPr>
            </w:pPr>
          </w:p>
          <w:p w:rsidR="00A81A07" w:rsidRDefault="00A81A07" w:rsidP="0095096B">
            <w:pPr>
              <w:jc w:val="center"/>
              <w:rPr>
                <w:rFonts w:cs="Times New Roman"/>
                <w:sz w:val="20"/>
                <w:szCs w:val="20"/>
              </w:rPr>
            </w:pPr>
          </w:p>
          <w:p w:rsidR="0095096B" w:rsidRPr="002E2327" w:rsidRDefault="00A81A07" w:rsidP="0095096B">
            <w:pPr>
              <w:jc w:val="center"/>
              <w:rPr>
                <w:rFonts w:cs="Times New Roman"/>
                <w:sz w:val="20"/>
                <w:szCs w:val="20"/>
              </w:rPr>
            </w:pPr>
            <w:r>
              <w:rPr>
                <w:rFonts w:cs="Times New Roman"/>
                <w:sz w:val="20"/>
                <w:szCs w:val="20"/>
              </w:rPr>
              <w:t xml:space="preserve">1722 </w:t>
            </w:r>
            <w:r w:rsidR="0095096B" w:rsidRPr="002E2327">
              <w:rPr>
                <w:rFonts w:cs="Times New Roman"/>
                <w:sz w:val="20"/>
                <w:szCs w:val="20"/>
              </w:rPr>
              <w:t>-</w:t>
            </w:r>
            <w:r>
              <w:rPr>
                <w:rFonts w:cs="Times New Roman"/>
                <w:sz w:val="20"/>
                <w:szCs w:val="20"/>
              </w:rPr>
              <w:t xml:space="preserve"> 1724</w:t>
            </w:r>
          </w:p>
          <w:p w:rsidR="0095096B" w:rsidRPr="002E2327" w:rsidRDefault="0095096B" w:rsidP="0095096B">
            <w:pPr>
              <w:jc w:val="center"/>
              <w:rPr>
                <w:rFonts w:cs="Times New Roman"/>
                <w:sz w:val="20"/>
                <w:szCs w:val="20"/>
              </w:rPr>
            </w:pPr>
          </w:p>
          <w:p w:rsidR="0095096B" w:rsidRPr="002E2327" w:rsidRDefault="00A81A07" w:rsidP="0095096B">
            <w:pPr>
              <w:jc w:val="center"/>
              <w:rPr>
                <w:rFonts w:cs="Times New Roman"/>
                <w:sz w:val="20"/>
                <w:szCs w:val="20"/>
              </w:rPr>
            </w:pPr>
            <w:r>
              <w:rPr>
                <w:rFonts w:cs="Times New Roman"/>
                <w:sz w:val="20"/>
                <w:szCs w:val="20"/>
              </w:rPr>
              <w:t>1725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A81A07" w:rsidP="0095096B">
            <w:pPr>
              <w:jc w:val="center"/>
              <w:rPr>
                <w:rFonts w:cs="Times New Roman"/>
                <w:sz w:val="20"/>
                <w:szCs w:val="20"/>
              </w:rPr>
            </w:pPr>
            <w:r>
              <w:rPr>
                <w:rFonts w:cs="Times New Roman"/>
                <w:sz w:val="20"/>
                <w:szCs w:val="20"/>
              </w:rPr>
              <w:t xml:space="preserve">1726 </w:t>
            </w:r>
            <w:r w:rsidR="0095096B" w:rsidRPr="002E2327">
              <w:rPr>
                <w:rFonts w:cs="Times New Roman"/>
                <w:sz w:val="20"/>
                <w:szCs w:val="20"/>
              </w:rPr>
              <w:t>-</w:t>
            </w:r>
            <w:r w:rsidR="007175E7">
              <w:rPr>
                <w:rFonts w:cs="Times New Roman"/>
                <w:sz w:val="20"/>
                <w:szCs w:val="20"/>
              </w:rPr>
              <w:t xml:space="preserve"> 1727</w:t>
            </w:r>
          </w:p>
          <w:p w:rsidR="0095096B" w:rsidRPr="002E2327" w:rsidRDefault="0095096B" w:rsidP="0095096B">
            <w:pPr>
              <w:jc w:val="center"/>
              <w:rPr>
                <w:rFonts w:cs="Times New Roman"/>
                <w:sz w:val="20"/>
                <w:szCs w:val="20"/>
              </w:rPr>
            </w:pPr>
          </w:p>
          <w:p w:rsidR="007175E7" w:rsidRDefault="007175E7" w:rsidP="0095096B">
            <w:pPr>
              <w:jc w:val="center"/>
              <w:rPr>
                <w:rFonts w:cs="Times New Roman"/>
                <w:sz w:val="20"/>
                <w:szCs w:val="20"/>
              </w:rPr>
            </w:pPr>
          </w:p>
          <w:p w:rsidR="0095096B" w:rsidRPr="002E2327" w:rsidRDefault="007175E7" w:rsidP="0095096B">
            <w:pPr>
              <w:jc w:val="center"/>
              <w:rPr>
                <w:rFonts w:cs="Times New Roman"/>
                <w:sz w:val="20"/>
                <w:szCs w:val="20"/>
              </w:rPr>
            </w:pPr>
            <w:r>
              <w:rPr>
                <w:rFonts w:cs="Times New Roman"/>
                <w:sz w:val="20"/>
                <w:szCs w:val="20"/>
              </w:rPr>
              <w:t xml:space="preserve">1728 </w:t>
            </w:r>
            <w:r w:rsidR="0095096B" w:rsidRPr="002E2327">
              <w:rPr>
                <w:rFonts w:cs="Times New Roman"/>
                <w:sz w:val="20"/>
                <w:szCs w:val="20"/>
              </w:rPr>
              <w:t>-</w:t>
            </w:r>
            <w:r>
              <w:rPr>
                <w:rFonts w:cs="Times New Roman"/>
                <w:sz w:val="20"/>
                <w:szCs w:val="20"/>
              </w:rPr>
              <w:t xml:space="preserve"> 1729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7175E7" w:rsidP="0095096B">
            <w:pPr>
              <w:jc w:val="center"/>
              <w:rPr>
                <w:rFonts w:cs="Times New Roman"/>
                <w:sz w:val="20"/>
                <w:szCs w:val="20"/>
              </w:rPr>
            </w:pPr>
            <w:r>
              <w:rPr>
                <w:rFonts w:cs="Times New Roman"/>
                <w:sz w:val="20"/>
                <w:szCs w:val="20"/>
              </w:rPr>
              <w:t xml:space="preserve">1730 </w:t>
            </w:r>
            <w:r w:rsidR="0095096B" w:rsidRPr="002E2327">
              <w:rPr>
                <w:rFonts w:cs="Times New Roman"/>
                <w:sz w:val="20"/>
                <w:szCs w:val="20"/>
              </w:rPr>
              <w:t>-</w:t>
            </w:r>
            <w:r w:rsidR="00294BC8">
              <w:rPr>
                <w:rFonts w:cs="Times New Roman"/>
                <w:sz w:val="20"/>
                <w:szCs w:val="20"/>
              </w:rPr>
              <w:t xml:space="preserve"> 1747</w:t>
            </w:r>
          </w:p>
          <w:p w:rsidR="00A87207" w:rsidRPr="002E2327" w:rsidRDefault="00A87207" w:rsidP="00E45C23">
            <w:pPr>
              <w:jc w:val="center"/>
              <w:rPr>
                <w:rFonts w:cs="Times New Roman"/>
                <w:sz w:val="20"/>
                <w:szCs w:val="20"/>
              </w:rPr>
            </w:pPr>
          </w:p>
        </w:tc>
        <w:tc>
          <w:tcPr>
            <w:tcW w:w="3888" w:type="dxa"/>
          </w:tcPr>
          <w:p w:rsidR="0095096B" w:rsidRPr="002E2327" w:rsidRDefault="00BF3B03"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désistement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E45C23">
            <w:pPr>
              <w:tabs>
                <w:tab w:val="right" w:pos="9360"/>
              </w:tabs>
              <w:rPr>
                <w:rFonts w:cs="Times New Roman"/>
                <w:sz w:val="20"/>
                <w:szCs w:val="20"/>
                <w:lang w:val="fr-CA"/>
              </w:rPr>
            </w:pPr>
          </w:p>
        </w:tc>
      </w:tr>
    </w:tbl>
    <w:p w:rsidR="0095096B" w:rsidRDefault="0095096B" w:rsidP="0095096B">
      <w:pPr>
        <w:tabs>
          <w:tab w:val="right" w:pos="9360"/>
        </w:tabs>
      </w:pPr>
    </w:p>
    <w:p w:rsidR="00E45C23" w:rsidRDefault="00E45C23" w:rsidP="0095096B">
      <w:pPr>
        <w:tabs>
          <w:tab w:val="right" w:pos="9360"/>
        </w:tabs>
      </w:pPr>
    </w:p>
    <w:p w:rsidR="00E45C23" w:rsidRDefault="00E45C23" w:rsidP="0095096B">
      <w:pPr>
        <w:tabs>
          <w:tab w:val="right" w:pos="9360"/>
        </w:tabs>
      </w:pPr>
    </w:p>
    <w:p w:rsidR="00E45C23" w:rsidRDefault="00E45C23" w:rsidP="0095096B">
      <w:pPr>
        <w:tabs>
          <w:tab w:val="right" w:pos="9360"/>
        </w:tabs>
      </w:pPr>
    </w:p>
    <w:p w:rsidR="00E45C23" w:rsidRDefault="00E45C23" w:rsidP="0095096B">
      <w:pPr>
        <w:tabs>
          <w:tab w:val="right" w:pos="9360"/>
        </w:tabs>
      </w:pPr>
    </w:p>
    <w:p w:rsidR="00E45C23" w:rsidRPr="002E2327" w:rsidRDefault="00E45C23" w:rsidP="0095096B">
      <w:pPr>
        <w:tabs>
          <w:tab w:val="right" w:pos="9360"/>
        </w:tabs>
      </w:pPr>
    </w:p>
    <w:tbl>
      <w:tblPr>
        <w:tblStyle w:val="TableGrid"/>
        <w:tblW w:w="0" w:type="auto"/>
        <w:tblLook w:val="04A0"/>
      </w:tblPr>
      <w:tblGrid>
        <w:gridCol w:w="9576"/>
      </w:tblGrid>
      <w:tr w:rsidR="0079724F" w:rsidRPr="00DC2D1F"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E819B8" w:rsidTr="003B3977">
        <w:tc>
          <w:tcPr>
            <w:tcW w:w="4320" w:type="dxa"/>
            <w:shd w:val="clear" w:color="auto" w:fill="auto"/>
          </w:tcPr>
          <w:p w:rsidR="00242AEE" w:rsidRPr="00A935AA" w:rsidRDefault="00F86C0A" w:rsidP="003B3977">
            <w:pPr>
              <w:rPr>
                <w:b/>
                <w:sz w:val="20"/>
                <w:szCs w:val="20"/>
              </w:rPr>
            </w:pPr>
            <w:r>
              <w:rPr>
                <w:b/>
                <w:sz w:val="20"/>
                <w:szCs w:val="20"/>
              </w:rPr>
              <w:t>Robert Glen Harrison</w:t>
            </w:r>
          </w:p>
          <w:p w:rsidR="00242AEE" w:rsidRPr="00A935AA" w:rsidRDefault="00242AEE" w:rsidP="003B3977">
            <w:pPr>
              <w:tabs>
                <w:tab w:val="left" w:pos="-1440"/>
                <w:tab w:val="left" w:pos="-720"/>
              </w:tabs>
              <w:rPr>
                <w:sz w:val="20"/>
                <w:szCs w:val="20"/>
              </w:rPr>
            </w:pPr>
            <w:r w:rsidRPr="00A935AA">
              <w:rPr>
                <w:sz w:val="20"/>
                <w:szCs w:val="20"/>
              </w:rPr>
              <w:tab/>
            </w:r>
            <w:r w:rsidR="00F86C0A">
              <w:rPr>
                <w:sz w:val="20"/>
                <w:szCs w:val="20"/>
              </w:rPr>
              <w:t>Robert Glen Harrison</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9D0C06">
              <w:rPr>
                <w:sz w:val="20"/>
                <w:szCs w:val="20"/>
              </w:rPr>
              <w:t>5</w:t>
            </w:r>
            <w:r w:rsidR="00F86C0A">
              <w:rPr>
                <w:sz w:val="20"/>
                <w:szCs w:val="20"/>
              </w:rPr>
              <w:t>043</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F86C0A" w:rsidP="003B3977">
            <w:pPr>
              <w:tabs>
                <w:tab w:val="left" w:pos="-1440"/>
                <w:tab w:val="left" w:pos="-720"/>
              </w:tabs>
              <w:rPr>
                <w:b/>
                <w:sz w:val="20"/>
                <w:szCs w:val="20"/>
              </w:rPr>
            </w:pPr>
            <w:r>
              <w:rPr>
                <w:b/>
                <w:sz w:val="20"/>
                <w:szCs w:val="20"/>
              </w:rPr>
              <w:t xml:space="preserve">Ministry of Children and Family Development and the Attorney General of British Columbia </w:t>
            </w:r>
            <w:r w:rsidR="00E819B8">
              <w:rPr>
                <w:b/>
                <w:sz w:val="20"/>
                <w:szCs w:val="20"/>
              </w:rPr>
              <w:t xml:space="preserve">et al. </w:t>
            </w:r>
            <w:r w:rsidR="00242AEE" w:rsidRPr="00A935AA">
              <w:rPr>
                <w:b/>
                <w:sz w:val="20"/>
                <w:szCs w:val="20"/>
              </w:rPr>
              <w:t>(B.C.)</w:t>
            </w:r>
          </w:p>
          <w:p w:rsidR="00242AEE" w:rsidRPr="00A935AA" w:rsidRDefault="00242AEE" w:rsidP="003B3977">
            <w:pPr>
              <w:tabs>
                <w:tab w:val="left" w:pos="-1440"/>
                <w:tab w:val="left" w:pos="-720"/>
              </w:tabs>
              <w:rPr>
                <w:sz w:val="20"/>
                <w:szCs w:val="20"/>
              </w:rPr>
            </w:pPr>
            <w:r w:rsidRPr="00A935AA">
              <w:rPr>
                <w:sz w:val="20"/>
                <w:szCs w:val="20"/>
              </w:rPr>
              <w:tab/>
            </w:r>
            <w:r w:rsidR="00E819B8">
              <w:rPr>
                <w:sz w:val="20"/>
                <w:szCs w:val="20"/>
              </w:rPr>
              <w:t>Jonathan G. Penner</w:t>
            </w:r>
          </w:p>
          <w:p w:rsidR="00242AEE" w:rsidRPr="00A935AA" w:rsidRDefault="00242AEE" w:rsidP="003B3977">
            <w:pPr>
              <w:tabs>
                <w:tab w:val="left" w:pos="-1440"/>
                <w:tab w:val="left" w:pos="-720"/>
              </w:tabs>
              <w:rPr>
                <w:sz w:val="20"/>
                <w:szCs w:val="20"/>
              </w:rPr>
            </w:pPr>
            <w:r w:rsidRPr="00A935AA">
              <w:rPr>
                <w:sz w:val="20"/>
                <w:szCs w:val="20"/>
              </w:rPr>
              <w:tab/>
            </w:r>
            <w:r w:rsidR="00E819B8">
              <w:rPr>
                <w:sz w:val="20"/>
                <w:szCs w:val="20"/>
              </w:rPr>
              <w:t>A.G. of British Columbia</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FILING DATE: 2</w:t>
            </w:r>
            <w:r w:rsidR="00E819B8">
              <w:rPr>
                <w:sz w:val="20"/>
                <w:szCs w:val="20"/>
              </w:rPr>
              <w:t>1</w:t>
            </w:r>
            <w:r w:rsidRPr="00A935AA">
              <w:rPr>
                <w:sz w:val="20"/>
                <w:szCs w:val="20"/>
              </w:rPr>
              <w:t>.</w:t>
            </w:r>
            <w:r w:rsidR="009D0C06">
              <w:rPr>
                <w:sz w:val="20"/>
                <w:szCs w:val="20"/>
              </w:rPr>
              <w:t>0</w:t>
            </w:r>
            <w:r w:rsidR="00E819B8">
              <w:rPr>
                <w:sz w:val="20"/>
                <w:szCs w:val="20"/>
              </w:rPr>
              <w:t>9</w:t>
            </w:r>
            <w:r w:rsidRPr="00A935AA">
              <w:rPr>
                <w:sz w:val="20"/>
                <w:szCs w:val="20"/>
              </w:rPr>
              <w:t>.201</w:t>
            </w:r>
            <w:r w:rsidR="009D0C06">
              <w:rPr>
                <w:sz w:val="20"/>
                <w:szCs w:val="20"/>
              </w:rPr>
              <w:t>2</w:t>
            </w:r>
          </w:p>
          <w:p w:rsidR="00242AEE" w:rsidRPr="00A935AA" w:rsidRDefault="00BF3B03" w:rsidP="003B3977">
            <w:pPr>
              <w:rPr>
                <w:sz w:val="20"/>
                <w:szCs w:val="20"/>
              </w:rPr>
            </w:pPr>
            <w:r w:rsidRPr="00BF3B03">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433892" w:rsidRDefault="00E819B8" w:rsidP="003B3977">
            <w:pPr>
              <w:keepNext/>
              <w:keepLines/>
              <w:tabs>
                <w:tab w:val="left" w:pos="-1440"/>
                <w:tab w:val="left" w:pos="-720"/>
              </w:tabs>
              <w:rPr>
                <w:b/>
                <w:sz w:val="20"/>
                <w:szCs w:val="20"/>
                <w:lang w:val="fr-CA"/>
              </w:rPr>
            </w:pPr>
            <w:r w:rsidRPr="00433892">
              <w:rPr>
                <w:b/>
                <w:sz w:val="20"/>
                <w:szCs w:val="20"/>
                <w:lang w:val="fr-CA"/>
              </w:rPr>
              <w:t>Jagdish Nanda</w:t>
            </w:r>
          </w:p>
          <w:p w:rsidR="00242AEE" w:rsidRPr="00433892" w:rsidRDefault="00242AEE" w:rsidP="003B3977">
            <w:pPr>
              <w:keepNext/>
              <w:keepLines/>
              <w:tabs>
                <w:tab w:val="left" w:pos="-1440"/>
                <w:tab w:val="left" w:pos="-720"/>
              </w:tabs>
              <w:rPr>
                <w:sz w:val="20"/>
                <w:szCs w:val="20"/>
                <w:lang w:val="fr-CA"/>
              </w:rPr>
            </w:pPr>
            <w:r w:rsidRPr="00433892">
              <w:rPr>
                <w:sz w:val="20"/>
                <w:szCs w:val="20"/>
                <w:lang w:val="fr-CA"/>
              </w:rPr>
              <w:tab/>
            </w:r>
            <w:r w:rsidR="00E819B8" w:rsidRPr="00433892">
              <w:rPr>
                <w:sz w:val="20"/>
                <w:szCs w:val="20"/>
                <w:lang w:val="fr-CA"/>
              </w:rPr>
              <w:t>Louise Valiquette</w:t>
            </w:r>
          </w:p>
          <w:p w:rsidR="00242AEE" w:rsidRPr="00433892" w:rsidRDefault="00242AEE" w:rsidP="003B3977">
            <w:pPr>
              <w:keepNext/>
              <w:keepLines/>
              <w:tabs>
                <w:tab w:val="left" w:pos="-1440"/>
                <w:tab w:val="left" w:pos="-720"/>
              </w:tabs>
              <w:rPr>
                <w:sz w:val="20"/>
                <w:szCs w:val="20"/>
                <w:lang w:val="fr-CA"/>
              </w:rPr>
            </w:pPr>
          </w:p>
          <w:p w:rsidR="00242AEE" w:rsidRPr="00A935AA" w:rsidRDefault="00242AEE" w:rsidP="003B3977">
            <w:pPr>
              <w:keepNext/>
              <w:keepLines/>
              <w:tabs>
                <w:tab w:val="left" w:pos="-1440"/>
                <w:tab w:val="left" w:pos="-720"/>
              </w:tabs>
              <w:rPr>
                <w:sz w:val="20"/>
                <w:szCs w:val="20"/>
                <w:lang w:val="fr-CA"/>
              </w:rPr>
            </w:pPr>
            <w:r w:rsidRPr="00433892">
              <w:rPr>
                <w:sz w:val="20"/>
                <w:szCs w:val="20"/>
                <w:lang w:val="fr-CA"/>
              </w:rPr>
              <w:tab/>
            </w:r>
            <w:r w:rsidRPr="00A935AA">
              <w:rPr>
                <w:sz w:val="20"/>
                <w:szCs w:val="20"/>
                <w:lang w:val="fr-CA"/>
              </w:rPr>
              <w:t>v. (3</w:t>
            </w:r>
            <w:r w:rsidR="009D0C06">
              <w:rPr>
                <w:sz w:val="20"/>
                <w:szCs w:val="20"/>
                <w:lang w:val="fr-CA"/>
              </w:rPr>
              <w:t>5</w:t>
            </w:r>
            <w:r w:rsidR="00E819B8">
              <w:rPr>
                <w:sz w:val="20"/>
                <w:szCs w:val="20"/>
                <w:lang w:val="fr-CA"/>
              </w:rPr>
              <w:t>005</w:t>
            </w:r>
            <w:r w:rsidRPr="00A935AA">
              <w:rPr>
                <w:sz w:val="20"/>
                <w:szCs w:val="20"/>
                <w:lang w:val="fr-CA"/>
              </w:rPr>
              <w:t>)</w:t>
            </w:r>
          </w:p>
          <w:p w:rsidR="00242AEE" w:rsidRPr="00A935AA" w:rsidRDefault="00242AEE" w:rsidP="003B3977">
            <w:pPr>
              <w:keepNext/>
              <w:keepLines/>
              <w:tabs>
                <w:tab w:val="left" w:pos="-1440"/>
                <w:tab w:val="left" w:pos="-720"/>
              </w:tabs>
              <w:rPr>
                <w:sz w:val="20"/>
                <w:szCs w:val="20"/>
                <w:lang w:val="fr-CA"/>
              </w:rPr>
            </w:pPr>
          </w:p>
          <w:p w:rsidR="00242AEE" w:rsidRPr="00A935AA" w:rsidRDefault="00E819B8" w:rsidP="003B3977">
            <w:pPr>
              <w:keepNext/>
              <w:keepLines/>
              <w:tabs>
                <w:tab w:val="left" w:pos="-1440"/>
                <w:tab w:val="left" w:pos="-720"/>
              </w:tabs>
              <w:rPr>
                <w:b/>
                <w:sz w:val="20"/>
                <w:szCs w:val="20"/>
                <w:lang w:val="fr-CA"/>
              </w:rPr>
            </w:pPr>
            <w:r>
              <w:rPr>
                <w:b/>
                <w:sz w:val="20"/>
                <w:szCs w:val="20"/>
                <w:lang w:val="fr-CA"/>
              </w:rPr>
              <w:t>Société de l’assurance automobile du Québec et</w:t>
            </w:r>
            <w:r w:rsidR="00405D65">
              <w:rPr>
                <w:b/>
                <w:sz w:val="20"/>
                <w:szCs w:val="20"/>
                <w:lang w:val="fr-CA"/>
              </w:rPr>
              <w:t> </w:t>
            </w:r>
            <w:r>
              <w:rPr>
                <w:b/>
                <w:sz w:val="20"/>
                <w:szCs w:val="20"/>
                <w:lang w:val="fr-CA"/>
              </w:rPr>
              <w:t xml:space="preserve">autre </w:t>
            </w:r>
            <w:r w:rsidR="00242AEE" w:rsidRPr="00A935AA">
              <w:rPr>
                <w:b/>
                <w:sz w:val="20"/>
                <w:szCs w:val="20"/>
                <w:lang w:val="fr-CA"/>
              </w:rPr>
              <w:t>(</w:t>
            </w:r>
            <w:r>
              <w:rPr>
                <w:b/>
                <w:sz w:val="20"/>
                <w:szCs w:val="20"/>
                <w:lang w:val="fr-CA"/>
              </w:rPr>
              <w:t>Que.</w:t>
            </w:r>
            <w:r w:rsidR="00242AEE" w:rsidRPr="00A935AA">
              <w:rPr>
                <w:b/>
                <w:sz w:val="20"/>
                <w:szCs w:val="20"/>
                <w:lang w:val="fr-CA"/>
              </w:rPr>
              <w:t>)</w:t>
            </w:r>
          </w:p>
          <w:p w:rsidR="00242AEE" w:rsidRPr="00A935AA" w:rsidRDefault="00242AEE" w:rsidP="003B3977">
            <w:pPr>
              <w:keepNext/>
              <w:keepLines/>
              <w:tabs>
                <w:tab w:val="left" w:pos="-1440"/>
                <w:tab w:val="left" w:pos="-720"/>
              </w:tabs>
              <w:rPr>
                <w:sz w:val="20"/>
                <w:szCs w:val="20"/>
                <w:lang w:val="fr-CA"/>
              </w:rPr>
            </w:pPr>
            <w:r w:rsidRPr="00A935AA">
              <w:rPr>
                <w:sz w:val="20"/>
                <w:szCs w:val="20"/>
                <w:lang w:val="fr-CA"/>
              </w:rPr>
              <w:tab/>
            </w:r>
            <w:r w:rsidR="00E819B8">
              <w:rPr>
                <w:sz w:val="20"/>
                <w:szCs w:val="20"/>
                <w:lang w:val="fr-CA"/>
              </w:rPr>
              <w:t>Julie</w:t>
            </w:r>
            <w:r w:rsidR="009E2DDF">
              <w:rPr>
                <w:sz w:val="20"/>
                <w:szCs w:val="20"/>
                <w:lang w:val="fr-CA"/>
              </w:rPr>
              <w:t>n</w:t>
            </w:r>
            <w:r w:rsidR="00E819B8">
              <w:rPr>
                <w:sz w:val="20"/>
                <w:szCs w:val="20"/>
                <w:lang w:val="fr-CA"/>
              </w:rPr>
              <w:t xml:space="preserve"> Gaudet-Lachapelle</w:t>
            </w:r>
          </w:p>
          <w:p w:rsidR="00242AEE" w:rsidRPr="00A935AA" w:rsidRDefault="00242AEE" w:rsidP="003B3977">
            <w:pPr>
              <w:keepNext/>
              <w:keepLines/>
              <w:tabs>
                <w:tab w:val="left" w:pos="-1440"/>
                <w:tab w:val="left" w:pos="-720"/>
              </w:tabs>
              <w:rPr>
                <w:sz w:val="20"/>
                <w:szCs w:val="20"/>
                <w:lang w:val="fr-CA"/>
              </w:rPr>
            </w:pPr>
            <w:r w:rsidRPr="00A935AA">
              <w:rPr>
                <w:sz w:val="20"/>
                <w:szCs w:val="20"/>
                <w:lang w:val="fr-CA"/>
              </w:rPr>
              <w:tab/>
            </w:r>
            <w:r w:rsidR="00E819B8">
              <w:rPr>
                <w:sz w:val="20"/>
                <w:szCs w:val="20"/>
                <w:lang w:val="fr-CA"/>
              </w:rPr>
              <w:t>Raiche Pineault Touchette</w:t>
            </w:r>
          </w:p>
          <w:p w:rsidR="00242AEE" w:rsidRPr="00A935AA" w:rsidRDefault="00242AEE" w:rsidP="003B3977">
            <w:pPr>
              <w:keepNext/>
              <w:keepLines/>
              <w:tabs>
                <w:tab w:val="left" w:pos="-1440"/>
                <w:tab w:val="left" w:pos="-720"/>
              </w:tabs>
              <w:rPr>
                <w:sz w:val="20"/>
                <w:szCs w:val="20"/>
                <w:lang w:val="fr-CA"/>
              </w:rPr>
            </w:pPr>
          </w:p>
          <w:p w:rsidR="00242AEE" w:rsidRPr="00E819B8" w:rsidRDefault="00242AEE" w:rsidP="00E819B8">
            <w:pPr>
              <w:rPr>
                <w:sz w:val="20"/>
                <w:szCs w:val="20"/>
                <w:lang w:val="fr-CA"/>
              </w:rPr>
            </w:pPr>
            <w:r w:rsidRPr="00E819B8">
              <w:rPr>
                <w:sz w:val="20"/>
                <w:szCs w:val="20"/>
                <w:lang w:val="fr-CA"/>
              </w:rPr>
              <w:t>FILING DATE: 2</w:t>
            </w:r>
            <w:r w:rsidR="00E819B8">
              <w:rPr>
                <w:sz w:val="20"/>
                <w:szCs w:val="20"/>
                <w:lang w:val="fr-CA"/>
              </w:rPr>
              <w:t>7.</w:t>
            </w:r>
            <w:r w:rsidRPr="00E819B8">
              <w:rPr>
                <w:sz w:val="20"/>
                <w:szCs w:val="20"/>
                <w:lang w:val="fr-CA"/>
              </w:rPr>
              <w:t>0</w:t>
            </w:r>
            <w:r w:rsidR="00E819B8">
              <w:rPr>
                <w:sz w:val="20"/>
                <w:szCs w:val="20"/>
                <w:lang w:val="fr-CA"/>
              </w:rPr>
              <w:t>9</w:t>
            </w:r>
            <w:r w:rsidRPr="00E819B8">
              <w:rPr>
                <w:sz w:val="20"/>
                <w:szCs w:val="20"/>
                <w:lang w:val="fr-CA"/>
              </w:rPr>
              <w:t>.201</w:t>
            </w:r>
            <w:r w:rsidR="009D0C06" w:rsidRPr="00E819B8">
              <w:rPr>
                <w:sz w:val="20"/>
                <w:szCs w:val="20"/>
                <w:lang w:val="fr-CA"/>
              </w:rPr>
              <w:t>2</w:t>
            </w:r>
            <w:r w:rsidR="00BF3B03" w:rsidRPr="00BF3B03">
              <w:rPr>
                <w:sz w:val="20"/>
                <w:szCs w:val="20"/>
                <w:lang w:val="fr-CA"/>
              </w:rPr>
              <w:pict>
                <v:rect id="_x0000_i1026" style="width:108pt;height:1pt" o:hrpct="0" o:hralign="center" o:hrstd="t" o:hrnoshade="t" o:hr="t" fillcolor="black [3213]" stroked="f"/>
              </w:pict>
            </w:r>
          </w:p>
        </w:tc>
      </w:tr>
      <w:tr w:rsidR="009D0C06" w:rsidRPr="00A935AA" w:rsidTr="003B3977">
        <w:tc>
          <w:tcPr>
            <w:tcW w:w="4320" w:type="dxa"/>
            <w:shd w:val="clear" w:color="auto" w:fill="auto"/>
          </w:tcPr>
          <w:p w:rsidR="00433892" w:rsidRPr="00880E10" w:rsidRDefault="00433892" w:rsidP="009D0C06">
            <w:pPr>
              <w:rPr>
                <w:b/>
                <w:sz w:val="20"/>
                <w:szCs w:val="20"/>
                <w:lang w:val="fr-CA"/>
              </w:rPr>
            </w:pPr>
          </w:p>
          <w:p w:rsidR="009D0C06" w:rsidRPr="00880E10" w:rsidRDefault="00433892" w:rsidP="009D0C06">
            <w:pPr>
              <w:rPr>
                <w:b/>
                <w:sz w:val="20"/>
                <w:szCs w:val="20"/>
                <w:lang w:val="fr-CA"/>
              </w:rPr>
            </w:pPr>
            <w:r w:rsidRPr="00880E10">
              <w:rPr>
                <w:b/>
                <w:sz w:val="20"/>
                <w:szCs w:val="20"/>
                <w:lang w:val="fr-CA"/>
              </w:rPr>
              <w:t>Jacques Hamel</w:t>
            </w:r>
          </w:p>
          <w:p w:rsidR="00433892" w:rsidRPr="00433892" w:rsidRDefault="009D0C06" w:rsidP="00433892">
            <w:pPr>
              <w:keepNext/>
              <w:keepLines/>
              <w:tabs>
                <w:tab w:val="left" w:pos="-1440"/>
                <w:tab w:val="left" w:pos="-720"/>
              </w:tabs>
              <w:rPr>
                <w:sz w:val="20"/>
                <w:szCs w:val="20"/>
                <w:lang w:val="fr-CA"/>
              </w:rPr>
            </w:pPr>
            <w:r w:rsidRPr="00880E10">
              <w:rPr>
                <w:sz w:val="20"/>
                <w:szCs w:val="20"/>
                <w:lang w:val="fr-CA"/>
              </w:rPr>
              <w:tab/>
            </w:r>
            <w:r w:rsidR="00433892" w:rsidRPr="00433892">
              <w:rPr>
                <w:sz w:val="20"/>
                <w:szCs w:val="20"/>
                <w:lang w:val="fr-CA"/>
              </w:rPr>
              <w:t>Jacques Hamel</w:t>
            </w:r>
          </w:p>
          <w:p w:rsidR="00433892" w:rsidRPr="00433892" w:rsidRDefault="00433892" w:rsidP="00433892">
            <w:pPr>
              <w:keepNext/>
              <w:keepLines/>
              <w:tabs>
                <w:tab w:val="left" w:pos="-1440"/>
                <w:tab w:val="left" w:pos="-720"/>
              </w:tabs>
              <w:rPr>
                <w:sz w:val="20"/>
                <w:szCs w:val="20"/>
                <w:lang w:val="fr-CA"/>
              </w:rPr>
            </w:pPr>
          </w:p>
          <w:p w:rsidR="00433892" w:rsidRPr="00433892" w:rsidRDefault="00433892" w:rsidP="00433892">
            <w:pPr>
              <w:keepNext/>
              <w:keepLines/>
              <w:tabs>
                <w:tab w:val="left" w:pos="-1440"/>
                <w:tab w:val="left" w:pos="-720"/>
              </w:tabs>
              <w:rPr>
                <w:sz w:val="20"/>
                <w:szCs w:val="20"/>
                <w:lang w:val="fr-CA"/>
              </w:rPr>
            </w:pPr>
            <w:r w:rsidRPr="00433892">
              <w:rPr>
                <w:sz w:val="20"/>
                <w:szCs w:val="20"/>
                <w:lang w:val="fr-CA"/>
              </w:rPr>
              <w:tab/>
              <w:t>c. (35058)</w:t>
            </w:r>
          </w:p>
          <w:p w:rsidR="00433892" w:rsidRPr="00433892" w:rsidRDefault="00433892" w:rsidP="00433892">
            <w:pPr>
              <w:keepNext/>
              <w:keepLines/>
              <w:tabs>
                <w:tab w:val="left" w:pos="-1440"/>
                <w:tab w:val="left" w:pos="-720"/>
              </w:tabs>
              <w:rPr>
                <w:sz w:val="20"/>
                <w:szCs w:val="20"/>
                <w:lang w:val="fr-CA"/>
              </w:rPr>
            </w:pPr>
          </w:p>
          <w:p w:rsidR="00433892" w:rsidRPr="00433892" w:rsidRDefault="00433892" w:rsidP="00433892">
            <w:pPr>
              <w:keepNext/>
              <w:keepLines/>
              <w:tabs>
                <w:tab w:val="left" w:pos="-1440"/>
                <w:tab w:val="left" w:pos="-720"/>
              </w:tabs>
              <w:rPr>
                <w:b/>
                <w:sz w:val="20"/>
                <w:szCs w:val="20"/>
                <w:lang w:val="fr-CA"/>
              </w:rPr>
            </w:pPr>
            <w:r w:rsidRPr="00433892">
              <w:rPr>
                <w:b/>
                <w:sz w:val="20"/>
                <w:szCs w:val="20"/>
                <w:lang w:val="fr-CA"/>
              </w:rPr>
              <w:t>Madeleine Perron (Qc)</w:t>
            </w:r>
          </w:p>
          <w:p w:rsidR="00433892" w:rsidRPr="00433892" w:rsidRDefault="00433892" w:rsidP="00433892">
            <w:pPr>
              <w:keepNext/>
              <w:keepLines/>
              <w:tabs>
                <w:tab w:val="left" w:pos="-1440"/>
                <w:tab w:val="left" w:pos="-720"/>
              </w:tabs>
              <w:rPr>
                <w:sz w:val="20"/>
                <w:szCs w:val="20"/>
                <w:lang w:val="fr-CA"/>
              </w:rPr>
            </w:pPr>
            <w:r w:rsidRPr="00433892">
              <w:rPr>
                <w:sz w:val="20"/>
                <w:szCs w:val="20"/>
                <w:lang w:val="fr-CA"/>
              </w:rPr>
              <w:tab/>
              <w:t xml:space="preserve">Manes Webster </w:t>
            </w:r>
          </w:p>
          <w:p w:rsidR="00433892" w:rsidRPr="00433892" w:rsidRDefault="00433892" w:rsidP="00433892">
            <w:pPr>
              <w:keepNext/>
              <w:keepLines/>
              <w:tabs>
                <w:tab w:val="left" w:pos="-1440"/>
                <w:tab w:val="left" w:pos="-720"/>
              </w:tabs>
              <w:rPr>
                <w:sz w:val="20"/>
                <w:szCs w:val="20"/>
                <w:lang w:val="fr-CA"/>
              </w:rPr>
            </w:pPr>
            <w:r w:rsidRPr="00433892">
              <w:rPr>
                <w:sz w:val="20"/>
                <w:szCs w:val="20"/>
                <w:lang w:val="fr-CA"/>
              </w:rPr>
              <w:tab/>
              <w:t>Armijo &amp; Webster, société d’avocats</w:t>
            </w:r>
          </w:p>
          <w:p w:rsidR="00433892" w:rsidRPr="00433892" w:rsidRDefault="00433892" w:rsidP="00433892">
            <w:pPr>
              <w:keepNext/>
              <w:keepLines/>
              <w:tabs>
                <w:tab w:val="left" w:pos="-1440"/>
                <w:tab w:val="left" w:pos="-720"/>
              </w:tabs>
              <w:rPr>
                <w:sz w:val="20"/>
                <w:szCs w:val="20"/>
                <w:lang w:val="fr-CA"/>
              </w:rPr>
            </w:pPr>
          </w:p>
          <w:p w:rsidR="009D0C06" w:rsidRPr="00A935AA" w:rsidRDefault="00433892" w:rsidP="00433892">
            <w:pPr>
              <w:tabs>
                <w:tab w:val="left" w:pos="-1440"/>
                <w:tab w:val="left" w:pos="-720"/>
              </w:tabs>
              <w:rPr>
                <w:sz w:val="20"/>
                <w:szCs w:val="20"/>
              </w:rPr>
            </w:pPr>
            <w:r w:rsidRPr="00A935AA">
              <w:rPr>
                <w:sz w:val="20"/>
                <w:szCs w:val="20"/>
              </w:rPr>
              <w:t>DATE</w:t>
            </w:r>
            <w:r>
              <w:rPr>
                <w:sz w:val="20"/>
                <w:szCs w:val="20"/>
              </w:rPr>
              <w:t xml:space="preserve"> DE PRODUCTION </w:t>
            </w:r>
            <w:r w:rsidRPr="00A935AA">
              <w:rPr>
                <w:sz w:val="20"/>
                <w:szCs w:val="20"/>
              </w:rPr>
              <w:t xml:space="preserve">: </w:t>
            </w:r>
            <w:r>
              <w:rPr>
                <w:sz w:val="20"/>
                <w:szCs w:val="20"/>
              </w:rPr>
              <w:t>01</w:t>
            </w:r>
            <w:r w:rsidRPr="00A935AA">
              <w:rPr>
                <w:sz w:val="20"/>
                <w:szCs w:val="20"/>
              </w:rPr>
              <w:t>.</w:t>
            </w:r>
            <w:r>
              <w:rPr>
                <w:sz w:val="20"/>
                <w:szCs w:val="20"/>
              </w:rPr>
              <w:t>1</w:t>
            </w:r>
            <w:r w:rsidRPr="00A935AA">
              <w:rPr>
                <w:sz w:val="20"/>
                <w:szCs w:val="20"/>
              </w:rPr>
              <w:t>0.201</w:t>
            </w:r>
            <w:r>
              <w:rPr>
                <w:sz w:val="20"/>
                <w:szCs w:val="20"/>
              </w:rPr>
              <w:t>2</w:t>
            </w:r>
          </w:p>
          <w:p w:rsidR="009D0C06" w:rsidRPr="00A935AA" w:rsidRDefault="00BF3B03" w:rsidP="009D0C06">
            <w:pPr>
              <w:rPr>
                <w:sz w:val="20"/>
                <w:szCs w:val="20"/>
              </w:rPr>
            </w:pPr>
            <w:r w:rsidRPr="00BF3B03">
              <w:rPr>
                <w:sz w:val="20"/>
                <w:szCs w:val="20"/>
                <w:lang w:val="fr-CA"/>
              </w:rPr>
              <w:pict>
                <v:rect id="_x0000_i1027" style="width:108pt;height:1pt" o:hrpct="0" o:hralign="center" o:hrstd="t" o:hrnoshade="t" o:hr="t" fillcolor="black [3213]" stroked="f"/>
              </w:pict>
            </w:r>
          </w:p>
        </w:tc>
        <w:tc>
          <w:tcPr>
            <w:tcW w:w="1181" w:type="dxa"/>
            <w:shd w:val="clear" w:color="auto" w:fill="auto"/>
          </w:tcPr>
          <w:p w:rsidR="009D0C06" w:rsidRPr="00A935AA" w:rsidRDefault="009D0C06" w:rsidP="00242AEE">
            <w:pPr>
              <w:jc w:val="center"/>
              <w:rPr>
                <w:sz w:val="20"/>
                <w:szCs w:val="20"/>
              </w:rPr>
            </w:pPr>
          </w:p>
          <w:p w:rsidR="009D0C06" w:rsidRPr="00A935AA" w:rsidRDefault="009D0C06" w:rsidP="00242AEE">
            <w:pPr>
              <w:jc w:val="center"/>
              <w:rPr>
                <w:sz w:val="20"/>
                <w:szCs w:val="20"/>
              </w:rPr>
            </w:pPr>
          </w:p>
          <w:p w:rsidR="009D0C06" w:rsidRPr="00A935AA" w:rsidRDefault="009D0C06" w:rsidP="00242AEE">
            <w:pPr>
              <w:jc w:val="center"/>
              <w:rPr>
                <w:sz w:val="20"/>
                <w:szCs w:val="20"/>
              </w:rPr>
            </w:pPr>
          </w:p>
          <w:p w:rsidR="009D0C06" w:rsidRPr="00A935AA" w:rsidRDefault="009D0C06" w:rsidP="00242AEE">
            <w:pPr>
              <w:jc w:val="center"/>
              <w:rPr>
                <w:sz w:val="20"/>
                <w:szCs w:val="20"/>
              </w:rPr>
            </w:pPr>
          </w:p>
          <w:p w:rsidR="009D0C06" w:rsidRPr="00A935AA" w:rsidRDefault="009D0C06" w:rsidP="00242AEE">
            <w:pPr>
              <w:jc w:val="center"/>
              <w:rPr>
                <w:sz w:val="20"/>
                <w:szCs w:val="20"/>
              </w:rPr>
            </w:pPr>
          </w:p>
          <w:p w:rsidR="009D0C06" w:rsidRPr="00A935AA" w:rsidRDefault="009D0C06" w:rsidP="00242AEE">
            <w:pPr>
              <w:jc w:val="center"/>
              <w:rPr>
                <w:sz w:val="20"/>
                <w:szCs w:val="20"/>
              </w:rPr>
            </w:pPr>
          </w:p>
          <w:p w:rsidR="009D0C06" w:rsidRPr="00A935AA" w:rsidRDefault="009D0C06" w:rsidP="00242AEE">
            <w:pPr>
              <w:jc w:val="center"/>
              <w:rPr>
                <w:sz w:val="20"/>
                <w:szCs w:val="20"/>
              </w:rPr>
            </w:pPr>
          </w:p>
          <w:p w:rsidR="009D0C06" w:rsidRPr="00A935AA" w:rsidRDefault="009D0C06" w:rsidP="00242AEE">
            <w:pPr>
              <w:jc w:val="center"/>
              <w:rPr>
                <w:sz w:val="20"/>
                <w:szCs w:val="20"/>
              </w:rPr>
            </w:pPr>
          </w:p>
          <w:p w:rsidR="009D0C06" w:rsidRPr="00A935AA" w:rsidRDefault="009D0C06" w:rsidP="00242AEE">
            <w:pPr>
              <w:jc w:val="center"/>
              <w:rPr>
                <w:sz w:val="20"/>
                <w:szCs w:val="20"/>
              </w:rPr>
            </w:pPr>
          </w:p>
          <w:p w:rsidR="009D0C06" w:rsidRPr="00A935AA" w:rsidRDefault="009D0C06" w:rsidP="00242AEE">
            <w:pPr>
              <w:jc w:val="center"/>
              <w:rPr>
                <w:sz w:val="20"/>
                <w:szCs w:val="20"/>
              </w:rPr>
            </w:pPr>
          </w:p>
          <w:p w:rsidR="009D0C06" w:rsidRDefault="009D0C06" w:rsidP="00242AEE">
            <w:pPr>
              <w:jc w:val="center"/>
              <w:rPr>
                <w:sz w:val="20"/>
                <w:szCs w:val="20"/>
              </w:rPr>
            </w:pPr>
          </w:p>
          <w:p w:rsidR="009D0C06" w:rsidRPr="00A935AA" w:rsidRDefault="009D0C06" w:rsidP="00242AEE">
            <w:pPr>
              <w:jc w:val="center"/>
              <w:rPr>
                <w:sz w:val="20"/>
                <w:szCs w:val="20"/>
              </w:rPr>
            </w:pPr>
          </w:p>
        </w:tc>
        <w:tc>
          <w:tcPr>
            <w:tcW w:w="4320" w:type="dxa"/>
            <w:shd w:val="clear" w:color="auto" w:fill="auto"/>
          </w:tcPr>
          <w:p w:rsidR="00DC2D1F" w:rsidRPr="00880E10" w:rsidRDefault="00DC2D1F" w:rsidP="00DC2D1F">
            <w:pPr>
              <w:keepNext/>
              <w:keepLines/>
              <w:tabs>
                <w:tab w:val="left" w:pos="-1440"/>
                <w:tab w:val="left" w:pos="-720"/>
              </w:tabs>
              <w:rPr>
                <w:b/>
                <w:sz w:val="20"/>
                <w:szCs w:val="20"/>
                <w:lang w:val="fr-CA"/>
              </w:rPr>
            </w:pPr>
            <w:r>
              <w:rPr>
                <w:b/>
                <w:sz w:val="20"/>
                <w:szCs w:val="20"/>
                <w:lang w:val="fr-CA"/>
              </w:rPr>
              <w:t>Sébastien Ayangma</w:t>
            </w:r>
          </w:p>
          <w:p w:rsidR="00DC2D1F" w:rsidRPr="00DC2D1F" w:rsidRDefault="00DC2D1F" w:rsidP="00DC2D1F">
            <w:pPr>
              <w:tabs>
                <w:tab w:val="left" w:pos="-1440"/>
                <w:tab w:val="left" w:pos="-720"/>
              </w:tabs>
              <w:rPr>
                <w:sz w:val="20"/>
                <w:szCs w:val="20"/>
              </w:rPr>
            </w:pPr>
            <w:r w:rsidRPr="00880E10">
              <w:rPr>
                <w:sz w:val="20"/>
                <w:szCs w:val="20"/>
                <w:lang w:val="fr-CA"/>
              </w:rPr>
              <w:tab/>
            </w:r>
            <w:r w:rsidRPr="00DC2D1F">
              <w:rPr>
                <w:sz w:val="20"/>
                <w:szCs w:val="20"/>
              </w:rPr>
              <w:t>Sebastien Ayangma</w:t>
            </w:r>
          </w:p>
          <w:p w:rsidR="00DC2D1F" w:rsidRPr="00DC2D1F" w:rsidRDefault="00DC2D1F" w:rsidP="00DC2D1F">
            <w:pPr>
              <w:tabs>
                <w:tab w:val="left" w:pos="-1440"/>
                <w:tab w:val="left" w:pos="-720"/>
              </w:tabs>
              <w:rPr>
                <w:sz w:val="20"/>
                <w:szCs w:val="20"/>
              </w:rPr>
            </w:pPr>
          </w:p>
          <w:p w:rsidR="00DC2D1F" w:rsidRPr="00DC2D1F" w:rsidRDefault="00DC2D1F" w:rsidP="00DC2D1F">
            <w:pPr>
              <w:tabs>
                <w:tab w:val="left" w:pos="-1440"/>
                <w:tab w:val="left" w:pos="-720"/>
              </w:tabs>
              <w:rPr>
                <w:sz w:val="20"/>
                <w:szCs w:val="20"/>
              </w:rPr>
            </w:pPr>
            <w:r w:rsidRPr="00DC2D1F">
              <w:rPr>
                <w:sz w:val="20"/>
                <w:szCs w:val="20"/>
              </w:rPr>
              <w:tab/>
              <w:t>v. (35055)</w:t>
            </w:r>
          </w:p>
          <w:p w:rsidR="00DC2D1F" w:rsidRPr="00DC2D1F" w:rsidRDefault="00DC2D1F" w:rsidP="00DC2D1F">
            <w:pPr>
              <w:tabs>
                <w:tab w:val="left" w:pos="-1440"/>
                <w:tab w:val="left" w:pos="-720"/>
              </w:tabs>
              <w:rPr>
                <w:sz w:val="20"/>
                <w:szCs w:val="20"/>
              </w:rPr>
            </w:pPr>
          </w:p>
          <w:p w:rsidR="00DC2D1F" w:rsidRPr="00A935AA" w:rsidRDefault="00DC2D1F" w:rsidP="00DC2D1F">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P.E</w:t>
            </w:r>
            <w:r w:rsidRPr="00A935AA">
              <w:rPr>
                <w:b/>
                <w:sz w:val="20"/>
                <w:szCs w:val="20"/>
              </w:rPr>
              <w:t>.</w:t>
            </w:r>
            <w:r>
              <w:rPr>
                <w:b/>
                <w:sz w:val="20"/>
                <w:szCs w:val="20"/>
              </w:rPr>
              <w:t>I</w:t>
            </w:r>
            <w:r w:rsidRPr="00A935AA">
              <w:rPr>
                <w:b/>
                <w:sz w:val="20"/>
                <w:szCs w:val="20"/>
              </w:rPr>
              <w:t>.)</w:t>
            </w:r>
          </w:p>
          <w:p w:rsidR="00DC2D1F" w:rsidRPr="00A935AA" w:rsidRDefault="00DC2D1F" w:rsidP="00DC2D1F">
            <w:pPr>
              <w:tabs>
                <w:tab w:val="left" w:pos="-1440"/>
                <w:tab w:val="left" w:pos="-720"/>
              </w:tabs>
              <w:rPr>
                <w:sz w:val="20"/>
                <w:szCs w:val="20"/>
              </w:rPr>
            </w:pPr>
            <w:r w:rsidRPr="00A935AA">
              <w:rPr>
                <w:sz w:val="20"/>
                <w:szCs w:val="20"/>
              </w:rPr>
              <w:tab/>
            </w:r>
            <w:r>
              <w:rPr>
                <w:sz w:val="20"/>
                <w:szCs w:val="20"/>
              </w:rPr>
              <w:t>Gerald K. Queen, Q.C.</w:t>
            </w:r>
          </w:p>
          <w:p w:rsidR="00DC2D1F" w:rsidRPr="00A935AA" w:rsidRDefault="00DC2D1F" w:rsidP="00DC2D1F">
            <w:pPr>
              <w:tabs>
                <w:tab w:val="left" w:pos="-1440"/>
                <w:tab w:val="left" w:pos="-720"/>
              </w:tabs>
              <w:rPr>
                <w:sz w:val="20"/>
                <w:szCs w:val="20"/>
              </w:rPr>
            </w:pPr>
            <w:r w:rsidRPr="00A935AA">
              <w:rPr>
                <w:sz w:val="20"/>
                <w:szCs w:val="20"/>
              </w:rPr>
              <w:tab/>
            </w:r>
            <w:r>
              <w:rPr>
                <w:sz w:val="20"/>
                <w:szCs w:val="20"/>
              </w:rPr>
              <w:t>A.G. of Prince Edward Island</w:t>
            </w:r>
          </w:p>
          <w:p w:rsidR="00DC2D1F" w:rsidRPr="00DC2D1F" w:rsidRDefault="00DC2D1F" w:rsidP="00DC2D1F">
            <w:pPr>
              <w:keepNext/>
              <w:keepLines/>
              <w:tabs>
                <w:tab w:val="left" w:pos="-1440"/>
                <w:tab w:val="left" w:pos="-720"/>
              </w:tabs>
              <w:rPr>
                <w:sz w:val="20"/>
                <w:szCs w:val="20"/>
              </w:rPr>
            </w:pPr>
          </w:p>
          <w:p w:rsidR="00DC2D1F" w:rsidRDefault="00DC2D1F" w:rsidP="00DC2D1F">
            <w:pPr>
              <w:rPr>
                <w:sz w:val="20"/>
                <w:szCs w:val="20"/>
                <w:lang w:val="fr-CA"/>
              </w:rPr>
            </w:pPr>
            <w:r>
              <w:rPr>
                <w:sz w:val="20"/>
                <w:szCs w:val="20"/>
                <w:lang w:val="fr-CA"/>
              </w:rPr>
              <w:t>FILING D</w:t>
            </w:r>
            <w:r w:rsidRPr="00433892">
              <w:rPr>
                <w:sz w:val="20"/>
                <w:szCs w:val="20"/>
                <w:lang w:val="fr-CA"/>
              </w:rPr>
              <w:t xml:space="preserve">ATE: </w:t>
            </w:r>
            <w:r>
              <w:rPr>
                <w:sz w:val="20"/>
                <w:szCs w:val="20"/>
                <w:lang w:val="fr-CA"/>
              </w:rPr>
              <w:t>04</w:t>
            </w:r>
            <w:r w:rsidRPr="00433892">
              <w:rPr>
                <w:sz w:val="20"/>
                <w:szCs w:val="20"/>
                <w:lang w:val="fr-CA"/>
              </w:rPr>
              <w:t>.10.201</w:t>
            </w:r>
          </w:p>
          <w:p w:rsidR="009D0C06" w:rsidRPr="00A935AA" w:rsidRDefault="00BF3B03" w:rsidP="00433892">
            <w:pPr>
              <w:rPr>
                <w:sz w:val="20"/>
                <w:szCs w:val="20"/>
              </w:rPr>
            </w:pPr>
            <w:r w:rsidRPr="00BF3B03">
              <w:rPr>
                <w:sz w:val="20"/>
                <w:szCs w:val="20"/>
                <w:lang w:val="fr-CA"/>
              </w:rPr>
              <w:pict>
                <v:rect id="_x0000_i1028" style="width:108pt;height:1pt" o:hrpct="0" o:hralign="center" o:hrstd="t" o:hrnoshade="t" o:hr="t" fillcolor="black [3213]" stroked="f"/>
              </w:pict>
            </w:r>
          </w:p>
        </w:tc>
      </w:tr>
      <w:tr w:rsidR="00DC2D1F" w:rsidRPr="00DC2D1F" w:rsidTr="003B3977">
        <w:trPr>
          <w:cantSplit/>
        </w:trPr>
        <w:tc>
          <w:tcPr>
            <w:tcW w:w="4320" w:type="dxa"/>
            <w:shd w:val="clear" w:color="auto" w:fill="auto"/>
          </w:tcPr>
          <w:p w:rsidR="00DC2D1F" w:rsidRDefault="00DC2D1F" w:rsidP="009D0C06">
            <w:pPr>
              <w:rPr>
                <w:b/>
                <w:sz w:val="20"/>
                <w:szCs w:val="20"/>
                <w:lang w:val="fr-CA"/>
              </w:rPr>
            </w:pPr>
          </w:p>
          <w:p w:rsidR="00DC2D1F" w:rsidRDefault="00DC2D1F" w:rsidP="009D0C06">
            <w:pPr>
              <w:rPr>
                <w:sz w:val="20"/>
                <w:szCs w:val="20"/>
                <w:lang w:val="fr-CA"/>
              </w:rPr>
            </w:pPr>
            <w:r>
              <w:rPr>
                <w:b/>
                <w:sz w:val="20"/>
                <w:szCs w:val="20"/>
                <w:lang w:val="fr-CA"/>
              </w:rPr>
              <w:t>Mario Brousseau</w:t>
            </w:r>
          </w:p>
          <w:p w:rsidR="00DC2D1F" w:rsidRPr="00880E10" w:rsidRDefault="00DC2D1F" w:rsidP="00DC2D1F">
            <w:pPr>
              <w:keepNext/>
              <w:keepLines/>
              <w:tabs>
                <w:tab w:val="left" w:pos="-1440"/>
                <w:tab w:val="left" w:pos="-720"/>
              </w:tabs>
              <w:rPr>
                <w:sz w:val="20"/>
                <w:szCs w:val="20"/>
                <w:lang w:val="fr-CA"/>
              </w:rPr>
            </w:pPr>
            <w:r w:rsidRPr="00880E10">
              <w:rPr>
                <w:sz w:val="20"/>
                <w:szCs w:val="20"/>
                <w:lang w:val="fr-CA"/>
              </w:rPr>
              <w:tab/>
              <w:t>Mario Brousseau</w:t>
            </w:r>
          </w:p>
          <w:p w:rsidR="00DC2D1F" w:rsidRPr="00880E10" w:rsidRDefault="00DC2D1F" w:rsidP="00DC2D1F">
            <w:pPr>
              <w:keepNext/>
              <w:keepLines/>
              <w:tabs>
                <w:tab w:val="left" w:pos="-1440"/>
                <w:tab w:val="left" w:pos="-720"/>
              </w:tabs>
              <w:rPr>
                <w:sz w:val="20"/>
                <w:szCs w:val="20"/>
                <w:lang w:val="fr-CA"/>
              </w:rPr>
            </w:pPr>
          </w:p>
          <w:p w:rsidR="00DC2D1F" w:rsidRPr="00A935AA" w:rsidRDefault="00DC2D1F" w:rsidP="00DC2D1F">
            <w:pPr>
              <w:keepNext/>
              <w:keepLines/>
              <w:tabs>
                <w:tab w:val="left" w:pos="-1440"/>
                <w:tab w:val="left" w:pos="-720"/>
              </w:tabs>
              <w:rPr>
                <w:sz w:val="20"/>
                <w:szCs w:val="20"/>
                <w:lang w:val="fr-CA"/>
              </w:rPr>
            </w:pPr>
            <w:r w:rsidRPr="00880E10">
              <w:rPr>
                <w:sz w:val="20"/>
                <w:szCs w:val="20"/>
                <w:lang w:val="fr-CA"/>
              </w:rPr>
              <w:tab/>
            </w:r>
            <w:r w:rsidRPr="00433892">
              <w:rPr>
                <w:sz w:val="20"/>
                <w:szCs w:val="20"/>
                <w:lang w:val="fr-CA"/>
              </w:rPr>
              <w:t>c</w:t>
            </w:r>
            <w:r w:rsidRPr="00A935AA">
              <w:rPr>
                <w:sz w:val="20"/>
                <w:szCs w:val="20"/>
                <w:lang w:val="fr-CA"/>
              </w:rPr>
              <w:t>. (3</w:t>
            </w:r>
            <w:r>
              <w:rPr>
                <w:sz w:val="20"/>
                <w:szCs w:val="20"/>
                <w:lang w:val="fr-CA"/>
              </w:rPr>
              <w:t>5048</w:t>
            </w:r>
            <w:r w:rsidRPr="00A935AA">
              <w:rPr>
                <w:sz w:val="20"/>
                <w:szCs w:val="20"/>
                <w:lang w:val="fr-CA"/>
              </w:rPr>
              <w:t>)</w:t>
            </w:r>
          </w:p>
          <w:p w:rsidR="00DC2D1F" w:rsidRPr="00A935AA" w:rsidRDefault="00DC2D1F" w:rsidP="00DC2D1F">
            <w:pPr>
              <w:keepNext/>
              <w:keepLines/>
              <w:tabs>
                <w:tab w:val="left" w:pos="-1440"/>
                <w:tab w:val="left" w:pos="-720"/>
              </w:tabs>
              <w:rPr>
                <w:sz w:val="20"/>
                <w:szCs w:val="20"/>
                <w:lang w:val="fr-CA"/>
              </w:rPr>
            </w:pPr>
          </w:p>
          <w:p w:rsidR="00DC2D1F" w:rsidRPr="00A935AA" w:rsidRDefault="00DC2D1F" w:rsidP="00DC2D1F">
            <w:pPr>
              <w:keepNext/>
              <w:keepLines/>
              <w:tabs>
                <w:tab w:val="left" w:pos="-1440"/>
                <w:tab w:val="left" w:pos="-720"/>
              </w:tabs>
              <w:rPr>
                <w:b/>
                <w:sz w:val="20"/>
                <w:szCs w:val="20"/>
                <w:lang w:val="fr-CA"/>
              </w:rPr>
            </w:pPr>
            <w:r>
              <w:rPr>
                <w:b/>
                <w:sz w:val="20"/>
                <w:szCs w:val="20"/>
                <w:lang w:val="fr-CA"/>
              </w:rPr>
              <w:t xml:space="preserve">Agence du revenu du Québec </w:t>
            </w:r>
            <w:r w:rsidRPr="00A935AA">
              <w:rPr>
                <w:b/>
                <w:sz w:val="20"/>
                <w:szCs w:val="20"/>
                <w:lang w:val="fr-CA"/>
              </w:rPr>
              <w:t>(</w:t>
            </w:r>
            <w:r>
              <w:rPr>
                <w:b/>
                <w:sz w:val="20"/>
                <w:szCs w:val="20"/>
                <w:lang w:val="fr-CA"/>
              </w:rPr>
              <w:t>Qc</w:t>
            </w:r>
            <w:r w:rsidRPr="00A935AA">
              <w:rPr>
                <w:b/>
                <w:sz w:val="20"/>
                <w:szCs w:val="20"/>
                <w:lang w:val="fr-CA"/>
              </w:rPr>
              <w:t>)</w:t>
            </w:r>
          </w:p>
          <w:p w:rsidR="00DC2D1F" w:rsidRPr="00A935AA" w:rsidRDefault="00DC2D1F" w:rsidP="00DC2D1F">
            <w:pPr>
              <w:keepNext/>
              <w:keepLines/>
              <w:tabs>
                <w:tab w:val="left" w:pos="-1440"/>
                <w:tab w:val="left" w:pos="-720"/>
              </w:tabs>
              <w:rPr>
                <w:sz w:val="20"/>
                <w:szCs w:val="20"/>
                <w:lang w:val="fr-CA"/>
              </w:rPr>
            </w:pPr>
            <w:r w:rsidRPr="00A935AA">
              <w:rPr>
                <w:sz w:val="20"/>
                <w:szCs w:val="20"/>
                <w:lang w:val="fr-CA"/>
              </w:rPr>
              <w:tab/>
            </w:r>
            <w:r>
              <w:rPr>
                <w:sz w:val="20"/>
                <w:szCs w:val="20"/>
                <w:lang w:val="fr-CA"/>
              </w:rPr>
              <w:t>Philippe Veillette</w:t>
            </w:r>
          </w:p>
          <w:p w:rsidR="00DC2D1F" w:rsidRPr="00A935AA" w:rsidRDefault="00DC2D1F" w:rsidP="00DC2D1F">
            <w:pPr>
              <w:keepNext/>
              <w:keepLines/>
              <w:tabs>
                <w:tab w:val="left" w:pos="-1440"/>
                <w:tab w:val="left" w:pos="-720"/>
              </w:tabs>
              <w:rPr>
                <w:sz w:val="20"/>
                <w:szCs w:val="20"/>
                <w:lang w:val="fr-CA"/>
              </w:rPr>
            </w:pPr>
          </w:p>
          <w:p w:rsidR="00DC2D1F" w:rsidRPr="00DC2D1F" w:rsidRDefault="00DC2D1F" w:rsidP="009D0C06">
            <w:pPr>
              <w:rPr>
                <w:sz w:val="20"/>
                <w:szCs w:val="20"/>
                <w:lang w:val="fr-CA"/>
              </w:rPr>
            </w:pPr>
            <w:r>
              <w:rPr>
                <w:sz w:val="20"/>
                <w:szCs w:val="20"/>
                <w:lang w:val="fr-CA"/>
              </w:rPr>
              <w:t>DATE DE PRODUCTION : 16.10.2012</w:t>
            </w:r>
          </w:p>
          <w:p w:rsidR="00DC2D1F" w:rsidRPr="00A935AA" w:rsidRDefault="00DC2D1F" w:rsidP="009D0C06">
            <w:pPr>
              <w:rPr>
                <w:sz w:val="20"/>
                <w:szCs w:val="20"/>
              </w:rPr>
            </w:pPr>
            <w:r w:rsidRPr="00BF3B03">
              <w:rPr>
                <w:sz w:val="20"/>
                <w:szCs w:val="20"/>
                <w:lang w:val="fr-CA"/>
              </w:rPr>
              <w:pict>
                <v:rect id="_x0000_i1117" style="width:108pt;height:1pt" o:hrpct="0" o:hralign="center" o:hrstd="t" o:hrnoshade="t" o:hr="t" fillcolor="black [3213]" stroked="f"/>
              </w:pict>
            </w:r>
          </w:p>
        </w:tc>
        <w:tc>
          <w:tcPr>
            <w:tcW w:w="1181" w:type="dxa"/>
            <w:shd w:val="clear" w:color="auto" w:fill="auto"/>
          </w:tcPr>
          <w:p w:rsidR="00DC2D1F" w:rsidRPr="00A935AA" w:rsidRDefault="00DC2D1F" w:rsidP="00242AEE">
            <w:pPr>
              <w:jc w:val="center"/>
              <w:rPr>
                <w:sz w:val="20"/>
                <w:szCs w:val="20"/>
              </w:rPr>
            </w:pPr>
          </w:p>
          <w:p w:rsidR="00DC2D1F" w:rsidRPr="00A935AA" w:rsidRDefault="00DC2D1F" w:rsidP="00242AEE">
            <w:pPr>
              <w:jc w:val="center"/>
              <w:rPr>
                <w:sz w:val="20"/>
                <w:szCs w:val="20"/>
              </w:rPr>
            </w:pPr>
          </w:p>
          <w:p w:rsidR="00DC2D1F" w:rsidRPr="00A935AA" w:rsidRDefault="00DC2D1F" w:rsidP="00242AEE">
            <w:pPr>
              <w:jc w:val="center"/>
              <w:rPr>
                <w:sz w:val="20"/>
                <w:szCs w:val="20"/>
              </w:rPr>
            </w:pPr>
          </w:p>
          <w:p w:rsidR="00DC2D1F" w:rsidRPr="00A935AA" w:rsidRDefault="00DC2D1F" w:rsidP="00242AEE">
            <w:pPr>
              <w:jc w:val="center"/>
              <w:rPr>
                <w:sz w:val="20"/>
                <w:szCs w:val="20"/>
              </w:rPr>
            </w:pPr>
          </w:p>
          <w:p w:rsidR="00DC2D1F" w:rsidRPr="00A935AA" w:rsidRDefault="00DC2D1F" w:rsidP="00242AEE">
            <w:pPr>
              <w:jc w:val="center"/>
              <w:rPr>
                <w:sz w:val="20"/>
                <w:szCs w:val="20"/>
              </w:rPr>
            </w:pPr>
          </w:p>
          <w:p w:rsidR="00DC2D1F" w:rsidRPr="00A935AA" w:rsidRDefault="00DC2D1F" w:rsidP="00242AEE">
            <w:pPr>
              <w:jc w:val="center"/>
              <w:rPr>
                <w:sz w:val="20"/>
                <w:szCs w:val="20"/>
              </w:rPr>
            </w:pPr>
          </w:p>
          <w:p w:rsidR="00DC2D1F" w:rsidRPr="00A935AA" w:rsidRDefault="00DC2D1F" w:rsidP="00242AEE">
            <w:pPr>
              <w:jc w:val="center"/>
              <w:rPr>
                <w:sz w:val="20"/>
                <w:szCs w:val="20"/>
              </w:rPr>
            </w:pPr>
          </w:p>
          <w:p w:rsidR="00DC2D1F" w:rsidRPr="00A935AA" w:rsidRDefault="00DC2D1F" w:rsidP="00242AEE">
            <w:pPr>
              <w:jc w:val="center"/>
              <w:rPr>
                <w:sz w:val="20"/>
                <w:szCs w:val="20"/>
              </w:rPr>
            </w:pPr>
          </w:p>
          <w:p w:rsidR="00DC2D1F" w:rsidRPr="00A935AA" w:rsidRDefault="00DC2D1F" w:rsidP="00242AEE">
            <w:pPr>
              <w:jc w:val="center"/>
              <w:rPr>
                <w:sz w:val="20"/>
                <w:szCs w:val="20"/>
              </w:rPr>
            </w:pPr>
          </w:p>
          <w:p w:rsidR="00DC2D1F" w:rsidRDefault="00DC2D1F" w:rsidP="00242AEE">
            <w:pPr>
              <w:jc w:val="center"/>
              <w:rPr>
                <w:sz w:val="20"/>
                <w:szCs w:val="20"/>
              </w:rPr>
            </w:pPr>
          </w:p>
          <w:p w:rsidR="00DC2D1F" w:rsidRPr="00A935AA" w:rsidRDefault="00DC2D1F" w:rsidP="00242AEE">
            <w:pPr>
              <w:jc w:val="center"/>
              <w:rPr>
                <w:sz w:val="20"/>
                <w:szCs w:val="20"/>
              </w:rPr>
            </w:pPr>
          </w:p>
          <w:p w:rsidR="00DC2D1F" w:rsidRPr="00A935AA" w:rsidRDefault="00DC2D1F" w:rsidP="00242AEE">
            <w:pPr>
              <w:jc w:val="center"/>
              <w:rPr>
                <w:sz w:val="20"/>
                <w:szCs w:val="20"/>
              </w:rPr>
            </w:pPr>
          </w:p>
        </w:tc>
        <w:tc>
          <w:tcPr>
            <w:tcW w:w="4320" w:type="dxa"/>
            <w:shd w:val="clear" w:color="auto" w:fill="auto"/>
          </w:tcPr>
          <w:p w:rsidR="00DC2D1F" w:rsidRPr="00A935AA" w:rsidRDefault="00DC2D1F" w:rsidP="00DC2D1F">
            <w:pPr>
              <w:keepNext/>
              <w:keepLines/>
              <w:tabs>
                <w:tab w:val="left" w:pos="-1440"/>
                <w:tab w:val="left" w:pos="-720"/>
              </w:tabs>
              <w:rPr>
                <w:b/>
                <w:sz w:val="20"/>
                <w:szCs w:val="20"/>
              </w:rPr>
            </w:pPr>
            <w:r>
              <w:rPr>
                <w:b/>
                <w:sz w:val="20"/>
                <w:szCs w:val="20"/>
              </w:rPr>
              <w:t>Her Majesty the Queen</w:t>
            </w:r>
          </w:p>
          <w:p w:rsidR="00DC2D1F" w:rsidRPr="00A935AA" w:rsidRDefault="00DC2D1F" w:rsidP="00DC2D1F">
            <w:pPr>
              <w:keepNext/>
              <w:keepLines/>
              <w:tabs>
                <w:tab w:val="left" w:pos="-1440"/>
                <w:tab w:val="left" w:pos="-720"/>
              </w:tabs>
              <w:rPr>
                <w:sz w:val="20"/>
                <w:szCs w:val="20"/>
              </w:rPr>
            </w:pPr>
            <w:r w:rsidRPr="00A935AA">
              <w:rPr>
                <w:sz w:val="20"/>
                <w:szCs w:val="20"/>
              </w:rPr>
              <w:tab/>
            </w:r>
            <w:r>
              <w:rPr>
                <w:sz w:val="20"/>
                <w:szCs w:val="20"/>
              </w:rPr>
              <w:t>Frances Knickle</w:t>
            </w:r>
          </w:p>
          <w:p w:rsidR="00DC2D1F" w:rsidRPr="00A935AA" w:rsidRDefault="00DC2D1F" w:rsidP="00DC2D1F">
            <w:pPr>
              <w:keepNext/>
              <w:keepLines/>
              <w:tabs>
                <w:tab w:val="left" w:pos="-1440"/>
                <w:tab w:val="left" w:pos="-720"/>
              </w:tabs>
              <w:rPr>
                <w:sz w:val="20"/>
                <w:szCs w:val="20"/>
              </w:rPr>
            </w:pPr>
            <w:r w:rsidRPr="00A935AA">
              <w:rPr>
                <w:sz w:val="20"/>
                <w:szCs w:val="20"/>
              </w:rPr>
              <w:tab/>
            </w:r>
            <w:r>
              <w:rPr>
                <w:sz w:val="20"/>
                <w:szCs w:val="20"/>
              </w:rPr>
              <w:t>A.G. of Newfoundland and Labrador</w:t>
            </w:r>
          </w:p>
          <w:p w:rsidR="00DC2D1F" w:rsidRPr="00A935AA" w:rsidRDefault="00DC2D1F" w:rsidP="00DC2D1F">
            <w:pPr>
              <w:keepNext/>
              <w:keepLines/>
              <w:tabs>
                <w:tab w:val="left" w:pos="-1440"/>
                <w:tab w:val="left" w:pos="-720"/>
              </w:tabs>
              <w:rPr>
                <w:sz w:val="20"/>
                <w:szCs w:val="20"/>
              </w:rPr>
            </w:pPr>
          </w:p>
          <w:p w:rsidR="00DC2D1F" w:rsidRPr="0077555D" w:rsidRDefault="00DC2D1F" w:rsidP="00DC2D1F">
            <w:pPr>
              <w:keepNext/>
              <w:keepLines/>
              <w:tabs>
                <w:tab w:val="left" w:pos="-1440"/>
                <w:tab w:val="left" w:pos="-720"/>
              </w:tabs>
              <w:rPr>
                <w:sz w:val="20"/>
                <w:szCs w:val="20"/>
              </w:rPr>
            </w:pPr>
            <w:r w:rsidRPr="00A935AA">
              <w:rPr>
                <w:sz w:val="20"/>
                <w:szCs w:val="20"/>
              </w:rPr>
              <w:tab/>
            </w:r>
            <w:r w:rsidRPr="0077555D">
              <w:rPr>
                <w:sz w:val="20"/>
                <w:szCs w:val="20"/>
              </w:rPr>
              <w:t>v. (35049)</w:t>
            </w:r>
          </w:p>
          <w:p w:rsidR="00DC2D1F" w:rsidRPr="0077555D" w:rsidRDefault="00DC2D1F" w:rsidP="00DC2D1F">
            <w:pPr>
              <w:keepNext/>
              <w:keepLines/>
              <w:tabs>
                <w:tab w:val="left" w:pos="-1440"/>
                <w:tab w:val="left" w:pos="-720"/>
              </w:tabs>
              <w:rPr>
                <w:sz w:val="20"/>
                <w:szCs w:val="20"/>
              </w:rPr>
            </w:pPr>
          </w:p>
          <w:p w:rsidR="00DC2D1F" w:rsidRPr="0077555D" w:rsidRDefault="00DC2D1F" w:rsidP="00DC2D1F">
            <w:pPr>
              <w:keepNext/>
              <w:keepLines/>
              <w:tabs>
                <w:tab w:val="left" w:pos="-1440"/>
                <w:tab w:val="left" w:pos="-720"/>
              </w:tabs>
              <w:rPr>
                <w:b/>
                <w:sz w:val="20"/>
                <w:szCs w:val="20"/>
              </w:rPr>
            </w:pPr>
            <w:r w:rsidRPr="0077555D">
              <w:rPr>
                <w:b/>
                <w:sz w:val="20"/>
                <w:szCs w:val="20"/>
              </w:rPr>
              <w:t>Nelson Lloyd Hart (N.L.)</w:t>
            </w:r>
          </w:p>
          <w:p w:rsidR="00DC2D1F" w:rsidRPr="0077555D" w:rsidRDefault="00DC2D1F" w:rsidP="00DC2D1F">
            <w:pPr>
              <w:keepNext/>
              <w:keepLines/>
              <w:tabs>
                <w:tab w:val="left" w:pos="-1440"/>
                <w:tab w:val="left" w:pos="-720"/>
              </w:tabs>
              <w:rPr>
                <w:sz w:val="20"/>
                <w:szCs w:val="20"/>
              </w:rPr>
            </w:pPr>
            <w:r w:rsidRPr="0077555D">
              <w:rPr>
                <w:sz w:val="20"/>
                <w:szCs w:val="20"/>
              </w:rPr>
              <w:tab/>
            </w:r>
            <w:r>
              <w:rPr>
                <w:sz w:val="20"/>
                <w:szCs w:val="20"/>
              </w:rPr>
              <w:t>Rosellen Sullivan</w:t>
            </w:r>
          </w:p>
          <w:p w:rsidR="00DC2D1F" w:rsidRPr="0077555D" w:rsidRDefault="00DC2D1F" w:rsidP="00DC2D1F">
            <w:pPr>
              <w:keepNext/>
              <w:keepLines/>
              <w:tabs>
                <w:tab w:val="left" w:pos="-1440"/>
                <w:tab w:val="left" w:pos="-720"/>
              </w:tabs>
              <w:rPr>
                <w:sz w:val="20"/>
                <w:szCs w:val="20"/>
              </w:rPr>
            </w:pPr>
            <w:r w:rsidRPr="0077555D">
              <w:rPr>
                <w:sz w:val="20"/>
                <w:szCs w:val="20"/>
              </w:rPr>
              <w:tab/>
            </w:r>
            <w:r>
              <w:rPr>
                <w:sz w:val="20"/>
                <w:szCs w:val="20"/>
              </w:rPr>
              <w:t>Simmonds &amp; Partners Defence</w:t>
            </w:r>
          </w:p>
          <w:p w:rsidR="00DC2D1F" w:rsidRPr="0077555D" w:rsidRDefault="00DC2D1F" w:rsidP="00DC2D1F">
            <w:pPr>
              <w:keepNext/>
              <w:keepLines/>
              <w:tabs>
                <w:tab w:val="left" w:pos="-1440"/>
                <w:tab w:val="left" w:pos="-720"/>
              </w:tabs>
              <w:rPr>
                <w:sz w:val="20"/>
                <w:szCs w:val="20"/>
              </w:rPr>
            </w:pPr>
          </w:p>
          <w:p w:rsidR="00DC2D1F" w:rsidRPr="00A935AA" w:rsidRDefault="00DC2D1F" w:rsidP="00DC2D1F">
            <w:pPr>
              <w:rPr>
                <w:sz w:val="20"/>
                <w:szCs w:val="20"/>
              </w:rPr>
            </w:pPr>
            <w:r w:rsidRPr="00A935AA">
              <w:rPr>
                <w:sz w:val="20"/>
                <w:szCs w:val="20"/>
              </w:rPr>
              <w:t>FILING DATE: 2</w:t>
            </w:r>
            <w:r>
              <w:rPr>
                <w:sz w:val="20"/>
                <w:szCs w:val="20"/>
              </w:rPr>
              <w:t>5</w:t>
            </w:r>
            <w:r w:rsidRPr="00A935AA">
              <w:rPr>
                <w:sz w:val="20"/>
                <w:szCs w:val="20"/>
              </w:rPr>
              <w:t>.</w:t>
            </w:r>
            <w:r>
              <w:rPr>
                <w:sz w:val="20"/>
                <w:szCs w:val="20"/>
              </w:rPr>
              <w:t>1</w:t>
            </w:r>
            <w:r w:rsidRPr="00A935AA">
              <w:rPr>
                <w:sz w:val="20"/>
                <w:szCs w:val="20"/>
              </w:rPr>
              <w:t>0.201</w:t>
            </w:r>
            <w:r>
              <w:rPr>
                <w:sz w:val="20"/>
                <w:szCs w:val="20"/>
              </w:rPr>
              <w:t>2</w:t>
            </w:r>
            <w:r w:rsidRPr="00BF3B03">
              <w:rPr>
                <w:sz w:val="20"/>
                <w:szCs w:val="20"/>
                <w:lang w:val="fr-CA"/>
              </w:rPr>
              <w:pict>
                <v:rect id="_x0000_i1118" style="width:108pt;height:1pt" o:hrpct="0" o:hralign="center" o:hrstd="t" o:hrnoshade="t" o:hr="t" fillcolor="black [3213]" stroked="f"/>
              </w:pict>
            </w:r>
          </w:p>
        </w:tc>
      </w:tr>
      <w:tr w:rsidR="009D0C06" w:rsidRPr="00A935AA" w:rsidTr="003B3977">
        <w:trPr>
          <w:cantSplit/>
        </w:trPr>
        <w:tc>
          <w:tcPr>
            <w:tcW w:w="4320" w:type="dxa"/>
            <w:shd w:val="clear" w:color="auto" w:fill="auto"/>
          </w:tcPr>
          <w:p w:rsidR="004F2BEC" w:rsidRPr="004F2BEC" w:rsidRDefault="004F2BEC" w:rsidP="009D0C06">
            <w:pPr>
              <w:rPr>
                <w:b/>
                <w:sz w:val="20"/>
                <w:szCs w:val="20"/>
              </w:rPr>
            </w:pPr>
            <w:r w:rsidRPr="004F2BEC">
              <w:rPr>
                <w:b/>
                <w:sz w:val="20"/>
                <w:szCs w:val="20"/>
              </w:rPr>
              <w:t>Inderjit Singh Reyat</w:t>
            </w:r>
          </w:p>
          <w:p w:rsidR="009D0C06" w:rsidRPr="004F2BEC" w:rsidRDefault="009D0C06" w:rsidP="009D0C06">
            <w:pPr>
              <w:tabs>
                <w:tab w:val="left" w:pos="-1440"/>
                <w:tab w:val="left" w:pos="-720"/>
              </w:tabs>
              <w:rPr>
                <w:sz w:val="20"/>
                <w:szCs w:val="20"/>
              </w:rPr>
            </w:pPr>
            <w:r w:rsidRPr="004F2BEC">
              <w:rPr>
                <w:sz w:val="20"/>
                <w:szCs w:val="20"/>
              </w:rPr>
              <w:tab/>
            </w:r>
            <w:r w:rsidR="004F2BEC" w:rsidRPr="004F2BEC">
              <w:rPr>
                <w:sz w:val="20"/>
                <w:szCs w:val="20"/>
              </w:rPr>
              <w:t>Ian Donaldson, Q.C.</w:t>
            </w:r>
          </w:p>
          <w:p w:rsidR="009D0C06" w:rsidRPr="004F2BEC" w:rsidRDefault="009D0C06" w:rsidP="009D0C06">
            <w:pPr>
              <w:tabs>
                <w:tab w:val="left" w:pos="-1440"/>
                <w:tab w:val="left" w:pos="-720"/>
              </w:tabs>
              <w:rPr>
                <w:sz w:val="20"/>
                <w:szCs w:val="20"/>
              </w:rPr>
            </w:pPr>
            <w:r w:rsidRPr="004F2BEC">
              <w:rPr>
                <w:sz w:val="20"/>
                <w:szCs w:val="20"/>
              </w:rPr>
              <w:tab/>
            </w:r>
            <w:r w:rsidR="004F2BEC">
              <w:rPr>
                <w:sz w:val="20"/>
                <w:szCs w:val="20"/>
              </w:rPr>
              <w:t>Donaldson’s</w:t>
            </w:r>
          </w:p>
          <w:p w:rsidR="009D0C06" w:rsidRPr="004F2BEC" w:rsidRDefault="009D0C06" w:rsidP="009D0C06">
            <w:pPr>
              <w:tabs>
                <w:tab w:val="left" w:pos="-1440"/>
                <w:tab w:val="left" w:pos="-720"/>
              </w:tabs>
              <w:rPr>
                <w:sz w:val="20"/>
                <w:szCs w:val="20"/>
              </w:rPr>
            </w:pPr>
          </w:p>
          <w:p w:rsidR="009D0C06" w:rsidRPr="00A935AA" w:rsidRDefault="009D0C06" w:rsidP="009D0C06">
            <w:pPr>
              <w:tabs>
                <w:tab w:val="left" w:pos="-1440"/>
                <w:tab w:val="left" w:pos="-720"/>
              </w:tabs>
              <w:rPr>
                <w:sz w:val="20"/>
                <w:szCs w:val="20"/>
              </w:rPr>
            </w:pPr>
            <w:r w:rsidRPr="004F2BEC">
              <w:rPr>
                <w:sz w:val="20"/>
                <w:szCs w:val="20"/>
              </w:rPr>
              <w:tab/>
            </w:r>
            <w:r w:rsidRPr="00A935AA">
              <w:rPr>
                <w:sz w:val="20"/>
                <w:szCs w:val="20"/>
              </w:rPr>
              <w:t>v. (3</w:t>
            </w:r>
            <w:r>
              <w:rPr>
                <w:sz w:val="20"/>
                <w:szCs w:val="20"/>
              </w:rPr>
              <w:t>5</w:t>
            </w:r>
            <w:r w:rsidR="0077555D">
              <w:rPr>
                <w:sz w:val="20"/>
                <w:szCs w:val="20"/>
              </w:rPr>
              <w:t>030</w:t>
            </w:r>
            <w:r w:rsidRPr="00A935AA">
              <w:rPr>
                <w:sz w:val="20"/>
                <w:szCs w:val="20"/>
              </w:rPr>
              <w:t>)</w:t>
            </w:r>
          </w:p>
          <w:p w:rsidR="009D0C06" w:rsidRPr="00A935AA" w:rsidRDefault="009D0C06" w:rsidP="009D0C06">
            <w:pPr>
              <w:tabs>
                <w:tab w:val="left" w:pos="-1440"/>
                <w:tab w:val="left" w:pos="-720"/>
              </w:tabs>
              <w:rPr>
                <w:sz w:val="20"/>
                <w:szCs w:val="20"/>
              </w:rPr>
            </w:pPr>
          </w:p>
          <w:p w:rsidR="009D0C06" w:rsidRPr="00A935AA" w:rsidRDefault="0077555D" w:rsidP="009D0C06">
            <w:pPr>
              <w:tabs>
                <w:tab w:val="left" w:pos="-1440"/>
                <w:tab w:val="left" w:pos="-720"/>
              </w:tabs>
              <w:rPr>
                <w:b/>
                <w:sz w:val="20"/>
                <w:szCs w:val="20"/>
              </w:rPr>
            </w:pPr>
            <w:r>
              <w:rPr>
                <w:b/>
                <w:sz w:val="20"/>
                <w:szCs w:val="20"/>
              </w:rPr>
              <w:t xml:space="preserve">Her Majesty the Queen </w:t>
            </w:r>
            <w:r w:rsidR="009D0C06" w:rsidRPr="00A935AA">
              <w:rPr>
                <w:b/>
                <w:sz w:val="20"/>
                <w:szCs w:val="20"/>
              </w:rPr>
              <w:t>(B.C.)</w:t>
            </w:r>
          </w:p>
          <w:p w:rsidR="009D0C06" w:rsidRPr="00A935AA" w:rsidRDefault="009D0C06" w:rsidP="009D0C06">
            <w:pPr>
              <w:tabs>
                <w:tab w:val="left" w:pos="-1440"/>
                <w:tab w:val="left" w:pos="-720"/>
              </w:tabs>
              <w:rPr>
                <w:sz w:val="20"/>
                <w:szCs w:val="20"/>
              </w:rPr>
            </w:pPr>
            <w:r w:rsidRPr="00A935AA">
              <w:rPr>
                <w:sz w:val="20"/>
                <w:szCs w:val="20"/>
              </w:rPr>
              <w:tab/>
            </w:r>
            <w:r w:rsidR="0077555D">
              <w:rPr>
                <w:sz w:val="20"/>
                <w:szCs w:val="20"/>
              </w:rPr>
              <w:t>Leonard T. Doust</w:t>
            </w:r>
          </w:p>
          <w:p w:rsidR="009D0C06" w:rsidRPr="00A935AA" w:rsidRDefault="009D0C06" w:rsidP="009D0C06">
            <w:pPr>
              <w:tabs>
                <w:tab w:val="left" w:pos="-1440"/>
                <w:tab w:val="left" w:pos="-720"/>
              </w:tabs>
              <w:rPr>
                <w:sz w:val="20"/>
                <w:szCs w:val="20"/>
              </w:rPr>
            </w:pPr>
            <w:r w:rsidRPr="00A935AA">
              <w:rPr>
                <w:sz w:val="20"/>
                <w:szCs w:val="20"/>
              </w:rPr>
              <w:tab/>
            </w:r>
            <w:r w:rsidR="0077555D">
              <w:rPr>
                <w:sz w:val="20"/>
                <w:szCs w:val="20"/>
              </w:rPr>
              <w:t>McCarthy Tétrault LLP</w:t>
            </w:r>
          </w:p>
          <w:p w:rsidR="009D0C06" w:rsidRPr="00A935AA" w:rsidRDefault="009D0C06" w:rsidP="009D0C06">
            <w:pPr>
              <w:tabs>
                <w:tab w:val="left" w:pos="-1440"/>
                <w:tab w:val="left" w:pos="-720"/>
              </w:tabs>
              <w:rPr>
                <w:sz w:val="20"/>
                <w:szCs w:val="20"/>
              </w:rPr>
            </w:pPr>
          </w:p>
          <w:p w:rsidR="009D0C06" w:rsidRPr="00A935AA" w:rsidRDefault="009D0C06" w:rsidP="009D0C06">
            <w:pPr>
              <w:rPr>
                <w:sz w:val="20"/>
                <w:szCs w:val="20"/>
              </w:rPr>
            </w:pPr>
            <w:r w:rsidRPr="00A935AA">
              <w:rPr>
                <w:sz w:val="20"/>
                <w:szCs w:val="20"/>
              </w:rPr>
              <w:t>FILING DATE: 2</w:t>
            </w:r>
            <w:r w:rsidR="0077555D">
              <w:rPr>
                <w:sz w:val="20"/>
                <w:szCs w:val="20"/>
              </w:rPr>
              <w:t>4</w:t>
            </w:r>
            <w:r w:rsidRPr="00A935AA">
              <w:rPr>
                <w:sz w:val="20"/>
                <w:szCs w:val="20"/>
              </w:rPr>
              <w:t>.</w:t>
            </w:r>
            <w:r>
              <w:rPr>
                <w:sz w:val="20"/>
                <w:szCs w:val="20"/>
              </w:rPr>
              <w:t>10</w:t>
            </w:r>
            <w:r w:rsidRPr="00A935AA">
              <w:rPr>
                <w:sz w:val="20"/>
                <w:szCs w:val="20"/>
              </w:rPr>
              <w:t>.201</w:t>
            </w:r>
            <w:r>
              <w:rPr>
                <w:sz w:val="20"/>
                <w:szCs w:val="20"/>
              </w:rPr>
              <w:t>2</w:t>
            </w:r>
          </w:p>
          <w:p w:rsidR="009D0C06" w:rsidRPr="00A935AA" w:rsidRDefault="00BF3B03" w:rsidP="009D0C06">
            <w:pPr>
              <w:rPr>
                <w:sz w:val="20"/>
                <w:szCs w:val="20"/>
              </w:rPr>
            </w:pPr>
            <w:r w:rsidRPr="00BF3B03">
              <w:rPr>
                <w:sz w:val="20"/>
                <w:szCs w:val="20"/>
                <w:lang w:val="fr-CA"/>
              </w:rPr>
              <w:pict>
                <v:rect id="_x0000_i1031" style="width:108pt;height:1pt" o:hrpct="0" o:hralign="center" o:hrstd="t" o:hrnoshade="t" o:hr="t" fillcolor="black [3213]" stroked="f"/>
              </w:pict>
            </w:r>
          </w:p>
        </w:tc>
        <w:tc>
          <w:tcPr>
            <w:tcW w:w="1181" w:type="dxa"/>
            <w:shd w:val="clear" w:color="auto" w:fill="auto"/>
          </w:tcPr>
          <w:p w:rsidR="009D0C06" w:rsidRPr="00A935AA" w:rsidRDefault="009D0C06" w:rsidP="00242AEE">
            <w:pPr>
              <w:jc w:val="center"/>
              <w:rPr>
                <w:sz w:val="20"/>
                <w:szCs w:val="20"/>
              </w:rPr>
            </w:pPr>
          </w:p>
          <w:p w:rsidR="009D0C06" w:rsidRPr="00A935AA" w:rsidRDefault="009D0C06" w:rsidP="00242AEE">
            <w:pPr>
              <w:jc w:val="center"/>
              <w:rPr>
                <w:sz w:val="20"/>
                <w:szCs w:val="20"/>
              </w:rPr>
            </w:pPr>
          </w:p>
          <w:p w:rsidR="009D0C06" w:rsidRPr="00A935AA" w:rsidRDefault="009D0C06" w:rsidP="00242AEE">
            <w:pPr>
              <w:jc w:val="center"/>
              <w:rPr>
                <w:sz w:val="20"/>
                <w:szCs w:val="20"/>
              </w:rPr>
            </w:pPr>
          </w:p>
          <w:p w:rsidR="009D0C06" w:rsidRPr="00A935AA" w:rsidRDefault="009D0C06" w:rsidP="00242AEE">
            <w:pPr>
              <w:jc w:val="center"/>
              <w:rPr>
                <w:sz w:val="20"/>
                <w:szCs w:val="20"/>
              </w:rPr>
            </w:pPr>
          </w:p>
          <w:p w:rsidR="009D0C06" w:rsidRPr="00A935AA" w:rsidRDefault="009D0C06" w:rsidP="00242AEE">
            <w:pPr>
              <w:jc w:val="center"/>
              <w:rPr>
                <w:sz w:val="20"/>
                <w:szCs w:val="20"/>
              </w:rPr>
            </w:pPr>
          </w:p>
          <w:p w:rsidR="009D0C06" w:rsidRPr="00A935AA" w:rsidRDefault="009D0C06" w:rsidP="00242AEE">
            <w:pPr>
              <w:jc w:val="center"/>
              <w:rPr>
                <w:sz w:val="20"/>
                <w:szCs w:val="20"/>
              </w:rPr>
            </w:pPr>
          </w:p>
          <w:p w:rsidR="009D0C06" w:rsidRPr="00A935AA" w:rsidRDefault="009D0C06" w:rsidP="00242AEE">
            <w:pPr>
              <w:jc w:val="center"/>
              <w:rPr>
                <w:sz w:val="20"/>
                <w:szCs w:val="20"/>
              </w:rPr>
            </w:pPr>
          </w:p>
          <w:p w:rsidR="009D0C06" w:rsidRPr="00A935AA" w:rsidRDefault="009D0C06" w:rsidP="00242AEE">
            <w:pPr>
              <w:jc w:val="center"/>
              <w:rPr>
                <w:sz w:val="20"/>
                <w:szCs w:val="20"/>
              </w:rPr>
            </w:pPr>
          </w:p>
          <w:p w:rsidR="009D0C06" w:rsidRPr="00A935AA" w:rsidRDefault="009D0C06" w:rsidP="00242AEE">
            <w:pPr>
              <w:jc w:val="center"/>
              <w:rPr>
                <w:sz w:val="20"/>
                <w:szCs w:val="20"/>
              </w:rPr>
            </w:pPr>
          </w:p>
          <w:p w:rsidR="009D0C06" w:rsidRPr="00A935AA" w:rsidRDefault="009D0C06" w:rsidP="00242AEE">
            <w:pPr>
              <w:jc w:val="center"/>
              <w:rPr>
                <w:sz w:val="20"/>
                <w:szCs w:val="20"/>
              </w:rPr>
            </w:pPr>
          </w:p>
          <w:p w:rsidR="009D0C06" w:rsidRPr="00A935AA" w:rsidRDefault="009D0C06" w:rsidP="00242AEE">
            <w:pPr>
              <w:jc w:val="center"/>
              <w:rPr>
                <w:sz w:val="20"/>
                <w:szCs w:val="20"/>
              </w:rPr>
            </w:pPr>
          </w:p>
          <w:p w:rsidR="009D0C06" w:rsidRDefault="009D0C06" w:rsidP="00242AEE">
            <w:pPr>
              <w:jc w:val="center"/>
              <w:rPr>
                <w:sz w:val="20"/>
                <w:szCs w:val="20"/>
              </w:rPr>
            </w:pPr>
          </w:p>
          <w:p w:rsidR="00DC2D1F" w:rsidRDefault="00DC2D1F" w:rsidP="00242AEE">
            <w:pPr>
              <w:jc w:val="center"/>
              <w:rPr>
                <w:sz w:val="20"/>
                <w:szCs w:val="20"/>
              </w:rPr>
            </w:pPr>
          </w:p>
          <w:p w:rsidR="00DC2D1F" w:rsidRPr="00A935AA" w:rsidRDefault="00DC2D1F" w:rsidP="00242AEE">
            <w:pPr>
              <w:jc w:val="center"/>
              <w:rPr>
                <w:sz w:val="20"/>
                <w:szCs w:val="20"/>
              </w:rPr>
            </w:pPr>
          </w:p>
          <w:p w:rsidR="009D0C06" w:rsidRPr="00A935AA" w:rsidRDefault="009D0C06" w:rsidP="00242AEE">
            <w:pPr>
              <w:jc w:val="center"/>
              <w:rPr>
                <w:sz w:val="20"/>
                <w:szCs w:val="20"/>
              </w:rPr>
            </w:pPr>
          </w:p>
        </w:tc>
        <w:tc>
          <w:tcPr>
            <w:tcW w:w="4320" w:type="dxa"/>
            <w:shd w:val="clear" w:color="auto" w:fill="auto"/>
          </w:tcPr>
          <w:p w:rsidR="00DC2D1F" w:rsidRDefault="00DC2D1F" w:rsidP="0077555D">
            <w:pPr>
              <w:rPr>
                <w:b/>
                <w:sz w:val="20"/>
                <w:szCs w:val="20"/>
                <w:lang w:val="fr-CA"/>
              </w:rPr>
            </w:pPr>
          </w:p>
          <w:p w:rsidR="00DC2D1F" w:rsidRPr="00DC2D1F" w:rsidRDefault="00DC2D1F" w:rsidP="0077555D">
            <w:pPr>
              <w:rPr>
                <w:b/>
                <w:sz w:val="20"/>
                <w:szCs w:val="20"/>
                <w:lang w:val="fr-CA"/>
              </w:rPr>
            </w:pPr>
            <w:r w:rsidRPr="00DC2D1F">
              <w:rPr>
                <w:b/>
                <w:sz w:val="20"/>
                <w:szCs w:val="20"/>
                <w:lang w:val="fr-CA"/>
              </w:rPr>
              <w:t>Douglas Martin</w:t>
            </w:r>
          </w:p>
          <w:p w:rsidR="00DC2D1F" w:rsidRPr="00A935AA" w:rsidRDefault="00DC2D1F" w:rsidP="00DC2D1F">
            <w:pPr>
              <w:tabs>
                <w:tab w:val="left" w:pos="-1440"/>
                <w:tab w:val="left" w:pos="-720"/>
              </w:tabs>
              <w:rPr>
                <w:sz w:val="20"/>
                <w:szCs w:val="20"/>
              </w:rPr>
            </w:pPr>
            <w:r w:rsidRPr="00A935AA">
              <w:rPr>
                <w:sz w:val="20"/>
                <w:szCs w:val="20"/>
              </w:rPr>
              <w:tab/>
            </w:r>
            <w:r>
              <w:rPr>
                <w:sz w:val="20"/>
                <w:szCs w:val="20"/>
              </w:rPr>
              <w:t>Andrew Raven</w:t>
            </w:r>
          </w:p>
          <w:p w:rsidR="00DC2D1F" w:rsidRPr="00A935AA" w:rsidRDefault="00DC2D1F" w:rsidP="00DC2D1F">
            <w:pPr>
              <w:tabs>
                <w:tab w:val="left" w:pos="-1440"/>
                <w:tab w:val="left" w:pos="-720"/>
              </w:tabs>
              <w:rPr>
                <w:sz w:val="20"/>
                <w:szCs w:val="20"/>
              </w:rPr>
            </w:pPr>
            <w:r w:rsidRPr="00A935AA">
              <w:rPr>
                <w:sz w:val="20"/>
                <w:szCs w:val="20"/>
              </w:rPr>
              <w:tab/>
            </w:r>
            <w:r>
              <w:rPr>
                <w:sz w:val="20"/>
                <w:szCs w:val="20"/>
              </w:rPr>
              <w:t xml:space="preserve">Raven, Cameron, Ballantyne &amp; Yazbeck </w:t>
            </w:r>
            <w:r>
              <w:rPr>
                <w:sz w:val="20"/>
                <w:szCs w:val="20"/>
              </w:rPr>
              <w:tab/>
              <w:t>LLP</w:t>
            </w:r>
          </w:p>
          <w:p w:rsidR="00DC2D1F" w:rsidRPr="00A935AA" w:rsidRDefault="00DC2D1F" w:rsidP="00DC2D1F">
            <w:pPr>
              <w:tabs>
                <w:tab w:val="left" w:pos="-1440"/>
                <w:tab w:val="left" w:pos="-720"/>
              </w:tabs>
              <w:rPr>
                <w:sz w:val="20"/>
                <w:szCs w:val="20"/>
              </w:rPr>
            </w:pPr>
          </w:p>
          <w:p w:rsidR="00DC2D1F" w:rsidRPr="00A935AA" w:rsidRDefault="00DC2D1F" w:rsidP="00DC2D1F">
            <w:pPr>
              <w:tabs>
                <w:tab w:val="left" w:pos="-1440"/>
                <w:tab w:val="left" w:pos="-720"/>
              </w:tabs>
              <w:rPr>
                <w:sz w:val="20"/>
                <w:szCs w:val="20"/>
              </w:rPr>
            </w:pPr>
            <w:r w:rsidRPr="00A935AA">
              <w:rPr>
                <w:sz w:val="20"/>
                <w:szCs w:val="20"/>
              </w:rPr>
              <w:tab/>
              <w:t>v. (3</w:t>
            </w:r>
            <w:r>
              <w:rPr>
                <w:sz w:val="20"/>
                <w:szCs w:val="20"/>
              </w:rPr>
              <w:t>5052</w:t>
            </w:r>
            <w:r w:rsidRPr="00A935AA">
              <w:rPr>
                <w:sz w:val="20"/>
                <w:szCs w:val="20"/>
              </w:rPr>
              <w:t>)</w:t>
            </w:r>
          </w:p>
          <w:p w:rsidR="00DC2D1F" w:rsidRPr="00A935AA" w:rsidRDefault="00DC2D1F" w:rsidP="00DC2D1F">
            <w:pPr>
              <w:tabs>
                <w:tab w:val="left" w:pos="-1440"/>
                <w:tab w:val="left" w:pos="-720"/>
              </w:tabs>
              <w:rPr>
                <w:sz w:val="20"/>
                <w:szCs w:val="20"/>
              </w:rPr>
            </w:pPr>
          </w:p>
          <w:p w:rsidR="00DC2D1F" w:rsidRPr="00A935AA" w:rsidRDefault="00DC2D1F" w:rsidP="00DC2D1F">
            <w:pPr>
              <w:tabs>
                <w:tab w:val="left" w:pos="-1440"/>
                <w:tab w:val="left" w:pos="-720"/>
              </w:tabs>
              <w:rPr>
                <w:b/>
                <w:sz w:val="20"/>
                <w:szCs w:val="20"/>
              </w:rPr>
            </w:pPr>
            <w:r>
              <w:rPr>
                <w:b/>
                <w:sz w:val="20"/>
                <w:szCs w:val="20"/>
              </w:rPr>
              <w:t xml:space="preserve">Workers’ Compensation Board of Alberta et al. </w:t>
            </w:r>
            <w:r w:rsidRPr="00A935AA">
              <w:rPr>
                <w:b/>
                <w:sz w:val="20"/>
                <w:szCs w:val="20"/>
              </w:rPr>
              <w:t>(</w:t>
            </w:r>
            <w:r>
              <w:rPr>
                <w:b/>
                <w:sz w:val="20"/>
                <w:szCs w:val="20"/>
              </w:rPr>
              <w:t>Alta</w:t>
            </w:r>
            <w:r w:rsidRPr="00A935AA">
              <w:rPr>
                <w:b/>
                <w:sz w:val="20"/>
                <w:szCs w:val="20"/>
              </w:rPr>
              <w:t>.)</w:t>
            </w:r>
          </w:p>
          <w:p w:rsidR="00DC2D1F" w:rsidRPr="00A935AA" w:rsidRDefault="00DC2D1F" w:rsidP="00DC2D1F">
            <w:pPr>
              <w:tabs>
                <w:tab w:val="left" w:pos="-1440"/>
                <w:tab w:val="left" w:pos="-720"/>
              </w:tabs>
              <w:rPr>
                <w:sz w:val="20"/>
                <w:szCs w:val="20"/>
              </w:rPr>
            </w:pPr>
            <w:r w:rsidRPr="00A935AA">
              <w:rPr>
                <w:sz w:val="20"/>
                <w:szCs w:val="20"/>
              </w:rPr>
              <w:tab/>
            </w:r>
            <w:r>
              <w:rPr>
                <w:sz w:val="20"/>
                <w:szCs w:val="20"/>
              </w:rPr>
              <w:t>Douglas R. Mah, Q.C.</w:t>
            </w:r>
          </w:p>
          <w:p w:rsidR="00DC2D1F" w:rsidRPr="0077555D" w:rsidRDefault="00DC2D1F" w:rsidP="00DC2D1F">
            <w:pPr>
              <w:tabs>
                <w:tab w:val="left" w:pos="-1440"/>
                <w:tab w:val="left" w:pos="-720"/>
              </w:tabs>
              <w:rPr>
                <w:sz w:val="20"/>
                <w:szCs w:val="20"/>
              </w:rPr>
            </w:pPr>
            <w:r w:rsidRPr="00A935AA">
              <w:rPr>
                <w:sz w:val="20"/>
                <w:szCs w:val="20"/>
              </w:rPr>
              <w:tab/>
            </w:r>
            <w:r w:rsidRPr="0077555D">
              <w:rPr>
                <w:sz w:val="20"/>
                <w:szCs w:val="20"/>
              </w:rPr>
              <w:t>Workers’ Compensation Board of Alberta</w:t>
            </w:r>
          </w:p>
          <w:p w:rsidR="00DC2D1F" w:rsidRPr="00A935AA" w:rsidRDefault="00DC2D1F" w:rsidP="00DC2D1F">
            <w:pPr>
              <w:tabs>
                <w:tab w:val="left" w:pos="-1440"/>
                <w:tab w:val="left" w:pos="-720"/>
              </w:tabs>
              <w:rPr>
                <w:sz w:val="20"/>
                <w:szCs w:val="20"/>
              </w:rPr>
            </w:pPr>
          </w:p>
          <w:p w:rsidR="00DC2D1F" w:rsidRPr="00A935AA" w:rsidRDefault="00DC2D1F" w:rsidP="00DC2D1F">
            <w:pPr>
              <w:rPr>
                <w:sz w:val="20"/>
                <w:szCs w:val="20"/>
              </w:rPr>
            </w:pPr>
            <w:r w:rsidRPr="00A935AA">
              <w:rPr>
                <w:sz w:val="20"/>
                <w:szCs w:val="20"/>
              </w:rPr>
              <w:t>FILING DATE: 2</w:t>
            </w:r>
            <w:r>
              <w:rPr>
                <w:sz w:val="20"/>
                <w:szCs w:val="20"/>
              </w:rPr>
              <w:t>6</w:t>
            </w:r>
            <w:r w:rsidRPr="00A935AA">
              <w:rPr>
                <w:sz w:val="20"/>
                <w:szCs w:val="20"/>
              </w:rPr>
              <w:t>.</w:t>
            </w:r>
            <w:r>
              <w:rPr>
                <w:sz w:val="20"/>
                <w:szCs w:val="20"/>
              </w:rPr>
              <w:t>10</w:t>
            </w:r>
            <w:r w:rsidRPr="00A935AA">
              <w:rPr>
                <w:sz w:val="20"/>
                <w:szCs w:val="20"/>
              </w:rPr>
              <w:t>.201</w:t>
            </w:r>
            <w:r>
              <w:rPr>
                <w:sz w:val="20"/>
                <w:szCs w:val="20"/>
              </w:rPr>
              <w:t>2</w:t>
            </w:r>
          </w:p>
          <w:p w:rsidR="009D0C06" w:rsidRPr="00A935AA" w:rsidRDefault="00BF3B03" w:rsidP="0077555D">
            <w:pPr>
              <w:rPr>
                <w:sz w:val="20"/>
                <w:szCs w:val="20"/>
              </w:rPr>
            </w:pPr>
            <w:r w:rsidRPr="00BF3B03">
              <w:rPr>
                <w:sz w:val="20"/>
                <w:szCs w:val="20"/>
                <w:lang w:val="fr-CA"/>
              </w:rPr>
              <w:pict>
                <v:rect id="_x0000_i1032" style="width:108pt;height:1pt" o:hrpct="0" o:hralign="center" o:hrstd="t" o:hrnoshade="t" o:hr="t" fillcolor="black [3213]" stroked="f"/>
              </w:pict>
            </w:r>
          </w:p>
        </w:tc>
      </w:tr>
      <w:tr w:rsidR="0077555D" w:rsidRPr="00A935AA" w:rsidTr="003B3977">
        <w:trPr>
          <w:cantSplit/>
        </w:trPr>
        <w:tc>
          <w:tcPr>
            <w:tcW w:w="4320" w:type="dxa"/>
            <w:shd w:val="clear" w:color="auto" w:fill="auto"/>
          </w:tcPr>
          <w:p w:rsidR="0077555D" w:rsidRPr="00880E10" w:rsidRDefault="0077555D" w:rsidP="0077555D">
            <w:pPr>
              <w:rPr>
                <w:b/>
                <w:sz w:val="20"/>
                <w:szCs w:val="20"/>
                <w:lang w:val="fr-CA"/>
              </w:rPr>
            </w:pPr>
            <w:r w:rsidRPr="00880E10">
              <w:rPr>
                <w:b/>
                <w:sz w:val="20"/>
                <w:szCs w:val="20"/>
                <w:lang w:val="fr-CA"/>
              </w:rPr>
              <w:lastRenderedPageBreak/>
              <w:t>Jacques Nadeau</w:t>
            </w:r>
          </w:p>
          <w:p w:rsidR="0077555D" w:rsidRPr="00880E10" w:rsidRDefault="0077555D" w:rsidP="0077555D">
            <w:pPr>
              <w:tabs>
                <w:tab w:val="left" w:pos="-1440"/>
                <w:tab w:val="left" w:pos="-720"/>
              </w:tabs>
              <w:rPr>
                <w:sz w:val="20"/>
                <w:szCs w:val="20"/>
                <w:lang w:val="fr-CA"/>
              </w:rPr>
            </w:pPr>
            <w:r w:rsidRPr="00880E10">
              <w:rPr>
                <w:sz w:val="20"/>
                <w:szCs w:val="20"/>
                <w:lang w:val="fr-CA"/>
              </w:rPr>
              <w:tab/>
              <w:t>Jacques Nadeau</w:t>
            </w:r>
          </w:p>
          <w:p w:rsidR="0077555D" w:rsidRPr="00880E10" w:rsidRDefault="0077555D" w:rsidP="0077555D">
            <w:pPr>
              <w:tabs>
                <w:tab w:val="left" w:pos="-1440"/>
                <w:tab w:val="left" w:pos="-720"/>
              </w:tabs>
              <w:rPr>
                <w:sz w:val="20"/>
                <w:szCs w:val="20"/>
                <w:lang w:val="fr-CA"/>
              </w:rPr>
            </w:pPr>
          </w:p>
          <w:p w:rsidR="0077555D" w:rsidRPr="0077555D" w:rsidRDefault="0077555D" w:rsidP="0077555D">
            <w:pPr>
              <w:tabs>
                <w:tab w:val="left" w:pos="-1440"/>
                <w:tab w:val="left" w:pos="-720"/>
              </w:tabs>
              <w:rPr>
                <w:sz w:val="20"/>
                <w:szCs w:val="20"/>
                <w:lang w:val="fr-CA"/>
              </w:rPr>
            </w:pPr>
            <w:r w:rsidRPr="00880E10">
              <w:rPr>
                <w:sz w:val="20"/>
                <w:szCs w:val="20"/>
                <w:lang w:val="fr-CA"/>
              </w:rPr>
              <w:tab/>
            </w:r>
            <w:r w:rsidRPr="0077555D">
              <w:rPr>
                <w:sz w:val="20"/>
                <w:szCs w:val="20"/>
                <w:lang w:val="fr-CA"/>
              </w:rPr>
              <w:t>c. (35061)</w:t>
            </w:r>
          </w:p>
          <w:p w:rsidR="0077555D" w:rsidRPr="0077555D" w:rsidRDefault="0077555D" w:rsidP="0077555D">
            <w:pPr>
              <w:tabs>
                <w:tab w:val="left" w:pos="-1440"/>
                <w:tab w:val="left" w:pos="-720"/>
              </w:tabs>
              <w:rPr>
                <w:sz w:val="20"/>
                <w:szCs w:val="20"/>
                <w:lang w:val="fr-CA"/>
              </w:rPr>
            </w:pPr>
          </w:p>
          <w:p w:rsidR="0077555D" w:rsidRPr="0077555D" w:rsidRDefault="0077555D" w:rsidP="0077555D">
            <w:pPr>
              <w:tabs>
                <w:tab w:val="left" w:pos="-1440"/>
                <w:tab w:val="left" w:pos="-720"/>
              </w:tabs>
              <w:rPr>
                <w:b/>
                <w:sz w:val="20"/>
                <w:szCs w:val="20"/>
                <w:lang w:val="fr-CA"/>
              </w:rPr>
            </w:pPr>
            <w:r w:rsidRPr="0077555D">
              <w:rPr>
                <w:b/>
                <w:sz w:val="20"/>
                <w:szCs w:val="20"/>
                <w:lang w:val="fr-CA"/>
              </w:rPr>
              <w:t>Autorité des marchés financiers (AMF) (Qc)</w:t>
            </w:r>
          </w:p>
          <w:p w:rsidR="0077555D" w:rsidRPr="00880E10" w:rsidRDefault="0077555D" w:rsidP="0077555D">
            <w:pPr>
              <w:tabs>
                <w:tab w:val="left" w:pos="-1440"/>
                <w:tab w:val="left" w:pos="-720"/>
              </w:tabs>
              <w:rPr>
                <w:sz w:val="20"/>
                <w:szCs w:val="20"/>
                <w:lang w:val="fr-CA"/>
              </w:rPr>
            </w:pPr>
            <w:r w:rsidRPr="0077555D">
              <w:rPr>
                <w:sz w:val="20"/>
                <w:szCs w:val="20"/>
                <w:lang w:val="fr-CA"/>
              </w:rPr>
              <w:tab/>
            </w:r>
            <w:r w:rsidRPr="00880E10">
              <w:rPr>
                <w:sz w:val="20"/>
                <w:szCs w:val="20"/>
                <w:lang w:val="fr-CA"/>
              </w:rPr>
              <w:t>Marie A. Pettigrew</w:t>
            </w:r>
          </w:p>
          <w:p w:rsidR="0077555D" w:rsidRPr="0077555D" w:rsidRDefault="0077555D" w:rsidP="0077555D">
            <w:pPr>
              <w:tabs>
                <w:tab w:val="left" w:pos="-1440"/>
                <w:tab w:val="left" w:pos="-720"/>
              </w:tabs>
              <w:rPr>
                <w:sz w:val="20"/>
                <w:szCs w:val="20"/>
                <w:lang w:val="fr-CA"/>
              </w:rPr>
            </w:pPr>
            <w:r w:rsidRPr="00880E10">
              <w:rPr>
                <w:sz w:val="20"/>
                <w:szCs w:val="20"/>
                <w:lang w:val="fr-CA"/>
              </w:rPr>
              <w:tab/>
            </w:r>
            <w:r w:rsidRPr="0077555D">
              <w:rPr>
                <w:sz w:val="20"/>
                <w:szCs w:val="20"/>
                <w:lang w:val="fr-CA"/>
              </w:rPr>
              <w:t xml:space="preserve">Girard &amp; AL., Direction du contentieux </w:t>
            </w:r>
            <w:r w:rsidRPr="0077555D">
              <w:rPr>
                <w:sz w:val="20"/>
                <w:szCs w:val="20"/>
                <w:lang w:val="fr-CA"/>
              </w:rPr>
              <w:tab/>
              <w:t>Autorité des marchés financiers</w:t>
            </w:r>
          </w:p>
          <w:p w:rsidR="0077555D" w:rsidRPr="0077555D" w:rsidRDefault="0077555D" w:rsidP="0077555D">
            <w:pPr>
              <w:tabs>
                <w:tab w:val="left" w:pos="-1440"/>
                <w:tab w:val="left" w:pos="-720"/>
              </w:tabs>
              <w:rPr>
                <w:sz w:val="20"/>
                <w:szCs w:val="20"/>
                <w:lang w:val="fr-CA"/>
              </w:rPr>
            </w:pPr>
          </w:p>
          <w:p w:rsidR="0077555D" w:rsidRPr="00A935AA" w:rsidRDefault="0077555D" w:rsidP="0077555D">
            <w:pPr>
              <w:rPr>
                <w:sz w:val="20"/>
                <w:szCs w:val="20"/>
              </w:rPr>
            </w:pPr>
            <w:r w:rsidRPr="00A935AA">
              <w:rPr>
                <w:sz w:val="20"/>
                <w:szCs w:val="20"/>
              </w:rPr>
              <w:t>DATE</w:t>
            </w:r>
            <w:r>
              <w:rPr>
                <w:sz w:val="20"/>
                <w:szCs w:val="20"/>
              </w:rPr>
              <w:t xml:space="preserve"> DE PRODUCTION </w:t>
            </w:r>
            <w:r w:rsidRPr="00A935AA">
              <w:rPr>
                <w:sz w:val="20"/>
                <w:szCs w:val="20"/>
              </w:rPr>
              <w:t>: 2</w:t>
            </w:r>
            <w:r>
              <w:rPr>
                <w:sz w:val="20"/>
                <w:szCs w:val="20"/>
              </w:rPr>
              <w:t>9</w:t>
            </w:r>
            <w:r w:rsidRPr="00A935AA">
              <w:rPr>
                <w:sz w:val="20"/>
                <w:szCs w:val="20"/>
              </w:rPr>
              <w:t>.</w:t>
            </w:r>
            <w:r>
              <w:rPr>
                <w:sz w:val="20"/>
                <w:szCs w:val="20"/>
              </w:rPr>
              <w:t>10</w:t>
            </w:r>
            <w:r w:rsidRPr="00A935AA">
              <w:rPr>
                <w:sz w:val="20"/>
                <w:szCs w:val="20"/>
              </w:rPr>
              <w:t>.201</w:t>
            </w:r>
            <w:r>
              <w:rPr>
                <w:sz w:val="20"/>
                <w:szCs w:val="20"/>
              </w:rPr>
              <w:t>2</w:t>
            </w:r>
          </w:p>
          <w:p w:rsidR="0077555D" w:rsidRPr="00A935AA" w:rsidRDefault="00BF3B03" w:rsidP="0077555D">
            <w:pPr>
              <w:rPr>
                <w:sz w:val="20"/>
                <w:szCs w:val="20"/>
              </w:rPr>
            </w:pPr>
            <w:r w:rsidRPr="00BF3B03">
              <w:rPr>
                <w:sz w:val="20"/>
                <w:szCs w:val="20"/>
                <w:lang w:val="fr-CA"/>
              </w:rPr>
              <w:pict>
                <v:rect id="_x0000_i1033" style="width:108pt;height:1pt" o:hrpct="0" o:hralign="center" o:hrstd="t" o:hrnoshade="t" o:hr="t" fillcolor="black [3213]" stroked="f"/>
              </w:pict>
            </w:r>
          </w:p>
        </w:tc>
        <w:tc>
          <w:tcPr>
            <w:tcW w:w="1181" w:type="dxa"/>
            <w:shd w:val="clear" w:color="auto" w:fill="auto"/>
          </w:tcPr>
          <w:p w:rsidR="0077555D" w:rsidRPr="00A935AA" w:rsidRDefault="0077555D" w:rsidP="00242AEE">
            <w:pPr>
              <w:jc w:val="center"/>
              <w:rPr>
                <w:sz w:val="20"/>
                <w:szCs w:val="20"/>
              </w:rPr>
            </w:pPr>
          </w:p>
          <w:p w:rsidR="0077555D" w:rsidRPr="00A935AA" w:rsidRDefault="0077555D" w:rsidP="00242AEE">
            <w:pPr>
              <w:jc w:val="center"/>
              <w:rPr>
                <w:sz w:val="20"/>
                <w:szCs w:val="20"/>
              </w:rPr>
            </w:pPr>
          </w:p>
          <w:p w:rsidR="0077555D" w:rsidRPr="00A935AA" w:rsidRDefault="0077555D" w:rsidP="00242AEE">
            <w:pPr>
              <w:jc w:val="center"/>
              <w:rPr>
                <w:sz w:val="20"/>
                <w:szCs w:val="20"/>
              </w:rPr>
            </w:pPr>
          </w:p>
          <w:p w:rsidR="0077555D" w:rsidRPr="00A935AA" w:rsidRDefault="0077555D" w:rsidP="00242AEE">
            <w:pPr>
              <w:jc w:val="center"/>
              <w:rPr>
                <w:sz w:val="20"/>
                <w:szCs w:val="20"/>
              </w:rPr>
            </w:pPr>
          </w:p>
          <w:p w:rsidR="0077555D" w:rsidRPr="00A935AA" w:rsidRDefault="0077555D" w:rsidP="00242AEE">
            <w:pPr>
              <w:jc w:val="center"/>
              <w:rPr>
                <w:sz w:val="20"/>
                <w:szCs w:val="20"/>
              </w:rPr>
            </w:pPr>
          </w:p>
          <w:p w:rsidR="0077555D" w:rsidRPr="00A935AA" w:rsidRDefault="0077555D" w:rsidP="00242AEE">
            <w:pPr>
              <w:jc w:val="center"/>
              <w:rPr>
                <w:sz w:val="20"/>
                <w:szCs w:val="20"/>
              </w:rPr>
            </w:pPr>
          </w:p>
          <w:p w:rsidR="0077555D" w:rsidRPr="00A935AA" w:rsidRDefault="0077555D" w:rsidP="00242AEE">
            <w:pPr>
              <w:jc w:val="center"/>
              <w:rPr>
                <w:sz w:val="20"/>
                <w:szCs w:val="20"/>
              </w:rPr>
            </w:pPr>
          </w:p>
          <w:p w:rsidR="0077555D" w:rsidRPr="00A935AA" w:rsidRDefault="0077555D" w:rsidP="00242AEE">
            <w:pPr>
              <w:jc w:val="center"/>
              <w:rPr>
                <w:sz w:val="20"/>
                <w:szCs w:val="20"/>
              </w:rPr>
            </w:pPr>
          </w:p>
          <w:p w:rsidR="0077555D" w:rsidRPr="00A935AA" w:rsidRDefault="0077555D" w:rsidP="00242AEE">
            <w:pPr>
              <w:jc w:val="center"/>
              <w:rPr>
                <w:sz w:val="20"/>
                <w:szCs w:val="20"/>
              </w:rPr>
            </w:pPr>
          </w:p>
          <w:p w:rsidR="0077555D" w:rsidRPr="00A935AA" w:rsidRDefault="0077555D" w:rsidP="00242AEE">
            <w:pPr>
              <w:jc w:val="center"/>
              <w:rPr>
                <w:sz w:val="20"/>
                <w:szCs w:val="20"/>
              </w:rPr>
            </w:pPr>
          </w:p>
          <w:p w:rsidR="0077555D" w:rsidRPr="00A935AA" w:rsidRDefault="0077555D" w:rsidP="00242AEE">
            <w:pPr>
              <w:jc w:val="center"/>
              <w:rPr>
                <w:sz w:val="20"/>
                <w:szCs w:val="20"/>
              </w:rPr>
            </w:pPr>
          </w:p>
          <w:p w:rsidR="0077555D" w:rsidRPr="00A935AA" w:rsidRDefault="0077555D" w:rsidP="00242AEE">
            <w:pPr>
              <w:jc w:val="center"/>
              <w:rPr>
                <w:sz w:val="20"/>
                <w:szCs w:val="20"/>
              </w:rPr>
            </w:pPr>
          </w:p>
          <w:p w:rsidR="0077555D" w:rsidRPr="00A935AA" w:rsidRDefault="0077555D" w:rsidP="00242AEE">
            <w:pPr>
              <w:jc w:val="center"/>
              <w:rPr>
                <w:sz w:val="20"/>
                <w:szCs w:val="20"/>
              </w:rPr>
            </w:pPr>
          </w:p>
        </w:tc>
        <w:tc>
          <w:tcPr>
            <w:tcW w:w="4320" w:type="dxa"/>
            <w:shd w:val="clear" w:color="auto" w:fill="auto"/>
          </w:tcPr>
          <w:p w:rsidR="0077555D" w:rsidRPr="00A935AA" w:rsidRDefault="0077555D" w:rsidP="009D0C06">
            <w:pPr>
              <w:keepNext/>
              <w:keepLines/>
              <w:tabs>
                <w:tab w:val="left" w:pos="-1440"/>
                <w:tab w:val="left" w:pos="-720"/>
              </w:tabs>
              <w:rPr>
                <w:b/>
                <w:sz w:val="20"/>
                <w:szCs w:val="20"/>
              </w:rPr>
            </w:pPr>
            <w:r>
              <w:rPr>
                <w:b/>
                <w:sz w:val="20"/>
                <w:szCs w:val="20"/>
              </w:rPr>
              <w:t>Jorrell Simpson-Rowe (a young person)</w:t>
            </w:r>
          </w:p>
          <w:p w:rsidR="0077555D" w:rsidRPr="00A935AA" w:rsidRDefault="0077555D" w:rsidP="009D0C06">
            <w:pPr>
              <w:keepNext/>
              <w:keepLines/>
              <w:tabs>
                <w:tab w:val="left" w:pos="-1440"/>
                <w:tab w:val="left" w:pos="-720"/>
              </w:tabs>
              <w:rPr>
                <w:sz w:val="20"/>
                <w:szCs w:val="20"/>
              </w:rPr>
            </w:pPr>
            <w:r w:rsidRPr="00A935AA">
              <w:rPr>
                <w:sz w:val="20"/>
                <w:szCs w:val="20"/>
              </w:rPr>
              <w:tab/>
            </w:r>
            <w:r>
              <w:rPr>
                <w:sz w:val="20"/>
                <w:szCs w:val="20"/>
              </w:rPr>
              <w:t>P. Andras Schreck</w:t>
            </w:r>
          </w:p>
          <w:p w:rsidR="0077555D" w:rsidRPr="00A935AA" w:rsidRDefault="0077555D" w:rsidP="009D0C06">
            <w:pPr>
              <w:keepNext/>
              <w:keepLines/>
              <w:tabs>
                <w:tab w:val="left" w:pos="-1440"/>
                <w:tab w:val="left" w:pos="-720"/>
              </w:tabs>
              <w:rPr>
                <w:sz w:val="20"/>
                <w:szCs w:val="20"/>
              </w:rPr>
            </w:pPr>
            <w:r w:rsidRPr="00A935AA">
              <w:rPr>
                <w:sz w:val="20"/>
                <w:szCs w:val="20"/>
              </w:rPr>
              <w:tab/>
            </w:r>
            <w:r>
              <w:rPr>
                <w:sz w:val="20"/>
                <w:szCs w:val="20"/>
              </w:rPr>
              <w:t>Schreck Presser LLP</w:t>
            </w:r>
          </w:p>
          <w:p w:rsidR="0077555D" w:rsidRPr="00A935AA" w:rsidRDefault="0077555D" w:rsidP="009D0C06">
            <w:pPr>
              <w:keepNext/>
              <w:keepLines/>
              <w:tabs>
                <w:tab w:val="left" w:pos="-1440"/>
                <w:tab w:val="left" w:pos="-720"/>
              </w:tabs>
              <w:rPr>
                <w:sz w:val="20"/>
                <w:szCs w:val="20"/>
              </w:rPr>
            </w:pPr>
          </w:p>
          <w:p w:rsidR="0077555D" w:rsidRPr="0077555D" w:rsidRDefault="0077555D" w:rsidP="009D0C06">
            <w:pPr>
              <w:keepNext/>
              <w:keepLines/>
              <w:tabs>
                <w:tab w:val="left" w:pos="-1440"/>
                <w:tab w:val="left" w:pos="-720"/>
              </w:tabs>
              <w:rPr>
                <w:sz w:val="20"/>
                <w:szCs w:val="20"/>
              </w:rPr>
            </w:pPr>
            <w:r w:rsidRPr="00A935AA">
              <w:rPr>
                <w:sz w:val="20"/>
                <w:szCs w:val="20"/>
              </w:rPr>
              <w:tab/>
            </w:r>
            <w:r w:rsidRPr="0077555D">
              <w:rPr>
                <w:sz w:val="20"/>
                <w:szCs w:val="20"/>
              </w:rPr>
              <w:t>v. (35</w:t>
            </w:r>
            <w:r>
              <w:rPr>
                <w:sz w:val="20"/>
                <w:szCs w:val="20"/>
              </w:rPr>
              <w:t>056</w:t>
            </w:r>
            <w:r w:rsidRPr="0077555D">
              <w:rPr>
                <w:sz w:val="20"/>
                <w:szCs w:val="20"/>
              </w:rPr>
              <w:t>)</w:t>
            </w:r>
          </w:p>
          <w:p w:rsidR="0077555D" w:rsidRPr="0077555D" w:rsidRDefault="0077555D" w:rsidP="009D0C06">
            <w:pPr>
              <w:keepNext/>
              <w:keepLines/>
              <w:tabs>
                <w:tab w:val="left" w:pos="-1440"/>
                <w:tab w:val="left" w:pos="-720"/>
              </w:tabs>
              <w:rPr>
                <w:sz w:val="20"/>
                <w:szCs w:val="20"/>
              </w:rPr>
            </w:pPr>
          </w:p>
          <w:p w:rsidR="0077555D" w:rsidRPr="0077555D" w:rsidRDefault="0077555D" w:rsidP="009D0C06">
            <w:pPr>
              <w:keepNext/>
              <w:keepLines/>
              <w:tabs>
                <w:tab w:val="left" w:pos="-1440"/>
                <w:tab w:val="left" w:pos="-720"/>
              </w:tabs>
              <w:rPr>
                <w:b/>
                <w:sz w:val="20"/>
                <w:szCs w:val="20"/>
              </w:rPr>
            </w:pPr>
            <w:r>
              <w:rPr>
                <w:b/>
                <w:sz w:val="20"/>
                <w:szCs w:val="20"/>
              </w:rPr>
              <w:t xml:space="preserve">Her Majesty the Queen </w:t>
            </w:r>
            <w:r w:rsidRPr="0077555D">
              <w:rPr>
                <w:b/>
                <w:sz w:val="20"/>
                <w:szCs w:val="20"/>
              </w:rPr>
              <w:t>(Ont.)</w:t>
            </w:r>
          </w:p>
          <w:p w:rsidR="0077555D" w:rsidRPr="0077555D" w:rsidRDefault="0077555D" w:rsidP="009D0C06">
            <w:pPr>
              <w:keepNext/>
              <w:keepLines/>
              <w:tabs>
                <w:tab w:val="left" w:pos="-1440"/>
                <w:tab w:val="left" w:pos="-720"/>
              </w:tabs>
              <w:rPr>
                <w:sz w:val="20"/>
                <w:szCs w:val="20"/>
              </w:rPr>
            </w:pPr>
            <w:r w:rsidRPr="0077555D">
              <w:rPr>
                <w:sz w:val="20"/>
                <w:szCs w:val="20"/>
              </w:rPr>
              <w:tab/>
            </w:r>
            <w:r>
              <w:rPr>
                <w:sz w:val="20"/>
                <w:szCs w:val="20"/>
              </w:rPr>
              <w:t>Lucy Cecchetto</w:t>
            </w:r>
          </w:p>
          <w:p w:rsidR="0077555D" w:rsidRPr="0077555D" w:rsidRDefault="0077555D" w:rsidP="009D0C06">
            <w:pPr>
              <w:keepNext/>
              <w:keepLines/>
              <w:tabs>
                <w:tab w:val="left" w:pos="-1440"/>
                <w:tab w:val="left" w:pos="-720"/>
              </w:tabs>
              <w:rPr>
                <w:sz w:val="20"/>
                <w:szCs w:val="20"/>
              </w:rPr>
            </w:pPr>
            <w:r w:rsidRPr="0077555D">
              <w:rPr>
                <w:sz w:val="20"/>
                <w:szCs w:val="20"/>
              </w:rPr>
              <w:tab/>
            </w:r>
            <w:r>
              <w:rPr>
                <w:sz w:val="20"/>
                <w:szCs w:val="20"/>
              </w:rPr>
              <w:t>A.G. of Ontario</w:t>
            </w:r>
          </w:p>
          <w:p w:rsidR="0077555D" w:rsidRPr="0077555D" w:rsidRDefault="0077555D" w:rsidP="009D0C06">
            <w:pPr>
              <w:keepNext/>
              <w:keepLines/>
              <w:tabs>
                <w:tab w:val="left" w:pos="-1440"/>
                <w:tab w:val="left" w:pos="-720"/>
              </w:tabs>
              <w:rPr>
                <w:sz w:val="20"/>
                <w:szCs w:val="20"/>
              </w:rPr>
            </w:pPr>
          </w:p>
          <w:p w:rsidR="0077555D" w:rsidRPr="00A935AA" w:rsidRDefault="0077555D" w:rsidP="0077555D">
            <w:pPr>
              <w:rPr>
                <w:sz w:val="20"/>
                <w:szCs w:val="20"/>
              </w:rPr>
            </w:pPr>
            <w:r w:rsidRPr="00A935AA">
              <w:rPr>
                <w:sz w:val="20"/>
                <w:szCs w:val="20"/>
              </w:rPr>
              <w:t>FILING DATE: 2</w:t>
            </w:r>
            <w:r>
              <w:rPr>
                <w:sz w:val="20"/>
                <w:szCs w:val="20"/>
              </w:rPr>
              <w:t>9</w:t>
            </w:r>
            <w:r w:rsidRPr="00A935AA">
              <w:rPr>
                <w:sz w:val="20"/>
                <w:szCs w:val="20"/>
              </w:rPr>
              <w:t>.</w:t>
            </w:r>
            <w:r>
              <w:rPr>
                <w:sz w:val="20"/>
                <w:szCs w:val="20"/>
              </w:rPr>
              <w:t>1</w:t>
            </w:r>
            <w:r w:rsidRPr="00A935AA">
              <w:rPr>
                <w:sz w:val="20"/>
                <w:szCs w:val="20"/>
              </w:rPr>
              <w:t>0.201</w:t>
            </w:r>
            <w:r>
              <w:rPr>
                <w:sz w:val="20"/>
                <w:szCs w:val="20"/>
              </w:rPr>
              <w:t>2</w:t>
            </w:r>
            <w:r w:rsidR="00BF3B03" w:rsidRPr="00BF3B03">
              <w:rPr>
                <w:sz w:val="20"/>
                <w:szCs w:val="20"/>
                <w:lang w:val="fr-CA"/>
              </w:rPr>
              <w:pict>
                <v:rect id="_x0000_i1034" style="width:108pt;height:1pt" o:hrpct="0" o:hralign="center" o:hrstd="t" o:hrnoshade="t" o:hr="t" fillcolor="black [3213]" stroked="f"/>
              </w:pict>
            </w:r>
          </w:p>
        </w:tc>
      </w:tr>
      <w:tr w:rsidR="0077555D" w:rsidRPr="00DC2D1F" w:rsidTr="003B3977">
        <w:trPr>
          <w:cantSplit/>
        </w:trPr>
        <w:tc>
          <w:tcPr>
            <w:tcW w:w="4320" w:type="dxa"/>
            <w:shd w:val="clear" w:color="auto" w:fill="auto"/>
          </w:tcPr>
          <w:p w:rsidR="007F7AE8" w:rsidRPr="007F7AE8" w:rsidRDefault="007F7AE8" w:rsidP="0077555D">
            <w:pPr>
              <w:rPr>
                <w:b/>
                <w:sz w:val="20"/>
                <w:szCs w:val="20"/>
                <w:lang w:val="fr-CA"/>
              </w:rPr>
            </w:pPr>
            <w:r>
              <w:rPr>
                <w:b/>
                <w:sz w:val="20"/>
                <w:szCs w:val="20"/>
                <w:lang w:val="fr-CA"/>
              </w:rPr>
              <w:t>Association québécoise de l’industrie du disque, du spectacle et de la vidéo du Québec (ADISQ) et autres</w:t>
            </w:r>
          </w:p>
          <w:p w:rsidR="007F7AE8" w:rsidRPr="0077555D" w:rsidRDefault="007F7AE8" w:rsidP="007F7AE8">
            <w:pPr>
              <w:keepNext/>
              <w:keepLines/>
              <w:tabs>
                <w:tab w:val="left" w:pos="-1440"/>
                <w:tab w:val="left" w:pos="-720"/>
              </w:tabs>
              <w:rPr>
                <w:sz w:val="20"/>
                <w:szCs w:val="20"/>
                <w:lang w:val="fr-CA"/>
              </w:rPr>
            </w:pPr>
            <w:r>
              <w:rPr>
                <w:sz w:val="20"/>
                <w:szCs w:val="20"/>
                <w:lang w:val="fr-CA"/>
              </w:rPr>
              <w:t>Norman A. Dionne</w:t>
            </w:r>
          </w:p>
          <w:p w:rsidR="007F7AE8" w:rsidRPr="0077555D" w:rsidRDefault="007F7AE8" w:rsidP="007F7AE8">
            <w:pPr>
              <w:keepNext/>
              <w:keepLines/>
              <w:tabs>
                <w:tab w:val="left" w:pos="-1440"/>
                <w:tab w:val="left" w:pos="-720"/>
              </w:tabs>
              <w:rPr>
                <w:sz w:val="20"/>
                <w:szCs w:val="20"/>
                <w:lang w:val="fr-CA"/>
              </w:rPr>
            </w:pPr>
            <w:r w:rsidRPr="0077555D">
              <w:rPr>
                <w:sz w:val="20"/>
                <w:szCs w:val="20"/>
                <w:lang w:val="fr-CA"/>
              </w:rPr>
              <w:tab/>
            </w:r>
            <w:r>
              <w:rPr>
                <w:sz w:val="20"/>
                <w:szCs w:val="20"/>
                <w:lang w:val="fr-CA"/>
              </w:rPr>
              <w:t>Heenan Blaikie LLP</w:t>
            </w:r>
          </w:p>
          <w:p w:rsidR="007F7AE8" w:rsidRPr="0077555D" w:rsidRDefault="007F7AE8" w:rsidP="007F7AE8">
            <w:pPr>
              <w:keepNext/>
              <w:keepLines/>
              <w:tabs>
                <w:tab w:val="left" w:pos="-1440"/>
                <w:tab w:val="left" w:pos="-720"/>
              </w:tabs>
              <w:rPr>
                <w:sz w:val="20"/>
                <w:szCs w:val="20"/>
                <w:lang w:val="fr-CA"/>
              </w:rPr>
            </w:pPr>
          </w:p>
          <w:p w:rsidR="007F7AE8" w:rsidRPr="00A935AA" w:rsidRDefault="007F7AE8" w:rsidP="007F7AE8">
            <w:pPr>
              <w:keepNext/>
              <w:keepLines/>
              <w:tabs>
                <w:tab w:val="left" w:pos="-1440"/>
                <w:tab w:val="left" w:pos="-720"/>
              </w:tabs>
              <w:rPr>
                <w:sz w:val="20"/>
                <w:szCs w:val="20"/>
                <w:lang w:val="fr-CA"/>
              </w:rPr>
            </w:pPr>
            <w:r w:rsidRPr="0077555D">
              <w:rPr>
                <w:sz w:val="20"/>
                <w:szCs w:val="20"/>
                <w:lang w:val="fr-CA"/>
              </w:rPr>
              <w:tab/>
            </w:r>
            <w:r>
              <w:rPr>
                <w:sz w:val="20"/>
                <w:szCs w:val="20"/>
                <w:lang w:val="fr-CA"/>
              </w:rPr>
              <w:t>c</w:t>
            </w:r>
            <w:r w:rsidRPr="00A935AA">
              <w:rPr>
                <w:sz w:val="20"/>
                <w:szCs w:val="20"/>
                <w:lang w:val="fr-CA"/>
              </w:rPr>
              <w:t>. (3</w:t>
            </w:r>
            <w:r>
              <w:rPr>
                <w:sz w:val="20"/>
                <w:szCs w:val="20"/>
                <w:lang w:val="fr-CA"/>
              </w:rPr>
              <w:t>5057</w:t>
            </w:r>
            <w:r w:rsidRPr="00A935AA">
              <w:rPr>
                <w:sz w:val="20"/>
                <w:szCs w:val="20"/>
                <w:lang w:val="fr-CA"/>
              </w:rPr>
              <w:t>)</w:t>
            </w:r>
          </w:p>
          <w:p w:rsidR="007F7AE8" w:rsidRPr="00A935AA" w:rsidRDefault="007F7AE8" w:rsidP="007F7AE8">
            <w:pPr>
              <w:keepNext/>
              <w:keepLines/>
              <w:tabs>
                <w:tab w:val="left" w:pos="-1440"/>
                <w:tab w:val="left" w:pos="-720"/>
              </w:tabs>
              <w:rPr>
                <w:sz w:val="20"/>
                <w:szCs w:val="20"/>
                <w:lang w:val="fr-CA"/>
              </w:rPr>
            </w:pPr>
          </w:p>
          <w:p w:rsidR="007F7AE8" w:rsidRPr="00A935AA" w:rsidRDefault="007F7AE8" w:rsidP="007F7AE8">
            <w:pPr>
              <w:keepNext/>
              <w:keepLines/>
              <w:tabs>
                <w:tab w:val="left" w:pos="-1440"/>
                <w:tab w:val="left" w:pos="-720"/>
              </w:tabs>
              <w:rPr>
                <w:b/>
                <w:sz w:val="20"/>
                <w:szCs w:val="20"/>
                <w:lang w:val="fr-CA"/>
              </w:rPr>
            </w:pPr>
            <w:r>
              <w:rPr>
                <w:b/>
                <w:sz w:val="20"/>
                <w:szCs w:val="20"/>
                <w:lang w:val="fr-CA"/>
              </w:rPr>
              <w:t xml:space="preserve">Alliance québécoise des techniciens de l’image et du son (AQTIS) et autre </w:t>
            </w:r>
            <w:r w:rsidRPr="00A935AA">
              <w:rPr>
                <w:b/>
                <w:sz w:val="20"/>
                <w:szCs w:val="20"/>
                <w:lang w:val="fr-CA"/>
              </w:rPr>
              <w:t>(</w:t>
            </w:r>
            <w:r>
              <w:rPr>
                <w:b/>
                <w:sz w:val="20"/>
                <w:szCs w:val="20"/>
                <w:lang w:val="fr-CA"/>
              </w:rPr>
              <w:t>Qc</w:t>
            </w:r>
            <w:r w:rsidRPr="00A935AA">
              <w:rPr>
                <w:b/>
                <w:sz w:val="20"/>
                <w:szCs w:val="20"/>
                <w:lang w:val="fr-CA"/>
              </w:rPr>
              <w:t>)</w:t>
            </w:r>
          </w:p>
          <w:p w:rsidR="007F7AE8" w:rsidRPr="00A935AA" w:rsidRDefault="007F7AE8" w:rsidP="007F7AE8">
            <w:pPr>
              <w:keepNext/>
              <w:keepLines/>
              <w:tabs>
                <w:tab w:val="left" w:pos="-1440"/>
                <w:tab w:val="left" w:pos="-720"/>
              </w:tabs>
              <w:rPr>
                <w:sz w:val="20"/>
                <w:szCs w:val="20"/>
                <w:lang w:val="fr-CA"/>
              </w:rPr>
            </w:pPr>
            <w:r w:rsidRPr="00A935AA">
              <w:rPr>
                <w:sz w:val="20"/>
                <w:szCs w:val="20"/>
                <w:lang w:val="fr-CA"/>
              </w:rPr>
              <w:tab/>
            </w:r>
            <w:r>
              <w:rPr>
                <w:sz w:val="20"/>
                <w:szCs w:val="20"/>
                <w:lang w:val="fr-CA"/>
              </w:rPr>
              <w:t>Daniel Payette</w:t>
            </w:r>
          </w:p>
          <w:p w:rsidR="007F7AE8" w:rsidRPr="00A935AA" w:rsidRDefault="007F7AE8" w:rsidP="007F7AE8">
            <w:pPr>
              <w:keepNext/>
              <w:keepLines/>
              <w:tabs>
                <w:tab w:val="left" w:pos="-1440"/>
                <w:tab w:val="left" w:pos="-720"/>
              </w:tabs>
              <w:rPr>
                <w:sz w:val="20"/>
                <w:szCs w:val="20"/>
                <w:lang w:val="fr-CA"/>
              </w:rPr>
            </w:pPr>
            <w:r w:rsidRPr="00A935AA">
              <w:rPr>
                <w:sz w:val="20"/>
                <w:szCs w:val="20"/>
                <w:lang w:val="fr-CA"/>
              </w:rPr>
              <w:tab/>
            </w:r>
            <w:r>
              <w:rPr>
                <w:sz w:val="20"/>
                <w:szCs w:val="20"/>
                <w:lang w:val="fr-CA"/>
              </w:rPr>
              <w:t>Cabinet Payette</w:t>
            </w:r>
          </w:p>
          <w:p w:rsidR="007F7AE8" w:rsidRPr="00A935AA" w:rsidRDefault="007F7AE8" w:rsidP="007F7AE8">
            <w:pPr>
              <w:keepNext/>
              <w:keepLines/>
              <w:tabs>
                <w:tab w:val="left" w:pos="-1440"/>
                <w:tab w:val="left" w:pos="-720"/>
              </w:tabs>
              <w:rPr>
                <w:sz w:val="20"/>
                <w:szCs w:val="20"/>
                <w:lang w:val="fr-CA"/>
              </w:rPr>
            </w:pPr>
          </w:p>
          <w:p w:rsidR="007F7AE8" w:rsidRDefault="007F7AE8" w:rsidP="007F7AE8">
            <w:pPr>
              <w:rPr>
                <w:sz w:val="20"/>
                <w:szCs w:val="20"/>
                <w:lang w:val="fr-CA"/>
              </w:rPr>
            </w:pPr>
            <w:r w:rsidRPr="0077555D">
              <w:rPr>
                <w:sz w:val="20"/>
                <w:szCs w:val="20"/>
                <w:lang w:val="fr-CA"/>
              </w:rPr>
              <w:t>DATE</w:t>
            </w:r>
            <w:r>
              <w:rPr>
                <w:sz w:val="20"/>
                <w:szCs w:val="20"/>
                <w:lang w:val="fr-CA"/>
              </w:rPr>
              <w:t xml:space="preserve"> DE PRODUCTION </w:t>
            </w:r>
            <w:r w:rsidRPr="0077555D">
              <w:rPr>
                <w:sz w:val="20"/>
                <w:szCs w:val="20"/>
                <w:lang w:val="fr-CA"/>
              </w:rPr>
              <w:t>: 2</w:t>
            </w:r>
            <w:r>
              <w:rPr>
                <w:sz w:val="20"/>
                <w:szCs w:val="20"/>
                <w:lang w:val="fr-CA"/>
              </w:rPr>
              <w:t>9</w:t>
            </w:r>
            <w:r w:rsidRPr="0077555D">
              <w:rPr>
                <w:sz w:val="20"/>
                <w:szCs w:val="20"/>
                <w:lang w:val="fr-CA"/>
              </w:rPr>
              <w:t>.10.2012</w:t>
            </w:r>
          </w:p>
          <w:p w:rsidR="0077555D" w:rsidRPr="00A935AA" w:rsidRDefault="00BF3B03" w:rsidP="0077555D">
            <w:pPr>
              <w:rPr>
                <w:sz w:val="20"/>
                <w:szCs w:val="20"/>
              </w:rPr>
            </w:pPr>
            <w:r w:rsidRPr="00BF3B03">
              <w:rPr>
                <w:sz w:val="20"/>
                <w:szCs w:val="20"/>
                <w:lang w:val="fr-CA"/>
              </w:rPr>
              <w:pict>
                <v:rect id="_x0000_i1035" style="width:108pt;height:1pt" o:hrpct="0" o:hralign="center" o:hrstd="t" o:hrnoshade="t" o:hr="t" fillcolor="black [3213]" stroked="f"/>
              </w:pict>
            </w:r>
          </w:p>
        </w:tc>
        <w:tc>
          <w:tcPr>
            <w:tcW w:w="1181" w:type="dxa"/>
            <w:shd w:val="clear" w:color="auto" w:fill="auto"/>
          </w:tcPr>
          <w:p w:rsidR="0077555D" w:rsidRDefault="0077555D" w:rsidP="00242AEE">
            <w:pPr>
              <w:jc w:val="center"/>
              <w:rPr>
                <w:sz w:val="20"/>
                <w:szCs w:val="20"/>
              </w:rPr>
            </w:pPr>
          </w:p>
          <w:p w:rsidR="0077555D" w:rsidRDefault="0077555D" w:rsidP="00242AEE">
            <w:pPr>
              <w:jc w:val="center"/>
              <w:rPr>
                <w:sz w:val="20"/>
                <w:szCs w:val="20"/>
              </w:rPr>
            </w:pPr>
          </w:p>
          <w:p w:rsidR="0077555D" w:rsidRDefault="0077555D" w:rsidP="00242AEE">
            <w:pPr>
              <w:jc w:val="center"/>
              <w:rPr>
                <w:sz w:val="20"/>
                <w:szCs w:val="20"/>
              </w:rPr>
            </w:pPr>
          </w:p>
          <w:p w:rsidR="0077555D" w:rsidRDefault="0077555D" w:rsidP="00242AEE">
            <w:pPr>
              <w:jc w:val="center"/>
              <w:rPr>
                <w:sz w:val="20"/>
                <w:szCs w:val="20"/>
              </w:rPr>
            </w:pPr>
          </w:p>
          <w:p w:rsidR="0077555D" w:rsidRDefault="0077555D" w:rsidP="00242AEE">
            <w:pPr>
              <w:jc w:val="center"/>
              <w:rPr>
                <w:sz w:val="20"/>
                <w:szCs w:val="20"/>
              </w:rPr>
            </w:pPr>
          </w:p>
          <w:p w:rsidR="0077555D" w:rsidRDefault="0077555D" w:rsidP="00242AEE">
            <w:pPr>
              <w:jc w:val="center"/>
              <w:rPr>
                <w:sz w:val="20"/>
                <w:szCs w:val="20"/>
              </w:rPr>
            </w:pPr>
          </w:p>
          <w:p w:rsidR="0077555D" w:rsidRDefault="0077555D" w:rsidP="00242AEE">
            <w:pPr>
              <w:jc w:val="center"/>
              <w:rPr>
                <w:sz w:val="20"/>
                <w:szCs w:val="20"/>
              </w:rPr>
            </w:pPr>
          </w:p>
          <w:p w:rsidR="0077555D" w:rsidRDefault="0077555D" w:rsidP="00242AEE">
            <w:pPr>
              <w:jc w:val="center"/>
              <w:rPr>
                <w:sz w:val="20"/>
                <w:szCs w:val="20"/>
              </w:rPr>
            </w:pPr>
          </w:p>
          <w:p w:rsidR="0077555D" w:rsidRDefault="0077555D" w:rsidP="00242AEE">
            <w:pPr>
              <w:jc w:val="center"/>
              <w:rPr>
                <w:sz w:val="20"/>
                <w:szCs w:val="20"/>
              </w:rPr>
            </w:pPr>
          </w:p>
          <w:p w:rsidR="0077555D" w:rsidRDefault="0077555D" w:rsidP="00242AEE">
            <w:pPr>
              <w:jc w:val="center"/>
              <w:rPr>
                <w:sz w:val="20"/>
                <w:szCs w:val="20"/>
              </w:rPr>
            </w:pPr>
          </w:p>
          <w:p w:rsidR="0077555D" w:rsidRDefault="0077555D" w:rsidP="00242AEE">
            <w:pPr>
              <w:jc w:val="center"/>
              <w:rPr>
                <w:sz w:val="20"/>
                <w:szCs w:val="20"/>
              </w:rPr>
            </w:pPr>
          </w:p>
          <w:p w:rsidR="0077555D" w:rsidRDefault="0077555D" w:rsidP="00242AEE">
            <w:pPr>
              <w:jc w:val="center"/>
              <w:rPr>
                <w:sz w:val="20"/>
                <w:szCs w:val="20"/>
              </w:rPr>
            </w:pPr>
          </w:p>
          <w:p w:rsidR="0077555D" w:rsidRDefault="0077555D" w:rsidP="00242AEE">
            <w:pPr>
              <w:jc w:val="center"/>
              <w:rPr>
                <w:sz w:val="20"/>
                <w:szCs w:val="20"/>
              </w:rPr>
            </w:pPr>
          </w:p>
          <w:p w:rsidR="0077555D" w:rsidRPr="00A935AA" w:rsidRDefault="0077555D" w:rsidP="00242AEE">
            <w:pPr>
              <w:jc w:val="center"/>
              <w:rPr>
                <w:sz w:val="20"/>
                <w:szCs w:val="20"/>
              </w:rPr>
            </w:pPr>
          </w:p>
        </w:tc>
        <w:tc>
          <w:tcPr>
            <w:tcW w:w="4320" w:type="dxa"/>
            <w:shd w:val="clear" w:color="auto" w:fill="auto"/>
          </w:tcPr>
          <w:p w:rsidR="0077555D" w:rsidRPr="0077555D" w:rsidRDefault="0077555D" w:rsidP="003D5714">
            <w:pPr>
              <w:rPr>
                <w:sz w:val="20"/>
                <w:szCs w:val="20"/>
                <w:lang w:val="fr-CA"/>
              </w:rPr>
            </w:pPr>
          </w:p>
        </w:tc>
      </w:tr>
    </w:tbl>
    <w:p w:rsidR="006C3F47" w:rsidRPr="00880E10" w:rsidRDefault="006C3F47" w:rsidP="0095096B">
      <w:pPr>
        <w:tabs>
          <w:tab w:val="right" w:pos="9360"/>
        </w:tabs>
        <w:rPr>
          <w:sz w:val="20"/>
          <w:szCs w:val="20"/>
          <w:lang w:val="fr-CA"/>
        </w:rPr>
      </w:pPr>
    </w:p>
    <w:p w:rsidR="00242AEE" w:rsidRPr="00880E10" w:rsidRDefault="00242AEE" w:rsidP="0095096B">
      <w:pPr>
        <w:tabs>
          <w:tab w:val="right" w:pos="9360"/>
        </w:tabs>
        <w:rPr>
          <w:sz w:val="20"/>
          <w:szCs w:val="20"/>
          <w:lang w:val="fr-CA"/>
        </w:rPr>
      </w:pPr>
    </w:p>
    <w:p w:rsidR="00242AEE" w:rsidRPr="00880E10" w:rsidRDefault="00242AEE" w:rsidP="0095096B">
      <w:pPr>
        <w:tabs>
          <w:tab w:val="right" w:pos="9360"/>
        </w:tabs>
        <w:rPr>
          <w:sz w:val="20"/>
          <w:szCs w:val="20"/>
          <w:lang w:val="fr-CA"/>
        </w:rPr>
        <w:sectPr w:rsidR="00242AEE" w:rsidRPr="00880E10" w:rsidSect="009D0C06">
          <w:headerReference w:type="default" r:id="rId17"/>
          <w:footerReference w:type="default" r:id="rId18"/>
          <w:headerReference w:type="first" r:id="rId19"/>
          <w:footerReference w:type="first" r:id="rId20"/>
          <w:pgSz w:w="12240" w:h="15840"/>
          <w:pgMar w:top="720" w:right="965" w:bottom="1080" w:left="1656" w:header="706" w:footer="706" w:gutter="0"/>
          <w:pgNumType w:start="1678"/>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DC2D1F"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5324FE" w:rsidP="004B7F60">
      <w:pPr>
        <w:widowControl w:val="0"/>
        <w:rPr>
          <w:b/>
          <w:sz w:val="20"/>
          <w:szCs w:val="20"/>
        </w:rPr>
      </w:pPr>
      <w:r>
        <w:rPr>
          <w:b/>
          <w:sz w:val="20"/>
          <w:szCs w:val="20"/>
        </w:rPr>
        <w:t>N</w:t>
      </w:r>
      <w:r w:rsidR="004B7F60">
        <w:rPr>
          <w:b/>
          <w:sz w:val="20"/>
          <w:szCs w:val="20"/>
        </w:rPr>
        <w:t>O</w:t>
      </w:r>
      <w:r>
        <w:rPr>
          <w:b/>
          <w:sz w:val="20"/>
          <w:szCs w:val="20"/>
        </w:rPr>
        <w:t>VEM</w:t>
      </w:r>
      <w:r w:rsidR="004B7F60">
        <w:rPr>
          <w:b/>
          <w:sz w:val="20"/>
          <w:szCs w:val="20"/>
        </w:rPr>
        <w:t>BER</w:t>
      </w:r>
      <w:r w:rsidR="004B7F60" w:rsidRPr="00C50A5C">
        <w:rPr>
          <w:b/>
          <w:sz w:val="20"/>
          <w:szCs w:val="20"/>
        </w:rPr>
        <w:t xml:space="preserve"> </w:t>
      </w:r>
      <w:r>
        <w:rPr>
          <w:b/>
          <w:sz w:val="20"/>
          <w:szCs w:val="20"/>
        </w:rPr>
        <w:t>5</w:t>
      </w:r>
      <w:r w:rsidR="004B7F60" w:rsidRPr="00C50A5C">
        <w:rPr>
          <w:b/>
          <w:sz w:val="20"/>
          <w:szCs w:val="20"/>
        </w:rPr>
        <w:t>, 201</w:t>
      </w:r>
      <w:r w:rsidR="0062714A">
        <w:rPr>
          <w:b/>
          <w:sz w:val="20"/>
          <w:szCs w:val="20"/>
        </w:rPr>
        <w:t>2</w:t>
      </w:r>
      <w:r w:rsidR="004B7F60" w:rsidRPr="00C50A5C">
        <w:rPr>
          <w:b/>
          <w:sz w:val="20"/>
          <w:szCs w:val="20"/>
        </w:rPr>
        <w:t xml:space="preserve"> / LE </w:t>
      </w:r>
      <w:r>
        <w:rPr>
          <w:b/>
          <w:sz w:val="20"/>
          <w:szCs w:val="20"/>
        </w:rPr>
        <w:t>5 NOVEM</w:t>
      </w:r>
      <w:r w:rsidR="004B7F60">
        <w:rPr>
          <w:b/>
          <w:sz w:val="20"/>
          <w:szCs w:val="20"/>
        </w:rPr>
        <w:t>BRE</w:t>
      </w:r>
      <w:r w:rsidR="004B7F60" w:rsidRPr="00C50A5C">
        <w:rPr>
          <w:b/>
          <w:sz w:val="20"/>
          <w:szCs w:val="20"/>
        </w:rPr>
        <w:t xml:space="preserve"> 201</w:t>
      </w:r>
      <w:r w:rsidR="0062714A">
        <w:rPr>
          <w:b/>
          <w:sz w:val="20"/>
          <w:szCs w:val="20"/>
        </w:rPr>
        <w:t>2</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sidR="0062714A">
        <w:rPr>
          <w:b/>
          <w:sz w:val="20"/>
          <w:szCs w:val="20"/>
        </w:rPr>
        <w:t>Abella</w:t>
      </w:r>
      <w:r w:rsidRPr="00C50A5C">
        <w:rPr>
          <w:b/>
          <w:sz w:val="20"/>
          <w:szCs w:val="20"/>
        </w:rPr>
        <w:t xml:space="preserve"> and </w:t>
      </w:r>
      <w:r w:rsidR="0062714A">
        <w:rPr>
          <w:b/>
          <w:sz w:val="20"/>
          <w:szCs w:val="20"/>
        </w:rPr>
        <w:t>Cr</w:t>
      </w:r>
      <w:r>
        <w:rPr>
          <w:b/>
          <w:sz w:val="20"/>
          <w:szCs w:val="20"/>
        </w:rPr>
        <w:t>o</w:t>
      </w:r>
      <w:r w:rsidR="0062714A">
        <w:rPr>
          <w:b/>
          <w:sz w:val="20"/>
          <w:szCs w:val="20"/>
        </w:rPr>
        <w:t>mwe</w:t>
      </w:r>
      <w:r>
        <w:rPr>
          <w:b/>
          <w:sz w:val="20"/>
          <w:szCs w:val="20"/>
        </w:rPr>
        <w:t>l</w:t>
      </w:r>
      <w:r w:rsidR="0062714A">
        <w:rPr>
          <w:b/>
          <w:sz w:val="20"/>
          <w:szCs w:val="20"/>
        </w:rPr>
        <w:t>l</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62714A">
        <w:rPr>
          <w:b/>
          <w:sz w:val="20"/>
          <w:szCs w:val="20"/>
          <w:lang w:val="fr-CA"/>
        </w:rPr>
        <w:t>Ab</w:t>
      </w:r>
      <w:r>
        <w:rPr>
          <w:b/>
          <w:sz w:val="20"/>
          <w:szCs w:val="20"/>
          <w:lang w:val="fr-CA"/>
        </w:rPr>
        <w:t>e</w:t>
      </w:r>
      <w:r w:rsidR="0062714A">
        <w:rPr>
          <w:b/>
          <w:sz w:val="20"/>
          <w:szCs w:val="20"/>
          <w:lang w:val="fr-CA"/>
        </w:rPr>
        <w:t>lla</w:t>
      </w:r>
      <w:r w:rsidRPr="00C50A5C">
        <w:rPr>
          <w:b/>
          <w:sz w:val="20"/>
          <w:szCs w:val="20"/>
          <w:lang w:val="fr-CA"/>
        </w:rPr>
        <w:t xml:space="preserve"> et </w:t>
      </w:r>
      <w:r w:rsidR="0062714A">
        <w:rPr>
          <w:b/>
          <w:sz w:val="20"/>
          <w:szCs w:val="20"/>
          <w:lang w:val="fr-CA"/>
        </w:rPr>
        <w:t>Cr</w:t>
      </w:r>
      <w:r>
        <w:rPr>
          <w:b/>
          <w:sz w:val="20"/>
          <w:szCs w:val="20"/>
          <w:lang w:val="fr-CA"/>
        </w:rPr>
        <w:t>o</w:t>
      </w:r>
      <w:r w:rsidR="0062714A">
        <w:rPr>
          <w:b/>
          <w:sz w:val="20"/>
          <w:szCs w:val="20"/>
          <w:lang w:val="fr-CA"/>
        </w:rPr>
        <w:t>mw</w:t>
      </w:r>
      <w:r>
        <w:rPr>
          <w:b/>
          <w:sz w:val="20"/>
          <w:szCs w:val="20"/>
          <w:lang w:val="fr-CA"/>
        </w:rPr>
        <w:t>e</w:t>
      </w:r>
      <w:r w:rsidR="0062714A">
        <w:rPr>
          <w:b/>
          <w:sz w:val="20"/>
          <w:szCs w:val="20"/>
          <w:lang w:val="fr-CA"/>
        </w:rPr>
        <w:t>ll</w:t>
      </w:r>
    </w:p>
    <w:p w:rsidR="004B7F60" w:rsidRPr="00C50A5C" w:rsidRDefault="004B7F60" w:rsidP="004B7F60">
      <w:pPr>
        <w:widowControl w:val="0"/>
        <w:rPr>
          <w:sz w:val="20"/>
          <w:szCs w:val="20"/>
          <w:lang w:val="fr-CA"/>
        </w:rPr>
      </w:pPr>
    </w:p>
    <w:p w:rsidR="004B7F60" w:rsidRPr="00C50A5C" w:rsidRDefault="00D43A9E" w:rsidP="004B7F60">
      <w:pPr>
        <w:pStyle w:val="ListParagraph"/>
        <w:widowControl w:val="0"/>
        <w:numPr>
          <w:ilvl w:val="0"/>
          <w:numId w:val="1"/>
        </w:numPr>
        <w:ind w:hanging="720"/>
        <w:jc w:val="both"/>
        <w:rPr>
          <w:sz w:val="20"/>
          <w:szCs w:val="20"/>
        </w:rPr>
      </w:pPr>
      <w:r w:rsidRPr="00D43A9E">
        <w:rPr>
          <w:i/>
          <w:sz w:val="20"/>
          <w:szCs w:val="20"/>
        </w:rPr>
        <w:t>Danny Branco Madeira v. Her Majesty the Queen</w:t>
      </w:r>
      <w:r w:rsidRPr="00D43A9E">
        <w:rPr>
          <w:sz w:val="20"/>
          <w:szCs w:val="20"/>
        </w:rPr>
        <w:t xml:space="preserve"> (B.C.) (Crim</w:t>
      </w:r>
      <w:r>
        <w:rPr>
          <w:sz w:val="20"/>
          <w:szCs w:val="20"/>
        </w:rPr>
        <w:t>.</w:t>
      </w:r>
      <w:r w:rsidRPr="00D43A9E">
        <w:rPr>
          <w:sz w:val="20"/>
          <w:szCs w:val="20"/>
        </w:rPr>
        <w:t>) (By Leave)</w:t>
      </w:r>
      <w:r>
        <w:rPr>
          <w:sz w:val="20"/>
          <w:szCs w:val="20"/>
        </w:rPr>
        <w:t xml:space="preserve"> </w:t>
      </w:r>
      <w:r w:rsidR="004B7F60" w:rsidRPr="00C50A5C">
        <w:rPr>
          <w:sz w:val="20"/>
          <w:szCs w:val="20"/>
        </w:rPr>
        <w:t>(3</w:t>
      </w:r>
      <w:r w:rsidR="004B7F60">
        <w:rPr>
          <w:sz w:val="20"/>
          <w:szCs w:val="20"/>
        </w:rPr>
        <w:t>4</w:t>
      </w:r>
      <w:r>
        <w:rPr>
          <w:sz w:val="20"/>
          <w:szCs w:val="20"/>
        </w:rPr>
        <w:t>976</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D43A9E" w:rsidP="004B7F60">
      <w:pPr>
        <w:pStyle w:val="ListParagraph"/>
        <w:widowControl w:val="0"/>
        <w:numPr>
          <w:ilvl w:val="0"/>
          <w:numId w:val="1"/>
        </w:numPr>
        <w:ind w:hanging="720"/>
        <w:jc w:val="both"/>
        <w:rPr>
          <w:sz w:val="20"/>
          <w:szCs w:val="20"/>
        </w:rPr>
      </w:pPr>
      <w:r w:rsidRPr="00D43A9E">
        <w:rPr>
          <w:i/>
          <w:sz w:val="20"/>
          <w:szCs w:val="20"/>
        </w:rPr>
        <w:t>Jane Carlson v. Jack Carlson</w:t>
      </w:r>
      <w:r w:rsidRPr="00D43A9E">
        <w:rPr>
          <w:sz w:val="20"/>
          <w:szCs w:val="20"/>
        </w:rPr>
        <w:t xml:space="preserve"> (Alta.) (Civil) (By Leave)</w:t>
      </w:r>
      <w:r w:rsidRPr="00C612D0">
        <w:rPr>
          <w:sz w:val="20"/>
          <w:szCs w:val="20"/>
        </w:rPr>
        <w:t xml:space="preserve"> </w:t>
      </w:r>
      <w:r w:rsidR="004B7F60" w:rsidRPr="00C612D0">
        <w:rPr>
          <w:sz w:val="20"/>
          <w:szCs w:val="20"/>
        </w:rPr>
        <w:t>(34</w:t>
      </w:r>
      <w:r>
        <w:rPr>
          <w:sz w:val="20"/>
          <w:szCs w:val="20"/>
        </w:rPr>
        <w:t>9</w:t>
      </w:r>
      <w:r w:rsidR="004B7F60" w:rsidRPr="00C612D0">
        <w:rPr>
          <w:sz w:val="20"/>
          <w:szCs w:val="20"/>
        </w:rPr>
        <w:t>4</w:t>
      </w:r>
      <w:r>
        <w:rPr>
          <w:sz w:val="20"/>
          <w:szCs w:val="20"/>
        </w:rPr>
        <w:t>0</w:t>
      </w:r>
      <w:r w:rsidR="004B7F60" w:rsidRPr="00C612D0">
        <w:rPr>
          <w:sz w:val="20"/>
          <w:szCs w:val="20"/>
        </w:rPr>
        <w:t>)</w:t>
      </w:r>
    </w:p>
    <w:p w:rsidR="004B7F60" w:rsidRPr="00C612D0" w:rsidRDefault="004B7F60" w:rsidP="004B7F60">
      <w:pPr>
        <w:widowControl w:val="0"/>
        <w:jc w:val="both"/>
        <w:rPr>
          <w:sz w:val="20"/>
          <w:szCs w:val="20"/>
        </w:rPr>
      </w:pPr>
    </w:p>
    <w:p w:rsidR="004B7F60" w:rsidRPr="00C50A5C" w:rsidRDefault="00D43A9E" w:rsidP="004B7F60">
      <w:pPr>
        <w:pStyle w:val="ListParagraph"/>
        <w:widowControl w:val="0"/>
        <w:numPr>
          <w:ilvl w:val="0"/>
          <w:numId w:val="1"/>
        </w:numPr>
        <w:ind w:hanging="720"/>
        <w:jc w:val="both"/>
        <w:rPr>
          <w:sz w:val="20"/>
          <w:szCs w:val="20"/>
        </w:rPr>
      </w:pPr>
      <w:r w:rsidRPr="00D43A9E">
        <w:rPr>
          <w:i/>
          <w:sz w:val="20"/>
          <w:szCs w:val="20"/>
        </w:rPr>
        <w:t>Wyeth LLC et al. v. Teva Canada Limited</w:t>
      </w:r>
      <w:r w:rsidRPr="00D43A9E">
        <w:rPr>
          <w:sz w:val="20"/>
          <w:szCs w:val="20"/>
        </w:rPr>
        <w:t xml:space="preserve"> (F</w:t>
      </w:r>
      <w:r>
        <w:rPr>
          <w:sz w:val="20"/>
          <w:szCs w:val="20"/>
        </w:rPr>
        <w:t>.</w:t>
      </w:r>
      <w:r w:rsidRPr="00D43A9E">
        <w:rPr>
          <w:sz w:val="20"/>
          <w:szCs w:val="20"/>
        </w:rPr>
        <w:t>C</w:t>
      </w:r>
      <w:r>
        <w:rPr>
          <w:sz w:val="20"/>
          <w:szCs w:val="20"/>
        </w:rPr>
        <w:t>.</w:t>
      </w:r>
      <w:r w:rsidRPr="00D43A9E">
        <w:rPr>
          <w:sz w:val="20"/>
          <w:szCs w:val="20"/>
        </w:rPr>
        <w:t>) (Civil) (By Leave)</w:t>
      </w:r>
      <w:r w:rsidRPr="00940CAD">
        <w:rPr>
          <w:sz w:val="20"/>
          <w:szCs w:val="20"/>
        </w:rPr>
        <w:t xml:space="preserve"> </w:t>
      </w:r>
      <w:r w:rsidR="004B7F60" w:rsidRPr="00940CAD">
        <w:rPr>
          <w:sz w:val="20"/>
          <w:szCs w:val="20"/>
        </w:rPr>
        <w:t>(349</w:t>
      </w:r>
      <w:r>
        <w:rPr>
          <w:sz w:val="20"/>
          <w:szCs w:val="20"/>
        </w:rPr>
        <w:t>18</w:t>
      </w:r>
      <w:r w:rsidR="004B7F60" w:rsidRPr="00940CAD">
        <w:rPr>
          <w:sz w:val="20"/>
          <w:szCs w:val="20"/>
        </w:rPr>
        <w:t>)</w:t>
      </w:r>
    </w:p>
    <w:p w:rsidR="004B7F60" w:rsidRDefault="004B7F60" w:rsidP="004B7F60">
      <w:pPr>
        <w:widowControl w:val="0"/>
        <w:rPr>
          <w:sz w:val="20"/>
          <w:szCs w:val="20"/>
        </w:rPr>
      </w:pPr>
    </w:p>
    <w:p w:rsidR="00D43A9E" w:rsidRDefault="00D43A9E" w:rsidP="004B7F60">
      <w:pPr>
        <w:widowControl w:val="0"/>
        <w:rPr>
          <w:sz w:val="20"/>
          <w:szCs w:val="20"/>
        </w:rPr>
      </w:pPr>
    </w:p>
    <w:p w:rsidR="00D43A9E" w:rsidRPr="00C50A5C" w:rsidRDefault="00D43A9E" w:rsidP="00D43A9E">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Wagner</w:t>
      </w:r>
      <w:r w:rsidRPr="00C50A5C">
        <w:rPr>
          <w:b/>
          <w:sz w:val="20"/>
          <w:szCs w:val="20"/>
        </w:rPr>
        <w:t xml:space="preserve"> JJ.</w:t>
      </w:r>
    </w:p>
    <w:p w:rsidR="00D43A9E" w:rsidRPr="00C50A5C" w:rsidRDefault="00D43A9E" w:rsidP="00D43A9E">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Wagn</w:t>
      </w:r>
      <w:r w:rsidRPr="00C50A5C">
        <w:rPr>
          <w:b/>
          <w:sz w:val="20"/>
          <w:szCs w:val="20"/>
          <w:lang w:val="fr-CA"/>
        </w:rPr>
        <w:t>e</w:t>
      </w:r>
      <w:r>
        <w:rPr>
          <w:b/>
          <w:sz w:val="20"/>
          <w:szCs w:val="20"/>
          <w:lang w:val="fr-CA"/>
        </w:rPr>
        <w:t>r</w:t>
      </w:r>
    </w:p>
    <w:p w:rsidR="00D43A9E" w:rsidRPr="00D43A9E" w:rsidRDefault="00D43A9E" w:rsidP="004B7F60">
      <w:pPr>
        <w:widowControl w:val="0"/>
        <w:rPr>
          <w:sz w:val="20"/>
          <w:szCs w:val="20"/>
          <w:lang w:val="fr-CA"/>
        </w:rPr>
      </w:pPr>
    </w:p>
    <w:p w:rsidR="004B7F60" w:rsidRPr="00D43A9E" w:rsidRDefault="00D43A9E" w:rsidP="004B7F60">
      <w:pPr>
        <w:pStyle w:val="ListParagraph"/>
        <w:widowControl w:val="0"/>
        <w:numPr>
          <w:ilvl w:val="0"/>
          <w:numId w:val="1"/>
        </w:numPr>
        <w:ind w:hanging="720"/>
        <w:jc w:val="both"/>
        <w:rPr>
          <w:sz w:val="20"/>
          <w:szCs w:val="20"/>
          <w:lang w:val="fr-CA"/>
        </w:rPr>
      </w:pPr>
      <w:r w:rsidRPr="00D43A9E">
        <w:rPr>
          <w:i/>
          <w:sz w:val="20"/>
          <w:szCs w:val="20"/>
          <w:lang w:val="fr-CA"/>
        </w:rPr>
        <w:t>Mounted Police Association of Ontario / Association de la Police Montée de l'Ontario et al. v. Attorney General of Canada</w:t>
      </w:r>
      <w:r w:rsidRPr="00D43A9E">
        <w:rPr>
          <w:sz w:val="20"/>
          <w:szCs w:val="20"/>
          <w:lang w:val="fr-CA"/>
        </w:rPr>
        <w:t xml:space="preserve"> (Ont.) (Civil) (By Leave) </w:t>
      </w:r>
      <w:r w:rsidR="004B7F60" w:rsidRPr="00D43A9E">
        <w:rPr>
          <w:sz w:val="20"/>
          <w:szCs w:val="20"/>
          <w:lang w:val="fr-CA"/>
        </w:rPr>
        <w:t>(34</w:t>
      </w:r>
      <w:r w:rsidRPr="00D43A9E">
        <w:rPr>
          <w:sz w:val="20"/>
          <w:szCs w:val="20"/>
          <w:lang w:val="fr-CA"/>
        </w:rPr>
        <w:t>948</w:t>
      </w:r>
      <w:r w:rsidR="004B7F60" w:rsidRPr="00D43A9E">
        <w:rPr>
          <w:sz w:val="20"/>
          <w:szCs w:val="20"/>
          <w:lang w:val="fr-CA"/>
        </w:rPr>
        <w:t>)</w:t>
      </w:r>
    </w:p>
    <w:p w:rsidR="004B7F60" w:rsidRPr="00D43A9E" w:rsidRDefault="004B7F60" w:rsidP="004B7F60">
      <w:pPr>
        <w:widowControl w:val="0"/>
        <w:jc w:val="both"/>
        <w:rPr>
          <w:sz w:val="20"/>
          <w:szCs w:val="20"/>
          <w:lang w:val="fr-CA"/>
        </w:rPr>
      </w:pPr>
    </w:p>
    <w:p w:rsidR="004B7F60" w:rsidRPr="00D43A9E" w:rsidRDefault="00D43A9E" w:rsidP="004B7F60">
      <w:pPr>
        <w:pStyle w:val="ListParagraph"/>
        <w:widowControl w:val="0"/>
        <w:numPr>
          <w:ilvl w:val="0"/>
          <w:numId w:val="1"/>
        </w:numPr>
        <w:ind w:hanging="720"/>
        <w:jc w:val="both"/>
        <w:rPr>
          <w:sz w:val="20"/>
          <w:szCs w:val="20"/>
        </w:rPr>
      </w:pPr>
      <w:r w:rsidRPr="00D43A9E">
        <w:rPr>
          <w:i/>
          <w:sz w:val="20"/>
          <w:szCs w:val="20"/>
        </w:rPr>
        <w:t>South Yukon Forest Corporation et al. v. Her Majesty the Queen</w:t>
      </w:r>
      <w:r w:rsidRPr="00D43A9E">
        <w:rPr>
          <w:sz w:val="20"/>
          <w:szCs w:val="20"/>
        </w:rPr>
        <w:t xml:space="preserve"> (F</w:t>
      </w:r>
      <w:r>
        <w:rPr>
          <w:sz w:val="20"/>
          <w:szCs w:val="20"/>
        </w:rPr>
        <w:t>.</w:t>
      </w:r>
      <w:r w:rsidRPr="00D43A9E">
        <w:rPr>
          <w:sz w:val="20"/>
          <w:szCs w:val="20"/>
        </w:rPr>
        <w:t>C</w:t>
      </w:r>
      <w:r>
        <w:rPr>
          <w:sz w:val="20"/>
          <w:szCs w:val="20"/>
        </w:rPr>
        <w:t>.</w:t>
      </w:r>
      <w:r w:rsidRPr="00D43A9E">
        <w:rPr>
          <w:sz w:val="20"/>
          <w:szCs w:val="20"/>
        </w:rPr>
        <w:t xml:space="preserve">) (Civil) (By Leave) </w:t>
      </w:r>
      <w:r w:rsidR="004B7F60" w:rsidRPr="00D43A9E">
        <w:rPr>
          <w:sz w:val="20"/>
          <w:szCs w:val="20"/>
        </w:rPr>
        <w:t>(34</w:t>
      </w:r>
      <w:r w:rsidRPr="00D43A9E">
        <w:rPr>
          <w:sz w:val="20"/>
          <w:szCs w:val="20"/>
        </w:rPr>
        <w:t>9</w:t>
      </w:r>
      <w:r w:rsidR="004B7F60" w:rsidRPr="00D43A9E">
        <w:rPr>
          <w:sz w:val="20"/>
          <w:szCs w:val="20"/>
        </w:rPr>
        <w:t>4</w:t>
      </w:r>
      <w:r w:rsidRPr="00D43A9E">
        <w:rPr>
          <w:sz w:val="20"/>
          <w:szCs w:val="20"/>
        </w:rPr>
        <w:t>6</w:t>
      </w:r>
      <w:r w:rsidR="004B7F60" w:rsidRPr="00D43A9E">
        <w:rPr>
          <w:sz w:val="20"/>
          <w:szCs w:val="20"/>
        </w:rPr>
        <w:t>)</w:t>
      </w:r>
    </w:p>
    <w:p w:rsidR="004B7F60" w:rsidRPr="00D43A9E" w:rsidRDefault="004B7F60" w:rsidP="004B7F60">
      <w:pPr>
        <w:widowControl w:val="0"/>
        <w:rPr>
          <w:sz w:val="20"/>
          <w:szCs w:val="20"/>
        </w:rPr>
      </w:pPr>
    </w:p>
    <w:p w:rsidR="004B7F60" w:rsidRPr="00D43A9E" w:rsidRDefault="00D43A9E" w:rsidP="004B7F60">
      <w:pPr>
        <w:pStyle w:val="ListParagraph"/>
        <w:widowControl w:val="0"/>
        <w:numPr>
          <w:ilvl w:val="0"/>
          <w:numId w:val="1"/>
        </w:numPr>
        <w:ind w:hanging="720"/>
        <w:jc w:val="both"/>
        <w:rPr>
          <w:sz w:val="20"/>
          <w:szCs w:val="20"/>
        </w:rPr>
      </w:pPr>
      <w:r w:rsidRPr="00D43A9E">
        <w:rPr>
          <w:i/>
          <w:sz w:val="20"/>
          <w:szCs w:val="20"/>
        </w:rPr>
        <w:t xml:space="preserve">Bob </w:t>
      </w:r>
      <w:proofErr w:type="gramStart"/>
      <w:r w:rsidRPr="00D43A9E">
        <w:rPr>
          <w:i/>
          <w:sz w:val="20"/>
          <w:szCs w:val="20"/>
        </w:rPr>
        <w:t>Stevens</w:t>
      </w:r>
      <w:proofErr w:type="gramEnd"/>
      <w:r w:rsidRPr="00D43A9E">
        <w:rPr>
          <w:i/>
          <w:sz w:val="20"/>
          <w:szCs w:val="20"/>
        </w:rPr>
        <w:t xml:space="preserve"> v. Her Majesty the Queen in Right of the Province of Ontario</w:t>
      </w:r>
      <w:r w:rsidRPr="00D43A9E">
        <w:rPr>
          <w:sz w:val="20"/>
          <w:szCs w:val="20"/>
        </w:rPr>
        <w:t xml:space="preserve"> (Ont.) (Civil) (By Leave) </w:t>
      </w:r>
      <w:r w:rsidR="004B7F60" w:rsidRPr="00D43A9E">
        <w:rPr>
          <w:sz w:val="20"/>
          <w:szCs w:val="20"/>
        </w:rPr>
        <w:t>(34</w:t>
      </w:r>
      <w:r w:rsidRPr="00D43A9E">
        <w:rPr>
          <w:sz w:val="20"/>
          <w:szCs w:val="20"/>
        </w:rPr>
        <w:t>92</w:t>
      </w:r>
      <w:r w:rsidR="004B7F60" w:rsidRPr="00D43A9E">
        <w:rPr>
          <w:sz w:val="20"/>
          <w:szCs w:val="20"/>
        </w:rPr>
        <w:t>8)</w:t>
      </w:r>
    </w:p>
    <w:p w:rsidR="004B7F60" w:rsidRPr="00D43A9E" w:rsidRDefault="004B7F60" w:rsidP="004B7F60">
      <w:pPr>
        <w:widowControl w:val="0"/>
        <w:jc w:val="both"/>
        <w:rPr>
          <w:sz w:val="20"/>
          <w:szCs w:val="20"/>
        </w:rPr>
      </w:pPr>
    </w:p>
    <w:p w:rsidR="00D43A9E" w:rsidRPr="00D43A9E" w:rsidRDefault="00D43A9E" w:rsidP="004B7F60">
      <w:pPr>
        <w:widowControl w:val="0"/>
        <w:jc w:val="both"/>
        <w:rPr>
          <w:sz w:val="20"/>
          <w:szCs w:val="20"/>
        </w:rPr>
      </w:pPr>
    </w:p>
    <w:p w:rsidR="00D43A9E" w:rsidRPr="00C50A5C" w:rsidRDefault="00D43A9E" w:rsidP="00D43A9E">
      <w:pPr>
        <w:widowControl w:val="0"/>
        <w:jc w:val="center"/>
        <w:rPr>
          <w:b/>
          <w:sz w:val="20"/>
          <w:szCs w:val="20"/>
        </w:rPr>
      </w:pPr>
      <w:r w:rsidRPr="00C50A5C">
        <w:rPr>
          <w:b/>
          <w:sz w:val="20"/>
          <w:szCs w:val="20"/>
        </w:rPr>
        <w:t xml:space="preserve">CORAM: </w:t>
      </w:r>
      <w:r>
        <w:rPr>
          <w:b/>
          <w:sz w:val="20"/>
          <w:szCs w:val="20"/>
        </w:rPr>
        <w:t>Fish,</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D43A9E" w:rsidRPr="00C50A5C" w:rsidRDefault="00D43A9E" w:rsidP="00D43A9E">
      <w:pPr>
        <w:widowControl w:val="0"/>
        <w:jc w:val="center"/>
        <w:rPr>
          <w:b/>
          <w:sz w:val="20"/>
          <w:szCs w:val="20"/>
          <w:lang w:val="fr-CA"/>
        </w:rPr>
      </w:pPr>
      <w:r w:rsidRPr="00C50A5C">
        <w:rPr>
          <w:b/>
          <w:sz w:val="20"/>
          <w:szCs w:val="20"/>
          <w:lang w:val="fr-CA"/>
        </w:rPr>
        <w:t xml:space="preserve">Les juges </w:t>
      </w:r>
      <w:r>
        <w:rPr>
          <w:b/>
          <w:sz w:val="20"/>
          <w:szCs w:val="20"/>
          <w:lang w:val="fr-CA"/>
        </w:rPr>
        <w:t>Fish</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D43A9E" w:rsidRPr="00D43A9E" w:rsidRDefault="00D43A9E" w:rsidP="00D43A9E">
      <w:pPr>
        <w:widowControl w:val="0"/>
        <w:rPr>
          <w:sz w:val="20"/>
          <w:szCs w:val="20"/>
          <w:lang w:val="fr-CA"/>
        </w:rPr>
      </w:pPr>
    </w:p>
    <w:p w:rsidR="004B7F60" w:rsidRPr="00D43A9E" w:rsidRDefault="00D43A9E" w:rsidP="004B7F60">
      <w:pPr>
        <w:pStyle w:val="ListParagraph"/>
        <w:widowControl w:val="0"/>
        <w:numPr>
          <w:ilvl w:val="0"/>
          <w:numId w:val="1"/>
        </w:numPr>
        <w:ind w:hanging="720"/>
        <w:jc w:val="both"/>
        <w:rPr>
          <w:sz w:val="20"/>
          <w:szCs w:val="20"/>
        </w:rPr>
      </w:pPr>
      <w:r w:rsidRPr="00D43A9E">
        <w:rPr>
          <w:i/>
          <w:sz w:val="20"/>
          <w:szCs w:val="20"/>
        </w:rPr>
        <w:t>Christopher Fijalkowski v. Her Majesty the Queen</w:t>
      </w:r>
      <w:r w:rsidRPr="00D43A9E">
        <w:rPr>
          <w:sz w:val="20"/>
          <w:szCs w:val="20"/>
        </w:rPr>
        <w:t xml:space="preserve"> (Ont.) (Crim</w:t>
      </w:r>
      <w:r>
        <w:rPr>
          <w:sz w:val="20"/>
          <w:szCs w:val="20"/>
        </w:rPr>
        <w:t>.</w:t>
      </w:r>
      <w:r w:rsidRPr="00D43A9E">
        <w:rPr>
          <w:sz w:val="20"/>
          <w:szCs w:val="20"/>
        </w:rPr>
        <w:t xml:space="preserve">) (By Leave) </w:t>
      </w:r>
      <w:r w:rsidR="004B7F60" w:rsidRPr="00D43A9E">
        <w:rPr>
          <w:sz w:val="20"/>
          <w:szCs w:val="20"/>
        </w:rPr>
        <w:t>(34</w:t>
      </w:r>
      <w:r w:rsidRPr="00D43A9E">
        <w:rPr>
          <w:sz w:val="20"/>
          <w:szCs w:val="20"/>
        </w:rPr>
        <w:t>93</w:t>
      </w:r>
      <w:r w:rsidR="004B7F60" w:rsidRPr="00D43A9E">
        <w:rPr>
          <w:sz w:val="20"/>
          <w:szCs w:val="20"/>
        </w:rPr>
        <w:t>3)</w:t>
      </w:r>
    </w:p>
    <w:p w:rsidR="004B7F60" w:rsidRPr="00D43A9E" w:rsidRDefault="004B7F60" w:rsidP="004B7F60">
      <w:pPr>
        <w:widowControl w:val="0"/>
        <w:jc w:val="both"/>
        <w:rPr>
          <w:sz w:val="20"/>
          <w:szCs w:val="20"/>
        </w:rPr>
      </w:pPr>
    </w:p>
    <w:p w:rsidR="004B7F60" w:rsidRPr="00C50A5C" w:rsidRDefault="00D43A9E" w:rsidP="004B7F60">
      <w:pPr>
        <w:pStyle w:val="ListParagraph"/>
        <w:widowControl w:val="0"/>
        <w:numPr>
          <w:ilvl w:val="0"/>
          <w:numId w:val="1"/>
        </w:numPr>
        <w:ind w:hanging="720"/>
        <w:jc w:val="both"/>
        <w:rPr>
          <w:sz w:val="20"/>
          <w:szCs w:val="20"/>
          <w:lang w:val="fr-CA"/>
        </w:rPr>
      </w:pPr>
      <w:r w:rsidRPr="00D43A9E">
        <w:rPr>
          <w:i/>
          <w:sz w:val="20"/>
          <w:szCs w:val="20"/>
        </w:rPr>
        <w:t>Francine Zelsman also known as Francine Kerdman aslso known as Francine Zelsman-Kerdman v. Meridian Credit Union Limited et al.</w:t>
      </w:r>
      <w:r w:rsidRPr="00D43A9E">
        <w:rPr>
          <w:sz w:val="20"/>
          <w:szCs w:val="20"/>
        </w:rPr>
        <w:t xml:space="preserve"> (Ont.) (Civil) (By Leave)</w:t>
      </w:r>
      <w:r>
        <w:rPr>
          <w:sz w:val="20"/>
          <w:szCs w:val="20"/>
        </w:rPr>
        <w:t xml:space="preserve"> </w:t>
      </w:r>
      <w:r w:rsidR="004B7F60" w:rsidRPr="00C50A5C">
        <w:rPr>
          <w:sz w:val="20"/>
          <w:szCs w:val="20"/>
          <w:lang w:val="fr-CA"/>
        </w:rPr>
        <w:t>(3</w:t>
      </w:r>
      <w:r w:rsidR="004B7F60">
        <w:rPr>
          <w:sz w:val="20"/>
          <w:szCs w:val="20"/>
          <w:lang w:val="fr-CA"/>
        </w:rPr>
        <w:t>4</w:t>
      </w:r>
      <w:r>
        <w:rPr>
          <w:sz w:val="20"/>
          <w:szCs w:val="20"/>
          <w:lang w:val="fr-CA"/>
        </w:rPr>
        <w:t>94</w:t>
      </w:r>
      <w:r w:rsidR="004B7F60">
        <w:rPr>
          <w:sz w:val="20"/>
          <w:szCs w:val="20"/>
          <w:lang w:val="fr-CA"/>
        </w:rPr>
        <w:t>1</w:t>
      </w:r>
      <w:r w:rsidR="004B7F60" w:rsidRPr="00C50A5C">
        <w:rPr>
          <w:sz w:val="20"/>
          <w:szCs w:val="20"/>
          <w:lang w:val="fr-CA"/>
        </w:rPr>
        <w:t>)</w:t>
      </w:r>
    </w:p>
    <w:p w:rsidR="00D43A9E" w:rsidRPr="00D43A9E" w:rsidRDefault="00D43A9E" w:rsidP="00D43A9E">
      <w:pPr>
        <w:widowControl w:val="0"/>
        <w:rPr>
          <w:sz w:val="20"/>
          <w:szCs w:val="20"/>
        </w:rPr>
      </w:pPr>
    </w:p>
    <w:p w:rsidR="002E2327" w:rsidRPr="00C50A5C" w:rsidRDefault="00BF3B03" w:rsidP="002E2327">
      <w:pPr>
        <w:widowControl w:val="0"/>
        <w:rPr>
          <w:sz w:val="20"/>
          <w:szCs w:val="20"/>
        </w:rPr>
      </w:pPr>
      <w:r w:rsidRPr="00BF3B03">
        <w:rPr>
          <w:sz w:val="20"/>
          <w:szCs w:val="20"/>
        </w:rPr>
        <w:pict>
          <v:rect id="_x0000_i1039"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DC2D1F"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A740D1" w:rsidP="008D292F">
      <w:pPr>
        <w:rPr>
          <w:b/>
          <w:sz w:val="20"/>
          <w:szCs w:val="20"/>
        </w:rPr>
      </w:pPr>
      <w:r>
        <w:rPr>
          <w:b/>
          <w:sz w:val="20"/>
          <w:szCs w:val="20"/>
        </w:rPr>
        <w:t>NOVEMBER</w:t>
      </w:r>
      <w:r w:rsidR="008D292F" w:rsidRPr="00C50A5C">
        <w:rPr>
          <w:b/>
          <w:sz w:val="20"/>
          <w:szCs w:val="20"/>
        </w:rPr>
        <w:t xml:space="preserve"> </w:t>
      </w:r>
      <w:r>
        <w:rPr>
          <w:b/>
          <w:sz w:val="20"/>
          <w:szCs w:val="20"/>
        </w:rPr>
        <w:t>8</w:t>
      </w:r>
      <w:r w:rsidR="008D292F" w:rsidRPr="00C50A5C">
        <w:rPr>
          <w:b/>
          <w:sz w:val="20"/>
          <w:szCs w:val="20"/>
        </w:rPr>
        <w:t>, 201</w:t>
      </w:r>
      <w:r w:rsidR="004E1E0A">
        <w:rPr>
          <w:b/>
          <w:sz w:val="20"/>
          <w:szCs w:val="20"/>
        </w:rPr>
        <w:t>2</w:t>
      </w:r>
      <w:r w:rsidR="008D292F" w:rsidRPr="00C50A5C">
        <w:rPr>
          <w:b/>
          <w:sz w:val="20"/>
          <w:szCs w:val="20"/>
        </w:rPr>
        <w:t xml:space="preserve"> / LE </w:t>
      </w:r>
      <w:r>
        <w:rPr>
          <w:b/>
          <w:sz w:val="20"/>
          <w:szCs w:val="20"/>
        </w:rPr>
        <w:t>8 NOVEMB</w:t>
      </w:r>
      <w:r w:rsidR="008D292F" w:rsidRPr="00C50A5C">
        <w:rPr>
          <w:b/>
          <w:sz w:val="20"/>
          <w:szCs w:val="20"/>
        </w:rPr>
        <w:t>R</w:t>
      </w:r>
      <w:r>
        <w:rPr>
          <w:b/>
          <w:sz w:val="20"/>
          <w:szCs w:val="20"/>
        </w:rPr>
        <w:t>E</w:t>
      </w:r>
      <w:r w:rsidR="008D292F" w:rsidRPr="00C50A5C">
        <w:rPr>
          <w:b/>
          <w:sz w:val="20"/>
          <w:szCs w:val="20"/>
        </w:rPr>
        <w:t xml:space="preserve"> 201</w:t>
      </w:r>
      <w:r w:rsidR="004E1E0A">
        <w:rPr>
          <w:b/>
          <w:sz w:val="20"/>
          <w:szCs w:val="20"/>
        </w:rPr>
        <w:t>2</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65D14" w:rsidRPr="00DC2D1F" w:rsidTr="00565D14">
        <w:trPr>
          <w:cantSplit/>
        </w:trPr>
        <w:tc>
          <w:tcPr>
            <w:tcW w:w="1458" w:type="dxa"/>
          </w:tcPr>
          <w:p w:rsidR="00565D14" w:rsidRPr="003C7D2B" w:rsidRDefault="00565D14" w:rsidP="00565D14">
            <w:pPr>
              <w:rPr>
                <w:sz w:val="20"/>
                <w:szCs w:val="20"/>
              </w:rPr>
            </w:pPr>
            <w:r w:rsidRPr="003C7D2B">
              <w:rPr>
                <w:rStyle w:val="SCCFileNumberChar"/>
                <w:sz w:val="20"/>
                <w:szCs w:val="20"/>
              </w:rPr>
              <w:t>27997</w:t>
            </w:r>
          </w:p>
          <w:p w:rsidR="00565D14" w:rsidRPr="003C7D2B" w:rsidRDefault="00565D14" w:rsidP="00565D14">
            <w:pPr>
              <w:rPr>
                <w:b/>
                <w:sz w:val="20"/>
                <w:szCs w:val="20"/>
                <w:lang w:val="fr-CA"/>
              </w:rPr>
            </w:pPr>
          </w:p>
        </w:tc>
        <w:tc>
          <w:tcPr>
            <w:tcW w:w="8118" w:type="dxa"/>
          </w:tcPr>
          <w:p w:rsidR="00565D14" w:rsidRPr="003C7D2B" w:rsidRDefault="00565D14" w:rsidP="00565D14">
            <w:pPr>
              <w:rPr>
                <w:sz w:val="20"/>
                <w:szCs w:val="20"/>
                <w:lang w:val="fr-CA"/>
              </w:rPr>
            </w:pPr>
            <w:r w:rsidRPr="003C7D2B">
              <w:rPr>
                <w:rStyle w:val="SCCLsocChar"/>
                <w:sz w:val="20"/>
                <w:szCs w:val="20"/>
              </w:rPr>
              <w:t>N.V. c. P.-A.L.</w:t>
            </w:r>
            <w:r w:rsidRPr="003C7D2B">
              <w:rPr>
                <w:sz w:val="20"/>
                <w:szCs w:val="20"/>
                <w:lang w:val="fr-CA"/>
              </w:rPr>
              <w:t xml:space="preserve"> (Qc) (Civile) (Autorisation)</w:t>
            </w:r>
          </w:p>
          <w:p w:rsidR="00565D14" w:rsidRPr="003C7D2B" w:rsidRDefault="00565D14" w:rsidP="00565D14">
            <w:pPr>
              <w:rPr>
                <w:sz w:val="20"/>
                <w:szCs w:val="20"/>
                <w:lang w:val="fr-CA"/>
              </w:rPr>
            </w:pPr>
          </w:p>
        </w:tc>
      </w:tr>
      <w:tr w:rsidR="00565D14" w:rsidRPr="00DC2D1F" w:rsidTr="00565D14">
        <w:trPr>
          <w:cantSplit/>
        </w:trPr>
        <w:tc>
          <w:tcPr>
            <w:tcW w:w="1458" w:type="dxa"/>
          </w:tcPr>
          <w:p w:rsidR="00565D14" w:rsidRPr="003C7D2B" w:rsidRDefault="00565D14" w:rsidP="00565D14">
            <w:pPr>
              <w:rPr>
                <w:sz w:val="20"/>
                <w:szCs w:val="20"/>
              </w:rPr>
            </w:pPr>
            <w:r w:rsidRPr="003C7D2B">
              <w:rPr>
                <w:sz w:val="20"/>
                <w:szCs w:val="20"/>
              </w:rPr>
              <w:t>Coram :</w:t>
            </w:r>
          </w:p>
        </w:tc>
        <w:tc>
          <w:tcPr>
            <w:tcW w:w="8118" w:type="dxa"/>
          </w:tcPr>
          <w:p w:rsidR="00565D14" w:rsidRPr="003C7D2B" w:rsidRDefault="00565D14" w:rsidP="00565D14">
            <w:pPr>
              <w:rPr>
                <w:sz w:val="20"/>
                <w:szCs w:val="20"/>
                <w:lang w:val="fr-CA"/>
              </w:rPr>
            </w:pPr>
            <w:r w:rsidRPr="003C7D2B">
              <w:rPr>
                <w:rStyle w:val="SCCCoramChar"/>
                <w:sz w:val="20"/>
                <w:szCs w:val="20"/>
              </w:rPr>
              <w:t>Les juges LeBel, Abella et Cromwell</w:t>
            </w:r>
          </w:p>
          <w:p w:rsidR="00565D14" w:rsidRPr="003C7D2B" w:rsidRDefault="00565D14" w:rsidP="00565D14">
            <w:pPr>
              <w:rPr>
                <w:sz w:val="20"/>
                <w:szCs w:val="20"/>
                <w:u w:val="single"/>
                <w:lang w:val="fr-CA"/>
              </w:rPr>
            </w:pPr>
          </w:p>
        </w:tc>
      </w:tr>
      <w:tr w:rsidR="00565D14" w:rsidRPr="003C7D2B" w:rsidTr="00565D14">
        <w:trPr>
          <w:cantSplit/>
        </w:trPr>
        <w:tc>
          <w:tcPr>
            <w:tcW w:w="9576" w:type="dxa"/>
            <w:gridSpan w:val="2"/>
          </w:tcPr>
          <w:p w:rsidR="00565D14" w:rsidRPr="003C7D2B" w:rsidRDefault="00565D14" w:rsidP="00565D14">
            <w:pPr>
              <w:pStyle w:val="SCCShortJudgment"/>
              <w:rPr>
                <w:szCs w:val="20"/>
                <w:lang w:val="fr-CA"/>
              </w:rPr>
            </w:pPr>
            <w:r w:rsidRPr="003C7D2B">
              <w:rPr>
                <w:szCs w:val="20"/>
                <w:lang w:val="fr-CA"/>
              </w:rPr>
              <w:t>La demande d’autorisation d’appel de l’arrêt de la Cour d’appel du Québec (Montréal), numéro 500-09-009650-003, 2012 QCCA 930, daté du 16 mai 2012, est rejetée sans dépens.</w:t>
            </w:r>
          </w:p>
          <w:p w:rsidR="00565D14" w:rsidRPr="003C7D2B" w:rsidRDefault="00565D14" w:rsidP="00565D14">
            <w:pPr>
              <w:pStyle w:val="SCCShortJudgment"/>
              <w:ind w:firstLine="0"/>
              <w:rPr>
                <w:szCs w:val="20"/>
                <w:lang w:val="fr-CA"/>
              </w:rPr>
            </w:pPr>
          </w:p>
          <w:p w:rsidR="00565D14" w:rsidRPr="003C7D2B" w:rsidRDefault="00565D14" w:rsidP="00565D14">
            <w:pPr>
              <w:pStyle w:val="SCCShortJudgment"/>
              <w:rPr>
                <w:szCs w:val="20"/>
              </w:rPr>
            </w:pPr>
            <w:r w:rsidRPr="003C7D2B">
              <w:rPr>
                <w:szCs w:val="20"/>
              </w:rPr>
              <w:t>The application for leave to appeal from the judgment of the Court of Appeal of Quebec (Montréal), Number 500-09-009650-003, 2012 QCCA 930, dated May 16, 2012, is dismissed without costs.</w:t>
            </w:r>
          </w:p>
        </w:tc>
      </w:tr>
    </w:tbl>
    <w:p w:rsidR="00A740D1" w:rsidRDefault="00A740D1" w:rsidP="008D292F">
      <w:pPr>
        <w:rPr>
          <w:sz w:val="20"/>
          <w:szCs w:val="20"/>
        </w:rPr>
      </w:pPr>
    </w:p>
    <w:p w:rsidR="00A740D1" w:rsidRPr="001B157C" w:rsidRDefault="00A740D1" w:rsidP="00A740D1">
      <w:pPr>
        <w:rPr>
          <w:sz w:val="20"/>
          <w:szCs w:val="20"/>
          <w:u w:val="single"/>
        </w:rPr>
      </w:pPr>
      <w:r w:rsidRPr="001B157C">
        <w:rPr>
          <w:sz w:val="20"/>
          <w:szCs w:val="20"/>
          <w:u w:val="single"/>
        </w:rPr>
        <w:t>CASE SUMMARY</w:t>
      </w:r>
    </w:p>
    <w:p w:rsidR="00A740D1" w:rsidRDefault="00A740D1"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C4E56" w:rsidRPr="00201A3F" w:rsidTr="00B803D5">
        <w:tc>
          <w:tcPr>
            <w:tcW w:w="5000" w:type="pct"/>
            <w:gridSpan w:val="3"/>
          </w:tcPr>
          <w:p w:rsidR="003C4E56" w:rsidRPr="00201A3F" w:rsidRDefault="003C4E56" w:rsidP="00B803D5">
            <w:pPr>
              <w:jc w:val="both"/>
              <w:rPr>
                <w:rFonts w:eastAsia="Calibri"/>
                <w:smallCaps/>
                <w:sz w:val="20"/>
              </w:rPr>
            </w:pPr>
            <w:r w:rsidRPr="00201A3F">
              <w:rPr>
                <w:rFonts w:eastAsia="Calibri"/>
                <w:smallCaps/>
                <w:sz w:val="20"/>
              </w:rPr>
              <w:t>(Publication Ban in Case) (Publication Ban on Party)</w:t>
            </w:r>
          </w:p>
          <w:p w:rsidR="003C4E56" w:rsidRPr="00201A3F" w:rsidRDefault="003C4E56" w:rsidP="00B803D5">
            <w:pPr>
              <w:jc w:val="both"/>
              <w:rPr>
                <w:rFonts w:eastAsia="Calibri"/>
                <w:sz w:val="20"/>
              </w:rPr>
            </w:pPr>
          </w:p>
          <w:p w:rsidR="003C4E56" w:rsidRPr="00201A3F" w:rsidRDefault="003C4E56" w:rsidP="00B803D5">
            <w:pPr>
              <w:jc w:val="both"/>
              <w:rPr>
                <w:rFonts w:eastAsia="Calibri"/>
                <w:sz w:val="20"/>
              </w:rPr>
            </w:pPr>
            <w:r w:rsidRPr="00201A3F">
              <w:rPr>
                <w:rFonts w:eastAsia="Calibri"/>
                <w:sz w:val="20"/>
              </w:rPr>
              <w:t>Civil procedure — Motion to restore appeal from judgment rendered in 2000 — Whether Court of Appeal should have allowed motion.</w:t>
            </w:r>
          </w:p>
        </w:tc>
      </w:tr>
      <w:tr w:rsidR="003C4E56" w:rsidRPr="00201A3F" w:rsidTr="00B803D5">
        <w:tc>
          <w:tcPr>
            <w:tcW w:w="5000" w:type="pct"/>
            <w:gridSpan w:val="3"/>
          </w:tcPr>
          <w:p w:rsidR="003C4E56" w:rsidRPr="00201A3F" w:rsidRDefault="003C4E56" w:rsidP="00B803D5">
            <w:pPr>
              <w:jc w:val="both"/>
              <w:rPr>
                <w:rFonts w:eastAsia="Calibri"/>
                <w:sz w:val="20"/>
              </w:rPr>
            </w:pPr>
          </w:p>
        </w:tc>
      </w:tr>
      <w:tr w:rsidR="003C4E56" w:rsidRPr="00201A3F" w:rsidTr="00B803D5">
        <w:tc>
          <w:tcPr>
            <w:tcW w:w="5000" w:type="pct"/>
            <w:gridSpan w:val="3"/>
          </w:tcPr>
          <w:p w:rsidR="003C4E56" w:rsidRPr="00201A3F" w:rsidRDefault="003C4E56" w:rsidP="00B803D5">
            <w:pPr>
              <w:jc w:val="both"/>
              <w:rPr>
                <w:rFonts w:eastAsia="Calibri"/>
                <w:sz w:val="20"/>
              </w:rPr>
            </w:pPr>
            <w:r w:rsidRPr="00201A3F">
              <w:rPr>
                <w:rFonts w:eastAsia="Calibri"/>
                <w:sz w:val="20"/>
              </w:rPr>
              <w:t>In 2012, the applicant applied to the Quebec Superior Court for leave to file a motion in revocation of a judgment rendered by LeBel J. in 2000.  Rolland C.J. dismissed the motion, noting that the applicant had been declared to be a quarrelsome litigant and that her proceeding clearly could not succeed.</w:t>
            </w:r>
          </w:p>
          <w:p w:rsidR="003C4E56" w:rsidRPr="00201A3F" w:rsidRDefault="003C4E56" w:rsidP="00B803D5">
            <w:pPr>
              <w:jc w:val="both"/>
              <w:rPr>
                <w:rFonts w:eastAsia="Calibri"/>
                <w:sz w:val="20"/>
              </w:rPr>
            </w:pPr>
          </w:p>
          <w:p w:rsidR="003C4E56" w:rsidRPr="00201A3F" w:rsidRDefault="003C4E56" w:rsidP="00B803D5">
            <w:pPr>
              <w:jc w:val="both"/>
              <w:rPr>
                <w:rFonts w:eastAsia="Calibri"/>
                <w:sz w:val="20"/>
              </w:rPr>
            </w:pPr>
            <w:r w:rsidRPr="00201A3F">
              <w:rPr>
                <w:rFonts w:eastAsia="Calibri"/>
                <w:sz w:val="20"/>
              </w:rPr>
              <w:t xml:space="preserve">The applicant filed a motion in the Court of Appeal seeking to restore her appeal from LeBel J.’s judgment.  The Court dismissed the motion on the ground that the test in art. 523 </w:t>
            </w:r>
            <w:r w:rsidRPr="00201A3F">
              <w:rPr>
                <w:rFonts w:eastAsia="Calibri"/>
                <w:i/>
                <w:sz w:val="20"/>
              </w:rPr>
              <w:t>C.C.P.</w:t>
            </w:r>
            <w:r w:rsidRPr="00201A3F">
              <w:rPr>
                <w:rFonts w:eastAsia="Calibri"/>
                <w:sz w:val="20"/>
              </w:rPr>
              <w:t xml:space="preserve"> was not met.</w:t>
            </w:r>
          </w:p>
          <w:p w:rsidR="003C4E56" w:rsidRPr="00201A3F" w:rsidRDefault="003C4E56" w:rsidP="00B803D5">
            <w:pPr>
              <w:jc w:val="both"/>
              <w:rPr>
                <w:rFonts w:eastAsia="Calibri"/>
                <w:sz w:val="20"/>
              </w:rPr>
            </w:pPr>
          </w:p>
        </w:tc>
      </w:tr>
      <w:tr w:rsidR="003C4E56" w:rsidRPr="00201A3F" w:rsidTr="00B803D5">
        <w:tc>
          <w:tcPr>
            <w:tcW w:w="2427" w:type="pct"/>
          </w:tcPr>
          <w:p w:rsidR="003C4E56" w:rsidRPr="00201A3F" w:rsidRDefault="003C4E56" w:rsidP="00B803D5">
            <w:pPr>
              <w:jc w:val="both"/>
              <w:rPr>
                <w:rFonts w:eastAsia="Calibri"/>
                <w:sz w:val="20"/>
              </w:rPr>
            </w:pPr>
            <w:r w:rsidRPr="00201A3F">
              <w:rPr>
                <w:rFonts w:eastAsia="Calibri"/>
                <w:sz w:val="20"/>
              </w:rPr>
              <w:t xml:space="preserve">February 6, 2012 </w:t>
            </w:r>
          </w:p>
          <w:p w:rsidR="003C4E56" w:rsidRPr="00201A3F" w:rsidRDefault="003C4E56" w:rsidP="00B803D5">
            <w:pPr>
              <w:jc w:val="both"/>
              <w:rPr>
                <w:rFonts w:eastAsia="Calibri"/>
                <w:sz w:val="20"/>
              </w:rPr>
            </w:pPr>
            <w:r w:rsidRPr="00201A3F">
              <w:rPr>
                <w:rFonts w:eastAsia="Calibri"/>
                <w:sz w:val="20"/>
              </w:rPr>
              <w:t>Quebec Superior Court</w:t>
            </w:r>
          </w:p>
          <w:p w:rsidR="003C4E56" w:rsidRPr="00201A3F" w:rsidRDefault="003C4E56" w:rsidP="00B803D5">
            <w:pPr>
              <w:jc w:val="both"/>
              <w:rPr>
                <w:rFonts w:eastAsia="Calibri"/>
                <w:sz w:val="20"/>
              </w:rPr>
            </w:pPr>
            <w:r w:rsidRPr="00201A3F">
              <w:rPr>
                <w:rFonts w:eastAsia="Calibri"/>
                <w:sz w:val="20"/>
              </w:rPr>
              <w:t>(Rolland C.J.)</w:t>
            </w:r>
          </w:p>
          <w:p w:rsidR="003C4E56" w:rsidRPr="00201A3F" w:rsidRDefault="003C4E56" w:rsidP="00B803D5">
            <w:pPr>
              <w:jc w:val="both"/>
              <w:rPr>
                <w:rFonts w:eastAsia="Calibri"/>
                <w:sz w:val="20"/>
              </w:rPr>
            </w:pPr>
          </w:p>
        </w:tc>
        <w:tc>
          <w:tcPr>
            <w:tcW w:w="243" w:type="pct"/>
          </w:tcPr>
          <w:p w:rsidR="003C4E56" w:rsidRPr="00201A3F" w:rsidRDefault="003C4E56" w:rsidP="00B803D5">
            <w:pPr>
              <w:jc w:val="both"/>
              <w:rPr>
                <w:rFonts w:eastAsia="Calibri"/>
                <w:sz w:val="20"/>
              </w:rPr>
            </w:pPr>
          </w:p>
        </w:tc>
        <w:tc>
          <w:tcPr>
            <w:tcW w:w="2330" w:type="pct"/>
          </w:tcPr>
          <w:p w:rsidR="003C4E56" w:rsidRPr="00201A3F" w:rsidRDefault="003C4E56" w:rsidP="00B803D5">
            <w:pPr>
              <w:jc w:val="both"/>
              <w:rPr>
                <w:rFonts w:eastAsia="Calibri"/>
                <w:sz w:val="20"/>
              </w:rPr>
            </w:pPr>
            <w:r w:rsidRPr="00201A3F">
              <w:rPr>
                <w:rFonts w:eastAsia="Calibri"/>
                <w:sz w:val="20"/>
              </w:rPr>
              <w:t>Motion for leave to file motion in revocation of Superior Court judgment of April 28, 2000 dismissed</w:t>
            </w:r>
          </w:p>
          <w:p w:rsidR="003C4E56" w:rsidRPr="00201A3F" w:rsidRDefault="003C4E56" w:rsidP="00B803D5">
            <w:pPr>
              <w:jc w:val="both"/>
              <w:rPr>
                <w:rFonts w:eastAsia="Calibri"/>
                <w:sz w:val="20"/>
              </w:rPr>
            </w:pPr>
          </w:p>
        </w:tc>
      </w:tr>
      <w:tr w:rsidR="003C4E56" w:rsidRPr="00201A3F" w:rsidTr="00B803D5">
        <w:tc>
          <w:tcPr>
            <w:tcW w:w="2427" w:type="pct"/>
          </w:tcPr>
          <w:p w:rsidR="003C4E56" w:rsidRPr="00201A3F" w:rsidRDefault="003C4E56" w:rsidP="00B803D5">
            <w:pPr>
              <w:jc w:val="both"/>
              <w:rPr>
                <w:rFonts w:eastAsia="Calibri"/>
                <w:sz w:val="20"/>
              </w:rPr>
            </w:pPr>
            <w:r w:rsidRPr="00201A3F">
              <w:rPr>
                <w:rFonts w:eastAsia="Calibri"/>
                <w:sz w:val="20"/>
              </w:rPr>
              <w:t>May 16, 2012</w:t>
            </w:r>
          </w:p>
          <w:p w:rsidR="003C4E56" w:rsidRPr="00201A3F" w:rsidRDefault="003C4E56" w:rsidP="00B803D5">
            <w:pPr>
              <w:jc w:val="both"/>
              <w:rPr>
                <w:rFonts w:eastAsia="Calibri"/>
                <w:sz w:val="20"/>
              </w:rPr>
            </w:pPr>
            <w:r w:rsidRPr="00201A3F">
              <w:rPr>
                <w:rFonts w:eastAsia="Calibri"/>
                <w:sz w:val="20"/>
              </w:rPr>
              <w:t>Quebec Court of Appeal (Montréal)</w:t>
            </w:r>
          </w:p>
          <w:p w:rsidR="003C4E56" w:rsidRPr="00201A3F" w:rsidRDefault="003C4E56" w:rsidP="00B803D5">
            <w:pPr>
              <w:jc w:val="both"/>
              <w:rPr>
                <w:rFonts w:eastAsia="Calibri"/>
                <w:sz w:val="20"/>
              </w:rPr>
            </w:pPr>
            <w:r w:rsidRPr="00201A3F">
              <w:rPr>
                <w:rFonts w:eastAsia="Calibri"/>
                <w:sz w:val="20"/>
              </w:rPr>
              <w:t>(Forget, Morissette and Léger JJ.A.)</w:t>
            </w:r>
          </w:p>
          <w:p w:rsidR="003C4E56" w:rsidRPr="00201A3F" w:rsidRDefault="003C4E56" w:rsidP="00B803D5">
            <w:pPr>
              <w:jc w:val="both"/>
              <w:rPr>
                <w:rFonts w:eastAsia="Calibri"/>
                <w:sz w:val="20"/>
              </w:rPr>
            </w:pPr>
            <w:r w:rsidRPr="00201A3F">
              <w:rPr>
                <w:rFonts w:eastAsia="Calibri"/>
                <w:sz w:val="20"/>
              </w:rPr>
              <w:t>2012 QCCA 930; 500-09-009650-003</w:t>
            </w:r>
          </w:p>
          <w:p w:rsidR="003C4E56" w:rsidRPr="00201A3F" w:rsidRDefault="003C4E56" w:rsidP="00B803D5">
            <w:pPr>
              <w:jc w:val="both"/>
              <w:rPr>
                <w:rFonts w:eastAsia="Calibri"/>
                <w:sz w:val="20"/>
              </w:rPr>
            </w:pPr>
          </w:p>
        </w:tc>
        <w:tc>
          <w:tcPr>
            <w:tcW w:w="243" w:type="pct"/>
          </w:tcPr>
          <w:p w:rsidR="003C4E56" w:rsidRPr="00201A3F" w:rsidRDefault="003C4E56" w:rsidP="00B803D5">
            <w:pPr>
              <w:jc w:val="both"/>
              <w:rPr>
                <w:rFonts w:eastAsia="Calibri"/>
                <w:sz w:val="20"/>
              </w:rPr>
            </w:pPr>
          </w:p>
        </w:tc>
        <w:tc>
          <w:tcPr>
            <w:tcW w:w="2330" w:type="pct"/>
          </w:tcPr>
          <w:p w:rsidR="003C4E56" w:rsidRPr="00201A3F" w:rsidRDefault="003C4E56" w:rsidP="00B803D5">
            <w:pPr>
              <w:jc w:val="both"/>
              <w:rPr>
                <w:rFonts w:eastAsia="Calibri"/>
                <w:sz w:val="20"/>
              </w:rPr>
            </w:pPr>
            <w:r w:rsidRPr="00201A3F">
              <w:rPr>
                <w:rFonts w:eastAsia="Calibri"/>
                <w:sz w:val="20"/>
              </w:rPr>
              <w:t>Motion to restore appeal from Superior Court judgment of April 28, 2000 dismissed</w:t>
            </w:r>
          </w:p>
          <w:p w:rsidR="003C4E56" w:rsidRPr="00201A3F" w:rsidRDefault="003C4E56" w:rsidP="00B803D5">
            <w:pPr>
              <w:jc w:val="both"/>
              <w:rPr>
                <w:rFonts w:eastAsia="Calibri"/>
                <w:sz w:val="20"/>
              </w:rPr>
            </w:pPr>
          </w:p>
        </w:tc>
      </w:tr>
      <w:tr w:rsidR="003C4E56" w:rsidRPr="00201A3F" w:rsidTr="00B803D5">
        <w:tc>
          <w:tcPr>
            <w:tcW w:w="2427" w:type="pct"/>
          </w:tcPr>
          <w:p w:rsidR="003C4E56" w:rsidRPr="00201A3F" w:rsidRDefault="003C4E56" w:rsidP="00B803D5">
            <w:pPr>
              <w:jc w:val="both"/>
              <w:rPr>
                <w:rFonts w:eastAsia="Calibri"/>
                <w:sz w:val="20"/>
              </w:rPr>
            </w:pPr>
            <w:r w:rsidRPr="00201A3F">
              <w:rPr>
                <w:rFonts w:eastAsia="Calibri"/>
                <w:sz w:val="20"/>
              </w:rPr>
              <w:t>July 27, 2012</w:t>
            </w:r>
          </w:p>
          <w:p w:rsidR="003C4E56" w:rsidRPr="00201A3F" w:rsidRDefault="003C4E56" w:rsidP="00B803D5">
            <w:pPr>
              <w:jc w:val="both"/>
              <w:rPr>
                <w:rFonts w:eastAsia="Calibri"/>
                <w:sz w:val="20"/>
              </w:rPr>
            </w:pPr>
            <w:r w:rsidRPr="00201A3F">
              <w:rPr>
                <w:rFonts w:eastAsia="Calibri"/>
                <w:sz w:val="20"/>
              </w:rPr>
              <w:t>Supreme Court of Canada</w:t>
            </w:r>
          </w:p>
        </w:tc>
        <w:tc>
          <w:tcPr>
            <w:tcW w:w="243" w:type="pct"/>
          </w:tcPr>
          <w:p w:rsidR="003C4E56" w:rsidRPr="00201A3F" w:rsidRDefault="003C4E56" w:rsidP="00B803D5">
            <w:pPr>
              <w:jc w:val="both"/>
              <w:rPr>
                <w:rFonts w:eastAsia="Calibri"/>
                <w:sz w:val="20"/>
              </w:rPr>
            </w:pPr>
          </w:p>
        </w:tc>
        <w:tc>
          <w:tcPr>
            <w:tcW w:w="2330" w:type="pct"/>
          </w:tcPr>
          <w:p w:rsidR="003C4E56" w:rsidRPr="00201A3F" w:rsidRDefault="003C4E56" w:rsidP="00B803D5">
            <w:pPr>
              <w:jc w:val="both"/>
              <w:rPr>
                <w:rFonts w:eastAsia="Calibri"/>
                <w:sz w:val="20"/>
              </w:rPr>
            </w:pPr>
            <w:r w:rsidRPr="00201A3F">
              <w:rPr>
                <w:rFonts w:eastAsia="Calibri"/>
                <w:sz w:val="20"/>
              </w:rPr>
              <w:t>Application for leave to appeal filed</w:t>
            </w:r>
          </w:p>
          <w:p w:rsidR="003C4E56" w:rsidRPr="00201A3F" w:rsidRDefault="003C4E56" w:rsidP="00B803D5">
            <w:pPr>
              <w:jc w:val="both"/>
              <w:rPr>
                <w:rFonts w:eastAsia="Calibri"/>
                <w:sz w:val="20"/>
              </w:rPr>
            </w:pPr>
          </w:p>
        </w:tc>
      </w:tr>
    </w:tbl>
    <w:p w:rsidR="00A740D1" w:rsidRDefault="00A740D1" w:rsidP="008D292F">
      <w:pPr>
        <w:rPr>
          <w:sz w:val="20"/>
          <w:szCs w:val="20"/>
        </w:rPr>
      </w:pPr>
    </w:p>
    <w:p w:rsidR="00A740D1" w:rsidRPr="00C50A5C" w:rsidRDefault="00BF3B03" w:rsidP="00A740D1">
      <w:pPr>
        <w:rPr>
          <w:sz w:val="20"/>
          <w:szCs w:val="20"/>
        </w:rPr>
      </w:pPr>
      <w:r w:rsidRPr="00BF3B03">
        <w:rPr>
          <w:sz w:val="20"/>
          <w:szCs w:val="20"/>
          <w:lang w:val="fr-CA"/>
        </w:rPr>
        <w:pict>
          <v:rect id="_x0000_i1042" style="width:2in;height:1pt" o:hrpct="0" o:hralign="center" o:hrstd="t" o:hrnoshade="t" o:hr="t" fillcolor="black [3213]" stroked="f"/>
        </w:pict>
      </w:r>
    </w:p>
    <w:p w:rsidR="00A740D1" w:rsidRDefault="00A740D1" w:rsidP="00A740D1">
      <w:pPr>
        <w:rPr>
          <w:sz w:val="20"/>
          <w:szCs w:val="20"/>
        </w:rPr>
      </w:pPr>
    </w:p>
    <w:p w:rsidR="00A740D1" w:rsidRPr="001B157C" w:rsidRDefault="00A740D1" w:rsidP="00A740D1">
      <w:pPr>
        <w:rPr>
          <w:sz w:val="20"/>
          <w:szCs w:val="20"/>
          <w:u w:val="single"/>
          <w:lang w:val="fr-CA"/>
        </w:rPr>
      </w:pPr>
      <w:r w:rsidRPr="001B157C">
        <w:rPr>
          <w:sz w:val="20"/>
          <w:szCs w:val="20"/>
          <w:u w:val="single"/>
          <w:lang w:val="fr-CA"/>
        </w:rPr>
        <w:t>RÉSUMÉ DE L’AFFAIRE</w:t>
      </w:r>
    </w:p>
    <w:p w:rsidR="00A740D1" w:rsidRDefault="00A740D1"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C4E56" w:rsidRPr="00DC2D1F" w:rsidTr="00B803D5">
        <w:tc>
          <w:tcPr>
            <w:tcW w:w="5000" w:type="pct"/>
            <w:gridSpan w:val="3"/>
          </w:tcPr>
          <w:p w:rsidR="003C4E56" w:rsidRPr="00201A3F" w:rsidRDefault="003C4E56" w:rsidP="00B803D5">
            <w:pPr>
              <w:jc w:val="both"/>
              <w:rPr>
                <w:rFonts w:eastAsia="Calibri"/>
                <w:smallCaps/>
                <w:sz w:val="20"/>
                <w:lang w:val="fr-CA"/>
              </w:rPr>
            </w:pPr>
            <w:r w:rsidRPr="00201A3F">
              <w:rPr>
                <w:rFonts w:eastAsia="Calibri"/>
                <w:smallCaps/>
                <w:sz w:val="20"/>
                <w:lang w:val="fr-CA"/>
              </w:rPr>
              <w:t>(Ordonnance de non</w:t>
            </w:r>
            <w:r w:rsidRPr="00201A3F">
              <w:rPr>
                <w:rFonts w:eastAsia="Calibri"/>
                <w:smallCaps/>
                <w:sz w:val="20"/>
                <w:lang w:val="fr-CA"/>
              </w:rPr>
              <w:noBreakHyphen/>
              <w:t>publication dans le dossier) (Ordonnance de non</w:t>
            </w:r>
            <w:r w:rsidRPr="00201A3F">
              <w:rPr>
                <w:rFonts w:eastAsia="Calibri"/>
                <w:smallCaps/>
                <w:sz w:val="20"/>
                <w:lang w:val="fr-CA"/>
              </w:rPr>
              <w:noBreakHyphen/>
              <w:t>publication visant une partie)</w:t>
            </w:r>
          </w:p>
          <w:p w:rsidR="003C4E56" w:rsidRPr="00201A3F" w:rsidRDefault="003C4E56" w:rsidP="00B803D5">
            <w:pPr>
              <w:jc w:val="both"/>
              <w:rPr>
                <w:rFonts w:eastAsia="Calibri"/>
                <w:sz w:val="20"/>
                <w:lang w:val="fr-CA"/>
              </w:rPr>
            </w:pPr>
          </w:p>
          <w:p w:rsidR="003C4E56" w:rsidRPr="00201A3F" w:rsidRDefault="003C4E56" w:rsidP="00B803D5">
            <w:pPr>
              <w:jc w:val="both"/>
              <w:rPr>
                <w:rFonts w:eastAsia="Calibri"/>
                <w:sz w:val="20"/>
                <w:lang w:val="fr-CA"/>
              </w:rPr>
            </w:pPr>
            <w:r w:rsidRPr="00201A3F">
              <w:rPr>
                <w:rFonts w:eastAsia="Calibri"/>
                <w:sz w:val="20"/>
                <w:lang w:val="fr-CA"/>
              </w:rPr>
              <w:t>Procédure civile — Requête pour la remise en état d’un appel à l’encontre d’un jugement rendu en 2000 — La Cour d’appel aurait</w:t>
            </w:r>
            <w:r w:rsidRPr="00201A3F">
              <w:rPr>
                <w:rFonts w:eastAsia="Calibri"/>
                <w:sz w:val="20"/>
                <w:lang w:val="fr-CA"/>
              </w:rPr>
              <w:noBreakHyphen/>
              <w:t>elle dû accueillir la requête?</w:t>
            </w:r>
          </w:p>
        </w:tc>
      </w:tr>
      <w:tr w:rsidR="003C4E56" w:rsidRPr="00DC2D1F" w:rsidTr="00B803D5">
        <w:tc>
          <w:tcPr>
            <w:tcW w:w="5000" w:type="pct"/>
            <w:gridSpan w:val="3"/>
          </w:tcPr>
          <w:p w:rsidR="003C4E56" w:rsidRPr="00201A3F" w:rsidRDefault="003C4E56" w:rsidP="00B803D5">
            <w:pPr>
              <w:jc w:val="both"/>
              <w:rPr>
                <w:rFonts w:eastAsia="Calibri"/>
                <w:sz w:val="20"/>
                <w:lang w:val="fr-CA"/>
              </w:rPr>
            </w:pPr>
          </w:p>
        </w:tc>
      </w:tr>
      <w:tr w:rsidR="003C4E56" w:rsidRPr="00DC2D1F" w:rsidTr="00B803D5">
        <w:tc>
          <w:tcPr>
            <w:tcW w:w="5000" w:type="pct"/>
            <w:gridSpan w:val="3"/>
          </w:tcPr>
          <w:p w:rsidR="003C4E56" w:rsidRPr="00201A3F" w:rsidRDefault="003C4E56" w:rsidP="00B803D5">
            <w:pPr>
              <w:jc w:val="both"/>
              <w:rPr>
                <w:rFonts w:eastAsia="Calibri"/>
                <w:sz w:val="20"/>
                <w:lang w:val="fr-CA"/>
              </w:rPr>
            </w:pPr>
            <w:r w:rsidRPr="00201A3F">
              <w:rPr>
                <w:rFonts w:eastAsia="Calibri"/>
                <w:sz w:val="20"/>
                <w:lang w:val="fr-CA"/>
              </w:rPr>
              <w:lastRenderedPageBreak/>
              <w:t xml:space="preserve">En 2012, la demanderesse s’adresse à la Cour supérieure du Québec pour demander l’autorisation de déposer une requête en rétractation de jugement à l’encontre d’une décision de la juge LeBel rendue en 2000.  Le juge en chef Rolland rejette la requête.  Il note que la demanderesse a été déclarée plaideuse quérulente et que sa procédure est manifestement vouée à l’échec. </w:t>
            </w:r>
          </w:p>
          <w:p w:rsidR="003C4E56" w:rsidRPr="00201A3F" w:rsidRDefault="003C4E56" w:rsidP="00B803D5">
            <w:pPr>
              <w:jc w:val="both"/>
              <w:rPr>
                <w:rFonts w:eastAsia="Calibri"/>
                <w:sz w:val="20"/>
                <w:lang w:val="fr-CA"/>
              </w:rPr>
            </w:pPr>
          </w:p>
          <w:p w:rsidR="003C4E56" w:rsidRPr="00201A3F" w:rsidRDefault="003C4E56" w:rsidP="00B803D5">
            <w:pPr>
              <w:jc w:val="both"/>
              <w:rPr>
                <w:rFonts w:eastAsia="Calibri"/>
                <w:sz w:val="20"/>
                <w:lang w:val="fr-CA"/>
              </w:rPr>
            </w:pPr>
            <w:r w:rsidRPr="00201A3F">
              <w:rPr>
                <w:rFonts w:eastAsia="Calibri"/>
                <w:sz w:val="20"/>
                <w:lang w:val="fr-CA"/>
              </w:rPr>
              <w:t xml:space="preserve">La demanderesse dépose une requête à la Cour d’appel où elle demande la remise en état de son appel contre le jugement de la juge LeBel.  La Cour rejette la requête, car elle est d’avis qu’il n’est pas satisfait au critère énoncé à l’art. 523 </w:t>
            </w:r>
            <w:r w:rsidRPr="00201A3F">
              <w:rPr>
                <w:rFonts w:eastAsia="Calibri"/>
                <w:i/>
                <w:sz w:val="20"/>
                <w:lang w:val="fr-CA"/>
              </w:rPr>
              <w:t>C.p.c</w:t>
            </w:r>
            <w:r w:rsidRPr="00201A3F">
              <w:rPr>
                <w:rFonts w:eastAsia="Calibri"/>
                <w:sz w:val="20"/>
                <w:lang w:val="fr-CA"/>
              </w:rPr>
              <w:t>.</w:t>
            </w:r>
          </w:p>
          <w:p w:rsidR="003C4E56" w:rsidRPr="00201A3F" w:rsidRDefault="003C4E56" w:rsidP="00B803D5">
            <w:pPr>
              <w:jc w:val="both"/>
              <w:rPr>
                <w:rFonts w:eastAsia="Calibri"/>
                <w:sz w:val="20"/>
                <w:lang w:val="fr-CA"/>
              </w:rPr>
            </w:pPr>
          </w:p>
        </w:tc>
      </w:tr>
      <w:tr w:rsidR="003C4E56" w:rsidRPr="00DC2D1F" w:rsidTr="00B803D5">
        <w:tc>
          <w:tcPr>
            <w:tcW w:w="2427" w:type="pct"/>
          </w:tcPr>
          <w:p w:rsidR="003C4E56" w:rsidRPr="00201A3F" w:rsidRDefault="003C4E56" w:rsidP="00B803D5">
            <w:pPr>
              <w:jc w:val="both"/>
              <w:rPr>
                <w:rFonts w:eastAsia="Calibri"/>
                <w:sz w:val="20"/>
                <w:lang w:val="fr-CA"/>
              </w:rPr>
            </w:pPr>
            <w:r w:rsidRPr="00201A3F">
              <w:rPr>
                <w:rFonts w:eastAsia="Calibri"/>
                <w:sz w:val="20"/>
                <w:lang w:val="fr-CA"/>
              </w:rPr>
              <w:t xml:space="preserve">Le 6 février 2012 </w:t>
            </w:r>
          </w:p>
          <w:p w:rsidR="003C4E56" w:rsidRPr="00201A3F" w:rsidRDefault="003C4E56" w:rsidP="00B803D5">
            <w:pPr>
              <w:jc w:val="both"/>
              <w:rPr>
                <w:rFonts w:eastAsia="Calibri"/>
                <w:sz w:val="20"/>
                <w:lang w:val="fr-CA"/>
              </w:rPr>
            </w:pPr>
            <w:r w:rsidRPr="00201A3F">
              <w:rPr>
                <w:rFonts w:eastAsia="Calibri"/>
                <w:sz w:val="20"/>
                <w:lang w:val="fr-CA"/>
              </w:rPr>
              <w:t>Cour supérieure du Québec</w:t>
            </w:r>
          </w:p>
          <w:p w:rsidR="003C4E56" w:rsidRPr="00201A3F" w:rsidRDefault="003C4E56" w:rsidP="00B803D5">
            <w:pPr>
              <w:jc w:val="both"/>
              <w:rPr>
                <w:rFonts w:eastAsia="Calibri"/>
                <w:sz w:val="20"/>
                <w:lang w:val="fr-CA"/>
              </w:rPr>
            </w:pPr>
            <w:r w:rsidRPr="00201A3F">
              <w:rPr>
                <w:rFonts w:eastAsia="Calibri"/>
                <w:sz w:val="20"/>
                <w:lang w:val="fr-CA"/>
              </w:rPr>
              <w:t>(Le juge en chef Rolland)</w:t>
            </w:r>
          </w:p>
          <w:p w:rsidR="003C4E56" w:rsidRPr="00201A3F" w:rsidRDefault="003C4E56" w:rsidP="00B803D5">
            <w:pPr>
              <w:jc w:val="both"/>
              <w:rPr>
                <w:rFonts w:eastAsia="Calibri"/>
                <w:sz w:val="20"/>
                <w:lang w:val="fr-CA"/>
              </w:rPr>
            </w:pPr>
          </w:p>
        </w:tc>
        <w:tc>
          <w:tcPr>
            <w:tcW w:w="243" w:type="pct"/>
          </w:tcPr>
          <w:p w:rsidR="003C4E56" w:rsidRPr="00201A3F" w:rsidRDefault="003C4E56" w:rsidP="00B803D5">
            <w:pPr>
              <w:jc w:val="both"/>
              <w:rPr>
                <w:rFonts w:eastAsia="Calibri"/>
                <w:sz w:val="20"/>
                <w:lang w:val="fr-CA"/>
              </w:rPr>
            </w:pPr>
          </w:p>
        </w:tc>
        <w:tc>
          <w:tcPr>
            <w:tcW w:w="2330" w:type="pct"/>
          </w:tcPr>
          <w:p w:rsidR="003C4E56" w:rsidRPr="00201A3F" w:rsidRDefault="003C4E56" w:rsidP="00B803D5">
            <w:pPr>
              <w:jc w:val="both"/>
              <w:rPr>
                <w:rFonts w:eastAsia="Calibri"/>
                <w:sz w:val="20"/>
                <w:lang w:val="fr-CA"/>
              </w:rPr>
            </w:pPr>
            <w:r w:rsidRPr="00201A3F">
              <w:rPr>
                <w:rFonts w:eastAsia="Calibri"/>
                <w:sz w:val="20"/>
                <w:lang w:val="fr-CA"/>
              </w:rPr>
              <w:t>Requête en autorisation de déposer une requête en rétractation de jugement à l’encontre du jugement de la Cour supérieure du 28 avril 2000 rejetée</w:t>
            </w:r>
          </w:p>
          <w:p w:rsidR="003C4E56" w:rsidRPr="00201A3F" w:rsidRDefault="003C4E56" w:rsidP="00B803D5">
            <w:pPr>
              <w:jc w:val="both"/>
              <w:rPr>
                <w:rFonts w:eastAsia="Calibri"/>
                <w:sz w:val="20"/>
                <w:lang w:val="fr-CA"/>
              </w:rPr>
            </w:pPr>
          </w:p>
        </w:tc>
      </w:tr>
      <w:tr w:rsidR="003C4E56" w:rsidRPr="00DC2D1F" w:rsidTr="00B803D5">
        <w:tc>
          <w:tcPr>
            <w:tcW w:w="2427" w:type="pct"/>
          </w:tcPr>
          <w:p w:rsidR="003C4E56" w:rsidRPr="00201A3F" w:rsidRDefault="003C4E56" w:rsidP="00B803D5">
            <w:pPr>
              <w:jc w:val="both"/>
              <w:rPr>
                <w:rFonts w:eastAsia="Calibri"/>
                <w:sz w:val="20"/>
                <w:lang w:val="fr-CA"/>
              </w:rPr>
            </w:pPr>
            <w:r w:rsidRPr="00201A3F">
              <w:rPr>
                <w:rFonts w:eastAsia="Calibri"/>
                <w:sz w:val="20"/>
                <w:lang w:val="fr-CA"/>
              </w:rPr>
              <w:t>Le 16 mai 2012</w:t>
            </w:r>
          </w:p>
          <w:p w:rsidR="003C4E56" w:rsidRPr="00201A3F" w:rsidRDefault="003C4E56" w:rsidP="00B803D5">
            <w:pPr>
              <w:jc w:val="both"/>
              <w:rPr>
                <w:rFonts w:eastAsia="Calibri"/>
                <w:sz w:val="20"/>
                <w:lang w:val="fr-CA"/>
              </w:rPr>
            </w:pPr>
            <w:r w:rsidRPr="00201A3F">
              <w:rPr>
                <w:rFonts w:eastAsia="Calibri"/>
                <w:sz w:val="20"/>
                <w:lang w:val="fr-CA"/>
              </w:rPr>
              <w:t>Cour d’appel du Québec (Montréal)</w:t>
            </w:r>
          </w:p>
          <w:p w:rsidR="003C4E56" w:rsidRPr="00201A3F" w:rsidRDefault="003C4E56" w:rsidP="00B803D5">
            <w:pPr>
              <w:jc w:val="both"/>
              <w:rPr>
                <w:rFonts w:eastAsia="Calibri"/>
                <w:sz w:val="20"/>
                <w:lang w:val="fr-CA"/>
              </w:rPr>
            </w:pPr>
            <w:r w:rsidRPr="00201A3F">
              <w:rPr>
                <w:rFonts w:eastAsia="Calibri"/>
                <w:sz w:val="20"/>
                <w:lang w:val="fr-CA"/>
              </w:rPr>
              <w:t>(Les juges Forget, Morissette et Léger)</w:t>
            </w:r>
          </w:p>
          <w:p w:rsidR="003C4E56" w:rsidRPr="00201A3F" w:rsidRDefault="003C4E56" w:rsidP="00B803D5">
            <w:pPr>
              <w:jc w:val="both"/>
              <w:rPr>
                <w:rFonts w:eastAsia="Calibri"/>
                <w:sz w:val="20"/>
                <w:lang w:val="fr-CA"/>
              </w:rPr>
            </w:pPr>
            <w:r w:rsidRPr="00201A3F">
              <w:rPr>
                <w:rFonts w:eastAsia="Calibri"/>
                <w:sz w:val="20"/>
                <w:lang w:val="fr-CA"/>
              </w:rPr>
              <w:t>2012 QCCA 930; 500</w:t>
            </w:r>
            <w:r w:rsidRPr="00201A3F">
              <w:rPr>
                <w:rFonts w:eastAsia="Calibri"/>
                <w:sz w:val="20"/>
                <w:lang w:val="fr-CA"/>
              </w:rPr>
              <w:noBreakHyphen/>
              <w:t>09</w:t>
            </w:r>
            <w:r w:rsidRPr="00201A3F">
              <w:rPr>
                <w:rFonts w:eastAsia="Calibri"/>
                <w:sz w:val="20"/>
                <w:lang w:val="fr-CA"/>
              </w:rPr>
              <w:noBreakHyphen/>
              <w:t>009650</w:t>
            </w:r>
            <w:r w:rsidRPr="00201A3F">
              <w:rPr>
                <w:rFonts w:eastAsia="Calibri"/>
                <w:sz w:val="20"/>
                <w:lang w:val="fr-CA"/>
              </w:rPr>
              <w:noBreakHyphen/>
              <w:t>003</w:t>
            </w:r>
          </w:p>
          <w:p w:rsidR="003C4E56" w:rsidRPr="00201A3F" w:rsidRDefault="003C4E56" w:rsidP="00B803D5">
            <w:pPr>
              <w:jc w:val="both"/>
              <w:rPr>
                <w:rFonts w:eastAsia="Calibri"/>
                <w:sz w:val="20"/>
                <w:lang w:val="fr-CA"/>
              </w:rPr>
            </w:pPr>
          </w:p>
        </w:tc>
        <w:tc>
          <w:tcPr>
            <w:tcW w:w="243" w:type="pct"/>
          </w:tcPr>
          <w:p w:rsidR="003C4E56" w:rsidRPr="00201A3F" w:rsidRDefault="003C4E56" w:rsidP="00B803D5">
            <w:pPr>
              <w:jc w:val="both"/>
              <w:rPr>
                <w:rFonts w:eastAsia="Calibri"/>
                <w:sz w:val="20"/>
                <w:lang w:val="fr-CA"/>
              </w:rPr>
            </w:pPr>
          </w:p>
        </w:tc>
        <w:tc>
          <w:tcPr>
            <w:tcW w:w="2330" w:type="pct"/>
          </w:tcPr>
          <w:p w:rsidR="003C4E56" w:rsidRPr="00201A3F" w:rsidRDefault="003C4E56" w:rsidP="00B803D5">
            <w:pPr>
              <w:jc w:val="both"/>
              <w:rPr>
                <w:rFonts w:eastAsia="Calibri"/>
                <w:sz w:val="20"/>
                <w:lang w:val="fr-CA"/>
              </w:rPr>
            </w:pPr>
            <w:r w:rsidRPr="00201A3F">
              <w:rPr>
                <w:rFonts w:eastAsia="Calibri"/>
                <w:sz w:val="20"/>
                <w:lang w:val="fr-CA"/>
              </w:rPr>
              <w:t>Requête pour la remise en état d’un appel à l’encontre du jugement de la Cour supérieure du 28 avril 2000 rejetée</w:t>
            </w:r>
          </w:p>
          <w:p w:rsidR="003C4E56" w:rsidRPr="00201A3F" w:rsidRDefault="003C4E56" w:rsidP="00B803D5">
            <w:pPr>
              <w:jc w:val="both"/>
              <w:rPr>
                <w:rFonts w:eastAsia="Calibri"/>
                <w:sz w:val="20"/>
                <w:lang w:val="fr-CA"/>
              </w:rPr>
            </w:pPr>
          </w:p>
        </w:tc>
      </w:tr>
      <w:tr w:rsidR="003C4E56" w:rsidRPr="00201A3F" w:rsidTr="00B803D5">
        <w:tc>
          <w:tcPr>
            <w:tcW w:w="2427" w:type="pct"/>
          </w:tcPr>
          <w:p w:rsidR="003C4E56" w:rsidRPr="00201A3F" w:rsidRDefault="003C4E56" w:rsidP="00B803D5">
            <w:pPr>
              <w:jc w:val="both"/>
              <w:rPr>
                <w:rFonts w:eastAsia="Calibri"/>
                <w:sz w:val="20"/>
                <w:lang w:val="fr-CA"/>
              </w:rPr>
            </w:pPr>
            <w:r w:rsidRPr="00201A3F">
              <w:rPr>
                <w:rFonts w:eastAsia="Calibri"/>
                <w:sz w:val="20"/>
                <w:lang w:val="fr-CA"/>
              </w:rPr>
              <w:t>Le 27 juillet 2012</w:t>
            </w:r>
          </w:p>
          <w:p w:rsidR="003C4E56" w:rsidRPr="00201A3F" w:rsidRDefault="003C4E56" w:rsidP="00B803D5">
            <w:pPr>
              <w:jc w:val="both"/>
              <w:rPr>
                <w:rFonts w:eastAsia="Calibri"/>
                <w:sz w:val="20"/>
                <w:lang w:val="fr-CA"/>
              </w:rPr>
            </w:pPr>
            <w:r w:rsidRPr="00201A3F">
              <w:rPr>
                <w:rFonts w:eastAsia="Calibri"/>
                <w:sz w:val="20"/>
                <w:lang w:val="fr-CA"/>
              </w:rPr>
              <w:t>Cour suprême du Canada</w:t>
            </w:r>
          </w:p>
        </w:tc>
        <w:tc>
          <w:tcPr>
            <w:tcW w:w="243" w:type="pct"/>
          </w:tcPr>
          <w:p w:rsidR="003C4E56" w:rsidRPr="00201A3F" w:rsidRDefault="003C4E56" w:rsidP="00B803D5">
            <w:pPr>
              <w:jc w:val="both"/>
              <w:rPr>
                <w:rFonts w:eastAsia="Calibri"/>
                <w:sz w:val="20"/>
                <w:lang w:val="fr-CA"/>
              </w:rPr>
            </w:pPr>
          </w:p>
        </w:tc>
        <w:tc>
          <w:tcPr>
            <w:tcW w:w="2330" w:type="pct"/>
          </w:tcPr>
          <w:p w:rsidR="003C4E56" w:rsidRPr="00201A3F" w:rsidRDefault="003C4E56" w:rsidP="00B803D5">
            <w:pPr>
              <w:jc w:val="both"/>
              <w:rPr>
                <w:rFonts w:eastAsia="Calibri"/>
                <w:sz w:val="20"/>
                <w:lang w:val="fr-CA"/>
              </w:rPr>
            </w:pPr>
            <w:r w:rsidRPr="00201A3F">
              <w:rPr>
                <w:rFonts w:eastAsia="Calibri"/>
                <w:sz w:val="20"/>
                <w:lang w:val="fr-CA"/>
              </w:rPr>
              <w:t>Demande d'autorisation d'appel déposée</w:t>
            </w:r>
          </w:p>
          <w:p w:rsidR="003C4E56" w:rsidRPr="00201A3F" w:rsidRDefault="003C4E56" w:rsidP="00B803D5">
            <w:pPr>
              <w:jc w:val="both"/>
              <w:rPr>
                <w:rFonts w:eastAsia="Calibri"/>
                <w:sz w:val="20"/>
                <w:lang w:val="fr-CA"/>
              </w:rPr>
            </w:pPr>
          </w:p>
        </w:tc>
      </w:tr>
    </w:tbl>
    <w:p w:rsidR="00A740D1" w:rsidRDefault="00A740D1" w:rsidP="008D292F">
      <w:pPr>
        <w:rPr>
          <w:sz w:val="20"/>
          <w:szCs w:val="20"/>
        </w:rPr>
      </w:pPr>
    </w:p>
    <w:p w:rsidR="00A740D1" w:rsidRDefault="00BF3B03" w:rsidP="008D292F">
      <w:pPr>
        <w:rPr>
          <w:sz w:val="20"/>
          <w:szCs w:val="20"/>
        </w:rPr>
      </w:pPr>
      <w:r w:rsidRPr="00BF3B03">
        <w:rPr>
          <w:sz w:val="20"/>
          <w:szCs w:val="20"/>
          <w:lang w:val="fr-CA"/>
        </w:rPr>
        <w:pict>
          <v:rect id="_x0000_i1043" style="width:2in;height:1pt" o:hrpct="0" o:hralign="center" o:hrstd="t" o:hrnoshade="t" o:hr="t" fillcolor="black [3213]" stroked="f"/>
        </w:pict>
      </w:r>
    </w:p>
    <w:p w:rsidR="00A740D1" w:rsidRDefault="00A740D1"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46290" w:rsidRPr="003C7D2B" w:rsidTr="00C46290">
        <w:trPr>
          <w:cantSplit/>
        </w:trPr>
        <w:tc>
          <w:tcPr>
            <w:tcW w:w="1458" w:type="dxa"/>
          </w:tcPr>
          <w:p w:rsidR="00C46290" w:rsidRPr="003C7D2B" w:rsidRDefault="00C46290" w:rsidP="00C46290">
            <w:pPr>
              <w:rPr>
                <w:sz w:val="20"/>
                <w:szCs w:val="20"/>
              </w:rPr>
            </w:pPr>
            <w:r w:rsidRPr="003C7D2B">
              <w:rPr>
                <w:rStyle w:val="SCCFileNumberChar"/>
                <w:sz w:val="20"/>
                <w:szCs w:val="20"/>
              </w:rPr>
              <w:t>34706</w:t>
            </w:r>
          </w:p>
          <w:p w:rsidR="00C46290" w:rsidRPr="003C7D2B" w:rsidRDefault="00C46290" w:rsidP="00C46290">
            <w:pPr>
              <w:rPr>
                <w:b/>
                <w:sz w:val="20"/>
                <w:szCs w:val="20"/>
                <w:lang w:val="fr-CA"/>
              </w:rPr>
            </w:pPr>
          </w:p>
        </w:tc>
        <w:tc>
          <w:tcPr>
            <w:tcW w:w="8118" w:type="dxa"/>
          </w:tcPr>
          <w:p w:rsidR="00C46290" w:rsidRPr="003C7D2B" w:rsidRDefault="00C46290" w:rsidP="00C46290">
            <w:pPr>
              <w:jc w:val="both"/>
              <w:rPr>
                <w:sz w:val="20"/>
                <w:szCs w:val="20"/>
              </w:rPr>
            </w:pPr>
            <w:r w:rsidRPr="00C46290">
              <w:rPr>
                <w:rStyle w:val="SCCLsocChar"/>
                <w:sz w:val="20"/>
                <w:szCs w:val="20"/>
                <w:lang w:val="en-CA"/>
              </w:rPr>
              <w:t>Public Service Alliance of Canada</w:t>
            </w:r>
            <w:r w:rsidR="00182E71">
              <w:rPr>
                <w:rStyle w:val="SCCLsocChar"/>
                <w:sz w:val="20"/>
                <w:szCs w:val="20"/>
                <w:lang w:val="en-CA"/>
              </w:rPr>
              <w:t xml:space="preserve"> and</w:t>
            </w:r>
            <w:r w:rsidRPr="00C46290">
              <w:rPr>
                <w:rStyle w:val="SCCLsocChar"/>
                <w:sz w:val="20"/>
                <w:szCs w:val="20"/>
                <w:lang w:val="en-CA"/>
              </w:rPr>
              <w:t xml:space="preserve"> Cathy Murphy v. Canada Revenue Agency</w:t>
            </w:r>
            <w:r w:rsidR="00182E71">
              <w:rPr>
                <w:rStyle w:val="SCCLsocChar"/>
                <w:sz w:val="20"/>
                <w:szCs w:val="20"/>
                <w:lang w:val="en-CA"/>
              </w:rPr>
              <w:t xml:space="preserve"> and</w:t>
            </w:r>
            <w:r w:rsidRPr="00C46290">
              <w:rPr>
                <w:rStyle w:val="SCCLsocChar"/>
                <w:sz w:val="20"/>
                <w:szCs w:val="20"/>
                <w:lang w:val="en-CA"/>
              </w:rPr>
              <w:t xml:space="preserve"> Canadian Human Rights Commission AND BETWEEN Canadian Human Rights Commission v. Canada Revenue Agency, Public Service Alliance of Canada</w:t>
            </w:r>
            <w:r w:rsidR="00182E71">
              <w:rPr>
                <w:rStyle w:val="SCCLsocChar"/>
                <w:sz w:val="20"/>
                <w:szCs w:val="20"/>
                <w:lang w:val="en-CA"/>
              </w:rPr>
              <w:t xml:space="preserve"> and</w:t>
            </w:r>
            <w:r w:rsidRPr="00C46290">
              <w:rPr>
                <w:rStyle w:val="SCCLsocChar"/>
                <w:sz w:val="20"/>
                <w:szCs w:val="20"/>
                <w:lang w:val="en-CA"/>
              </w:rPr>
              <w:t xml:space="preserve"> Cathy Murphy</w:t>
            </w:r>
            <w:r w:rsidRPr="003C7D2B">
              <w:rPr>
                <w:sz w:val="20"/>
                <w:szCs w:val="20"/>
              </w:rPr>
              <w:t xml:space="preserve"> (F</w:t>
            </w:r>
            <w:r>
              <w:rPr>
                <w:sz w:val="20"/>
                <w:szCs w:val="20"/>
              </w:rPr>
              <w:t>.</w:t>
            </w:r>
            <w:r w:rsidRPr="003C7D2B">
              <w:rPr>
                <w:sz w:val="20"/>
                <w:szCs w:val="20"/>
              </w:rPr>
              <w:t>C</w:t>
            </w:r>
            <w:r>
              <w:rPr>
                <w:sz w:val="20"/>
                <w:szCs w:val="20"/>
              </w:rPr>
              <w:t>.</w:t>
            </w:r>
            <w:r w:rsidRPr="003C7D2B">
              <w:rPr>
                <w:sz w:val="20"/>
                <w:szCs w:val="20"/>
              </w:rPr>
              <w:t>) (Civil) (By</w:t>
            </w:r>
            <w:r>
              <w:rPr>
                <w:sz w:val="20"/>
                <w:szCs w:val="20"/>
              </w:rPr>
              <w:t> </w:t>
            </w:r>
            <w:r w:rsidRPr="003C7D2B">
              <w:rPr>
                <w:sz w:val="20"/>
                <w:szCs w:val="20"/>
              </w:rPr>
              <w:t>Leave)</w:t>
            </w:r>
          </w:p>
          <w:p w:rsidR="00C46290" w:rsidRPr="003C7D2B" w:rsidRDefault="00C46290" w:rsidP="00C46290">
            <w:pPr>
              <w:rPr>
                <w:sz w:val="20"/>
                <w:szCs w:val="20"/>
              </w:rPr>
            </w:pPr>
          </w:p>
        </w:tc>
      </w:tr>
      <w:tr w:rsidR="00C46290" w:rsidRPr="003C7D2B" w:rsidTr="00C46290">
        <w:trPr>
          <w:cantSplit/>
        </w:trPr>
        <w:tc>
          <w:tcPr>
            <w:tcW w:w="1458" w:type="dxa"/>
          </w:tcPr>
          <w:p w:rsidR="00C46290" w:rsidRPr="003C7D2B" w:rsidRDefault="00C46290" w:rsidP="00C46290">
            <w:pPr>
              <w:rPr>
                <w:sz w:val="20"/>
                <w:szCs w:val="20"/>
              </w:rPr>
            </w:pPr>
            <w:r w:rsidRPr="003C7D2B">
              <w:rPr>
                <w:sz w:val="20"/>
                <w:szCs w:val="20"/>
              </w:rPr>
              <w:t>Coram :</w:t>
            </w:r>
          </w:p>
        </w:tc>
        <w:tc>
          <w:tcPr>
            <w:tcW w:w="8118" w:type="dxa"/>
          </w:tcPr>
          <w:p w:rsidR="00C46290" w:rsidRPr="003C7D2B" w:rsidRDefault="00C46290" w:rsidP="00C46290">
            <w:pPr>
              <w:rPr>
                <w:sz w:val="20"/>
                <w:szCs w:val="20"/>
              </w:rPr>
            </w:pPr>
            <w:r w:rsidRPr="00C46290">
              <w:rPr>
                <w:rStyle w:val="SCCCoramChar"/>
                <w:sz w:val="20"/>
                <w:szCs w:val="20"/>
                <w:lang w:val="en-CA"/>
              </w:rPr>
              <w:t>McLachlin C.J. and Rothstein and Moldaver JJ.</w:t>
            </w:r>
          </w:p>
          <w:p w:rsidR="00C46290" w:rsidRPr="003C7D2B" w:rsidRDefault="00C46290" w:rsidP="00C46290">
            <w:pPr>
              <w:rPr>
                <w:sz w:val="20"/>
                <w:szCs w:val="20"/>
                <w:u w:val="single"/>
              </w:rPr>
            </w:pPr>
          </w:p>
        </w:tc>
      </w:tr>
      <w:tr w:rsidR="00C46290" w:rsidRPr="00DC2D1F" w:rsidTr="00C46290">
        <w:trPr>
          <w:cantSplit/>
        </w:trPr>
        <w:tc>
          <w:tcPr>
            <w:tcW w:w="9576" w:type="dxa"/>
            <w:gridSpan w:val="2"/>
          </w:tcPr>
          <w:p w:rsidR="00C46290" w:rsidRPr="003C7D2B" w:rsidRDefault="00C46290" w:rsidP="00C46290">
            <w:pPr>
              <w:pStyle w:val="SCCShortJudgment"/>
              <w:rPr>
                <w:szCs w:val="20"/>
              </w:rPr>
            </w:pPr>
            <w:r w:rsidRPr="003C7D2B">
              <w:rPr>
                <w:szCs w:val="20"/>
              </w:rPr>
              <w:t>The applications for leave to appeal from the judgment of the Federal Court of Appeal, Number A-140-11, 2012 FCA 7, dated January 10, 2012, are dismissed with costs to the respondent Canadian Revenue Agency on the first application.</w:t>
            </w:r>
          </w:p>
          <w:p w:rsidR="00C46290" w:rsidRPr="003C7D2B" w:rsidRDefault="00C46290" w:rsidP="00C46290">
            <w:pPr>
              <w:pStyle w:val="SCCShortJudgment"/>
              <w:ind w:firstLine="0"/>
              <w:rPr>
                <w:szCs w:val="20"/>
              </w:rPr>
            </w:pPr>
          </w:p>
          <w:p w:rsidR="00C46290" w:rsidRPr="003C7D2B" w:rsidRDefault="00C46290" w:rsidP="00C46290">
            <w:pPr>
              <w:pStyle w:val="SCCShortJudgment"/>
              <w:rPr>
                <w:szCs w:val="20"/>
                <w:lang w:val="fr-CA"/>
              </w:rPr>
            </w:pPr>
            <w:r w:rsidRPr="003C7D2B">
              <w:rPr>
                <w:szCs w:val="20"/>
                <w:lang w:val="fr-CA"/>
              </w:rPr>
              <w:t>Les demandes d’autorisation d’appel de l’arrêt de la Cour d’appel fédérale, numéro A-140-11, 2012 CAF 7, daté du 10 janvier 2012, sont rejetées avec dépens en faveur de l’intimée Agence du revenu du Canada dans la première demande.</w:t>
            </w:r>
          </w:p>
        </w:tc>
      </w:tr>
    </w:tbl>
    <w:p w:rsidR="00A740D1" w:rsidRPr="00C46290" w:rsidRDefault="00A740D1" w:rsidP="00A740D1">
      <w:pPr>
        <w:rPr>
          <w:sz w:val="20"/>
          <w:szCs w:val="20"/>
          <w:lang w:val="fr-CA"/>
        </w:rPr>
      </w:pPr>
    </w:p>
    <w:p w:rsidR="00A740D1" w:rsidRPr="001B157C" w:rsidRDefault="00A740D1" w:rsidP="00A740D1">
      <w:pPr>
        <w:rPr>
          <w:sz w:val="20"/>
          <w:szCs w:val="20"/>
          <w:u w:val="single"/>
        </w:rPr>
      </w:pPr>
      <w:r w:rsidRPr="001B157C">
        <w:rPr>
          <w:sz w:val="20"/>
          <w:szCs w:val="20"/>
          <w:u w:val="single"/>
        </w:rPr>
        <w:t>CASE SUMMARY</w:t>
      </w:r>
    </w:p>
    <w:p w:rsidR="00A740D1" w:rsidRDefault="00A740D1" w:rsidP="00A740D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151CA" w:rsidRPr="00201A3F" w:rsidTr="00B803D5">
        <w:tc>
          <w:tcPr>
            <w:tcW w:w="5000" w:type="pct"/>
            <w:gridSpan w:val="3"/>
          </w:tcPr>
          <w:p w:rsidR="009151CA" w:rsidRPr="00201A3F" w:rsidRDefault="009151CA" w:rsidP="00B803D5">
            <w:pPr>
              <w:jc w:val="both"/>
              <w:rPr>
                <w:sz w:val="20"/>
              </w:rPr>
            </w:pPr>
            <w:r w:rsidRPr="00201A3F">
              <w:rPr>
                <w:sz w:val="20"/>
              </w:rPr>
              <w:t xml:space="preserve">Taxation — Income tax — Assessment — Interest — Human rights — Discriminatory practices — Equal wages — Lump sum payment for pay equity settlement </w:t>
            </w:r>
            <w:r w:rsidRPr="00201A3F">
              <w:rPr>
                <w:sz w:val="20"/>
              </w:rPr>
              <w:noBreakHyphen/>
              <w:t xml:space="preserve"> Can a human rights complaint be filed against the actions of a government actor where those actions are authorized by statute? — Do the actions of the Canadian Revenue Agency when assessing taxes constitute a service? — Do the actions of the Canadian Revenue Agency affect the Applicants in the course of employment? — What is necessary to establish a </w:t>
            </w:r>
            <w:r w:rsidRPr="00201A3F">
              <w:rPr>
                <w:i/>
                <w:sz w:val="20"/>
              </w:rPr>
              <w:t>prima fac</w:t>
            </w:r>
            <w:r w:rsidRPr="00201A3F">
              <w:rPr>
                <w:sz w:val="20"/>
              </w:rPr>
              <w:t xml:space="preserve">ie case in circumstances where different alternatives might have occurred had the discriminatory actions not taken place? — What is the legal role of interest and can it </w:t>
            </w:r>
            <w:proofErr w:type="gramStart"/>
            <w:r w:rsidRPr="00201A3F">
              <w:rPr>
                <w:sz w:val="20"/>
              </w:rPr>
              <w:t>be</w:t>
            </w:r>
            <w:proofErr w:type="gramEnd"/>
            <w:r w:rsidRPr="00201A3F">
              <w:rPr>
                <w:sz w:val="20"/>
              </w:rPr>
              <w:t xml:space="preserve"> used to off</w:t>
            </w:r>
            <w:r w:rsidRPr="00201A3F">
              <w:rPr>
                <w:sz w:val="20"/>
              </w:rPr>
              <w:noBreakHyphen/>
              <w:t xml:space="preserve">set other damages? — Whether government actions that are prescribed by federal legislation can be “services customarily available to the general public”, within the meaning of s. 5 of the </w:t>
            </w:r>
            <w:r w:rsidRPr="00201A3F">
              <w:rPr>
                <w:i/>
                <w:sz w:val="20"/>
              </w:rPr>
              <w:t>Canadian Human Rights Act</w:t>
            </w:r>
            <w:r w:rsidRPr="00201A3F">
              <w:rPr>
                <w:sz w:val="20"/>
              </w:rPr>
              <w:t xml:space="preserve"> — Whether the Canadian Human Rights Tribunal has the power to issue remedies that would affect provisions made pursuant to federal legislation — Whether the Federal Court of Appeal made a reversible error in finding that the </w:t>
            </w:r>
            <w:r w:rsidRPr="00201A3F">
              <w:rPr>
                <w:i/>
                <w:sz w:val="20"/>
              </w:rPr>
              <w:t>Canadian Human Rights Act</w:t>
            </w:r>
            <w:r w:rsidRPr="00201A3F">
              <w:rPr>
                <w:sz w:val="20"/>
              </w:rPr>
              <w:t xml:space="preserve"> cannot be used to address discriminatory impacts flowing from the </w:t>
            </w:r>
            <w:r w:rsidRPr="00201A3F">
              <w:rPr>
                <w:sz w:val="20"/>
              </w:rPr>
              <w:lastRenderedPageBreak/>
              <w:t>wording of inconsistent provisions in other federal legislation or regulations</w:t>
            </w:r>
          </w:p>
          <w:p w:rsidR="009151CA" w:rsidRPr="00201A3F" w:rsidRDefault="009151CA" w:rsidP="00B803D5">
            <w:pPr>
              <w:rPr>
                <w:sz w:val="20"/>
              </w:rPr>
            </w:pPr>
          </w:p>
        </w:tc>
      </w:tr>
      <w:tr w:rsidR="009151CA" w:rsidRPr="00201A3F" w:rsidTr="00B803D5">
        <w:trPr>
          <w:trHeight w:val="4896"/>
        </w:trPr>
        <w:tc>
          <w:tcPr>
            <w:tcW w:w="5000" w:type="pct"/>
            <w:gridSpan w:val="3"/>
          </w:tcPr>
          <w:p w:rsidR="009151CA" w:rsidRPr="00201A3F" w:rsidRDefault="009151CA" w:rsidP="00B803D5">
            <w:pPr>
              <w:pStyle w:val="loose"/>
              <w:spacing w:before="0"/>
              <w:jc w:val="both"/>
              <w:rPr>
                <w:color w:val="000000"/>
                <w:sz w:val="20"/>
                <w:szCs w:val="20"/>
              </w:rPr>
            </w:pPr>
            <w:r w:rsidRPr="00201A3F">
              <w:rPr>
                <w:color w:val="000000"/>
                <w:sz w:val="20"/>
                <w:szCs w:val="20"/>
                <w:lang w:val="en-CA"/>
              </w:rPr>
              <w:lastRenderedPageBreak/>
              <w:t xml:space="preserve">The Applicants applied </w:t>
            </w:r>
            <w:r w:rsidRPr="00201A3F">
              <w:rPr>
                <w:color w:val="000000"/>
                <w:sz w:val="20"/>
                <w:szCs w:val="20"/>
              </w:rPr>
              <w:t xml:space="preserve">for judicial review of a decision of the Canadian Human Rights Tribunal (“Tribunal”) regarding a complaint in which it was alleged that the Canada Revenue Agency (“CRA”) breached ss. 5 and 7 of the </w:t>
            </w:r>
            <w:r w:rsidRPr="00201A3F">
              <w:rPr>
                <w:rStyle w:val="italic1"/>
                <w:color w:val="000000"/>
                <w:sz w:val="20"/>
              </w:rPr>
              <w:t>Canadian Human Rights Act</w:t>
            </w:r>
            <w:r w:rsidRPr="00201A3F">
              <w:rPr>
                <w:color w:val="000000"/>
                <w:sz w:val="20"/>
                <w:szCs w:val="20"/>
              </w:rPr>
              <w:t xml:space="preserve"> (“</w:t>
            </w:r>
            <w:r w:rsidRPr="00201A3F">
              <w:rPr>
                <w:i/>
                <w:color w:val="000000"/>
                <w:sz w:val="20"/>
                <w:szCs w:val="20"/>
              </w:rPr>
              <w:t>CHRA”</w:t>
            </w:r>
            <w:r w:rsidRPr="00201A3F">
              <w:rPr>
                <w:color w:val="000000"/>
                <w:sz w:val="20"/>
                <w:szCs w:val="20"/>
              </w:rPr>
              <w:t xml:space="preserve">) in administering the provisions of the </w:t>
            </w:r>
            <w:r w:rsidRPr="00201A3F">
              <w:rPr>
                <w:rStyle w:val="italic1"/>
                <w:color w:val="000000"/>
                <w:sz w:val="20"/>
              </w:rPr>
              <w:t>Income Tax Act</w:t>
            </w:r>
            <w:r w:rsidRPr="00201A3F">
              <w:rPr>
                <w:color w:val="000000"/>
                <w:sz w:val="20"/>
                <w:szCs w:val="20"/>
              </w:rPr>
              <w:t xml:space="preserve"> (“</w:t>
            </w:r>
            <w:r w:rsidRPr="00201A3F">
              <w:rPr>
                <w:i/>
                <w:color w:val="000000"/>
                <w:sz w:val="20"/>
                <w:szCs w:val="20"/>
              </w:rPr>
              <w:t>ITA”</w:t>
            </w:r>
            <w:r w:rsidRPr="00201A3F">
              <w:rPr>
                <w:color w:val="000000"/>
                <w:sz w:val="20"/>
                <w:szCs w:val="20"/>
              </w:rPr>
              <w:t xml:space="preserve">) in respect of lump sum payments made to compensate for pay equity. </w:t>
            </w:r>
          </w:p>
          <w:p w:rsidR="009151CA" w:rsidRPr="00201A3F" w:rsidRDefault="009151CA" w:rsidP="00B803D5">
            <w:pPr>
              <w:pStyle w:val="loose"/>
              <w:spacing w:before="0"/>
              <w:jc w:val="both"/>
              <w:rPr>
                <w:color w:val="000000"/>
                <w:sz w:val="20"/>
                <w:szCs w:val="20"/>
              </w:rPr>
            </w:pPr>
          </w:p>
          <w:p w:rsidR="009151CA" w:rsidRPr="00201A3F" w:rsidRDefault="009151CA" w:rsidP="00B803D5">
            <w:pPr>
              <w:pStyle w:val="loose"/>
              <w:spacing w:before="0"/>
              <w:jc w:val="both"/>
              <w:rPr>
                <w:color w:val="000000"/>
                <w:sz w:val="20"/>
                <w:szCs w:val="20"/>
              </w:rPr>
            </w:pPr>
            <w:r w:rsidRPr="00201A3F">
              <w:rPr>
                <w:color w:val="000000"/>
                <w:sz w:val="20"/>
                <w:szCs w:val="20"/>
              </w:rPr>
              <w:t>The Applicant, Cathy Murphy, was a federal public servant from 1981 to 1994.  The other applicant, the Public Service Alliance of Canada (PSAC), was her union.  PSAC filed pay equity complaints against the Treasury Board of Canada, alleging that employees in a number of female</w:t>
            </w:r>
            <w:r w:rsidRPr="00201A3F">
              <w:rPr>
                <w:color w:val="000000"/>
                <w:sz w:val="20"/>
                <w:szCs w:val="20"/>
              </w:rPr>
              <w:noBreakHyphen/>
              <w:t xml:space="preserve">dominated occupational </w:t>
            </w:r>
            <w:proofErr w:type="gramStart"/>
            <w:r w:rsidRPr="00201A3F">
              <w:rPr>
                <w:color w:val="000000"/>
                <w:sz w:val="20"/>
                <w:szCs w:val="20"/>
              </w:rPr>
              <w:t>groups,</w:t>
            </w:r>
            <w:proofErr w:type="gramEnd"/>
            <w:r w:rsidRPr="00201A3F">
              <w:rPr>
                <w:color w:val="000000"/>
                <w:sz w:val="20"/>
                <w:szCs w:val="20"/>
              </w:rPr>
              <w:t xml:space="preserve"> were paid less than employees in male dominated groups for work of equal value.  In anticipation of a settlement, representatives from PSAC met with Revenue Canada to inquire about the tax treatment of pay equity adjustments.  The Tribunal eventually ordered Treasury Board to make the retroactive wage adjustment payments to the affected public service employees from 1985 to the date of the decision in 1998.  It also ordered the payment of simple interest on the wage adjustments.  In 2000, the government made lump sum payments to the recipients.</w:t>
            </w:r>
          </w:p>
          <w:p w:rsidR="009151CA" w:rsidRPr="00201A3F" w:rsidRDefault="009151CA" w:rsidP="00B803D5">
            <w:pPr>
              <w:pStyle w:val="loose"/>
              <w:spacing w:before="0"/>
              <w:jc w:val="both"/>
              <w:rPr>
                <w:color w:val="000000"/>
                <w:sz w:val="20"/>
                <w:szCs w:val="20"/>
              </w:rPr>
            </w:pPr>
          </w:p>
          <w:p w:rsidR="009151CA" w:rsidRPr="00201A3F" w:rsidRDefault="009151CA" w:rsidP="00B803D5">
            <w:pPr>
              <w:pStyle w:val="loose"/>
              <w:spacing w:before="0"/>
              <w:jc w:val="both"/>
              <w:rPr>
                <w:color w:val="000000"/>
                <w:sz w:val="20"/>
                <w:szCs w:val="20"/>
              </w:rPr>
            </w:pPr>
            <w:r w:rsidRPr="00201A3F">
              <w:rPr>
                <w:color w:val="000000"/>
                <w:sz w:val="20"/>
                <w:szCs w:val="20"/>
              </w:rPr>
              <w:t>In the meantime, the government introduced the Qualifying Retroactive Lump Sum Payment (“QRLSP”) mechanism measures to address concerns raised regarding the adverse tax consequences related to lump sum payments.  The mechanism only applied to qualifying lump sum payments and only if it was advantageous to the individual.  The QRLSP included a calculation of "notional tax", which was composed of not only the value of the tax that ought to have been paid in those years, but also an interest component to reflect the delay in payment of the tax.  The CRA advised Ms. Murphy that she was eligible for the QRLSP tax calculation but subsequently explained that the calculation did not benefit her.  The lump sum payments were therefore deemed for income tax purposes to be employment income in the year 2000 when she received the lump sum even though they related to employment that had occurred years earlier.</w:t>
            </w:r>
          </w:p>
          <w:p w:rsidR="009151CA" w:rsidRPr="00201A3F" w:rsidRDefault="009151CA" w:rsidP="00B803D5">
            <w:pPr>
              <w:pStyle w:val="loose"/>
              <w:spacing w:before="0"/>
              <w:jc w:val="both"/>
              <w:rPr>
                <w:color w:val="000000"/>
                <w:sz w:val="20"/>
                <w:szCs w:val="20"/>
              </w:rPr>
            </w:pPr>
          </w:p>
          <w:p w:rsidR="009151CA" w:rsidRPr="00201A3F" w:rsidRDefault="009151CA" w:rsidP="00B803D5">
            <w:pPr>
              <w:pStyle w:val="loose"/>
              <w:spacing w:before="0"/>
              <w:jc w:val="both"/>
              <w:rPr>
                <w:color w:val="000000"/>
                <w:sz w:val="20"/>
                <w:szCs w:val="20"/>
              </w:rPr>
            </w:pPr>
            <w:r w:rsidRPr="00201A3F">
              <w:rPr>
                <w:color w:val="000000"/>
                <w:sz w:val="20"/>
                <w:szCs w:val="20"/>
              </w:rPr>
              <w:t xml:space="preserve">In March, 2002, Ms. Murphy and PSAC filed human rights complaints on behalf of all pay equity recipients.  The complaints claimed that, in conducting its QRLSP analysis, CRA had discriminated against these individuals by charging compound interest on notional tax arrears which CRA had stated were owed to it from the date at which the income was earned.  PSAC maintained that this conduct reduced the actual value of the payments ordered by the Tribunal, perpetuating the pay gap that had been the subject of the complaints and was in violation of section 5 and paragraph 7(b) of the </w:t>
            </w:r>
            <w:r w:rsidRPr="00201A3F">
              <w:rPr>
                <w:i/>
                <w:color w:val="000000"/>
                <w:sz w:val="20"/>
                <w:szCs w:val="20"/>
              </w:rPr>
              <w:t>CHRA</w:t>
            </w:r>
            <w:r w:rsidRPr="00201A3F">
              <w:rPr>
                <w:color w:val="000000"/>
                <w:sz w:val="20"/>
                <w:szCs w:val="20"/>
              </w:rPr>
              <w:t>.</w:t>
            </w:r>
          </w:p>
          <w:p w:rsidR="009151CA" w:rsidRPr="00201A3F" w:rsidRDefault="009151CA" w:rsidP="00B803D5">
            <w:pPr>
              <w:rPr>
                <w:sz w:val="20"/>
              </w:rPr>
            </w:pPr>
          </w:p>
        </w:tc>
      </w:tr>
      <w:tr w:rsidR="009151CA" w:rsidRPr="00201A3F" w:rsidTr="00B803D5">
        <w:tc>
          <w:tcPr>
            <w:tcW w:w="2427" w:type="pct"/>
          </w:tcPr>
          <w:p w:rsidR="009151CA" w:rsidRPr="00201A3F" w:rsidRDefault="009151CA" w:rsidP="00B803D5">
            <w:pPr>
              <w:rPr>
                <w:sz w:val="20"/>
              </w:rPr>
            </w:pPr>
            <w:r w:rsidRPr="00201A3F">
              <w:rPr>
                <w:sz w:val="20"/>
              </w:rPr>
              <w:t>April 23, 2010</w:t>
            </w:r>
          </w:p>
          <w:p w:rsidR="009151CA" w:rsidRPr="00201A3F" w:rsidRDefault="009151CA" w:rsidP="00B803D5">
            <w:pPr>
              <w:rPr>
                <w:sz w:val="20"/>
              </w:rPr>
            </w:pPr>
            <w:r w:rsidRPr="00201A3F">
              <w:rPr>
                <w:sz w:val="20"/>
              </w:rPr>
              <w:t>Canadian Human Rights Tribunal</w:t>
            </w:r>
          </w:p>
          <w:p w:rsidR="009151CA" w:rsidRPr="00201A3F" w:rsidRDefault="009151CA" w:rsidP="00B803D5">
            <w:pPr>
              <w:rPr>
                <w:sz w:val="20"/>
              </w:rPr>
            </w:pPr>
            <w:r w:rsidRPr="00201A3F">
              <w:rPr>
                <w:sz w:val="20"/>
              </w:rPr>
              <w:t>(Hadjis, Commissioner)</w:t>
            </w:r>
          </w:p>
          <w:p w:rsidR="009151CA" w:rsidRPr="00201A3F" w:rsidRDefault="009151CA" w:rsidP="00B803D5">
            <w:pPr>
              <w:rPr>
                <w:sz w:val="20"/>
              </w:rPr>
            </w:pPr>
            <w:r w:rsidRPr="00201A3F">
              <w:rPr>
                <w:sz w:val="20"/>
              </w:rPr>
              <w:t>2010 CHRT 9</w:t>
            </w:r>
          </w:p>
          <w:p w:rsidR="009151CA" w:rsidRPr="00201A3F" w:rsidRDefault="009151CA" w:rsidP="00B803D5">
            <w:pPr>
              <w:rPr>
                <w:sz w:val="20"/>
              </w:rPr>
            </w:pPr>
          </w:p>
        </w:tc>
        <w:tc>
          <w:tcPr>
            <w:tcW w:w="243" w:type="pct"/>
          </w:tcPr>
          <w:p w:rsidR="009151CA" w:rsidRPr="00201A3F" w:rsidRDefault="009151CA" w:rsidP="00B803D5">
            <w:pPr>
              <w:rPr>
                <w:sz w:val="20"/>
              </w:rPr>
            </w:pPr>
          </w:p>
        </w:tc>
        <w:tc>
          <w:tcPr>
            <w:tcW w:w="2330" w:type="pct"/>
          </w:tcPr>
          <w:p w:rsidR="009151CA" w:rsidRPr="00201A3F" w:rsidRDefault="009151CA" w:rsidP="00B803D5">
            <w:pPr>
              <w:rPr>
                <w:sz w:val="20"/>
              </w:rPr>
            </w:pPr>
            <w:r w:rsidRPr="00201A3F">
              <w:rPr>
                <w:sz w:val="20"/>
              </w:rPr>
              <w:t>Human rights complaint held to be unsubstantiated</w:t>
            </w:r>
          </w:p>
        </w:tc>
      </w:tr>
      <w:tr w:rsidR="009151CA" w:rsidRPr="00201A3F" w:rsidTr="00B803D5">
        <w:tc>
          <w:tcPr>
            <w:tcW w:w="2427" w:type="pct"/>
          </w:tcPr>
          <w:p w:rsidR="009151CA" w:rsidRPr="00201A3F" w:rsidRDefault="009151CA" w:rsidP="00B803D5">
            <w:pPr>
              <w:rPr>
                <w:sz w:val="20"/>
              </w:rPr>
            </w:pPr>
            <w:r w:rsidRPr="00201A3F">
              <w:rPr>
                <w:sz w:val="20"/>
              </w:rPr>
              <w:t>February 22, 2011</w:t>
            </w:r>
          </w:p>
          <w:p w:rsidR="009151CA" w:rsidRPr="00201A3F" w:rsidRDefault="009151CA" w:rsidP="00B803D5">
            <w:pPr>
              <w:rPr>
                <w:sz w:val="20"/>
              </w:rPr>
            </w:pPr>
            <w:r w:rsidRPr="00201A3F">
              <w:rPr>
                <w:sz w:val="20"/>
              </w:rPr>
              <w:t>Federal Court</w:t>
            </w:r>
          </w:p>
          <w:p w:rsidR="009151CA" w:rsidRPr="00201A3F" w:rsidRDefault="009151CA" w:rsidP="00B803D5">
            <w:pPr>
              <w:rPr>
                <w:sz w:val="20"/>
              </w:rPr>
            </w:pPr>
            <w:r w:rsidRPr="00201A3F">
              <w:rPr>
                <w:sz w:val="20"/>
              </w:rPr>
              <w:t>(Beaudry J.)</w:t>
            </w:r>
          </w:p>
          <w:p w:rsidR="009151CA" w:rsidRPr="00201A3F" w:rsidRDefault="009151CA" w:rsidP="00B803D5">
            <w:pPr>
              <w:rPr>
                <w:sz w:val="20"/>
              </w:rPr>
            </w:pPr>
            <w:r w:rsidRPr="00201A3F">
              <w:rPr>
                <w:sz w:val="20"/>
              </w:rPr>
              <w:t>2011 FC 207</w:t>
            </w:r>
          </w:p>
          <w:p w:rsidR="009151CA" w:rsidRPr="00201A3F" w:rsidRDefault="009151CA" w:rsidP="00B803D5">
            <w:pPr>
              <w:rPr>
                <w:sz w:val="20"/>
              </w:rPr>
            </w:pPr>
          </w:p>
        </w:tc>
        <w:tc>
          <w:tcPr>
            <w:tcW w:w="243" w:type="pct"/>
          </w:tcPr>
          <w:p w:rsidR="009151CA" w:rsidRPr="00201A3F" w:rsidRDefault="009151CA" w:rsidP="00B803D5">
            <w:pPr>
              <w:rPr>
                <w:sz w:val="20"/>
              </w:rPr>
            </w:pPr>
          </w:p>
        </w:tc>
        <w:tc>
          <w:tcPr>
            <w:tcW w:w="2330" w:type="pct"/>
          </w:tcPr>
          <w:p w:rsidR="009151CA" w:rsidRPr="00201A3F" w:rsidRDefault="009151CA" w:rsidP="00B803D5">
            <w:pPr>
              <w:rPr>
                <w:sz w:val="20"/>
              </w:rPr>
            </w:pPr>
            <w:r w:rsidRPr="00201A3F">
              <w:rPr>
                <w:sz w:val="20"/>
              </w:rPr>
              <w:t>Application for judicial review dismissed</w:t>
            </w:r>
          </w:p>
          <w:p w:rsidR="009151CA" w:rsidRPr="00201A3F" w:rsidRDefault="009151CA" w:rsidP="00B803D5">
            <w:pPr>
              <w:rPr>
                <w:sz w:val="20"/>
              </w:rPr>
            </w:pPr>
          </w:p>
          <w:p w:rsidR="009151CA" w:rsidRPr="00201A3F" w:rsidRDefault="009151CA" w:rsidP="00B803D5">
            <w:pPr>
              <w:rPr>
                <w:sz w:val="20"/>
              </w:rPr>
            </w:pPr>
          </w:p>
        </w:tc>
      </w:tr>
      <w:tr w:rsidR="009151CA" w:rsidRPr="00201A3F" w:rsidTr="00B803D5">
        <w:tc>
          <w:tcPr>
            <w:tcW w:w="2427" w:type="pct"/>
          </w:tcPr>
          <w:p w:rsidR="009151CA" w:rsidRPr="00201A3F" w:rsidRDefault="009151CA" w:rsidP="00B803D5">
            <w:pPr>
              <w:rPr>
                <w:sz w:val="20"/>
              </w:rPr>
            </w:pPr>
            <w:r w:rsidRPr="00201A3F">
              <w:rPr>
                <w:sz w:val="20"/>
              </w:rPr>
              <w:t>January 10, 2012</w:t>
            </w:r>
          </w:p>
          <w:p w:rsidR="009151CA" w:rsidRPr="00201A3F" w:rsidRDefault="009151CA" w:rsidP="00B803D5">
            <w:pPr>
              <w:rPr>
                <w:sz w:val="20"/>
              </w:rPr>
            </w:pPr>
            <w:r w:rsidRPr="00201A3F">
              <w:rPr>
                <w:sz w:val="20"/>
              </w:rPr>
              <w:t>Federal Court of Appeal</w:t>
            </w:r>
          </w:p>
          <w:p w:rsidR="009151CA" w:rsidRPr="00201A3F" w:rsidRDefault="009151CA" w:rsidP="00B803D5">
            <w:pPr>
              <w:rPr>
                <w:sz w:val="20"/>
              </w:rPr>
            </w:pPr>
            <w:r w:rsidRPr="00201A3F">
              <w:rPr>
                <w:sz w:val="20"/>
              </w:rPr>
              <w:t>(Létourneau, Noël and Gauthier JJ.A.)</w:t>
            </w:r>
          </w:p>
          <w:p w:rsidR="009151CA" w:rsidRPr="00201A3F" w:rsidRDefault="009151CA" w:rsidP="00B803D5">
            <w:pPr>
              <w:rPr>
                <w:sz w:val="20"/>
                <w:lang w:val="fr-CA"/>
              </w:rPr>
            </w:pPr>
            <w:r w:rsidRPr="00201A3F">
              <w:rPr>
                <w:sz w:val="20"/>
                <w:lang w:val="fr-CA"/>
              </w:rPr>
              <w:t>2012 FCA 7</w:t>
            </w:r>
          </w:p>
          <w:p w:rsidR="009151CA" w:rsidRPr="00201A3F" w:rsidRDefault="009151CA" w:rsidP="00B803D5">
            <w:pPr>
              <w:rPr>
                <w:sz w:val="20"/>
                <w:lang w:val="fr-CA"/>
              </w:rPr>
            </w:pPr>
          </w:p>
        </w:tc>
        <w:tc>
          <w:tcPr>
            <w:tcW w:w="243" w:type="pct"/>
          </w:tcPr>
          <w:p w:rsidR="009151CA" w:rsidRPr="00201A3F" w:rsidRDefault="009151CA" w:rsidP="00B803D5">
            <w:pPr>
              <w:rPr>
                <w:sz w:val="20"/>
                <w:lang w:val="fr-CA"/>
              </w:rPr>
            </w:pPr>
          </w:p>
        </w:tc>
        <w:tc>
          <w:tcPr>
            <w:tcW w:w="2330" w:type="pct"/>
          </w:tcPr>
          <w:p w:rsidR="009151CA" w:rsidRPr="00201A3F" w:rsidRDefault="009151CA" w:rsidP="00B803D5">
            <w:pPr>
              <w:rPr>
                <w:sz w:val="20"/>
              </w:rPr>
            </w:pPr>
            <w:r w:rsidRPr="00201A3F">
              <w:rPr>
                <w:sz w:val="20"/>
              </w:rPr>
              <w:t>Appeal dismissed</w:t>
            </w:r>
          </w:p>
          <w:p w:rsidR="009151CA" w:rsidRPr="00201A3F" w:rsidRDefault="009151CA" w:rsidP="00B803D5">
            <w:pPr>
              <w:rPr>
                <w:sz w:val="20"/>
              </w:rPr>
            </w:pPr>
          </w:p>
          <w:p w:rsidR="009151CA" w:rsidRPr="00201A3F" w:rsidRDefault="009151CA" w:rsidP="00B803D5">
            <w:pPr>
              <w:rPr>
                <w:sz w:val="20"/>
              </w:rPr>
            </w:pPr>
          </w:p>
        </w:tc>
      </w:tr>
      <w:tr w:rsidR="009151CA" w:rsidRPr="00201A3F" w:rsidTr="00B803D5">
        <w:tc>
          <w:tcPr>
            <w:tcW w:w="2427" w:type="pct"/>
          </w:tcPr>
          <w:p w:rsidR="009151CA" w:rsidRPr="00201A3F" w:rsidRDefault="009151CA" w:rsidP="00B803D5">
            <w:pPr>
              <w:rPr>
                <w:sz w:val="20"/>
              </w:rPr>
            </w:pPr>
            <w:r w:rsidRPr="00201A3F">
              <w:rPr>
                <w:sz w:val="20"/>
              </w:rPr>
              <w:t>March 9, 2012</w:t>
            </w:r>
          </w:p>
          <w:p w:rsidR="009151CA" w:rsidRPr="00201A3F" w:rsidRDefault="009151CA" w:rsidP="00B803D5">
            <w:pPr>
              <w:rPr>
                <w:sz w:val="20"/>
              </w:rPr>
            </w:pPr>
            <w:r w:rsidRPr="00201A3F">
              <w:rPr>
                <w:sz w:val="20"/>
              </w:rPr>
              <w:t>Supreme Court of Canada</w:t>
            </w:r>
          </w:p>
          <w:p w:rsidR="009151CA" w:rsidRPr="00201A3F" w:rsidRDefault="009151CA" w:rsidP="00B803D5">
            <w:pPr>
              <w:rPr>
                <w:sz w:val="20"/>
              </w:rPr>
            </w:pPr>
          </w:p>
        </w:tc>
        <w:tc>
          <w:tcPr>
            <w:tcW w:w="243" w:type="pct"/>
          </w:tcPr>
          <w:p w:rsidR="009151CA" w:rsidRPr="00201A3F" w:rsidRDefault="009151CA" w:rsidP="00B803D5">
            <w:pPr>
              <w:rPr>
                <w:sz w:val="20"/>
              </w:rPr>
            </w:pPr>
          </w:p>
        </w:tc>
        <w:tc>
          <w:tcPr>
            <w:tcW w:w="2330" w:type="pct"/>
          </w:tcPr>
          <w:p w:rsidR="009151CA" w:rsidRPr="00201A3F" w:rsidRDefault="009151CA" w:rsidP="00B803D5">
            <w:pPr>
              <w:rPr>
                <w:sz w:val="20"/>
              </w:rPr>
            </w:pPr>
            <w:r w:rsidRPr="00201A3F">
              <w:rPr>
                <w:sz w:val="20"/>
              </w:rPr>
              <w:t>First application for leave to appeal filed</w:t>
            </w:r>
          </w:p>
          <w:p w:rsidR="009151CA" w:rsidRPr="00201A3F" w:rsidRDefault="009151CA" w:rsidP="00B803D5">
            <w:pPr>
              <w:rPr>
                <w:sz w:val="20"/>
              </w:rPr>
            </w:pPr>
          </w:p>
        </w:tc>
      </w:tr>
      <w:tr w:rsidR="009151CA" w:rsidRPr="00201A3F" w:rsidTr="00B803D5">
        <w:tc>
          <w:tcPr>
            <w:tcW w:w="2427" w:type="pct"/>
          </w:tcPr>
          <w:p w:rsidR="009151CA" w:rsidRPr="00201A3F" w:rsidRDefault="009151CA" w:rsidP="00B803D5">
            <w:pPr>
              <w:rPr>
                <w:sz w:val="20"/>
              </w:rPr>
            </w:pPr>
            <w:r w:rsidRPr="00201A3F">
              <w:rPr>
                <w:sz w:val="20"/>
              </w:rPr>
              <w:lastRenderedPageBreak/>
              <w:t>March 9, 2012</w:t>
            </w:r>
          </w:p>
          <w:p w:rsidR="009151CA" w:rsidRPr="00201A3F" w:rsidRDefault="009151CA" w:rsidP="00B803D5">
            <w:pPr>
              <w:rPr>
                <w:sz w:val="20"/>
              </w:rPr>
            </w:pPr>
            <w:r w:rsidRPr="00201A3F">
              <w:rPr>
                <w:sz w:val="20"/>
              </w:rPr>
              <w:t>Supreme Court of Canada</w:t>
            </w:r>
          </w:p>
        </w:tc>
        <w:tc>
          <w:tcPr>
            <w:tcW w:w="243" w:type="pct"/>
          </w:tcPr>
          <w:p w:rsidR="009151CA" w:rsidRPr="00201A3F" w:rsidRDefault="009151CA" w:rsidP="00B803D5">
            <w:pPr>
              <w:rPr>
                <w:sz w:val="20"/>
              </w:rPr>
            </w:pPr>
          </w:p>
        </w:tc>
        <w:tc>
          <w:tcPr>
            <w:tcW w:w="2330" w:type="pct"/>
          </w:tcPr>
          <w:p w:rsidR="009151CA" w:rsidRPr="00201A3F" w:rsidRDefault="009151CA" w:rsidP="00B803D5">
            <w:pPr>
              <w:rPr>
                <w:sz w:val="20"/>
              </w:rPr>
            </w:pPr>
            <w:r w:rsidRPr="00201A3F">
              <w:rPr>
                <w:sz w:val="20"/>
              </w:rPr>
              <w:t>Second application for leave to appeal filed</w:t>
            </w:r>
          </w:p>
          <w:p w:rsidR="009151CA" w:rsidRPr="00201A3F" w:rsidRDefault="009151CA" w:rsidP="00B803D5">
            <w:pPr>
              <w:rPr>
                <w:sz w:val="20"/>
              </w:rPr>
            </w:pPr>
          </w:p>
        </w:tc>
      </w:tr>
    </w:tbl>
    <w:p w:rsidR="00A740D1" w:rsidRDefault="00A740D1" w:rsidP="00A740D1">
      <w:pPr>
        <w:rPr>
          <w:sz w:val="20"/>
          <w:szCs w:val="20"/>
        </w:rPr>
      </w:pPr>
    </w:p>
    <w:p w:rsidR="00A740D1" w:rsidRPr="00C50A5C" w:rsidRDefault="00BF3B03" w:rsidP="00A740D1">
      <w:pPr>
        <w:rPr>
          <w:sz w:val="20"/>
          <w:szCs w:val="20"/>
        </w:rPr>
      </w:pPr>
      <w:r w:rsidRPr="00BF3B03">
        <w:rPr>
          <w:sz w:val="20"/>
          <w:szCs w:val="20"/>
          <w:lang w:val="fr-CA"/>
        </w:rPr>
        <w:pict>
          <v:rect id="_x0000_i1044" style="width:2in;height:1pt" o:hrpct="0" o:hralign="center" o:hrstd="t" o:hrnoshade="t" o:hr="t" fillcolor="black [3213]" stroked="f"/>
        </w:pict>
      </w:r>
    </w:p>
    <w:p w:rsidR="00A740D1" w:rsidRDefault="00A740D1" w:rsidP="00A740D1">
      <w:pPr>
        <w:rPr>
          <w:sz w:val="20"/>
          <w:szCs w:val="20"/>
        </w:rPr>
      </w:pPr>
    </w:p>
    <w:p w:rsidR="00A740D1" w:rsidRPr="001B157C" w:rsidRDefault="00A740D1" w:rsidP="00A740D1">
      <w:pPr>
        <w:rPr>
          <w:sz w:val="20"/>
          <w:szCs w:val="20"/>
          <w:u w:val="single"/>
          <w:lang w:val="fr-CA"/>
        </w:rPr>
      </w:pPr>
      <w:r w:rsidRPr="001B157C">
        <w:rPr>
          <w:sz w:val="20"/>
          <w:szCs w:val="20"/>
          <w:u w:val="single"/>
          <w:lang w:val="fr-CA"/>
        </w:rPr>
        <w:t>RÉSUMÉ DE L’AFFAIRE</w:t>
      </w:r>
    </w:p>
    <w:p w:rsidR="00A740D1" w:rsidRDefault="00A740D1" w:rsidP="00A740D1">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9151CA" w:rsidRPr="00DC2D1F" w:rsidTr="00B803D5">
        <w:tc>
          <w:tcPr>
            <w:tcW w:w="5000" w:type="pct"/>
            <w:gridSpan w:val="3"/>
          </w:tcPr>
          <w:p w:rsidR="009151CA" w:rsidRPr="00201A3F" w:rsidRDefault="009151CA" w:rsidP="00B803D5">
            <w:pPr>
              <w:jc w:val="both"/>
              <w:rPr>
                <w:rFonts w:eastAsia="Calibri"/>
                <w:sz w:val="20"/>
                <w:lang w:val="fr-CA"/>
              </w:rPr>
            </w:pPr>
            <w:r w:rsidRPr="00201A3F">
              <w:rPr>
                <w:rFonts w:eastAsia="Calibri"/>
                <w:sz w:val="20"/>
                <w:lang w:val="fr-CA"/>
              </w:rPr>
              <w:t>Droit fiscal — Impôt sur le revenu — Cotisation — Intérêts — Droits de la personne — Pratiques discriminatoires — Parité salariale — Paiement forfaitaire de règlement en matière de parité salariale — Une plainte en matière des droits de la personne peut</w:t>
            </w:r>
            <w:r w:rsidRPr="00201A3F">
              <w:rPr>
                <w:rFonts w:eastAsia="Calibri"/>
                <w:sz w:val="20"/>
                <w:lang w:val="fr-CA"/>
              </w:rPr>
              <w:noBreakHyphen/>
              <w:t>elle être déposée contre les mesures d’un acteur gouvernemental lorsque ces mesures sont autorisées par la loi? — Les mesures prises par l’Agence du revenu du Canada qui établit une cotisation fiscale constituent</w:t>
            </w:r>
            <w:r w:rsidRPr="00201A3F">
              <w:rPr>
                <w:rFonts w:eastAsia="Calibri"/>
                <w:sz w:val="20"/>
                <w:lang w:val="fr-CA"/>
              </w:rPr>
              <w:noBreakHyphen/>
              <w:t>elles un service? — Les mesures prises par l’Agence du revenu du Canada touchent</w:t>
            </w:r>
            <w:r w:rsidRPr="00201A3F">
              <w:rPr>
                <w:rFonts w:eastAsia="Calibri"/>
                <w:sz w:val="20"/>
                <w:lang w:val="fr-CA"/>
              </w:rPr>
              <w:noBreakHyphen/>
              <w:t>elles les demanderesses en cours d’emploi? — Que faut</w:t>
            </w:r>
            <w:r w:rsidRPr="00201A3F">
              <w:rPr>
                <w:rFonts w:eastAsia="Calibri"/>
                <w:sz w:val="20"/>
                <w:lang w:val="fr-CA"/>
              </w:rPr>
              <w:noBreakHyphen/>
              <w:t xml:space="preserve">il pour établir une preuve </w:t>
            </w:r>
            <w:r w:rsidRPr="00201A3F">
              <w:rPr>
                <w:rFonts w:eastAsia="Calibri"/>
                <w:i/>
                <w:sz w:val="20"/>
                <w:lang w:val="fr-CA"/>
              </w:rPr>
              <w:t>prima facie</w:t>
            </w:r>
            <w:r w:rsidRPr="00201A3F">
              <w:rPr>
                <w:rFonts w:eastAsia="Calibri"/>
                <w:sz w:val="20"/>
                <w:lang w:val="fr-CA"/>
              </w:rPr>
              <w:t xml:space="preserve"> dans une situation où différentes choses auraient pu se produire n’eut été des mesures discriminatoires? — Quel est le rôle juridique des intérêts et ceux</w:t>
            </w:r>
            <w:r w:rsidRPr="00201A3F">
              <w:rPr>
                <w:rFonts w:eastAsia="Calibri"/>
                <w:sz w:val="20"/>
                <w:lang w:val="fr-CA"/>
              </w:rPr>
              <w:noBreakHyphen/>
              <w:t>ci peuvent</w:t>
            </w:r>
            <w:r w:rsidRPr="00201A3F">
              <w:rPr>
                <w:rFonts w:eastAsia="Calibri"/>
                <w:sz w:val="20"/>
                <w:lang w:val="fr-CA"/>
              </w:rPr>
              <w:noBreakHyphen/>
              <w:t xml:space="preserve">ils être utilisés pour compenser d’autres dommages? </w:t>
            </w:r>
            <w:r w:rsidRPr="00201A3F">
              <w:rPr>
                <w:rFonts w:eastAsia="Calibri"/>
                <w:sz w:val="20"/>
                <w:lang w:val="fr-CA"/>
              </w:rPr>
              <w:noBreakHyphen/>
              <w:t xml:space="preserve"> Les mesures gouvernementales qui sont prescrites par la législation fédérale peuvent</w:t>
            </w:r>
            <w:r w:rsidRPr="00201A3F">
              <w:rPr>
                <w:rFonts w:eastAsia="Calibri"/>
                <w:sz w:val="20"/>
                <w:lang w:val="fr-CA"/>
              </w:rPr>
              <w:noBreakHyphen/>
              <w:t xml:space="preserve">elles être des « services destinés au public » au sens de l’art. 5 de la </w:t>
            </w:r>
            <w:r w:rsidRPr="00201A3F">
              <w:rPr>
                <w:rFonts w:eastAsia="Calibri"/>
                <w:i/>
                <w:sz w:val="20"/>
                <w:lang w:val="fr-CA"/>
              </w:rPr>
              <w:t>Loi canadienne sur les droits de la personne</w:t>
            </w:r>
            <w:r w:rsidRPr="00201A3F">
              <w:rPr>
                <w:rFonts w:eastAsia="Calibri"/>
                <w:sz w:val="20"/>
                <w:lang w:val="fr-CA"/>
              </w:rPr>
              <w:t>? — Le Tribunal canadien des droits de la personne a</w:t>
            </w:r>
            <w:r w:rsidRPr="00201A3F">
              <w:rPr>
                <w:rFonts w:eastAsia="Calibri"/>
                <w:sz w:val="20"/>
                <w:lang w:val="fr-CA"/>
              </w:rPr>
              <w:noBreakHyphen/>
              <w:t>t</w:t>
            </w:r>
            <w:r w:rsidRPr="00201A3F">
              <w:rPr>
                <w:rFonts w:eastAsia="Calibri"/>
                <w:sz w:val="20"/>
                <w:lang w:val="fr-CA"/>
              </w:rPr>
              <w:noBreakHyphen/>
              <w:t>il le pouvoir d’ordonner des réparations susceptibles d’avoir une incidence sur des dispositions prises en vertu de la législation fédérale? — La Cour d’appel fédérale a</w:t>
            </w:r>
            <w:r w:rsidRPr="00201A3F">
              <w:rPr>
                <w:rFonts w:eastAsia="Calibri"/>
                <w:sz w:val="20"/>
                <w:lang w:val="fr-CA"/>
              </w:rPr>
              <w:noBreakHyphen/>
              <w:t>t</w:t>
            </w:r>
            <w:r w:rsidRPr="00201A3F">
              <w:rPr>
                <w:rFonts w:eastAsia="Calibri"/>
                <w:sz w:val="20"/>
                <w:lang w:val="fr-CA"/>
              </w:rPr>
              <w:noBreakHyphen/>
              <w:t xml:space="preserve">elle commis une erreur susceptible de révision en concluant que la </w:t>
            </w:r>
            <w:r w:rsidRPr="00201A3F">
              <w:rPr>
                <w:rFonts w:eastAsia="Calibri"/>
                <w:i/>
                <w:sz w:val="20"/>
                <w:lang w:val="fr-CA"/>
              </w:rPr>
              <w:t>Loi canadienne sur les droits de la personne</w:t>
            </w:r>
            <w:r w:rsidRPr="00201A3F">
              <w:rPr>
                <w:rFonts w:eastAsia="Calibri"/>
                <w:sz w:val="20"/>
                <w:lang w:val="fr-CA"/>
              </w:rPr>
              <w:t xml:space="preserve"> ne pouvait pas être utilisée pour rectifier les conséquences discriminatoires découlant de dispositions incompatibles dans d’autres lois ou règlements fédéraux?</w:t>
            </w:r>
          </w:p>
          <w:p w:rsidR="009151CA" w:rsidRPr="00201A3F" w:rsidRDefault="009151CA" w:rsidP="00B803D5">
            <w:pPr>
              <w:jc w:val="both"/>
              <w:rPr>
                <w:rFonts w:eastAsia="Calibri"/>
                <w:sz w:val="20"/>
                <w:lang w:val="fr-CA"/>
              </w:rPr>
            </w:pPr>
          </w:p>
        </w:tc>
      </w:tr>
      <w:tr w:rsidR="009151CA" w:rsidRPr="00DC2D1F" w:rsidTr="00B803D5">
        <w:tc>
          <w:tcPr>
            <w:tcW w:w="5000" w:type="pct"/>
            <w:gridSpan w:val="3"/>
          </w:tcPr>
          <w:p w:rsidR="009151CA" w:rsidRPr="00201A3F" w:rsidRDefault="009151CA" w:rsidP="00B803D5">
            <w:pPr>
              <w:jc w:val="both"/>
              <w:rPr>
                <w:color w:val="000000"/>
                <w:sz w:val="20"/>
                <w:lang w:val="fr-CA"/>
              </w:rPr>
            </w:pPr>
            <w:r w:rsidRPr="00201A3F">
              <w:rPr>
                <w:color w:val="000000"/>
                <w:sz w:val="20"/>
                <w:lang w:val="fr-CA"/>
              </w:rPr>
              <w:t xml:space="preserve">Les demanderesses ont présenté une demande de contrôle judiciaire visant une décision du Tribunal canadien des droits de la personne (le Tribunal) concernant une plainte dans laquelle il était allégué que l’Agence du revenu du Canada (ARC) avait violé les articles 5 et 7 de la </w:t>
            </w:r>
            <w:r w:rsidRPr="00201A3F">
              <w:rPr>
                <w:i/>
                <w:iCs/>
                <w:color w:val="000000"/>
                <w:sz w:val="20"/>
                <w:lang w:val="fr-CA"/>
              </w:rPr>
              <w:t xml:space="preserve">Loi canadienne sur les droits de la personne </w:t>
            </w:r>
            <w:r w:rsidRPr="00201A3F">
              <w:rPr>
                <w:color w:val="000000"/>
                <w:sz w:val="20"/>
                <w:lang w:val="fr-CA"/>
              </w:rPr>
              <w:t xml:space="preserve">(la LCDP) lorsqu’elle avait appliqué les dispositions de la </w:t>
            </w:r>
            <w:r w:rsidRPr="00201A3F">
              <w:rPr>
                <w:i/>
                <w:iCs/>
                <w:color w:val="000000"/>
                <w:sz w:val="20"/>
                <w:lang w:val="fr-CA"/>
              </w:rPr>
              <w:t xml:space="preserve">Loi de l’impôt sur le revenu </w:t>
            </w:r>
            <w:r w:rsidRPr="00201A3F">
              <w:rPr>
                <w:color w:val="000000"/>
                <w:sz w:val="20"/>
                <w:lang w:val="fr-CA"/>
              </w:rPr>
              <w:t xml:space="preserve">(la LIR) relativement à des paiements forfaitaires versés à titre d’indemnités de parité salariale. </w:t>
            </w:r>
          </w:p>
          <w:p w:rsidR="009151CA" w:rsidRPr="00201A3F" w:rsidRDefault="009151CA" w:rsidP="00B803D5">
            <w:pPr>
              <w:jc w:val="both"/>
              <w:rPr>
                <w:color w:val="000000"/>
                <w:sz w:val="20"/>
                <w:lang w:val="fr-CA"/>
              </w:rPr>
            </w:pPr>
          </w:p>
          <w:p w:rsidR="009151CA" w:rsidRPr="00201A3F" w:rsidRDefault="009151CA" w:rsidP="00B803D5">
            <w:pPr>
              <w:jc w:val="both"/>
              <w:rPr>
                <w:color w:val="000000"/>
                <w:sz w:val="20"/>
                <w:lang w:val="fr-CA"/>
              </w:rPr>
            </w:pPr>
            <w:r w:rsidRPr="00201A3F">
              <w:rPr>
                <w:color w:val="000000"/>
                <w:sz w:val="20"/>
                <w:lang w:val="fr-CA"/>
              </w:rPr>
              <w:t>La demanderesse Cathy Murphy a été fonctionnaire fédérale de 1981 à 1994.  L’autre demanderesse, l’Alliance de la fonction publique du Canada (AFPC), était son syndicat.  L’AFPC a déposé des plaintes contre le Conseil du Trésor du Canada, alléguant que les employées de plusieurs groupes professionnels à prédominance féminine étaient moins rémunérées que des employés de groupes à prédominance masculine exécutant des fonctions équivalentes.  S’attendant à un règlement, des représentants de l'AFPC ont rencontré Revenu Canada pour s’informer de la manière dont les ajustements au titre de la parité salariale seraient traités aux fins de l’impôt.  Le Tribunal a fini par ordonner au Conseil du Trésor d'effectuer les paiements rétroactifs d'ajustement salarial aux fonctionnaires fédéraux touchés de 1985 jusqu'à la date de la décision, en 1998.  Il a aussi ordonné au Conseil du Trésor de payer des intérêts simples sur les ajustements salariaux.  En 2000, le gouvernement a fait des paiements forfaitaires aux prestataires.</w:t>
            </w:r>
          </w:p>
          <w:p w:rsidR="009151CA" w:rsidRPr="00201A3F" w:rsidRDefault="009151CA" w:rsidP="00B803D5">
            <w:pPr>
              <w:jc w:val="both"/>
              <w:rPr>
                <w:color w:val="000000"/>
                <w:sz w:val="20"/>
                <w:lang w:val="fr-CA"/>
              </w:rPr>
            </w:pPr>
          </w:p>
          <w:p w:rsidR="009151CA" w:rsidRPr="00201A3F" w:rsidRDefault="009151CA" w:rsidP="00B803D5">
            <w:pPr>
              <w:jc w:val="both"/>
              <w:rPr>
                <w:color w:val="000000"/>
                <w:sz w:val="20"/>
                <w:lang w:val="fr-CA"/>
              </w:rPr>
            </w:pPr>
            <w:r w:rsidRPr="00201A3F">
              <w:rPr>
                <w:color w:val="000000"/>
                <w:sz w:val="20"/>
                <w:lang w:val="fr-CA"/>
              </w:rPr>
              <w:t>Entretemps, le gouvernement a adopté le mécanisme du paiement forfaitaire rétroactif admissible (PFRA), une mesure pour tenter de répondre aux préoccupations soulevées quant aux répercussions fiscales négatives reliées aux paiements forfaitaires.  Le mécanisme ne s’appliquait qu’aux paiements forfaitaires admissibles et seulement s’il était à l’avantage du particulier.  Le PFRA comprenait le calcul d’un « impôt théorique », qui comprenait non seulement l’impôt qui aurait dû être payé au cours de ces années, mais aussi un montant pour les intérêts qui reflétaient le retard dans le paiement des impôts pour le paiement forfaitaire rétroactif.  L'ARC a informé M</w:t>
            </w:r>
            <w:r w:rsidRPr="00201A3F">
              <w:rPr>
                <w:color w:val="000000"/>
                <w:sz w:val="20"/>
                <w:vertAlign w:val="superscript"/>
                <w:lang w:val="fr-CA"/>
              </w:rPr>
              <w:t>me</w:t>
            </w:r>
            <w:r w:rsidRPr="00201A3F">
              <w:rPr>
                <w:color w:val="000000"/>
                <w:sz w:val="20"/>
                <w:lang w:val="fr-CA"/>
              </w:rPr>
              <w:t> Murphy qu'elle était admissible au calcul de l'impôt selon le mécanisme des PFRA, mais lui a expliqué par la suite que ce calcul ne lui était pas avantageux.  Les paiements forfaitaires ont donc été réputés constituer un revenu d'emploi aux fins de l'impôt sur le revenu de l'année 2000, l’année où elle a reçu le montant forfaitaire, même s'ils visaient un emploi qui avait été exercé dans des années antérieures.</w:t>
            </w:r>
          </w:p>
          <w:p w:rsidR="009151CA" w:rsidRPr="00201A3F" w:rsidRDefault="009151CA" w:rsidP="00B803D5">
            <w:pPr>
              <w:jc w:val="both"/>
              <w:rPr>
                <w:color w:val="000000"/>
                <w:sz w:val="20"/>
                <w:lang w:val="fr-CA"/>
              </w:rPr>
            </w:pPr>
          </w:p>
          <w:p w:rsidR="009151CA" w:rsidRPr="00201A3F" w:rsidRDefault="009151CA" w:rsidP="00B803D5">
            <w:pPr>
              <w:jc w:val="both"/>
              <w:rPr>
                <w:color w:val="000000"/>
                <w:sz w:val="20"/>
                <w:lang w:val="fr-CA"/>
              </w:rPr>
            </w:pPr>
            <w:r w:rsidRPr="00201A3F">
              <w:rPr>
                <w:color w:val="000000"/>
                <w:sz w:val="20"/>
                <w:lang w:val="fr-CA"/>
              </w:rPr>
              <w:t>En mars 2002, M</w:t>
            </w:r>
            <w:r w:rsidRPr="00201A3F">
              <w:rPr>
                <w:color w:val="000000"/>
                <w:sz w:val="20"/>
                <w:vertAlign w:val="superscript"/>
                <w:lang w:val="fr-CA"/>
              </w:rPr>
              <w:t>me</w:t>
            </w:r>
            <w:r w:rsidRPr="00201A3F">
              <w:rPr>
                <w:color w:val="000000"/>
                <w:sz w:val="20"/>
                <w:lang w:val="fr-CA"/>
              </w:rPr>
              <w:t xml:space="preserve"> Murphy et l’AFPC ont déposés des plaintes en matière de droits de la personne au nom de tous les prestataires de parité salariale.  Les plaintes alléguaient que, dans le cadre de son analyse des PFRA, l’ARC avait fait une distinction illicite envers ces individus en appliquant des intérêts composés à des arriérés d’impôt théorique dont l’ARC avait affirmé qu’ils lui étaient dus depuis la date à laquelle les revenus avaient été gagnés.  L’AFPC soutenait </w:t>
            </w:r>
            <w:r w:rsidRPr="00201A3F">
              <w:rPr>
                <w:color w:val="000000"/>
                <w:sz w:val="20"/>
                <w:lang w:val="fr-CA"/>
              </w:rPr>
              <w:lastRenderedPageBreak/>
              <w:t>que cette démarche réduisait la valeur réelle des paiements que le Tribunal avait ordonnés, perpétuant ainsi l’écart salarial qui avait été l’objet des plaintes de 1984 et 1990, et que cela violait l’article 5 et l’alinéa 7</w:t>
            </w:r>
            <w:r w:rsidRPr="00201A3F">
              <w:rPr>
                <w:i/>
                <w:iCs/>
                <w:color w:val="000000"/>
                <w:sz w:val="20"/>
                <w:lang w:val="fr-CA"/>
              </w:rPr>
              <w:t>b</w:t>
            </w:r>
            <w:r w:rsidRPr="00201A3F">
              <w:rPr>
                <w:color w:val="000000"/>
                <w:sz w:val="20"/>
                <w:lang w:val="fr-CA"/>
              </w:rPr>
              <w:t>) de la LCDP.</w:t>
            </w:r>
          </w:p>
          <w:p w:rsidR="009151CA" w:rsidRPr="00201A3F" w:rsidRDefault="009151CA" w:rsidP="00B803D5">
            <w:pPr>
              <w:jc w:val="both"/>
              <w:rPr>
                <w:rFonts w:eastAsia="Calibri"/>
                <w:sz w:val="20"/>
                <w:lang w:val="fr-CA"/>
              </w:rPr>
            </w:pPr>
          </w:p>
        </w:tc>
      </w:tr>
      <w:tr w:rsidR="009151CA" w:rsidRPr="00DC2D1F" w:rsidTr="00B803D5">
        <w:tc>
          <w:tcPr>
            <w:tcW w:w="2427" w:type="pct"/>
          </w:tcPr>
          <w:p w:rsidR="009151CA" w:rsidRPr="00201A3F" w:rsidRDefault="009151CA" w:rsidP="00B803D5">
            <w:pPr>
              <w:jc w:val="both"/>
              <w:rPr>
                <w:rFonts w:eastAsia="Calibri"/>
                <w:sz w:val="20"/>
                <w:lang w:val="fr-CA"/>
              </w:rPr>
            </w:pPr>
            <w:r w:rsidRPr="00201A3F">
              <w:rPr>
                <w:rFonts w:eastAsia="Calibri"/>
                <w:sz w:val="20"/>
                <w:lang w:val="fr-CA"/>
              </w:rPr>
              <w:lastRenderedPageBreak/>
              <w:t>23 avril 2010</w:t>
            </w:r>
          </w:p>
          <w:p w:rsidR="009151CA" w:rsidRPr="00201A3F" w:rsidRDefault="009151CA" w:rsidP="00B803D5">
            <w:pPr>
              <w:jc w:val="both"/>
              <w:rPr>
                <w:rFonts w:eastAsia="Calibri"/>
                <w:sz w:val="20"/>
                <w:lang w:val="fr-CA"/>
              </w:rPr>
            </w:pPr>
            <w:r w:rsidRPr="00201A3F">
              <w:rPr>
                <w:rFonts w:eastAsia="Calibri"/>
                <w:sz w:val="20"/>
                <w:lang w:val="fr-CA"/>
              </w:rPr>
              <w:t>Tribunal canadien des droits de la personne</w:t>
            </w:r>
          </w:p>
          <w:p w:rsidR="009151CA" w:rsidRPr="00201A3F" w:rsidRDefault="009151CA" w:rsidP="00B803D5">
            <w:pPr>
              <w:jc w:val="both"/>
              <w:rPr>
                <w:rFonts w:eastAsia="Calibri"/>
                <w:sz w:val="20"/>
                <w:lang w:val="fr-CA"/>
              </w:rPr>
            </w:pPr>
            <w:r w:rsidRPr="00201A3F">
              <w:rPr>
                <w:rFonts w:eastAsia="Calibri"/>
                <w:sz w:val="20"/>
                <w:lang w:val="fr-CA"/>
              </w:rPr>
              <w:t>(Commissaire Hadjis)</w:t>
            </w:r>
          </w:p>
          <w:p w:rsidR="009151CA" w:rsidRPr="00201A3F" w:rsidRDefault="009151CA" w:rsidP="00B803D5">
            <w:pPr>
              <w:jc w:val="both"/>
              <w:rPr>
                <w:rFonts w:eastAsia="Calibri"/>
                <w:sz w:val="20"/>
                <w:lang w:val="fr-CA"/>
              </w:rPr>
            </w:pPr>
            <w:r w:rsidRPr="00201A3F">
              <w:rPr>
                <w:rFonts w:eastAsia="Calibri"/>
                <w:sz w:val="20"/>
                <w:lang w:val="fr-CA"/>
              </w:rPr>
              <w:t>2010 CHRT 9</w:t>
            </w:r>
          </w:p>
          <w:p w:rsidR="009151CA" w:rsidRPr="00201A3F" w:rsidRDefault="009151CA" w:rsidP="00B803D5">
            <w:pPr>
              <w:jc w:val="both"/>
              <w:rPr>
                <w:rFonts w:eastAsia="Calibri"/>
                <w:sz w:val="20"/>
                <w:lang w:val="fr-CA"/>
              </w:rPr>
            </w:pPr>
          </w:p>
        </w:tc>
        <w:tc>
          <w:tcPr>
            <w:tcW w:w="243" w:type="pct"/>
          </w:tcPr>
          <w:p w:rsidR="009151CA" w:rsidRPr="00201A3F" w:rsidRDefault="009151CA" w:rsidP="00B803D5">
            <w:pPr>
              <w:jc w:val="both"/>
              <w:rPr>
                <w:rFonts w:eastAsia="Calibri"/>
                <w:sz w:val="20"/>
                <w:lang w:val="fr-CA"/>
              </w:rPr>
            </w:pPr>
          </w:p>
        </w:tc>
        <w:tc>
          <w:tcPr>
            <w:tcW w:w="2330" w:type="pct"/>
          </w:tcPr>
          <w:p w:rsidR="009151CA" w:rsidRPr="00201A3F" w:rsidRDefault="009151CA" w:rsidP="00B803D5">
            <w:pPr>
              <w:jc w:val="both"/>
              <w:rPr>
                <w:rFonts w:eastAsia="Calibri"/>
                <w:sz w:val="20"/>
                <w:lang w:val="fr-CA"/>
              </w:rPr>
            </w:pPr>
            <w:r w:rsidRPr="00201A3F">
              <w:rPr>
                <w:rFonts w:eastAsia="Calibri"/>
                <w:sz w:val="20"/>
                <w:lang w:val="fr-CA"/>
              </w:rPr>
              <w:t>Plainte en matière des droits de la personne jugée non fondée</w:t>
            </w:r>
          </w:p>
        </w:tc>
      </w:tr>
      <w:tr w:rsidR="009151CA" w:rsidRPr="00201A3F" w:rsidTr="00B803D5">
        <w:tc>
          <w:tcPr>
            <w:tcW w:w="2427" w:type="pct"/>
          </w:tcPr>
          <w:p w:rsidR="009151CA" w:rsidRPr="00201A3F" w:rsidRDefault="009151CA" w:rsidP="00B803D5">
            <w:pPr>
              <w:jc w:val="both"/>
              <w:rPr>
                <w:rFonts w:eastAsia="Calibri"/>
                <w:sz w:val="20"/>
                <w:lang w:val="fr-CA"/>
              </w:rPr>
            </w:pPr>
            <w:r w:rsidRPr="00201A3F">
              <w:rPr>
                <w:rFonts w:eastAsia="Calibri"/>
                <w:sz w:val="20"/>
                <w:lang w:val="fr-CA"/>
              </w:rPr>
              <w:t>22 février 2011</w:t>
            </w:r>
          </w:p>
          <w:p w:rsidR="009151CA" w:rsidRPr="00201A3F" w:rsidRDefault="009151CA" w:rsidP="00B803D5">
            <w:pPr>
              <w:jc w:val="both"/>
              <w:rPr>
                <w:rFonts w:eastAsia="Calibri"/>
                <w:sz w:val="20"/>
                <w:lang w:val="fr-CA"/>
              </w:rPr>
            </w:pPr>
            <w:r w:rsidRPr="00201A3F">
              <w:rPr>
                <w:rFonts w:eastAsia="Calibri"/>
                <w:sz w:val="20"/>
                <w:lang w:val="fr-CA"/>
              </w:rPr>
              <w:t>Cour fédérale</w:t>
            </w:r>
          </w:p>
          <w:p w:rsidR="009151CA" w:rsidRPr="00201A3F" w:rsidRDefault="009151CA" w:rsidP="00B803D5">
            <w:pPr>
              <w:jc w:val="both"/>
              <w:rPr>
                <w:rFonts w:eastAsia="Calibri"/>
                <w:sz w:val="20"/>
                <w:lang w:val="fr-CA"/>
              </w:rPr>
            </w:pPr>
            <w:r w:rsidRPr="00201A3F">
              <w:rPr>
                <w:rFonts w:eastAsia="Calibri"/>
                <w:sz w:val="20"/>
                <w:lang w:val="fr-CA"/>
              </w:rPr>
              <w:t>(Juge Beaudry)</w:t>
            </w:r>
          </w:p>
          <w:p w:rsidR="009151CA" w:rsidRPr="00201A3F" w:rsidRDefault="009151CA" w:rsidP="00B803D5">
            <w:pPr>
              <w:jc w:val="both"/>
              <w:rPr>
                <w:rFonts w:eastAsia="Calibri"/>
                <w:sz w:val="20"/>
                <w:lang w:val="fr-CA"/>
              </w:rPr>
            </w:pPr>
            <w:r w:rsidRPr="00201A3F">
              <w:rPr>
                <w:rFonts w:eastAsia="Calibri"/>
                <w:sz w:val="20"/>
                <w:lang w:val="fr-CA"/>
              </w:rPr>
              <w:t>2011 FC 207</w:t>
            </w:r>
          </w:p>
          <w:p w:rsidR="009151CA" w:rsidRPr="00201A3F" w:rsidRDefault="009151CA" w:rsidP="00B803D5">
            <w:pPr>
              <w:jc w:val="both"/>
              <w:rPr>
                <w:rFonts w:eastAsia="Calibri"/>
                <w:sz w:val="20"/>
                <w:lang w:val="fr-CA"/>
              </w:rPr>
            </w:pPr>
          </w:p>
        </w:tc>
        <w:tc>
          <w:tcPr>
            <w:tcW w:w="243" w:type="pct"/>
          </w:tcPr>
          <w:p w:rsidR="009151CA" w:rsidRPr="00201A3F" w:rsidRDefault="009151CA" w:rsidP="00B803D5">
            <w:pPr>
              <w:jc w:val="both"/>
              <w:rPr>
                <w:rFonts w:eastAsia="Calibri"/>
                <w:sz w:val="20"/>
                <w:lang w:val="fr-CA"/>
              </w:rPr>
            </w:pPr>
          </w:p>
        </w:tc>
        <w:tc>
          <w:tcPr>
            <w:tcW w:w="2330" w:type="pct"/>
          </w:tcPr>
          <w:p w:rsidR="009151CA" w:rsidRPr="00201A3F" w:rsidRDefault="009151CA" w:rsidP="00B803D5">
            <w:pPr>
              <w:jc w:val="both"/>
              <w:rPr>
                <w:rFonts w:eastAsia="Calibri"/>
                <w:sz w:val="20"/>
                <w:lang w:val="fr-CA"/>
              </w:rPr>
            </w:pPr>
            <w:r w:rsidRPr="00201A3F">
              <w:rPr>
                <w:rFonts w:eastAsia="Calibri"/>
                <w:sz w:val="20"/>
                <w:lang w:val="fr-CA"/>
              </w:rPr>
              <w:t>Demande de contrôle judiciaire, rejetée</w:t>
            </w:r>
          </w:p>
          <w:p w:rsidR="009151CA" w:rsidRPr="00201A3F" w:rsidRDefault="009151CA" w:rsidP="00B803D5">
            <w:pPr>
              <w:jc w:val="both"/>
              <w:rPr>
                <w:rFonts w:eastAsia="Calibri"/>
                <w:sz w:val="20"/>
                <w:lang w:val="fr-CA"/>
              </w:rPr>
            </w:pPr>
          </w:p>
          <w:p w:rsidR="009151CA" w:rsidRPr="00201A3F" w:rsidRDefault="009151CA" w:rsidP="00B803D5">
            <w:pPr>
              <w:jc w:val="both"/>
              <w:rPr>
                <w:rFonts w:eastAsia="Calibri"/>
                <w:sz w:val="20"/>
                <w:lang w:val="fr-CA"/>
              </w:rPr>
            </w:pPr>
          </w:p>
        </w:tc>
      </w:tr>
      <w:tr w:rsidR="009151CA" w:rsidRPr="00201A3F" w:rsidTr="00B803D5">
        <w:tc>
          <w:tcPr>
            <w:tcW w:w="2427" w:type="pct"/>
          </w:tcPr>
          <w:p w:rsidR="009151CA" w:rsidRPr="00201A3F" w:rsidRDefault="009151CA" w:rsidP="00B803D5">
            <w:pPr>
              <w:jc w:val="both"/>
              <w:rPr>
                <w:rFonts w:eastAsia="Calibri"/>
                <w:sz w:val="20"/>
                <w:lang w:val="fr-CA"/>
              </w:rPr>
            </w:pPr>
            <w:r w:rsidRPr="00201A3F">
              <w:rPr>
                <w:rFonts w:eastAsia="Calibri"/>
                <w:sz w:val="20"/>
                <w:lang w:val="fr-CA"/>
              </w:rPr>
              <w:t>10 janvier 2012</w:t>
            </w:r>
          </w:p>
          <w:p w:rsidR="009151CA" w:rsidRPr="00201A3F" w:rsidRDefault="009151CA" w:rsidP="00B803D5">
            <w:pPr>
              <w:jc w:val="both"/>
              <w:rPr>
                <w:rFonts w:eastAsia="Calibri"/>
                <w:sz w:val="20"/>
                <w:lang w:val="fr-CA"/>
              </w:rPr>
            </w:pPr>
            <w:r w:rsidRPr="00201A3F">
              <w:rPr>
                <w:rFonts w:eastAsia="Calibri"/>
                <w:sz w:val="20"/>
                <w:lang w:val="fr-CA"/>
              </w:rPr>
              <w:t>Cour d’appel fédérale</w:t>
            </w:r>
          </w:p>
          <w:p w:rsidR="009151CA" w:rsidRPr="00201A3F" w:rsidRDefault="009151CA" w:rsidP="00B803D5">
            <w:pPr>
              <w:jc w:val="both"/>
              <w:rPr>
                <w:rFonts w:eastAsia="Calibri"/>
                <w:sz w:val="20"/>
                <w:lang w:val="fr-CA"/>
              </w:rPr>
            </w:pPr>
            <w:r w:rsidRPr="00201A3F">
              <w:rPr>
                <w:rFonts w:eastAsia="Calibri"/>
                <w:sz w:val="20"/>
                <w:lang w:val="fr-CA"/>
              </w:rPr>
              <w:t>(Juges Létourneau, Noël et Gauthier)</w:t>
            </w:r>
          </w:p>
          <w:p w:rsidR="009151CA" w:rsidRPr="00201A3F" w:rsidRDefault="009151CA" w:rsidP="00B803D5">
            <w:pPr>
              <w:jc w:val="both"/>
              <w:rPr>
                <w:rFonts w:eastAsia="Calibri"/>
                <w:sz w:val="20"/>
                <w:lang w:val="fr-CA"/>
              </w:rPr>
            </w:pPr>
            <w:r w:rsidRPr="00201A3F">
              <w:rPr>
                <w:rFonts w:eastAsia="Calibri"/>
                <w:sz w:val="20"/>
                <w:lang w:val="fr-CA"/>
              </w:rPr>
              <w:t>2012 FCA 7</w:t>
            </w:r>
          </w:p>
          <w:p w:rsidR="009151CA" w:rsidRPr="00201A3F" w:rsidRDefault="009151CA" w:rsidP="00B803D5">
            <w:pPr>
              <w:jc w:val="both"/>
              <w:rPr>
                <w:rFonts w:eastAsia="Calibri"/>
                <w:sz w:val="20"/>
                <w:lang w:val="fr-CA"/>
              </w:rPr>
            </w:pPr>
          </w:p>
        </w:tc>
        <w:tc>
          <w:tcPr>
            <w:tcW w:w="243" w:type="pct"/>
          </w:tcPr>
          <w:p w:rsidR="009151CA" w:rsidRPr="00201A3F" w:rsidRDefault="009151CA" w:rsidP="00B803D5">
            <w:pPr>
              <w:jc w:val="both"/>
              <w:rPr>
                <w:rFonts w:eastAsia="Calibri"/>
                <w:sz w:val="20"/>
                <w:lang w:val="fr-CA"/>
              </w:rPr>
            </w:pPr>
          </w:p>
        </w:tc>
        <w:tc>
          <w:tcPr>
            <w:tcW w:w="2330" w:type="pct"/>
          </w:tcPr>
          <w:p w:rsidR="009151CA" w:rsidRPr="00201A3F" w:rsidRDefault="009151CA" w:rsidP="00B803D5">
            <w:pPr>
              <w:jc w:val="both"/>
              <w:rPr>
                <w:rFonts w:eastAsia="Calibri"/>
                <w:sz w:val="20"/>
                <w:lang w:val="fr-CA"/>
              </w:rPr>
            </w:pPr>
            <w:r w:rsidRPr="00201A3F">
              <w:rPr>
                <w:rFonts w:eastAsia="Calibri"/>
                <w:sz w:val="20"/>
                <w:lang w:val="fr-CA"/>
              </w:rPr>
              <w:t>Appel rejeté</w:t>
            </w:r>
          </w:p>
          <w:p w:rsidR="009151CA" w:rsidRPr="00201A3F" w:rsidRDefault="009151CA" w:rsidP="00B803D5">
            <w:pPr>
              <w:jc w:val="both"/>
              <w:rPr>
                <w:rFonts w:eastAsia="Calibri"/>
                <w:sz w:val="20"/>
                <w:lang w:val="fr-CA"/>
              </w:rPr>
            </w:pPr>
          </w:p>
          <w:p w:rsidR="009151CA" w:rsidRPr="00201A3F" w:rsidRDefault="009151CA" w:rsidP="00B803D5">
            <w:pPr>
              <w:jc w:val="both"/>
              <w:rPr>
                <w:rFonts w:eastAsia="Calibri"/>
                <w:sz w:val="20"/>
                <w:lang w:val="fr-CA"/>
              </w:rPr>
            </w:pPr>
          </w:p>
        </w:tc>
      </w:tr>
      <w:tr w:rsidR="009151CA" w:rsidRPr="00201A3F" w:rsidTr="00B803D5">
        <w:tc>
          <w:tcPr>
            <w:tcW w:w="2427" w:type="pct"/>
          </w:tcPr>
          <w:p w:rsidR="009151CA" w:rsidRPr="00201A3F" w:rsidRDefault="009151CA" w:rsidP="00B803D5">
            <w:pPr>
              <w:jc w:val="both"/>
              <w:rPr>
                <w:rFonts w:eastAsia="Calibri"/>
                <w:sz w:val="20"/>
                <w:lang w:val="fr-CA"/>
              </w:rPr>
            </w:pPr>
            <w:r w:rsidRPr="00201A3F">
              <w:rPr>
                <w:rFonts w:eastAsia="Calibri"/>
                <w:sz w:val="20"/>
                <w:lang w:val="fr-CA"/>
              </w:rPr>
              <w:t>9 mars 2012</w:t>
            </w:r>
          </w:p>
          <w:p w:rsidR="009151CA" w:rsidRPr="00201A3F" w:rsidRDefault="009151CA" w:rsidP="00B803D5">
            <w:pPr>
              <w:jc w:val="both"/>
              <w:rPr>
                <w:rFonts w:eastAsia="Calibri"/>
                <w:sz w:val="20"/>
                <w:lang w:val="fr-CA"/>
              </w:rPr>
            </w:pPr>
            <w:r w:rsidRPr="00201A3F">
              <w:rPr>
                <w:rFonts w:eastAsia="Calibri"/>
                <w:sz w:val="20"/>
                <w:lang w:val="fr-CA"/>
              </w:rPr>
              <w:t>Cour suprême du Canada</w:t>
            </w:r>
          </w:p>
          <w:p w:rsidR="009151CA" w:rsidRPr="00201A3F" w:rsidRDefault="009151CA" w:rsidP="00B803D5">
            <w:pPr>
              <w:jc w:val="both"/>
              <w:rPr>
                <w:rFonts w:eastAsia="Calibri"/>
                <w:sz w:val="20"/>
                <w:lang w:val="fr-CA"/>
              </w:rPr>
            </w:pPr>
          </w:p>
        </w:tc>
        <w:tc>
          <w:tcPr>
            <w:tcW w:w="243" w:type="pct"/>
          </w:tcPr>
          <w:p w:rsidR="009151CA" w:rsidRPr="00201A3F" w:rsidRDefault="009151CA" w:rsidP="00B803D5">
            <w:pPr>
              <w:jc w:val="both"/>
              <w:rPr>
                <w:rFonts w:eastAsia="Calibri"/>
                <w:sz w:val="20"/>
                <w:lang w:val="fr-CA"/>
              </w:rPr>
            </w:pPr>
          </w:p>
        </w:tc>
        <w:tc>
          <w:tcPr>
            <w:tcW w:w="2330" w:type="pct"/>
          </w:tcPr>
          <w:p w:rsidR="009151CA" w:rsidRPr="00201A3F" w:rsidRDefault="009151CA" w:rsidP="00B803D5">
            <w:pPr>
              <w:jc w:val="both"/>
              <w:rPr>
                <w:rFonts w:eastAsia="Calibri"/>
                <w:sz w:val="20"/>
                <w:lang w:val="fr-CA"/>
              </w:rPr>
            </w:pPr>
            <w:r w:rsidRPr="00201A3F">
              <w:rPr>
                <w:rFonts w:eastAsia="Calibri"/>
                <w:sz w:val="20"/>
                <w:lang w:val="fr-CA"/>
              </w:rPr>
              <w:t>Première demande d’autorisation d’appel, déposée</w:t>
            </w:r>
          </w:p>
          <w:p w:rsidR="009151CA" w:rsidRPr="00201A3F" w:rsidRDefault="009151CA" w:rsidP="00B803D5">
            <w:pPr>
              <w:jc w:val="both"/>
              <w:rPr>
                <w:rFonts w:eastAsia="Calibri"/>
                <w:sz w:val="20"/>
                <w:lang w:val="fr-CA"/>
              </w:rPr>
            </w:pPr>
          </w:p>
        </w:tc>
      </w:tr>
      <w:tr w:rsidR="009151CA" w:rsidRPr="00201A3F" w:rsidTr="00B803D5">
        <w:tc>
          <w:tcPr>
            <w:tcW w:w="2427" w:type="pct"/>
          </w:tcPr>
          <w:p w:rsidR="009151CA" w:rsidRPr="00201A3F" w:rsidRDefault="009151CA" w:rsidP="00B803D5">
            <w:pPr>
              <w:jc w:val="both"/>
              <w:rPr>
                <w:rFonts w:eastAsia="Calibri"/>
                <w:sz w:val="20"/>
                <w:lang w:val="fr-CA"/>
              </w:rPr>
            </w:pPr>
            <w:r w:rsidRPr="00201A3F">
              <w:rPr>
                <w:rFonts w:eastAsia="Calibri"/>
                <w:sz w:val="20"/>
                <w:lang w:val="fr-CA"/>
              </w:rPr>
              <w:t>9 mars 2012</w:t>
            </w:r>
          </w:p>
          <w:p w:rsidR="009151CA" w:rsidRPr="00201A3F" w:rsidRDefault="009151CA" w:rsidP="00B803D5">
            <w:pPr>
              <w:jc w:val="both"/>
              <w:rPr>
                <w:rFonts w:eastAsia="Calibri"/>
                <w:sz w:val="20"/>
                <w:lang w:val="fr-CA"/>
              </w:rPr>
            </w:pPr>
            <w:r w:rsidRPr="00201A3F">
              <w:rPr>
                <w:rFonts w:eastAsia="Calibri"/>
                <w:sz w:val="20"/>
                <w:lang w:val="fr-CA"/>
              </w:rPr>
              <w:t>Cour suprême du Canada</w:t>
            </w:r>
          </w:p>
        </w:tc>
        <w:tc>
          <w:tcPr>
            <w:tcW w:w="243" w:type="pct"/>
          </w:tcPr>
          <w:p w:rsidR="009151CA" w:rsidRPr="00201A3F" w:rsidRDefault="009151CA" w:rsidP="00B803D5">
            <w:pPr>
              <w:jc w:val="both"/>
              <w:rPr>
                <w:rFonts w:eastAsia="Calibri"/>
                <w:sz w:val="20"/>
                <w:lang w:val="fr-CA"/>
              </w:rPr>
            </w:pPr>
          </w:p>
        </w:tc>
        <w:tc>
          <w:tcPr>
            <w:tcW w:w="2330" w:type="pct"/>
          </w:tcPr>
          <w:p w:rsidR="009151CA" w:rsidRPr="00201A3F" w:rsidRDefault="009151CA" w:rsidP="00B803D5">
            <w:pPr>
              <w:jc w:val="both"/>
              <w:rPr>
                <w:rFonts w:eastAsia="Calibri"/>
                <w:sz w:val="20"/>
                <w:lang w:val="fr-CA"/>
              </w:rPr>
            </w:pPr>
            <w:r w:rsidRPr="00201A3F">
              <w:rPr>
                <w:rFonts w:eastAsia="Calibri"/>
                <w:sz w:val="20"/>
                <w:lang w:val="fr-CA"/>
              </w:rPr>
              <w:t>Deuxième demande d’autorisation d’appel, déposée</w:t>
            </w:r>
          </w:p>
          <w:p w:rsidR="009151CA" w:rsidRPr="00201A3F" w:rsidRDefault="009151CA" w:rsidP="00B803D5">
            <w:pPr>
              <w:jc w:val="both"/>
              <w:rPr>
                <w:rFonts w:eastAsia="Calibri"/>
                <w:sz w:val="20"/>
                <w:lang w:val="fr-CA"/>
              </w:rPr>
            </w:pPr>
          </w:p>
        </w:tc>
      </w:tr>
    </w:tbl>
    <w:p w:rsidR="00A740D1" w:rsidRDefault="00A740D1" w:rsidP="00A740D1">
      <w:pPr>
        <w:rPr>
          <w:sz w:val="20"/>
          <w:szCs w:val="20"/>
        </w:rPr>
      </w:pPr>
    </w:p>
    <w:p w:rsidR="00A740D1" w:rsidRDefault="00BF3B03" w:rsidP="00A740D1">
      <w:pPr>
        <w:rPr>
          <w:sz w:val="20"/>
          <w:szCs w:val="20"/>
        </w:rPr>
      </w:pPr>
      <w:r w:rsidRPr="00BF3B03">
        <w:rPr>
          <w:sz w:val="20"/>
          <w:szCs w:val="20"/>
          <w:lang w:val="fr-CA"/>
        </w:rPr>
        <w:pict>
          <v:rect id="_x0000_i1045" style="width:2in;height:1pt" o:hrpct="0" o:hralign="center" o:hrstd="t" o:hrnoshade="t" o:hr="t" fillcolor="black [3213]" stroked="f"/>
        </w:pict>
      </w:r>
    </w:p>
    <w:p w:rsidR="00A740D1" w:rsidRDefault="00A740D1" w:rsidP="00A740D1">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46290" w:rsidRPr="003C7D2B" w:rsidTr="00C46290">
        <w:trPr>
          <w:cantSplit/>
        </w:trPr>
        <w:tc>
          <w:tcPr>
            <w:tcW w:w="1458" w:type="dxa"/>
          </w:tcPr>
          <w:p w:rsidR="00C46290" w:rsidRPr="003C7D2B" w:rsidRDefault="00C46290" w:rsidP="00C46290">
            <w:pPr>
              <w:rPr>
                <w:sz w:val="20"/>
                <w:szCs w:val="20"/>
              </w:rPr>
            </w:pPr>
            <w:r w:rsidRPr="003C7D2B">
              <w:rPr>
                <w:rStyle w:val="SCCFileNumberChar"/>
                <w:sz w:val="20"/>
                <w:szCs w:val="20"/>
              </w:rPr>
              <w:t>34770</w:t>
            </w:r>
          </w:p>
          <w:p w:rsidR="00C46290" w:rsidRPr="003C7D2B" w:rsidRDefault="00C46290" w:rsidP="00C46290">
            <w:pPr>
              <w:rPr>
                <w:b/>
                <w:sz w:val="20"/>
                <w:szCs w:val="20"/>
                <w:lang w:val="fr-CA"/>
              </w:rPr>
            </w:pPr>
          </w:p>
        </w:tc>
        <w:tc>
          <w:tcPr>
            <w:tcW w:w="8118" w:type="dxa"/>
          </w:tcPr>
          <w:p w:rsidR="00C46290" w:rsidRPr="003C7D2B" w:rsidRDefault="00C46290" w:rsidP="00C46290">
            <w:pPr>
              <w:jc w:val="both"/>
              <w:rPr>
                <w:sz w:val="20"/>
                <w:szCs w:val="20"/>
              </w:rPr>
            </w:pPr>
            <w:r w:rsidRPr="00C46290">
              <w:rPr>
                <w:rStyle w:val="SCCLsocChar"/>
                <w:sz w:val="20"/>
                <w:szCs w:val="20"/>
                <w:lang w:val="en-CA"/>
              </w:rPr>
              <w:t>Communications, Energy &amp; Paperworkers Union of Canada, Local 721-G v. Mercury Graphics</w:t>
            </w:r>
            <w:r w:rsidRPr="003C7D2B">
              <w:rPr>
                <w:sz w:val="20"/>
                <w:szCs w:val="20"/>
              </w:rPr>
              <w:t xml:space="preserve"> (Sask.) (Civil) (By Leave)</w:t>
            </w:r>
          </w:p>
          <w:p w:rsidR="00C46290" w:rsidRPr="003C7D2B" w:rsidRDefault="00C46290" w:rsidP="00C46290">
            <w:pPr>
              <w:rPr>
                <w:sz w:val="20"/>
                <w:szCs w:val="20"/>
              </w:rPr>
            </w:pPr>
          </w:p>
        </w:tc>
      </w:tr>
      <w:tr w:rsidR="00C46290" w:rsidRPr="003C7D2B" w:rsidTr="00C46290">
        <w:trPr>
          <w:cantSplit/>
        </w:trPr>
        <w:tc>
          <w:tcPr>
            <w:tcW w:w="1458" w:type="dxa"/>
          </w:tcPr>
          <w:p w:rsidR="00C46290" w:rsidRPr="003C7D2B" w:rsidRDefault="00C46290" w:rsidP="00C46290">
            <w:pPr>
              <w:rPr>
                <w:sz w:val="20"/>
                <w:szCs w:val="20"/>
              </w:rPr>
            </w:pPr>
            <w:r w:rsidRPr="003C7D2B">
              <w:rPr>
                <w:sz w:val="20"/>
                <w:szCs w:val="20"/>
              </w:rPr>
              <w:t>Coram :</w:t>
            </w:r>
          </w:p>
        </w:tc>
        <w:tc>
          <w:tcPr>
            <w:tcW w:w="8118" w:type="dxa"/>
          </w:tcPr>
          <w:p w:rsidR="00C46290" w:rsidRPr="003C7D2B" w:rsidRDefault="00C46290" w:rsidP="00C46290">
            <w:pPr>
              <w:rPr>
                <w:sz w:val="20"/>
                <w:szCs w:val="20"/>
              </w:rPr>
            </w:pPr>
            <w:r w:rsidRPr="00C46290">
              <w:rPr>
                <w:rStyle w:val="SCCCoramChar"/>
                <w:sz w:val="20"/>
                <w:szCs w:val="20"/>
                <w:lang w:val="en-CA"/>
              </w:rPr>
              <w:t>McLachlin C.J. and Rothstein and Moldaver JJ.</w:t>
            </w:r>
          </w:p>
          <w:p w:rsidR="00C46290" w:rsidRPr="003C7D2B" w:rsidRDefault="00C46290" w:rsidP="00C46290">
            <w:pPr>
              <w:rPr>
                <w:sz w:val="20"/>
                <w:szCs w:val="20"/>
                <w:u w:val="single"/>
              </w:rPr>
            </w:pPr>
          </w:p>
        </w:tc>
      </w:tr>
      <w:tr w:rsidR="00C46290" w:rsidRPr="00DC2D1F" w:rsidTr="00C46290">
        <w:trPr>
          <w:cantSplit/>
        </w:trPr>
        <w:tc>
          <w:tcPr>
            <w:tcW w:w="9576" w:type="dxa"/>
            <w:gridSpan w:val="2"/>
          </w:tcPr>
          <w:p w:rsidR="00C46290" w:rsidRPr="003C7D2B" w:rsidRDefault="00C46290" w:rsidP="00C46290">
            <w:pPr>
              <w:pStyle w:val="SCCShortJudgment"/>
              <w:rPr>
                <w:szCs w:val="20"/>
              </w:rPr>
            </w:pPr>
            <w:r w:rsidRPr="003C7D2B">
              <w:rPr>
                <w:szCs w:val="20"/>
              </w:rPr>
              <w:t>The application for leave to appeal from the judgment of the Court of Appeal for Saskatchewan, Number CACV2048, 2012 SKCA 19, dated February 28, 2012, is dismissed with costs.</w:t>
            </w:r>
          </w:p>
          <w:p w:rsidR="00C46290" w:rsidRPr="003C7D2B" w:rsidRDefault="00C46290" w:rsidP="00C46290">
            <w:pPr>
              <w:pStyle w:val="SCCShortJudgment"/>
              <w:ind w:firstLine="0"/>
              <w:rPr>
                <w:szCs w:val="20"/>
              </w:rPr>
            </w:pPr>
          </w:p>
          <w:p w:rsidR="00C46290" w:rsidRPr="003C7D2B" w:rsidRDefault="00C46290" w:rsidP="00C46290">
            <w:pPr>
              <w:pStyle w:val="SCCShortJudgment"/>
              <w:rPr>
                <w:szCs w:val="20"/>
                <w:lang w:val="fr-CA"/>
              </w:rPr>
            </w:pPr>
            <w:r w:rsidRPr="003C7D2B">
              <w:rPr>
                <w:szCs w:val="20"/>
                <w:lang w:val="fr-CA"/>
              </w:rPr>
              <w:t>La demande d’autorisation d’appel de l’arrêt de la Cour d’appel de la Saskatchewan, numéro CACV2048, 2012 SKCA 19, daté du 28 février 2012, est rejetée avec dépens.</w:t>
            </w:r>
          </w:p>
        </w:tc>
      </w:tr>
    </w:tbl>
    <w:p w:rsidR="00A740D1" w:rsidRPr="00C46290" w:rsidRDefault="00A740D1" w:rsidP="00A740D1">
      <w:pPr>
        <w:rPr>
          <w:sz w:val="20"/>
          <w:szCs w:val="20"/>
          <w:lang w:val="fr-CA"/>
        </w:rPr>
      </w:pPr>
    </w:p>
    <w:p w:rsidR="00A740D1" w:rsidRPr="001B157C" w:rsidRDefault="00A740D1" w:rsidP="00A740D1">
      <w:pPr>
        <w:rPr>
          <w:sz w:val="20"/>
          <w:szCs w:val="20"/>
          <w:u w:val="single"/>
        </w:rPr>
      </w:pPr>
      <w:r w:rsidRPr="001B157C">
        <w:rPr>
          <w:sz w:val="20"/>
          <w:szCs w:val="20"/>
          <w:u w:val="single"/>
        </w:rPr>
        <w:t>CASE SUMMARY</w:t>
      </w:r>
    </w:p>
    <w:p w:rsidR="00A740D1" w:rsidRDefault="00A740D1" w:rsidP="00A740D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151CA" w:rsidRPr="00201A3F" w:rsidTr="00B803D5">
        <w:tc>
          <w:tcPr>
            <w:tcW w:w="5000" w:type="pct"/>
            <w:gridSpan w:val="3"/>
          </w:tcPr>
          <w:p w:rsidR="009151CA" w:rsidRPr="00201A3F" w:rsidRDefault="009151CA" w:rsidP="00B803D5">
            <w:pPr>
              <w:jc w:val="both"/>
              <w:rPr>
                <w:rFonts w:eastAsia="Calibri"/>
                <w:sz w:val="20"/>
              </w:rPr>
            </w:pPr>
            <w:r w:rsidRPr="00201A3F">
              <w:rPr>
                <w:rFonts w:eastAsia="Calibri"/>
                <w:sz w:val="20"/>
              </w:rPr>
              <w:t>Labour relations — Arbitration — Collective agreements — Entitlement to severance — Employees being terminated after a lawful strike had terminated their collective agreements — Is severance pay under a collective agreement an accrued right that vests and survives its termination — If it is not, can an arbitrator apply the law of wrongful dismissal and award severance pay at common law due to the termination of the employment relationship.</w:t>
            </w:r>
          </w:p>
        </w:tc>
      </w:tr>
      <w:tr w:rsidR="009151CA" w:rsidRPr="00201A3F" w:rsidTr="00B803D5">
        <w:tc>
          <w:tcPr>
            <w:tcW w:w="5000" w:type="pct"/>
            <w:gridSpan w:val="3"/>
          </w:tcPr>
          <w:p w:rsidR="009151CA" w:rsidRPr="00201A3F" w:rsidRDefault="009151CA" w:rsidP="00B803D5">
            <w:pPr>
              <w:jc w:val="both"/>
              <w:rPr>
                <w:rFonts w:eastAsia="Calibri"/>
                <w:sz w:val="20"/>
              </w:rPr>
            </w:pPr>
          </w:p>
        </w:tc>
      </w:tr>
      <w:tr w:rsidR="009151CA" w:rsidRPr="00201A3F" w:rsidTr="00B803D5">
        <w:tc>
          <w:tcPr>
            <w:tcW w:w="5000" w:type="pct"/>
            <w:gridSpan w:val="3"/>
          </w:tcPr>
          <w:p w:rsidR="009151CA" w:rsidRPr="00201A3F" w:rsidRDefault="009151CA" w:rsidP="00B803D5">
            <w:pPr>
              <w:jc w:val="both"/>
              <w:rPr>
                <w:rFonts w:eastAsia="Calibri"/>
                <w:sz w:val="20"/>
              </w:rPr>
            </w:pPr>
            <w:r w:rsidRPr="00201A3F">
              <w:rPr>
                <w:rFonts w:eastAsia="Calibri"/>
                <w:sz w:val="20"/>
              </w:rPr>
              <w:t xml:space="preserve">When collective bargaining failed, the Applicant called a lawful strike.  This terminated the collective bargaining agreements in place.  When further talks failed, the Respondent issued a lockout notice, and a letter seeking to implement the terms of its unilateral offer.  The employees never returned to work.  The Respondent gave notices of termination indicating that in two months business operations would cease and all employees would be terminated. </w:t>
            </w:r>
          </w:p>
          <w:p w:rsidR="009151CA" w:rsidRPr="00201A3F" w:rsidRDefault="009151CA" w:rsidP="00B803D5">
            <w:pPr>
              <w:jc w:val="both"/>
              <w:rPr>
                <w:rFonts w:eastAsia="Calibri"/>
                <w:sz w:val="20"/>
              </w:rPr>
            </w:pPr>
          </w:p>
          <w:p w:rsidR="009151CA" w:rsidRPr="00201A3F" w:rsidRDefault="009151CA" w:rsidP="00B803D5">
            <w:pPr>
              <w:jc w:val="both"/>
              <w:rPr>
                <w:rFonts w:eastAsia="Calibri"/>
                <w:sz w:val="20"/>
              </w:rPr>
            </w:pPr>
            <w:r w:rsidRPr="00201A3F">
              <w:rPr>
                <w:rFonts w:eastAsia="Calibri"/>
                <w:sz w:val="20"/>
              </w:rPr>
              <w:lastRenderedPageBreak/>
              <w:t>The collective agreements provided for severance pay in the event of a severance due to consolidation or technological change.  The Applicant initiated a grievance process to determine whether the Respondent had breached the severance provisions in the collective agreements and, alternatively, whether the employees had a claim for severance pay or damages according to common law principles.  The arbitrator concluded that the right to severance pay had not vested, since the collective agreements had terminated before the employees were terminated.  He found that he had no jurisdiction to enforce the severance pay provisions and that there were no collective agreements into which he could insert common law provisions.  He granted the Respondent’s motion for a non-suit.  The Court of Queen’s Bench of Saskatchewan dismissed the Applicant’s application for judicial review and the appellate court dismissed the appeal.</w:t>
            </w:r>
          </w:p>
          <w:p w:rsidR="009151CA" w:rsidRPr="00201A3F" w:rsidRDefault="009151CA" w:rsidP="00B803D5">
            <w:pPr>
              <w:jc w:val="both"/>
              <w:rPr>
                <w:rFonts w:eastAsia="Calibri"/>
                <w:sz w:val="20"/>
              </w:rPr>
            </w:pPr>
          </w:p>
        </w:tc>
      </w:tr>
      <w:tr w:rsidR="009151CA" w:rsidRPr="00201A3F" w:rsidTr="00B803D5">
        <w:tc>
          <w:tcPr>
            <w:tcW w:w="2427" w:type="pct"/>
          </w:tcPr>
          <w:p w:rsidR="009151CA" w:rsidRPr="00201A3F" w:rsidRDefault="009151CA" w:rsidP="00B803D5">
            <w:pPr>
              <w:jc w:val="both"/>
              <w:rPr>
                <w:rFonts w:eastAsia="Calibri"/>
                <w:sz w:val="20"/>
              </w:rPr>
            </w:pPr>
            <w:r w:rsidRPr="00201A3F">
              <w:rPr>
                <w:rFonts w:eastAsia="Calibri"/>
                <w:sz w:val="20"/>
              </w:rPr>
              <w:lastRenderedPageBreak/>
              <w:t>January 24, 2011</w:t>
            </w:r>
          </w:p>
          <w:p w:rsidR="009151CA" w:rsidRPr="00201A3F" w:rsidRDefault="009151CA" w:rsidP="00B803D5">
            <w:pPr>
              <w:jc w:val="both"/>
              <w:rPr>
                <w:rFonts w:eastAsia="Calibri"/>
                <w:sz w:val="20"/>
              </w:rPr>
            </w:pPr>
            <w:r w:rsidRPr="00201A3F">
              <w:rPr>
                <w:rFonts w:eastAsia="Calibri"/>
                <w:sz w:val="20"/>
              </w:rPr>
              <w:t>Court of Queen’s Bench of Saskatchewan</w:t>
            </w:r>
          </w:p>
          <w:p w:rsidR="009151CA" w:rsidRPr="00201A3F" w:rsidRDefault="009151CA" w:rsidP="00B803D5">
            <w:pPr>
              <w:jc w:val="both"/>
              <w:rPr>
                <w:rFonts w:eastAsia="Calibri"/>
                <w:sz w:val="20"/>
              </w:rPr>
            </w:pPr>
            <w:r w:rsidRPr="00201A3F">
              <w:rPr>
                <w:rFonts w:eastAsia="Calibri"/>
                <w:sz w:val="20"/>
              </w:rPr>
              <w:t>(Foley J.)</w:t>
            </w:r>
          </w:p>
          <w:p w:rsidR="009151CA" w:rsidRPr="00201A3F" w:rsidRDefault="009151CA" w:rsidP="00B803D5">
            <w:pPr>
              <w:jc w:val="both"/>
              <w:rPr>
                <w:rFonts w:eastAsia="Calibri"/>
                <w:sz w:val="20"/>
              </w:rPr>
            </w:pPr>
            <w:r w:rsidRPr="00201A3F">
              <w:rPr>
                <w:rFonts w:eastAsia="Calibri"/>
                <w:sz w:val="20"/>
              </w:rPr>
              <w:t>2011 SKQB 41</w:t>
            </w:r>
          </w:p>
          <w:p w:rsidR="009151CA" w:rsidRPr="00201A3F" w:rsidRDefault="009151CA" w:rsidP="00B803D5">
            <w:pPr>
              <w:jc w:val="both"/>
              <w:rPr>
                <w:rFonts w:eastAsia="Calibri"/>
                <w:sz w:val="20"/>
              </w:rPr>
            </w:pPr>
          </w:p>
        </w:tc>
        <w:tc>
          <w:tcPr>
            <w:tcW w:w="243" w:type="pct"/>
          </w:tcPr>
          <w:p w:rsidR="009151CA" w:rsidRPr="00201A3F" w:rsidRDefault="009151CA" w:rsidP="00B803D5">
            <w:pPr>
              <w:jc w:val="both"/>
              <w:rPr>
                <w:rFonts w:eastAsia="Calibri"/>
                <w:sz w:val="20"/>
              </w:rPr>
            </w:pPr>
          </w:p>
        </w:tc>
        <w:tc>
          <w:tcPr>
            <w:tcW w:w="2330" w:type="pct"/>
          </w:tcPr>
          <w:p w:rsidR="009151CA" w:rsidRPr="00201A3F" w:rsidRDefault="009151CA" w:rsidP="00B803D5">
            <w:pPr>
              <w:jc w:val="both"/>
              <w:rPr>
                <w:rFonts w:eastAsia="Calibri"/>
                <w:sz w:val="20"/>
              </w:rPr>
            </w:pPr>
            <w:r w:rsidRPr="00201A3F">
              <w:rPr>
                <w:rFonts w:eastAsia="Calibri"/>
                <w:sz w:val="20"/>
              </w:rPr>
              <w:t>Application for judicial review dismissed</w:t>
            </w:r>
          </w:p>
          <w:p w:rsidR="009151CA" w:rsidRPr="00201A3F" w:rsidRDefault="009151CA" w:rsidP="00B803D5">
            <w:pPr>
              <w:jc w:val="both"/>
              <w:rPr>
                <w:rFonts w:eastAsia="Calibri"/>
                <w:sz w:val="20"/>
              </w:rPr>
            </w:pPr>
          </w:p>
        </w:tc>
      </w:tr>
      <w:tr w:rsidR="009151CA" w:rsidRPr="00201A3F" w:rsidTr="00B803D5">
        <w:tc>
          <w:tcPr>
            <w:tcW w:w="2427" w:type="pct"/>
          </w:tcPr>
          <w:p w:rsidR="009151CA" w:rsidRPr="00201A3F" w:rsidRDefault="009151CA" w:rsidP="00B803D5">
            <w:pPr>
              <w:jc w:val="both"/>
              <w:rPr>
                <w:rFonts w:eastAsia="Calibri"/>
                <w:sz w:val="20"/>
              </w:rPr>
            </w:pPr>
            <w:r w:rsidRPr="00201A3F">
              <w:rPr>
                <w:rFonts w:eastAsia="Calibri"/>
                <w:sz w:val="20"/>
              </w:rPr>
              <w:t>February 28, 2012</w:t>
            </w:r>
          </w:p>
          <w:p w:rsidR="009151CA" w:rsidRPr="00201A3F" w:rsidRDefault="009151CA" w:rsidP="00B803D5">
            <w:pPr>
              <w:jc w:val="both"/>
              <w:rPr>
                <w:rFonts w:eastAsia="Calibri"/>
                <w:sz w:val="20"/>
              </w:rPr>
            </w:pPr>
            <w:r w:rsidRPr="00201A3F">
              <w:rPr>
                <w:rFonts w:eastAsia="Calibri"/>
                <w:sz w:val="20"/>
              </w:rPr>
              <w:t>Court of Appeal for Saskatchewan</w:t>
            </w:r>
          </w:p>
          <w:p w:rsidR="009151CA" w:rsidRPr="00201A3F" w:rsidRDefault="009151CA" w:rsidP="00B803D5">
            <w:pPr>
              <w:jc w:val="both"/>
              <w:rPr>
                <w:rFonts w:eastAsia="Calibri"/>
                <w:sz w:val="20"/>
              </w:rPr>
            </w:pPr>
            <w:r w:rsidRPr="00201A3F">
              <w:rPr>
                <w:rFonts w:eastAsia="Calibri"/>
                <w:sz w:val="20"/>
              </w:rPr>
              <w:t>(Vancise, Smith and Ottenbreit JJ.A.)</w:t>
            </w:r>
          </w:p>
          <w:p w:rsidR="009151CA" w:rsidRPr="00201A3F" w:rsidRDefault="009151CA" w:rsidP="00B803D5">
            <w:pPr>
              <w:jc w:val="both"/>
              <w:rPr>
                <w:rFonts w:eastAsia="Calibri"/>
                <w:sz w:val="20"/>
              </w:rPr>
            </w:pPr>
            <w:r w:rsidRPr="00201A3F">
              <w:rPr>
                <w:rFonts w:eastAsia="Calibri"/>
                <w:sz w:val="20"/>
              </w:rPr>
              <w:t>2012 SKCA 19</w:t>
            </w:r>
          </w:p>
          <w:p w:rsidR="009151CA" w:rsidRPr="00201A3F" w:rsidRDefault="009151CA" w:rsidP="00B803D5">
            <w:pPr>
              <w:jc w:val="both"/>
              <w:rPr>
                <w:rFonts w:eastAsia="Calibri"/>
                <w:sz w:val="20"/>
              </w:rPr>
            </w:pPr>
          </w:p>
        </w:tc>
        <w:tc>
          <w:tcPr>
            <w:tcW w:w="243" w:type="pct"/>
          </w:tcPr>
          <w:p w:rsidR="009151CA" w:rsidRPr="00201A3F" w:rsidRDefault="009151CA" w:rsidP="00B803D5">
            <w:pPr>
              <w:jc w:val="both"/>
              <w:rPr>
                <w:rFonts w:eastAsia="Calibri"/>
                <w:sz w:val="20"/>
              </w:rPr>
            </w:pPr>
          </w:p>
        </w:tc>
        <w:tc>
          <w:tcPr>
            <w:tcW w:w="2330" w:type="pct"/>
          </w:tcPr>
          <w:p w:rsidR="009151CA" w:rsidRPr="00201A3F" w:rsidRDefault="009151CA" w:rsidP="00B803D5">
            <w:pPr>
              <w:jc w:val="both"/>
              <w:rPr>
                <w:rFonts w:eastAsia="Calibri"/>
                <w:sz w:val="20"/>
              </w:rPr>
            </w:pPr>
            <w:r w:rsidRPr="00201A3F">
              <w:rPr>
                <w:rFonts w:eastAsia="Calibri"/>
                <w:sz w:val="20"/>
              </w:rPr>
              <w:t>Appeal dismissed</w:t>
            </w:r>
          </w:p>
          <w:p w:rsidR="009151CA" w:rsidRPr="00201A3F" w:rsidRDefault="009151CA" w:rsidP="00B803D5">
            <w:pPr>
              <w:jc w:val="both"/>
              <w:rPr>
                <w:rFonts w:eastAsia="Calibri"/>
                <w:sz w:val="20"/>
              </w:rPr>
            </w:pPr>
          </w:p>
        </w:tc>
      </w:tr>
      <w:tr w:rsidR="009151CA" w:rsidRPr="00201A3F" w:rsidTr="00B803D5">
        <w:tc>
          <w:tcPr>
            <w:tcW w:w="2427" w:type="pct"/>
          </w:tcPr>
          <w:p w:rsidR="009151CA" w:rsidRPr="00201A3F" w:rsidRDefault="009151CA" w:rsidP="00B803D5">
            <w:pPr>
              <w:jc w:val="both"/>
              <w:rPr>
                <w:rFonts w:eastAsia="Calibri"/>
                <w:sz w:val="20"/>
              </w:rPr>
            </w:pPr>
            <w:r w:rsidRPr="00201A3F">
              <w:rPr>
                <w:rFonts w:eastAsia="Calibri"/>
                <w:sz w:val="20"/>
              </w:rPr>
              <w:t>April 16, 2012</w:t>
            </w:r>
          </w:p>
          <w:p w:rsidR="009151CA" w:rsidRPr="00201A3F" w:rsidRDefault="009151CA" w:rsidP="00B803D5">
            <w:pPr>
              <w:jc w:val="both"/>
              <w:rPr>
                <w:rFonts w:eastAsia="Calibri"/>
                <w:sz w:val="20"/>
              </w:rPr>
            </w:pPr>
            <w:r w:rsidRPr="00201A3F">
              <w:rPr>
                <w:rFonts w:eastAsia="Calibri"/>
                <w:sz w:val="20"/>
              </w:rPr>
              <w:t>Supreme Court of Canada</w:t>
            </w:r>
          </w:p>
        </w:tc>
        <w:tc>
          <w:tcPr>
            <w:tcW w:w="243" w:type="pct"/>
          </w:tcPr>
          <w:p w:rsidR="009151CA" w:rsidRPr="00201A3F" w:rsidRDefault="009151CA" w:rsidP="00B803D5">
            <w:pPr>
              <w:jc w:val="both"/>
              <w:rPr>
                <w:rFonts w:eastAsia="Calibri"/>
                <w:sz w:val="20"/>
              </w:rPr>
            </w:pPr>
          </w:p>
        </w:tc>
        <w:tc>
          <w:tcPr>
            <w:tcW w:w="2330" w:type="pct"/>
          </w:tcPr>
          <w:p w:rsidR="009151CA" w:rsidRPr="00201A3F" w:rsidRDefault="009151CA" w:rsidP="00B803D5">
            <w:pPr>
              <w:jc w:val="both"/>
              <w:rPr>
                <w:rFonts w:eastAsia="Calibri"/>
                <w:sz w:val="20"/>
              </w:rPr>
            </w:pPr>
            <w:r w:rsidRPr="00201A3F">
              <w:rPr>
                <w:rFonts w:eastAsia="Calibri"/>
                <w:sz w:val="20"/>
              </w:rPr>
              <w:t>Application for leave to appeal filed</w:t>
            </w:r>
          </w:p>
        </w:tc>
      </w:tr>
    </w:tbl>
    <w:p w:rsidR="00A740D1" w:rsidRDefault="00A740D1" w:rsidP="00A740D1">
      <w:pPr>
        <w:rPr>
          <w:sz w:val="20"/>
          <w:szCs w:val="20"/>
        </w:rPr>
      </w:pPr>
    </w:p>
    <w:p w:rsidR="00A740D1" w:rsidRPr="00C50A5C" w:rsidRDefault="00BF3B03" w:rsidP="00A740D1">
      <w:pPr>
        <w:rPr>
          <w:sz w:val="20"/>
          <w:szCs w:val="20"/>
        </w:rPr>
      </w:pPr>
      <w:r w:rsidRPr="00BF3B03">
        <w:rPr>
          <w:sz w:val="20"/>
          <w:szCs w:val="20"/>
          <w:lang w:val="fr-CA"/>
        </w:rPr>
        <w:pict>
          <v:rect id="_x0000_i1046" style="width:2in;height:1pt" o:hrpct="0" o:hralign="center" o:hrstd="t" o:hrnoshade="t" o:hr="t" fillcolor="black [3213]" stroked="f"/>
        </w:pict>
      </w:r>
    </w:p>
    <w:p w:rsidR="00A740D1" w:rsidRDefault="00A740D1" w:rsidP="00A740D1">
      <w:pPr>
        <w:rPr>
          <w:sz w:val="20"/>
          <w:szCs w:val="20"/>
        </w:rPr>
      </w:pPr>
    </w:p>
    <w:p w:rsidR="00A740D1" w:rsidRPr="001B157C" w:rsidRDefault="00A740D1" w:rsidP="00A740D1">
      <w:pPr>
        <w:rPr>
          <w:sz w:val="20"/>
          <w:szCs w:val="20"/>
          <w:u w:val="single"/>
          <w:lang w:val="fr-CA"/>
        </w:rPr>
      </w:pPr>
      <w:r w:rsidRPr="001B157C">
        <w:rPr>
          <w:sz w:val="20"/>
          <w:szCs w:val="20"/>
          <w:u w:val="single"/>
          <w:lang w:val="fr-CA"/>
        </w:rPr>
        <w:t>RÉSUMÉ DE L’AFFAIRE</w:t>
      </w:r>
    </w:p>
    <w:p w:rsidR="00A740D1" w:rsidRDefault="00A740D1" w:rsidP="00A740D1">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9151CA" w:rsidRPr="00DC2D1F" w:rsidTr="00B803D5">
        <w:tc>
          <w:tcPr>
            <w:tcW w:w="5000" w:type="pct"/>
            <w:gridSpan w:val="3"/>
          </w:tcPr>
          <w:p w:rsidR="009151CA" w:rsidRPr="00201A3F" w:rsidRDefault="009151CA" w:rsidP="00B803D5">
            <w:pPr>
              <w:jc w:val="both"/>
              <w:rPr>
                <w:rFonts w:eastAsia="Calibri"/>
                <w:sz w:val="20"/>
                <w:lang w:val="fr-CA"/>
              </w:rPr>
            </w:pPr>
            <w:r w:rsidRPr="00201A3F">
              <w:rPr>
                <w:rFonts w:eastAsia="Calibri"/>
                <w:sz w:val="20"/>
                <w:lang w:val="fr-CA"/>
              </w:rPr>
              <w:t>Relations du travail — Arbitrage — Convention collectives — Droit à une indemnité de départ — Des employés ont été licenciés après qu'une grève légale a mis fin à leurs conventions collectives — L'indemnité de départ prévue dans une convention collective est</w:t>
            </w:r>
            <w:r w:rsidRPr="00201A3F">
              <w:rPr>
                <w:rFonts w:eastAsia="Calibri"/>
                <w:sz w:val="20"/>
                <w:lang w:val="fr-CA"/>
              </w:rPr>
              <w:noBreakHyphen/>
              <w:t>elle un droit acquis qui est dévolu et qui subsiste après la cessation de la convention? — Dans la négative, un arbitre peut</w:t>
            </w:r>
            <w:r w:rsidRPr="00201A3F">
              <w:rPr>
                <w:rFonts w:eastAsia="Calibri"/>
                <w:sz w:val="20"/>
                <w:lang w:val="fr-CA"/>
              </w:rPr>
              <w:noBreakHyphen/>
              <w:t>il appliquer le droit en matière de congédiement injustifié et accorder une indemnité de départ en vertu des règles de common law en raison de la cessation de la relation d'emploi?</w:t>
            </w:r>
          </w:p>
        </w:tc>
      </w:tr>
      <w:tr w:rsidR="009151CA" w:rsidRPr="00DC2D1F" w:rsidTr="00B803D5">
        <w:tc>
          <w:tcPr>
            <w:tcW w:w="5000" w:type="pct"/>
            <w:gridSpan w:val="3"/>
          </w:tcPr>
          <w:p w:rsidR="009151CA" w:rsidRPr="00201A3F" w:rsidRDefault="009151CA" w:rsidP="00B803D5">
            <w:pPr>
              <w:jc w:val="both"/>
              <w:rPr>
                <w:rFonts w:eastAsia="Calibri"/>
                <w:sz w:val="20"/>
                <w:lang w:val="fr-CA"/>
              </w:rPr>
            </w:pPr>
          </w:p>
        </w:tc>
      </w:tr>
      <w:tr w:rsidR="009151CA" w:rsidRPr="00DC2D1F" w:rsidTr="00B803D5">
        <w:tc>
          <w:tcPr>
            <w:tcW w:w="5000" w:type="pct"/>
            <w:gridSpan w:val="3"/>
          </w:tcPr>
          <w:p w:rsidR="009151CA" w:rsidRPr="00201A3F" w:rsidRDefault="009151CA" w:rsidP="00B803D5">
            <w:pPr>
              <w:jc w:val="both"/>
              <w:rPr>
                <w:rFonts w:eastAsia="Calibri"/>
                <w:sz w:val="20"/>
                <w:lang w:val="fr-CA"/>
              </w:rPr>
            </w:pPr>
            <w:r w:rsidRPr="00201A3F">
              <w:rPr>
                <w:rFonts w:eastAsia="Calibri"/>
                <w:sz w:val="20"/>
                <w:lang w:val="fr-CA"/>
              </w:rPr>
              <w:t xml:space="preserve">Après l'échec de négociations collectives, le demandeur a lancé un ordre de grève légale.  Cela a eu pour effet de mettre fin aux conventions collectives en vigueur.  Après l'échec de discussions subséquentes, l'intimée a délivré un avis de lockout et a fait parvenir une lettre qui visait à mettre en œuvre les conditions de son offre unilatérale.  Les employés ne sont jamais rentrés au travail.  L'intimée a donné des avis de licenciement indiquant que dans un délai de deux mois, les activités commerciales cesseraient et tous les employés seraient licenciés. </w:t>
            </w:r>
          </w:p>
          <w:p w:rsidR="009151CA" w:rsidRPr="00201A3F" w:rsidRDefault="009151CA" w:rsidP="00B803D5">
            <w:pPr>
              <w:jc w:val="both"/>
              <w:rPr>
                <w:rFonts w:eastAsia="Calibri"/>
                <w:sz w:val="20"/>
                <w:lang w:val="fr-CA"/>
              </w:rPr>
            </w:pPr>
          </w:p>
          <w:p w:rsidR="009151CA" w:rsidRPr="00201A3F" w:rsidRDefault="009151CA" w:rsidP="00B803D5">
            <w:pPr>
              <w:jc w:val="both"/>
              <w:rPr>
                <w:rFonts w:eastAsia="Calibri"/>
                <w:sz w:val="20"/>
                <w:lang w:val="fr-CA"/>
              </w:rPr>
            </w:pPr>
            <w:r w:rsidRPr="00201A3F">
              <w:rPr>
                <w:rFonts w:eastAsia="Calibri"/>
                <w:sz w:val="20"/>
                <w:lang w:val="fr-CA"/>
              </w:rPr>
              <w:t>Les conventions collectives prévoyaient une indemnité de départ en cas de consolidation ou de changement technologique.  Le demandeur a lancé un processus de grief pour qu’il soit statué sur la question de savoir si l'intimée avait violé les dispositions relatives à l'indemnité de départ dans les conventions collectives et, à titre subsidiaire, si les employés pouvaient réclamer une indemnité de départ ou des dommages</w:t>
            </w:r>
            <w:r w:rsidRPr="00201A3F">
              <w:rPr>
                <w:rFonts w:eastAsia="Calibri"/>
                <w:sz w:val="20"/>
                <w:lang w:val="fr-CA"/>
              </w:rPr>
              <w:noBreakHyphen/>
              <w:t>intérêts sur le fondement de principes de common law. L'arbitre a conclu que le droit à une indemnité de départ n'avait pas été dévolu, puisque les conventions collectives avaient pris fin avant le licenciement des employés.  Il a conclu qu'il n'avait pas compétence pour faire respecter les dispositions relatives à l'indemnité de départ et qu'il n'existait aucune convention collective dans laquelle il pouvait incorporer des dispositions de common law.  Il a accueilli la requête en irrecevabilité de l'intimée.  La Cour du Banc de la Reine de la Saskatchewan a rejeté la demande de contrôle judiciaire du demandeur et la Cour d'appel a rejeté l'appel.</w:t>
            </w:r>
          </w:p>
          <w:p w:rsidR="009151CA" w:rsidRPr="00201A3F" w:rsidRDefault="009151CA" w:rsidP="00B803D5">
            <w:pPr>
              <w:jc w:val="both"/>
              <w:rPr>
                <w:rFonts w:eastAsia="Calibri"/>
                <w:sz w:val="20"/>
                <w:lang w:val="fr-CA"/>
              </w:rPr>
            </w:pPr>
          </w:p>
        </w:tc>
      </w:tr>
      <w:tr w:rsidR="009151CA" w:rsidRPr="00201A3F" w:rsidTr="00C46290">
        <w:trPr>
          <w:cantSplit/>
        </w:trPr>
        <w:tc>
          <w:tcPr>
            <w:tcW w:w="2427" w:type="pct"/>
          </w:tcPr>
          <w:p w:rsidR="009151CA" w:rsidRPr="00201A3F" w:rsidRDefault="009151CA" w:rsidP="00B803D5">
            <w:pPr>
              <w:jc w:val="both"/>
              <w:rPr>
                <w:rFonts w:eastAsia="Calibri"/>
                <w:sz w:val="20"/>
                <w:lang w:val="fr-CA"/>
              </w:rPr>
            </w:pPr>
            <w:r w:rsidRPr="00201A3F">
              <w:rPr>
                <w:rFonts w:eastAsia="Calibri"/>
                <w:sz w:val="20"/>
                <w:lang w:val="fr-CA"/>
              </w:rPr>
              <w:lastRenderedPageBreak/>
              <w:t>24 janvier 2011</w:t>
            </w:r>
          </w:p>
          <w:p w:rsidR="009151CA" w:rsidRPr="00201A3F" w:rsidRDefault="009151CA" w:rsidP="00B803D5">
            <w:pPr>
              <w:jc w:val="both"/>
              <w:rPr>
                <w:rFonts w:eastAsia="Calibri"/>
                <w:sz w:val="20"/>
                <w:lang w:val="fr-CA"/>
              </w:rPr>
            </w:pPr>
            <w:r w:rsidRPr="00201A3F">
              <w:rPr>
                <w:rFonts w:eastAsia="Calibri"/>
                <w:sz w:val="20"/>
                <w:lang w:val="fr-CA"/>
              </w:rPr>
              <w:t>Cour du Banc de la Reine de la Saskatchewan</w:t>
            </w:r>
          </w:p>
          <w:p w:rsidR="009151CA" w:rsidRPr="00201A3F" w:rsidRDefault="009151CA" w:rsidP="00B803D5">
            <w:pPr>
              <w:jc w:val="both"/>
              <w:rPr>
                <w:rFonts w:eastAsia="Calibri"/>
                <w:sz w:val="20"/>
                <w:lang w:val="fr-CA"/>
              </w:rPr>
            </w:pPr>
            <w:r w:rsidRPr="00201A3F">
              <w:rPr>
                <w:rFonts w:eastAsia="Calibri"/>
                <w:sz w:val="20"/>
                <w:lang w:val="fr-CA"/>
              </w:rPr>
              <w:t>(Juge Foley)</w:t>
            </w:r>
          </w:p>
          <w:p w:rsidR="009151CA" w:rsidRPr="00201A3F" w:rsidRDefault="009151CA" w:rsidP="00B803D5">
            <w:pPr>
              <w:jc w:val="both"/>
              <w:rPr>
                <w:rFonts w:eastAsia="Calibri"/>
                <w:sz w:val="20"/>
                <w:lang w:val="fr-CA"/>
              </w:rPr>
            </w:pPr>
            <w:r w:rsidRPr="00201A3F">
              <w:rPr>
                <w:rFonts w:eastAsia="Calibri"/>
                <w:sz w:val="20"/>
                <w:lang w:val="fr-CA"/>
              </w:rPr>
              <w:t>2011 SKQB 41</w:t>
            </w:r>
          </w:p>
          <w:p w:rsidR="009151CA" w:rsidRPr="00201A3F" w:rsidRDefault="009151CA" w:rsidP="00B803D5">
            <w:pPr>
              <w:jc w:val="both"/>
              <w:rPr>
                <w:rFonts w:eastAsia="Calibri"/>
                <w:sz w:val="20"/>
                <w:lang w:val="fr-CA"/>
              </w:rPr>
            </w:pPr>
          </w:p>
        </w:tc>
        <w:tc>
          <w:tcPr>
            <w:tcW w:w="243" w:type="pct"/>
          </w:tcPr>
          <w:p w:rsidR="009151CA" w:rsidRPr="00201A3F" w:rsidRDefault="009151CA" w:rsidP="00B803D5">
            <w:pPr>
              <w:jc w:val="both"/>
              <w:rPr>
                <w:rFonts w:eastAsia="Calibri"/>
                <w:sz w:val="20"/>
                <w:lang w:val="fr-CA"/>
              </w:rPr>
            </w:pPr>
          </w:p>
        </w:tc>
        <w:tc>
          <w:tcPr>
            <w:tcW w:w="2330" w:type="pct"/>
          </w:tcPr>
          <w:p w:rsidR="009151CA" w:rsidRPr="00201A3F" w:rsidRDefault="009151CA" w:rsidP="00B803D5">
            <w:pPr>
              <w:jc w:val="both"/>
              <w:rPr>
                <w:rFonts w:eastAsia="Calibri"/>
                <w:sz w:val="20"/>
                <w:lang w:val="fr-CA"/>
              </w:rPr>
            </w:pPr>
            <w:r w:rsidRPr="00201A3F">
              <w:rPr>
                <w:rFonts w:eastAsia="Calibri"/>
                <w:sz w:val="20"/>
                <w:lang w:val="fr-CA"/>
              </w:rPr>
              <w:t>Demande de contrôle judiciaire, rejetée</w:t>
            </w:r>
          </w:p>
          <w:p w:rsidR="009151CA" w:rsidRPr="00201A3F" w:rsidRDefault="009151CA" w:rsidP="00B803D5">
            <w:pPr>
              <w:jc w:val="both"/>
              <w:rPr>
                <w:rFonts w:eastAsia="Calibri"/>
                <w:sz w:val="20"/>
                <w:lang w:val="fr-CA"/>
              </w:rPr>
            </w:pPr>
          </w:p>
        </w:tc>
      </w:tr>
      <w:tr w:rsidR="009151CA" w:rsidRPr="00201A3F" w:rsidTr="00C46290">
        <w:trPr>
          <w:cantSplit/>
        </w:trPr>
        <w:tc>
          <w:tcPr>
            <w:tcW w:w="2427" w:type="pct"/>
          </w:tcPr>
          <w:p w:rsidR="009151CA" w:rsidRPr="00201A3F" w:rsidRDefault="009151CA" w:rsidP="00B803D5">
            <w:pPr>
              <w:jc w:val="both"/>
              <w:rPr>
                <w:rFonts w:eastAsia="Calibri"/>
                <w:sz w:val="20"/>
                <w:lang w:val="fr-CA"/>
              </w:rPr>
            </w:pPr>
            <w:r w:rsidRPr="00201A3F">
              <w:rPr>
                <w:rFonts w:eastAsia="Calibri"/>
                <w:sz w:val="20"/>
                <w:lang w:val="fr-CA"/>
              </w:rPr>
              <w:t>28 février 2012</w:t>
            </w:r>
          </w:p>
          <w:p w:rsidR="009151CA" w:rsidRPr="00201A3F" w:rsidRDefault="009151CA" w:rsidP="00B803D5">
            <w:pPr>
              <w:jc w:val="both"/>
              <w:rPr>
                <w:rFonts w:eastAsia="Calibri"/>
                <w:sz w:val="20"/>
                <w:lang w:val="fr-CA"/>
              </w:rPr>
            </w:pPr>
            <w:r w:rsidRPr="00201A3F">
              <w:rPr>
                <w:rFonts w:eastAsia="Calibri"/>
                <w:sz w:val="20"/>
                <w:lang w:val="fr-CA"/>
              </w:rPr>
              <w:t>Cour d'appel de la Saskatchewan</w:t>
            </w:r>
          </w:p>
          <w:p w:rsidR="009151CA" w:rsidRPr="00201A3F" w:rsidRDefault="009151CA" w:rsidP="00B803D5">
            <w:pPr>
              <w:jc w:val="both"/>
              <w:rPr>
                <w:rFonts w:eastAsia="Calibri"/>
                <w:sz w:val="20"/>
                <w:lang w:val="fr-CA"/>
              </w:rPr>
            </w:pPr>
            <w:r w:rsidRPr="00201A3F">
              <w:rPr>
                <w:rFonts w:eastAsia="Calibri"/>
                <w:sz w:val="20"/>
                <w:lang w:val="fr-CA"/>
              </w:rPr>
              <w:t>(Juges Vancise, Smith et Ottenbreit)</w:t>
            </w:r>
          </w:p>
          <w:p w:rsidR="009151CA" w:rsidRPr="00201A3F" w:rsidRDefault="009151CA" w:rsidP="00B803D5">
            <w:pPr>
              <w:jc w:val="both"/>
              <w:rPr>
                <w:rFonts w:eastAsia="Calibri"/>
                <w:sz w:val="20"/>
                <w:lang w:val="fr-CA"/>
              </w:rPr>
            </w:pPr>
            <w:r w:rsidRPr="00201A3F">
              <w:rPr>
                <w:rFonts w:eastAsia="Calibri"/>
                <w:sz w:val="20"/>
                <w:lang w:val="fr-CA"/>
              </w:rPr>
              <w:t>2012 SKCA 19</w:t>
            </w:r>
          </w:p>
          <w:p w:rsidR="009151CA" w:rsidRPr="00201A3F" w:rsidRDefault="009151CA" w:rsidP="00B803D5">
            <w:pPr>
              <w:jc w:val="both"/>
              <w:rPr>
                <w:rFonts w:eastAsia="Calibri"/>
                <w:sz w:val="20"/>
                <w:lang w:val="fr-CA"/>
              </w:rPr>
            </w:pPr>
          </w:p>
        </w:tc>
        <w:tc>
          <w:tcPr>
            <w:tcW w:w="243" w:type="pct"/>
          </w:tcPr>
          <w:p w:rsidR="009151CA" w:rsidRPr="00201A3F" w:rsidRDefault="009151CA" w:rsidP="00B803D5">
            <w:pPr>
              <w:jc w:val="both"/>
              <w:rPr>
                <w:rFonts w:eastAsia="Calibri"/>
                <w:sz w:val="20"/>
                <w:lang w:val="fr-CA"/>
              </w:rPr>
            </w:pPr>
          </w:p>
        </w:tc>
        <w:tc>
          <w:tcPr>
            <w:tcW w:w="2330" w:type="pct"/>
          </w:tcPr>
          <w:p w:rsidR="009151CA" w:rsidRPr="00201A3F" w:rsidRDefault="009151CA" w:rsidP="00B803D5">
            <w:pPr>
              <w:jc w:val="both"/>
              <w:rPr>
                <w:rFonts w:eastAsia="Calibri"/>
                <w:sz w:val="20"/>
                <w:lang w:val="fr-CA"/>
              </w:rPr>
            </w:pPr>
            <w:r w:rsidRPr="00201A3F">
              <w:rPr>
                <w:rFonts w:eastAsia="Calibri"/>
                <w:sz w:val="20"/>
                <w:lang w:val="fr-CA"/>
              </w:rPr>
              <w:t>Appel rejeté</w:t>
            </w:r>
          </w:p>
          <w:p w:rsidR="009151CA" w:rsidRPr="00201A3F" w:rsidRDefault="009151CA" w:rsidP="00B803D5">
            <w:pPr>
              <w:jc w:val="both"/>
              <w:rPr>
                <w:rFonts w:eastAsia="Calibri"/>
                <w:sz w:val="20"/>
                <w:lang w:val="fr-CA"/>
              </w:rPr>
            </w:pPr>
          </w:p>
        </w:tc>
      </w:tr>
      <w:tr w:rsidR="009151CA" w:rsidRPr="00201A3F" w:rsidTr="00C46290">
        <w:trPr>
          <w:cantSplit/>
        </w:trPr>
        <w:tc>
          <w:tcPr>
            <w:tcW w:w="2427" w:type="pct"/>
          </w:tcPr>
          <w:p w:rsidR="009151CA" w:rsidRPr="00201A3F" w:rsidRDefault="009151CA" w:rsidP="00B803D5">
            <w:pPr>
              <w:jc w:val="both"/>
              <w:rPr>
                <w:rFonts w:eastAsia="Calibri"/>
                <w:sz w:val="20"/>
                <w:lang w:val="fr-CA"/>
              </w:rPr>
            </w:pPr>
            <w:r w:rsidRPr="00201A3F">
              <w:rPr>
                <w:rFonts w:eastAsia="Calibri"/>
                <w:sz w:val="20"/>
                <w:lang w:val="fr-CA"/>
              </w:rPr>
              <w:t>16 avril 2012</w:t>
            </w:r>
          </w:p>
          <w:p w:rsidR="009151CA" w:rsidRPr="00201A3F" w:rsidRDefault="009151CA" w:rsidP="00B803D5">
            <w:pPr>
              <w:jc w:val="both"/>
              <w:rPr>
                <w:rFonts w:eastAsia="Calibri"/>
                <w:sz w:val="20"/>
                <w:lang w:val="fr-CA"/>
              </w:rPr>
            </w:pPr>
            <w:r w:rsidRPr="00201A3F">
              <w:rPr>
                <w:rFonts w:eastAsia="Calibri"/>
                <w:sz w:val="20"/>
                <w:lang w:val="fr-CA"/>
              </w:rPr>
              <w:t>Cour suprême du Canada</w:t>
            </w:r>
          </w:p>
        </w:tc>
        <w:tc>
          <w:tcPr>
            <w:tcW w:w="243" w:type="pct"/>
          </w:tcPr>
          <w:p w:rsidR="009151CA" w:rsidRPr="00201A3F" w:rsidRDefault="009151CA" w:rsidP="00B803D5">
            <w:pPr>
              <w:jc w:val="both"/>
              <w:rPr>
                <w:rFonts w:eastAsia="Calibri"/>
                <w:sz w:val="20"/>
                <w:lang w:val="fr-CA"/>
              </w:rPr>
            </w:pPr>
          </w:p>
        </w:tc>
        <w:tc>
          <w:tcPr>
            <w:tcW w:w="2330" w:type="pct"/>
          </w:tcPr>
          <w:p w:rsidR="009151CA" w:rsidRPr="00201A3F" w:rsidRDefault="009151CA" w:rsidP="00B803D5">
            <w:pPr>
              <w:jc w:val="both"/>
              <w:rPr>
                <w:rFonts w:eastAsia="Calibri"/>
                <w:sz w:val="20"/>
                <w:lang w:val="fr-CA"/>
              </w:rPr>
            </w:pPr>
            <w:r w:rsidRPr="00201A3F">
              <w:rPr>
                <w:rFonts w:eastAsia="Calibri"/>
                <w:sz w:val="20"/>
                <w:lang w:val="fr-CA"/>
              </w:rPr>
              <w:t>Demande d'autorisation d'appel, déposée</w:t>
            </w:r>
          </w:p>
          <w:p w:rsidR="009151CA" w:rsidRPr="00201A3F" w:rsidRDefault="009151CA" w:rsidP="00B803D5">
            <w:pPr>
              <w:jc w:val="both"/>
              <w:rPr>
                <w:rFonts w:eastAsia="Calibri"/>
                <w:sz w:val="20"/>
                <w:lang w:val="fr-CA"/>
              </w:rPr>
            </w:pPr>
          </w:p>
        </w:tc>
      </w:tr>
    </w:tbl>
    <w:p w:rsidR="00A740D1" w:rsidRDefault="00A740D1" w:rsidP="00A740D1">
      <w:pPr>
        <w:rPr>
          <w:sz w:val="20"/>
          <w:szCs w:val="20"/>
        </w:rPr>
      </w:pPr>
    </w:p>
    <w:p w:rsidR="00A740D1" w:rsidRDefault="00BF3B03" w:rsidP="00A740D1">
      <w:pPr>
        <w:rPr>
          <w:sz w:val="20"/>
          <w:szCs w:val="20"/>
        </w:rPr>
      </w:pPr>
      <w:r w:rsidRPr="00BF3B03">
        <w:rPr>
          <w:sz w:val="20"/>
          <w:szCs w:val="20"/>
          <w:lang w:val="fr-CA"/>
        </w:rPr>
        <w:pict>
          <v:rect id="_x0000_i1047" style="width:2in;height:1pt" o:hrpct="0" o:hralign="center" o:hrstd="t" o:hrnoshade="t" o:hr="t" fillcolor="black [3213]" stroked="f"/>
        </w:pict>
      </w:r>
    </w:p>
    <w:p w:rsidR="00A740D1" w:rsidRDefault="00A740D1" w:rsidP="00A740D1">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46290" w:rsidRPr="003C7D2B" w:rsidTr="00C46290">
        <w:trPr>
          <w:cantSplit/>
        </w:trPr>
        <w:tc>
          <w:tcPr>
            <w:tcW w:w="1458" w:type="dxa"/>
          </w:tcPr>
          <w:p w:rsidR="00C46290" w:rsidRPr="003C7D2B" w:rsidRDefault="00C46290" w:rsidP="00C46290">
            <w:pPr>
              <w:rPr>
                <w:sz w:val="20"/>
                <w:szCs w:val="20"/>
              </w:rPr>
            </w:pPr>
            <w:r w:rsidRPr="003C7D2B">
              <w:rPr>
                <w:rStyle w:val="SCCFileNumberChar"/>
                <w:sz w:val="20"/>
                <w:szCs w:val="20"/>
              </w:rPr>
              <w:t>34827</w:t>
            </w:r>
          </w:p>
          <w:p w:rsidR="00C46290" w:rsidRPr="003C7D2B" w:rsidRDefault="00C46290" w:rsidP="00C46290">
            <w:pPr>
              <w:rPr>
                <w:b/>
                <w:sz w:val="20"/>
                <w:szCs w:val="20"/>
                <w:lang w:val="fr-CA"/>
              </w:rPr>
            </w:pPr>
          </w:p>
        </w:tc>
        <w:tc>
          <w:tcPr>
            <w:tcW w:w="8118" w:type="dxa"/>
          </w:tcPr>
          <w:p w:rsidR="00C46290" w:rsidRPr="003C7D2B" w:rsidRDefault="00C46290" w:rsidP="00C46290">
            <w:pPr>
              <w:jc w:val="both"/>
              <w:rPr>
                <w:sz w:val="20"/>
                <w:szCs w:val="20"/>
              </w:rPr>
            </w:pPr>
            <w:r w:rsidRPr="00C46290">
              <w:rPr>
                <w:rStyle w:val="SCCLsocChar"/>
                <w:sz w:val="20"/>
                <w:szCs w:val="20"/>
                <w:lang w:val="en-CA"/>
              </w:rPr>
              <w:t>Nicole Lacroix</w:t>
            </w:r>
            <w:r w:rsidR="00C80CA7">
              <w:rPr>
                <w:rStyle w:val="SCCLsocChar"/>
                <w:sz w:val="20"/>
                <w:szCs w:val="20"/>
                <w:lang w:val="en-CA"/>
              </w:rPr>
              <w:t xml:space="preserve"> and</w:t>
            </w:r>
            <w:r w:rsidRPr="00C46290">
              <w:rPr>
                <w:rStyle w:val="SCCLsocChar"/>
                <w:sz w:val="20"/>
                <w:szCs w:val="20"/>
                <w:lang w:val="en-CA"/>
              </w:rPr>
              <w:t xml:space="preserve"> Rosie Ladouceur v. Canada Mortgage and Housing Corporation, Marc Rochon, Claude Poirier-Defoy, Jim Millar, Karen Kinsley, Gerald Norbraten, Jean-Guy Tanguay, David Metzak and Brian Knight being the Trustees of the Canada Mortgage and Housing Corporation Pension Fund AND BETWEEN Frank McCann</w:t>
            </w:r>
            <w:r w:rsidR="00C80CA7">
              <w:rPr>
                <w:rStyle w:val="SCCLsocChar"/>
                <w:sz w:val="20"/>
                <w:szCs w:val="20"/>
                <w:lang w:val="en-CA"/>
              </w:rPr>
              <w:t xml:space="preserve"> and</w:t>
            </w:r>
            <w:r w:rsidRPr="00C46290">
              <w:rPr>
                <w:rStyle w:val="SCCLsocChar"/>
                <w:sz w:val="20"/>
                <w:szCs w:val="20"/>
                <w:lang w:val="en-CA"/>
              </w:rPr>
              <w:t xml:space="preserve"> David Guffie v. Canada Mortgage and Housing Corporation, Marc Rochon, Claude Poirier-Defoy, Jim Millar, Karen Kinsley, Gerald Norbraten, Jean-Guy Tanguay, David Metzak and Brian Knight being the Trustees of the Canada Mortgage and Housing Corporation Pension Fund</w:t>
            </w:r>
            <w:r w:rsidRPr="003C7D2B">
              <w:rPr>
                <w:sz w:val="20"/>
                <w:szCs w:val="20"/>
              </w:rPr>
              <w:t xml:space="preserve"> (Ont.) (Civil) (By Leave)</w:t>
            </w:r>
          </w:p>
          <w:p w:rsidR="00C46290" w:rsidRPr="003C7D2B" w:rsidRDefault="00C46290" w:rsidP="00C46290">
            <w:pPr>
              <w:rPr>
                <w:sz w:val="20"/>
                <w:szCs w:val="20"/>
              </w:rPr>
            </w:pPr>
          </w:p>
        </w:tc>
      </w:tr>
      <w:tr w:rsidR="00C46290" w:rsidRPr="003C7D2B" w:rsidTr="00C46290">
        <w:trPr>
          <w:cantSplit/>
        </w:trPr>
        <w:tc>
          <w:tcPr>
            <w:tcW w:w="1458" w:type="dxa"/>
          </w:tcPr>
          <w:p w:rsidR="00C46290" w:rsidRPr="003C7D2B" w:rsidRDefault="00C46290" w:rsidP="00C46290">
            <w:pPr>
              <w:rPr>
                <w:sz w:val="20"/>
                <w:szCs w:val="20"/>
              </w:rPr>
            </w:pPr>
            <w:r w:rsidRPr="003C7D2B">
              <w:rPr>
                <w:sz w:val="20"/>
                <w:szCs w:val="20"/>
              </w:rPr>
              <w:t>Coram :</w:t>
            </w:r>
          </w:p>
        </w:tc>
        <w:tc>
          <w:tcPr>
            <w:tcW w:w="8118" w:type="dxa"/>
          </w:tcPr>
          <w:p w:rsidR="00C46290" w:rsidRPr="003C7D2B" w:rsidRDefault="00C46290" w:rsidP="00C46290">
            <w:pPr>
              <w:rPr>
                <w:sz w:val="20"/>
                <w:szCs w:val="20"/>
              </w:rPr>
            </w:pPr>
            <w:r w:rsidRPr="00C46290">
              <w:rPr>
                <w:rStyle w:val="SCCCoramChar"/>
                <w:sz w:val="20"/>
                <w:szCs w:val="20"/>
                <w:lang w:val="en-CA"/>
              </w:rPr>
              <w:t>McLachlin C.J. and Rothstein and Moldaver JJ.</w:t>
            </w:r>
          </w:p>
          <w:p w:rsidR="00C46290" w:rsidRPr="003C7D2B" w:rsidRDefault="00C46290" w:rsidP="00C46290">
            <w:pPr>
              <w:rPr>
                <w:sz w:val="20"/>
                <w:szCs w:val="20"/>
                <w:u w:val="single"/>
              </w:rPr>
            </w:pPr>
          </w:p>
        </w:tc>
      </w:tr>
      <w:tr w:rsidR="00C46290" w:rsidRPr="00DC2D1F" w:rsidTr="00C46290">
        <w:trPr>
          <w:cantSplit/>
        </w:trPr>
        <w:tc>
          <w:tcPr>
            <w:tcW w:w="9576" w:type="dxa"/>
            <w:gridSpan w:val="2"/>
          </w:tcPr>
          <w:p w:rsidR="00C46290" w:rsidRPr="003C7D2B" w:rsidRDefault="00C46290" w:rsidP="00C46290">
            <w:pPr>
              <w:pStyle w:val="SCCShortJudgment"/>
              <w:rPr>
                <w:szCs w:val="20"/>
              </w:rPr>
            </w:pPr>
            <w:r w:rsidRPr="003C7D2B">
              <w:rPr>
                <w:szCs w:val="20"/>
              </w:rPr>
              <w:t>The applications for leave to appeal from the judgment of the Court of Appeal for Ontario, Numbers C53012 and C53034, 2012 ONCA 243, dated April 18, 2012, are dismissed with costs.</w:t>
            </w:r>
          </w:p>
          <w:p w:rsidR="00C46290" w:rsidRPr="003C7D2B" w:rsidRDefault="00C46290" w:rsidP="00C46290">
            <w:pPr>
              <w:pStyle w:val="SCCShortJudgment"/>
              <w:ind w:firstLine="0"/>
              <w:rPr>
                <w:szCs w:val="20"/>
              </w:rPr>
            </w:pPr>
          </w:p>
          <w:p w:rsidR="00C46290" w:rsidRPr="003C7D2B" w:rsidRDefault="00C46290" w:rsidP="00C46290">
            <w:pPr>
              <w:pStyle w:val="SCCShortJudgment"/>
              <w:rPr>
                <w:szCs w:val="20"/>
                <w:lang w:val="fr-CA"/>
              </w:rPr>
            </w:pPr>
            <w:r w:rsidRPr="003C7D2B">
              <w:rPr>
                <w:szCs w:val="20"/>
                <w:lang w:val="fr-CA"/>
              </w:rPr>
              <w:t>Les demandes d’autorisation d’appel de l’arrêt de la Cour d’appel de l’Ontario, numéros C53012 et C53034, 2012 ONCA 243, daté du 18 avril 2012, sont rejetées avec dépens.</w:t>
            </w:r>
          </w:p>
        </w:tc>
      </w:tr>
    </w:tbl>
    <w:p w:rsidR="00A740D1" w:rsidRPr="00C46290" w:rsidRDefault="00A740D1" w:rsidP="00A740D1">
      <w:pPr>
        <w:rPr>
          <w:sz w:val="20"/>
          <w:szCs w:val="20"/>
          <w:lang w:val="fr-CA"/>
        </w:rPr>
      </w:pPr>
    </w:p>
    <w:p w:rsidR="00A740D1" w:rsidRPr="001B157C" w:rsidRDefault="00A740D1" w:rsidP="00A740D1">
      <w:pPr>
        <w:rPr>
          <w:sz w:val="20"/>
          <w:szCs w:val="20"/>
          <w:u w:val="single"/>
        </w:rPr>
      </w:pPr>
      <w:r w:rsidRPr="001B157C">
        <w:rPr>
          <w:sz w:val="20"/>
          <w:szCs w:val="20"/>
          <w:u w:val="single"/>
        </w:rPr>
        <w:t>CASE SUMMARY</w:t>
      </w:r>
    </w:p>
    <w:p w:rsidR="00A740D1" w:rsidRDefault="00A740D1" w:rsidP="00A740D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151CA" w:rsidRPr="00201A3F" w:rsidTr="00B803D5">
        <w:tc>
          <w:tcPr>
            <w:tcW w:w="5000" w:type="pct"/>
            <w:gridSpan w:val="3"/>
          </w:tcPr>
          <w:p w:rsidR="009151CA" w:rsidRPr="00201A3F" w:rsidRDefault="009151CA" w:rsidP="00B803D5">
            <w:pPr>
              <w:jc w:val="both"/>
              <w:rPr>
                <w:rFonts w:eastAsia="Calibri"/>
                <w:sz w:val="20"/>
              </w:rPr>
            </w:pPr>
            <w:r w:rsidRPr="00201A3F">
              <w:rPr>
                <w:rFonts w:eastAsia="Calibri"/>
                <w:sz w:val="20"/>
              </w:rPr>
              <w:t xml:space="preserve">Courts — Judges — Jurisdiction — Administrative law — Pensions — Civil Proceedings — Class Proceedings — Reasonable Apprehension of Bias — Whether Superior Court of Justice has jurisdiction under s. 8(11) of the </w:t>
            </w:r>
            <w:r w:rsidRPr="00201A3F">
              <w:rPr>
                <w:rFonts w:eastAsia="Calibri"/>
                <w:i/>
                <w:sz w:val="20"/>
              </w:rPr>
              <w:t>Pension Benefits Standards Act</w:t>
            </w:r>
            <w:r w:rsidRPr="00201A3F">
              <w:rPr>
                <w:rFonts w:eastAsia="Calibri"/>
                <w:sz w:val="20"/>
              </w:rPr>
              <w:t xml:space="preserve"> </w:t>
            </w:r>
            <w:r w:rsidRPr="00201A3F">
              <w:rPr>
                <w:rFonts w:eastAsia="Calibri"/>
                <w:i/>
                <w:sz w:val="20"/>
              </w:rPr>
              <w:t>1985</w:t>
            </w:r>
            <w:r w:rsidRPr="00201A3F">
              <w:rPr>
                <w:rFonts w:eastAsia="Calibri"/>
                <w:sz w:val="20"/>
              </w:rPr>
              <w:t>, R.S.C. 1985, c. 3, to review an administrator’s decision not to declare a partial termination of its pension fund — Whether Court of Appeal misinterpreted or misapplied governing precedents when interpreting the relevant provisions of the Act — Whether employers’ surplus sharing decisions in respect to pension fund amounted to a back</w:t>
            </w:r>
            <w:r w:rsidRPr="00201A3F">
              <w:rPr>
                <w:rFonts w:eastAsia="Calibri"/>
                <w:sz w:val="20"/>
              </w:rPr>
              <w:noBreakHyphen/>
              <w:t>door partial termination or crystallized a portion of the pension fund — Whether there is a reasonable apprehension of bias on part of Office of the Superintendent of Financial Institutions</w:t>
            </w:r>
          </w:p>
        </w:tc>
      </w:tr>
      <w:tr w:rsidR="009151CA" w:rsidRPr="00201A3F" w:rsidTr="00B803D5">
        <w:tc>
          <w:tcPr>
            <w:tcW w:w="5000" w:type="pct"/>
            <w:gridSpan w:val="3"/>
          </w:tcPr>
          <w:p w:rsidR="009151CA" w:rsidRPr="00201A3F" w:rsidRDefault="009151CA" w:rsidP="00B803D5">
            <w:pPr>
              <w:jc w:val="both"/>
              <w:rPr>
                <w:rFonts w:eastAsia="Calibri"/>
                <w:sz w:val="20"/>
              </w:rPr>
            </w:pPr>
          </w:p>
        </w:tc>
      </w:tr>
      <w:tr w:rsidR="009151CA" w:rsidRPr="00201A3F" w:rsidTr="00B803D5">
        <w:tc>
          <w:tcPr>
            <w:tcW w:w="5000" w:type="pct"/>
            <w:gridSpan w:val="3"/>
          </w:tcPr>
          <w:p w:rsidR="009151CA" w:rsidRPr="00201A3F" w:rsidRDefault="009151CA" w:rsidP="00B803D5">
            <w:pPr>
              <w:jc w:val="both"/>
              <w:rPr>
                <w:rFonts w:eastAsia="Calibri"/>
                <w:sz w:val="20"/>
              </w:rPr>
            </w:pPr>
            <w:r w:rsidRPr="00201A3F">
              <w:rPr>
                <w:rFonts w:eastAsia="Calibri"/>
                <w:sz w:val="20"/>
              </w:rPr>
              <w:t xml:space="preserve">CMHC twice used surplus pension plan funds to provide benefit enhancement packages to current employees but not former employees who had taken the commuted value of their benefits and left the plan upon dismissal.  In a class proceeding and a proposed class proceeding, the applicants applied to state common issues related to claims that CMHC was required to partially terminate the pension plan and its failure to do so put it in a conflict of interest.  </w:t>
            </w:r>
          </w:p>
          <w:p w:rsidR="009151CA" w:rsidRPr="00201A3F" w:rsidRDefault="009151CA" w:rsidP="00B803D5">
            <w:pPr>
              <w:jc w:val="both"/>
              <w:rPr>
                <w:rFonts w:eastAsia="Calibri"/>
                <w:sz w:val="20"/>
              </w:rPr>
            </w:pPr>
          </w:p>
        </w:tc>
      </w:tr>
      <w:tr w:rsidR="009151CA" w:rsidRPr="00201A3F" w:rsidTr="00C46290">
        <w:trPr>
          <w:cantSplit/>
        </w:trPr>
        <w:tc>
          <w:tcPr>
            <w:tcW w:w="2427" w:type="pct"/>
          </w:tcPr>
          <w:p w:rsidR="009151CA" w:rsidRPr="00201A3F" w:rsidRDefault="009151CA" w:rsidP="00B803D5">
            <w:pPr>
              <w:jc w:val="both"/>
              <w:rPr>
                <w:rFonts w:eastAsia="Calibri"/>
                <w:sz w:val="20"/>
              </w:rPr>
            </w:pPr>
            <w:r w:rsidRPr="00201A3F">
              <w:rPr>
                <w:rFonts w:eastAsia="Calibri"/>
                <w:sz w:val="20"/>
              </w:rPr>
              <w:lastRenderedPageBreak/>
              <w:t>January 26, 2009</w:t>
            </w:r>
          </w:p>
          <w:p w:rsidR="009151CA" w:rsidRPr="00201A3F" w:rsidRDefault="009151CA" w:rsidP="00B803D5">
            <w:pPr>
              <w:jc w:val="both"/>
              <w:rPr>
                <w:rFonts w:eastAsia="Calibri"/>
                <w:sz w:val="20"/>
              </w:rPr>
            </w:pPr>
            <w:r w:rsidRPr="00201A3F">
              <w:rPr>
                <w:rFonts w:eastAsia="Calibri"/>
                <w:sz w:val="20"/>
              </w:rPr>
              <w:t>Ontario Superior Court of Justice</w:t>
            </w:r>
          </w:p>
          <w:p w:rsidR="009151CA" w:rsidRPr="00201A3F" w:rsidRDefault="009151CA" w:rsidP="00B803D5">
            <w:pPr>
              <w:jc w:val="both"/>
              <w:rPr>
                <w:rFonts w:eastAsia="Calibri"/>
                <w:sz w:val="20"/>
              </w:rPr>
            </w:pPr>
            <w:r w:rsidRPr="00201A3F">
              <w:rPr>
                <w:rFonts w:eastAsia="Calibri"/>
                <w:sz w:val="20"/>
              </w:rPr>
              <w:t>(Charbonneau J.)</w:t>
            </w:r>
          </w:p>
          <w:p w:rsidR="009151CA" w:rsidRPr="00201A3F" w:rsidRDefault="009151CA" w:rsidP="00B803D5">
            <w:pPr>
              <w:jc w:val="both"/>
              <w:rPr>
                <w:rFonts w:eastAsia="Calibri"/>
                <w:sz w:val="20"/>
              </w:rPr>
            </w:pPr>
          </w:p>
        </w:tc>
        <w:tc>
          <w:tcPr>
            <w:tcW w:w="243" w:type="pct"/>
          </w:tcPr>
          <w:p w:rsidR="009151CA" w:rsidRPr="00201A3F" w:rsidRDefault="009151CA" w:rsidP="00B803D5">
            <w:pPr>
              <w:jc w:val="both"/>
              <w:rPr>
                <w:rFonts w:eastAsia="Calibri"/>
                <w:sz w:val="20"/>
              </w:rPr>
            </w:pPr>
          </w:p>
        </w:tc>
        <w:tc>
          <w:tcPr>
            <w:tcW w:w="2330" w:type="pct"/>
          </w:tcPr>
          <w:p w:rsidR="009151CA" w:rsidRPr="00201A3F" w:rsidRDefault="009151CA" w:rsidP="00B803D5">
            <w:pPr>
              <w:jc w:val="both"/>
              <w:rPr>
                <w:rFonts w:eastAsia="Calibri"/>
                <w:sz w:val="20"/>
              </w:rPr>
            </w:pPr>
            <w:r w:rsidRPr="00201A3F">
              <w:rPr>
                <w:rFonts w:eastAsia="Calibri"/>
                <w:sz w:val="20"/>
              </w:rPr>
              <w:t>Motion by Lacroix and Ladouceur to certify additional common issues and amend statement of action in class proceeding dismissed; Motion by McCann and Guffie for certification as class proceeding and certification of common issues dismissed</w:t>
            </w:r>
          </w:p>
          <w:p w:rsidR="009151CA" w:rsidRPr="00201A3F" w:rsidRDefault="009151CA" w:rsidP="00B803D5">
            <w:pPr>
              <w:jc w:val="both"/>
              <w:rPr>
                <w:rFonts w:eastAsia="Calibri"/>
                <w:sz w:val="20"/>
              </w:rPr>
            </w:pPr>
          </w:p>
        </w:tc>
      </w:tr>
      <w:tr w:rsidR="009151CA" w:rsidRPr="00201A3F" w:rsidTr="00C46290">
        <w:trPr>
          <w:cantSplit/>
        </w:trPr>
        <w:tc>
          <w:tcPr>
            <w:tcW w:w="2427" w:type="pct"/>
          </w:tcPr>
          <w:p w:rsidR="009151CA" w:rsidRPr="00201A3F" w:rsidRDefault="009151CA" w:rsidP="00B803D5">
            <w:pPr>
              <w:jc w:val="both"/>
              <w:rPr>
                <w:rFonts w:eastAsia="Calibri"/>
                <w:sz w:val="20"/>
              </w:rPr>
            </w:pPr>
            <w:r w:rsidRPr="00201A3F">
              <w:rPr>
                <w:rFonts w:eastAsia="Calibri"/>
                <w:sz w:val="20"/>
              </w:rPr>
              <w:t>June 16, 2010</w:t>
            </w:r>
          </w:p>
          <w:p w:rsidR="009151CA" w:rsidRPr="00201A3F" w:rsidRDefault="009151CA" w:rsidP="00B803D5">
            <w:pPr>
              <w:jc w:val="both"/>
              <w:rPr>
                <w:rFonts w:eastAsia="Calibri"/>
                <w:sz w:val="20"/>
              </w:rPr>
            </w:pPr>
            <w:r w:rsidRPr="00201A3F">
              <w:rPr>
                <w:rFonts w:eastAsia="Calibri"/>
                <w:sz w:val="20"/>
              </w:rPr>
              <w:t>Ontario Superior Court of Justice</w:t>
            </w:r>
          </w:p>
          <w:p w:rsidR="009151CA" w:rsidRPr="00201A3F" w:rsidRDefault="009151CA" w:rsidP="00B803D5">
            <w:pPr>
              <w:jc w:val="both"/>
              <w:rPr>
                <w:rFonts w:eastAsia="Calibri"/>
                <w:sz w:val="20"/>
                <w:lang w:val="fr-CA"/>
              </w:rPr>
            </w:pPr>
            <w:r w:rsidRPr="00201A3F">
              <w:rPr>
                <w:rFonts w:eastAsia="Calibri"/>
                <w:sz w:val="20"/>
                <w:lang w:val="fr-CA"/>
              </w:rPr>
              <w:t>(Wilson, Karakatsanis, Bryant JJ.)</w:t>
            </w:r>
          </w:p>
          <w:p w:rsidR="009151CA" w:rsidRPr="00201A3F" w:rsidRDefault="009151CA" w:rsidP="00B803D5">
            <w:pPr>
              <w:jc w:val="both"/>
              <w:rPr>
                <w:rFonts w:eastAsia="Calibri"/>
                <w:sz w:val="20"/>
              </w:rPr>
            </w:pPr>
            <w:r w:rsidRPr="00201A3F">
              <w:rPr>
                <w:rFonts w:eastAsia="Calibri"/>
                <w:sz w:val="20"/>
              </w:rPr>
              <w:t>2010 ONSC 65</w:t>
            </w:r>
          </w:p>
          <w:p w:rsidR="009151CA" w:rsidRPr="00201A3F" w:rsidRDefault="009151CA" w:rsidP="00B803D5">
            <w:pPr>
              <w:jc w:val="both"/>
              <w:rPr>
                <w:rFonts w:eastAsia="Calibri"/>
                <w:sz w:val="20"/>
              </w:rPr>
            </w:pPr>
          </w:p>
        </w:tc>
        <w:tc>
          <w:tcPr>
            <w:tcW w:w="243" w:type="pct"/>
          </w:tcPr>
          <w:p w:rsidR="009151CA" w:rsidRPr="00201A3F" w:rsidRDefault="009151CA" w:rsidP="00B803D5">
            <w:pPr>
              <w:jc w:val="both"/>
              <w:rPr>
                <w:rFonts w:eastAsia="Calibri"/>
                <w:sz w:val="20"/>
              </w:rPr>
            </w:pPr>
          </w:p>
        </w:tc>
        <w:tc>
          <w:tcPr>
            <w:tcW w:w="2330" w:type="pct"/>
          </w:tcPr>
          <w:p w:rsidR="009151CA" w:rsidRPr="00201A3F" w:rsidRDefault="009151CA" w:rsidP="00B803D5">
            <w:pPr>
              <w:jc w:val="both"/>
              <w:rPr>
                <w:rFonts w:eastAsia="Calibri"/>
                <w:sz w:val="20"/>
              </w:rPr>
            </w:pPr>
            <w:r w:rsidRPr="00201A3F">
              <w:rPr>
                <w:rFonts w:eastAsia="Calibri"/>
                <w:sz w:val="20"/>
              </w:rPr>
              <w:t>Appeals dismissed</w:t>
            </w:r>
          </w:p>
          <w:p w:rsidR="009151CA" w:rsidRPr="00201A3F" w:rsidRDefault="009151CA" w:rsidP="00B803D5">
            <w:pPr>
              <w:jc w:val="both"/>
              <w:rPr>
                <w:rFonts w:eastAsia="Calibri"/>
                <w:sz w:val="20"/>
              </w:rPr>
            </w:pPr>
          </w:p>
        </w:tc>
      </w:tr>
      <w:tr w:rsidR="009151CA" w:rsidRPr="00201A3F" w:rsidTr="00C46290">
        <w:trPr>
          <w:cantSplit/>
        </w:trPr>
        <w:tc>
          <w:tcPr>
            <w:tcW w:w="2427" w:type="pct"/>
          </w:tcPr>
          <w:p w:rsidR="009151CA" w:rsidRPr="00201A3F" w:rsidRDefault="009151CA" w:rsidP="00B803D5">
            <w:pPr>
              <w:jc w:val="both"/>
              <w:rPr>
                <w:rFonts w:eastAsia="Calibri"/>
                <w:sz w:val="20"/>
              </w:rPr>
            </w:pPr>
            <w:r w:rsidRPr="00201A3F">
              <w:rPr>
                <w:rFonts w:eastAsia="Calibri"/>
                <w:sz w:val="20"/>
              </w:rPr>
              <w:t>April 18, 2012</w:t>
            </w:r>
          </w:p>
          <w:p w:rsidR="009151CA" w:rsidRPr="00201A3F" w:rsidRDefault="009151CA" w:rsidP="00B803D5">
            <w:pPr>
              <w:jc w:val="both"/>
              <w:rPr>
                <w:rFonts w:eastAsia="Calibri"/>
                <w:sz w:val="20"/>
              </w:rPr>
            </w:pPr>
            <w:r w:rsidRPr="00201A3F">
              <w:rPr>
                <w:rFonts w:eastAsia="Calibri"/>
                <w:sz w:val="20"/>
              </w:rPr>
              <w:t>Court of Appeal for Ontario</w:t>
            </w:r>
          </w:p>
          <w:p w:rsidR="009151CA" w:rsidRPr="00201A3F" w:rsidRDefault="009151CA" w:rsidP="00B803D5">
            <w:pPr>
              <w:jc w:val="both"/>
              <w:rPr>
                <w:rFonts w:eastAsia="Calibri"/>
                <w:sz w:val="20"/>
              </w:rPr>
            </w:pPr>
            <w:r w:rsidRPr="00201A3F">
              <w:rPr>
                <w:rFonts w:eastAsia="Calibri"/>
                <w:sz w:val="20"/>
              </w:rPr>
              <w:t>(Doherty, Laskin, Simmons JJ.A.)</w:t>
            </w:r>
          </w:p>
          <w:p w:rsidR="009151CA" w:rsidRPr="00201A3F" w:rsidRDefault="009151CA" w:rsidP="00B803D5">
            <w:pPr>
              <w:jc w:val="both"/>
              <w:rPr>
                <w:rFonts w:eastAsia="Calibri"/>
                <w:sz w:val="20"/>
              </w:rPr>
            </w:pPr>
            <w:r w:rsidRPr="00201A3F">
              <w:rPr>
                <w:rFonts w:eastAsia="Calibri"/>
                <w:sz w:val="20"/>
              </w:rPr>
              <w:t xml:space="preserve">2012 ONCA 243; C53012; C53034 </w:t>
            </w:r>
          </w:p>
          <w:p w:rsidR="009151CA" w:rsidRPr="00201A3F" w:rsidRDefault="009151CA" w:rsidP="00B803D5">
            <w:pPr>
              <w:jc w:val="both"/>
              <w:rPr>
                <w:rFonts w:eastAsia="Calibri"/>
                <w:sz w:val="20"/>
              </w:rPr>
            </w:pPr>
          </w:p>
        </w:tc>
        <w:tc>
          <w:tcPr>
            <w:tcW w:w="243" w:type="pct"/>
          </w:tcPr>
          <w:p w:rsidR="009151CA" w:rsidRPr="00201A3F" w:rsidRDefault="009151CA" w:rsidP="00B803D5">
            <w:pPr>
              <w:jc w:val="both"/>
              <w:rPr>
                <w:rFonts w:eastAsia="Calibri"/>
                <w:sz w:val="20"/>
              </w:rPr>
            </w:pPr>
          </w:p>
        </w:tc>
        <w:tc>
          <w:tcPr>
            <w:tcW w:w="2330" w:type="pct"/>
          </w:tcPr>
          <w:p w:rsidR="009151CA" w:rsidRPr="00201A3F" w:rsidRDefault="009151CA" w:rsidP="00B803D5">
            <w:pPr>
              <w:jc w:val="both"/>
              <w:rPr>
                <w:rFonts w:eastAsia="Calibri"/>
                <w:sz w:val="20"/>
              </w:rPr>
            </w:pPr>
            <w:r w:rsidRPr="00201A3F">
              <w:rPr>
                <w:rFonts w:eastAsia="Calibri"/>
                <w:sz w:val="20"/>
              </w:rPr>
              <w:t>Appeals dismissed</w:t>
            </w:r>
          </w:p>
          <w:p w:rsidR="009151CA" w:rsidRPr="00201A3F" w:rsidRDefault="009151CA" w:rsidP="00B803D5">
            <w:pPr>
              <w:jc w:val="both"/>
              <w:rPr>
                <w:rFonts w:eastAsia="Calibri"/>
                <w:sz w:val="20"/>
              </w:rPr>
            </w:pPr>
          </w:p>
        </w:tc>
      </w:tr>
      <w:tr w:rsidR="009151CA" w:rsidRPr="00201A3F" w:rsidTr="00C46290">
        <w:trPr>
          <w:cantSplit/>
        </w:trPr>
        <w:tc>
          <w:tcPr>
            <w:tcW w:w="2427" w:type="pct"/>
          </w:tcPr>
          <w:p w:rsidR="009151CA" w:rsidRPr="00201A3F" w:rsidRDefault="009151CA" w:rsidP="00B803D5">
            <w:pPr>
              <w:jc w:val="both"/>
              <w:rPr>
                <w:rFonts w:eastAsia="Calibri"/>
                <w:sz w:val="20"/>
              </w:rPr>
            </w:pPr>
            <w:r w:rsidRPr="00201A3F">
              <w:rPr>
                <w:rFonts w:eastAsia="Calibri"/>
                <w:sz w:val="20"/>
              </w:rPr>
              <w:t>May 15, 2012</w:t>
            </w:r>
          </w:p>
          <w:p w:rsidR="009151CA" w:rsidRPr="00201A3F" w:rsidRDefault="009151CA" w:rsidP="00B803D5">
            <w:pPr>
              <w:jc w:val="both"/>
              <w:rPr>
                <w:rFonts w:eastAsia="Calibri"/>
                <w:sz w:val="20"/>
              </w:rPr>
            </w:pPr>
            <w:r w:rsidRPr="00201A3F">
              <w:rPr>
                <w:rFonts w:eastAsia="Calibri"/>
                <w:sz w:val="20"/>
              </w:rPr>
              <w:t>Supreme Court of Canada</w:t>
            </w:r>
          </w:p>
          <w:p w:rsidR="009151CA" w:rsidRPr="00201A3F" w:rsidRDefault="009151CA" w:rsidP="00B803D5">
            <w:pPr>
              <w:jc w:val="both"/>
              <w:rPr>
                <w:rFonts w:eastAsia="Calibri"/>
                <w:sz w:val="20"/>
              </w:rPr>
            </w:pPr>
          </w:p>
        </w:tc>
        <w:tc>
          <w:tcPr>
            <w:tcW w:w="243" w:type="pct"/>
          </w:tcPr>
          <w:p w:rsidR="009151CA" w:rsidRPr="00201A3F" w:rsidRDefault="009151CA" w:rsidP="00B803D5">
            <w:pPr>
              <w:jc w:val="both"/>
              <w:rPr>
                <w:rFonts w:eastAsia="Calibri"/>
                <w:sz w:val="20"/>
              </w:rPr>
            </w:pPr>
          </w:p>
        </w:tc>
        <w:tc>
          <w:tcPr>
            <w:tcW w:w="2330" w:type="pct"/>
          </w:tcPr>
          <w:p w:rsidR="009151CA" w:rsidRPr="00201A3F" w:rsidRDefault="009151CA" w:rsidP="00B803D5">
            <w:pPr>
              <w:jc w:val="both"/>
              <w:rPr>
                <w:rFonts w:eastAsia="Calibri"/>
                <w:sz w:val="20"/>
              </w:rPr>
            </w:pPr>
            <w:r w:rsidRPr="00201A3F">
              <w:rPr>
                <w:rFonts w:eastAsia="Calibri"/>
                <w:sz w:val="20"/>
              </w:rPr>
              <w:t>Application for leave to appeal filed</w:t>
            </w:r>
          </w:p>
          <w:p w:rsidR="009151CA" w:rsidRPr="00201A3F" w:rsidRDefault="009151CA" w:rsidP="00B803D5">
            <w:pPr>
              <w:jc w:val="both"/>
              <w:rPr>
                <w:rFonts w:eastAsia="Calibri"/>
                <w:sz w:val="20"/>
              </w:rPr>
            </w:pPr>
          </w:p>
        </w:tc>
      </w:tr>
      <w:tr w:rsidR="009151CA" w:rsidRPr="00201A3F" w:rsidTr="00C46290">
        <w:trPr>
          <w:cantSplit/>
          <w:trHeight w:val="80"/>
        </w:trPr>
        <w:tc>
          <w:tcPr>
            <w:tcW w:w="2427" w:type="pct"/>
          </w:tcPr>
          <w:p w:rsidR="009151CA" w:rsidRPr="00201A3F" w:rsidRDefault="009151CA" w:rsidP="00B803D5">
            <w:pPr>
              <w:jc w:val="both"/>
              <w:rPr>
                <w:rFonts w:eastAsia="Calibri"/>
                <w:sz w:val="20"/>
              </w:rPr>
            </w:pPr>
            <w:r w:rsidRPr="00201A3F">
              <w:rPr>
                <w:rFonts w:eastAsia="Calibri"/>
                <w:sz w:val="20"/>
              </w:rPr>
              <w:t>June 14, 2012</w:t>
            </w:r>
          </w:p>
          <w:p w:rsidR="009151CA" w:rsidRPr="00201A3F" w:rsidRDefault="009151CA" w:rsidP="00B803D5">
            <w:pPr>
              <w:jc w:val="both"/>
              <w:rPr>
                <w:rFonts w:eastAsia="Calibri"/>
                <w:sz w:val="20"/>
              </w:rPr>
            </w:pPr>
            <w:r w:rsidRPr="00201A3F">
              <w:rPr>
                <w:rFonts w:eastAsia="Calibri"/>
                <w:sz w:val="20"/>
              </w:rPr>
              <w:t>Supreme Court of Canada</w:t>
            </w:r>
          </w:p>
        </w:tc>
        <w:tc>
          <w:tcPr>
            <w:tcW w:w="243" w:type="pct"/>
          </w:tcPr>
          <w:p w:rsidR="009151CA" w:rsidRPr="00201A3F" w:rsidRDefault="009151CA" w:rsidP="00B803D5">
            <w:pPr>
              <w:jc w:val="both"/>
              <w:rPr>
                <w:rFonts w:eastAsia="Calibri"/>
                <w:sz w:val="20"/>
              </w:rPr>
            </w:pPr>
          </w:p>
        </w:tc>
        <w:tc>
          <w:tcPr>
            <w:tcW w:w="2330" w:type="pct"/>
          </w:tcPr>
          <w:p w:rsidR="009151CA" w:rsidRPr="00201A3F" w:rsidRDefault="009151CA" w:rsidP="00B803D5">
            <w:pPr>
              <w:jc w:val="both"/>
              <w:rPr>
                <w:rFonts w:eastAsia="Calibri"/>
                <w:sz w:val="20"/>
              </w:rPr>
            </w:pPr>
            <w:r w:rsidRPr="00201A3F">
              <w:rPr>
                <w:rFonts w:eastAsia="Calibri"/>
                <w:sz w:val="20"/>
              </w:rPr>
              <w:t>Application for leave to appeal filed</w:t>
            </w:r>
          </w:p>
          <w:p w:rsidR="009151CA" w:rsidRPr="00201A3F" w:rsidRDefault="009151CA" w:rsidP="00B803D5">
            <w:pPr>
              <w:jc w:val="both"/>
              <w:rPr>
                <w:rFonts w:eastAsia="Calibri"/>
                <w:sz w:val="20"/>
              </w:rPr>
            </w:pPr>
          </w:p>
        </w:tc>
      </w:tr>
    </w:tbl>
    <w:p w:rsidR="00A740D1" w:rsidRDefault="00A740D1" w:rsidP="00A740D1">
      <w:pPr>
        <w:rPr>
          <w:sz w:val="20"/>
          <w:szCs w:val="20"/>
        </w:rPr>
      </w:pPr>
    </w:p>
    <w:p w:rsidR="00A740D1" w:rsidRPr="00C50A5C" w:rsidRDefault="00BF3B03" w:rsidP="00A740D1">
      <w:pPr>
        <w:rPr>
          <w:sz w:val="20"/>
          <w:szCs w:val="20"/>
        </w:rPr>
      </w:pPr>
      <w:r w:rsidRPr="00BF3B03">
        <w:rPr>
          <w:sz w:val="20"/>
          <w:szCs w:val="20"/>
          <w:lang w:val="fr-CA"/>
        </w:rPr>
        <w:pict>
          <v:rect id="_x0000_i1048" style="width:2in;height:1pt" o:hrpct="0" o:hralign="center" o:hrstd="t" o:hrnoshade="t" o:hr="t" fillcolor="black [3213]" stroked="f"/>
        </w:pict>
      </w:r>
    </w:p>
    <w:p w:rsidR="00A740D1" w:rsidRDefault="00A740D1" w:rsidP="00A740D1">
      <w:pPr>
        <w:rPr>
          <w:sz w:val="20"/>
          <w:szCs w:val="20"/>
        </w:rPr>
      </w:pPr>
    </w:p>
    <w:p w:rsidR="00A740D1" w:rsidRPr="001B157C" w:rsidRDefault="00A740D1" w:rsidP="00A740D1">
      <w:pPr>
        <w:rPr>
          <w:sz w:val="20"/>
          <w:szCs w:val="20"/>
          <w:u w:val="single"/>
          <w:lang w:val="fr-CA"/>
        </w:rPr>
      </w:pPr>
      <w:r w:rsidRPr="001B157C">
        <w:rPr>
          <w:sz w:val="20"/>
          <w:szCs w:val="20"/>
          <w:u w:val="single"/>
          <w:lang w:val="fr-CA"/>
        </w:rPr>
        <w:t>RÉSUMÉ DE L’AFFAIRE</w:t>
      </w:r>
    </w:p>
    <w:p w:rsidR="00A740D1" w:rsidRDefault="00A740D1" w:rsidP="00A740D1">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9151CA" w:rsidRPr="00DC2D1F" w:rsidTr="00B803D5">
        <w:tc>
          <w:tcPr>
            <w:tcW w:w="5000" w:type="pct"/>
            <w:gridSpan w:val="3"/>
          </w:tcPr>
          <w:p w:rsidR="009151CA" w:rsidRPr="00201A3F" w:rsidRDefault="009151CA" w:rsidP="00B803D5">
            <w:pPr>
              <w:jc w:val="both"/>
              <w:rPr>
                <w:rFonts w:eastAsia="Calibri"/>
                <w:sz w:val="20"/>
                <w:lang w:val="fr-CA"/>
              </w:rPr>
            </w:pPr>
            <w:r w:rsidRPr="00201A3F">
              <w:rPr>
                <w:rFonts w:eastAsia="Calibri"/>
                <w:sz w:val="20"/>
                <w:lang w:val="fr-CA"/>
              </w:rPr>
              <w:t>Tribunaux — Juges — Compétence — Droit administratif — Pensions — Instance civile — Recours collectif — Crainte raisonnable de partialité — La Cour supérieure de justice a</w:t>
            </w:r>
            <w:r w:rsidRPr="00201A3F">
              <w:rPr>
                <w:rFonts w:eastAsia="Calibri"/>
                <w:sz w:val="20"/>
                <w:lang w:val="fr-CA"/>
              </w:rPr>
              <w:noBreakHyphen/>
              <w:t>t</w:t>
            </w:r>
            <w:r w:rsidRPr="00201A3F">
              <w:rPr>
                <w:rFonts w:eastAsia="Calibri"/>
                <w:sz w:val="20"/>
                <w:lang w:val="fr-CA"/>
              </w:rPr>
              <w:noBreakHyphen/>
              <w:t>elle compétence, en vertu du par. 8(11) de la</w:t>
            </w:r>
            <w:r w:rsidRPr="00201A3F">
              <w:rPr>
                <w:rFonts w:eastAsia="Calibri"/>
                <w:i/>
                <w:sz w:val="20"/>
                <w:lang w:val="fr-CA"/>
              </w:rPr>
              <w:t xml:space="preserve"> Loi de 1985 sur les normes de prestation de pension</w:t>
            </w:r>
            <w:r w:rsidRPr="00201A3F">
              <w:rPr>
                <w:rFonts w:eastAsia="Calibri"/>
                <w:sz w:val="20"/>
                <w:lang w:val="fr-CA"/>
              </w:rPr>
              <w:t>, L.R.C. 1985, ch. 3, pour contrôler la décision d'un administrateur de ne pas déclarer la cessation partielle de sa caisse de retraite? — La Cour d'appel a</w:t>
            </w:r>
            <w:r w:rsidRPr="00201A3F">
              <w:rPr>
                <w:rFonts w:eastAsia="Calibri"/>
                <w:sz w:val="20"/>
                <w:lang w:val="fr-CA"/>
              </w:rPr>
              <w:noBreakHyphen/>
              <w:t>t</w:t>
            </w:r>
            <w:r w:rsidRPr="00201A3F">
              <w:rPr>
                <w:rFonts w:eastAsia="Calibri"/>
                <w:sz w:val="20"/>
                <w:lang w:val="fr-CA"/>
              </w:rPr>
              <w:noBreakHyphen/>
              <w:t>elle mal interprété ou mal appliqué la jurisprudence applicable dans son interprétation des dispositions pertinentes de la loi? — Les décisions de l'employeur relativement au partage du surplus de la caisse de retraite équivalaient</w:t>
            </w:r>
            <w:r w:rsidRPr="00201A3F">
              <w:rPr>
                <w:rFonts w:eastAsia="Calibri"/>
                <w:sz w:val="20"/>
                <w:lang w:val="fr-CA"/>
              </w:rPr>
              <w:noBreakHyphen/>
              <w:t>elles à une cessation partielle déguisée, ou ont</w:t>
            </w:r>
            <w:r w:rsidRPr="00201A3F">
              <w:rPr>
                <w:rFonts w:eastAsia="Calibri"/>
                <w:sz w:val="20"/>
                <w:lang w:val="fr-CA"/>
              </w:rPr>
              <w:noBreakHyphen/>
              <w:t>elles plutôt eu pour effet de cristalliser une partie de la caisse de retraite? — Y a</w:t>
            </w:r>
            <w:r w:rsidRPr="00201A3F">
              <w:rPr>
                <w:rFonts w:eastAsia="Calibri"/>
                <w:sz w:val="20"/>
                <w:lang w:val="fr-CA"/>
              </w:rPr>
              <w:noBreakHyphen/>
              <w:t>t</w:t>
            </w:r>
            <w:r w:rsidRPr="00201A3F">
              <w:rPr>
                <w:rFonts w:eastAsia="Calibri"/>
                <w:sz w:val="20"/>
                <w:lang w:val="fr-CA"/>
              </w:rPr>
              <w:noBreakHyphen/>
              <w:t>il une crainte raisonnable de partialité de la part du Bureau du surintendant des institutions financières?</w:t>
            </w:r>
          </w:p>
        </w:tc>
      </w:tr>
      <w:tr w:rsidR="009151CA" w:rsidRPr="00DC2D1F" w:rsidTr="00B803D5">
        <w:tc>
          <w:tcPr>
            <w:tcW w:w="5000" w:type="pct"/>
            <w:gridSpan w:val="3"/>
          </w:tcPr>
          <w:p w:rsidR="009151CA" w:rsidRPr="00201A3F" w:rsidRDefault="009151CA" w:rsidP="00B803D5">
            <w:pPr>
              <w:jc w:val="both"/>
              <w:rPr>
                <w:rFonts w:eastAsia="Calibri"/>
                <w:sz w:val="20"/>
                <w:lang w:val="fr-CA"/>
              </w:rPr>
            </w:pPr>
          </w:p>
        </w:tc>
      </w:tr>
      <w:tr w:rsidR="009151CA" w:rsidRPr="00DC2D1F" w:rsidTr="00B803D5">
        <w:tc>
          <w:tcPr>
            <w:tcW w:w="5000" w:type="pct"/>
            <w:gridSpan w:val="3"/>
          </w:tcPr>
          <w:p w:rsidR="009151CA" w:rsidRPr="00201A3F" w:rsidRDefault="009151CA" w:rsidP="00B803D5">
            <w:pPr>
              <w:jc w:val="both"/>
              <w:rPr>
                <w:rFonts w:eastAsia="Calibri"/>
                <w:sz w:val="20"/>
                <w:lang w:val="fr-CA"/>
              </w:rPr>
            </w:pPr>
            <w:r w:rsidRPr="00201A3F">
              <w:rPr>
                <w:rFonts w:eastAsia="Calibri"/>
                <w:sz w:val="20"/>
                <w:lang w:val="fr-CA"/>
              </w:rPr>
              <w:t>À deux reprises, la SCHL a utilisé le surplus de la caisse de retraite pour accorder des ensembles d'enrichissement de prestations à des employés actuels, mais non à d'anciens employés qui avaient pris la valeur de rachat de leurs prestations et quitté le régime au moment de leur renvoi.  Dans le cadre d'un recours collectif et d'un recours collectif projeté, les demandeurs ont présenté une motion pour énoncer des questions communes liées aux allégations selon lesquelles la SCHL était tenue de faire cesser partiellement le régime de retraite et que son omission de le faire la plaçait dans une situation de conflit d'intérêts.</w:t>
            </w:r>
          </w:p>
          <w:p w:rsidR="009151CA" w:rsidRPr="00201A3F" w:rsidRDefault="009151CA" w:rsidP="00B803D5">
            <w:pPr>
              <w:jc w:val="both"/>
              <w:rPr>
                <w:rFonts w:eastAsia="Calibri"/>
                <w:sz w:val="20"/>
                <w:lang w:val="fr-CA"/>
              </w:rPr>
            </w:pPr>
          </w:p>
        </w:tc>
      </w:tr>
      <w:tr w:rsidR="009151CA" w:rsidRPr="00DC2D1F" w:rsidTr="00B803D5">
        <w:tc>
          <w:tcPr>
            <w:tcW w:w="2427" w:type="pct"/>
          </w:tcPr>
          <w:p w:rsidR="009151CA" w:rsidRPr="00201A3F" w:rsidRDefault="009151CA" w:rsidP="00B803D5">
            <w:pPr>
              <w:jc w:val="both"/>
              <w:rPr>
                <w:rFonts w:eastAsia="Calibri"/>
                <w:sz w:val="20"/>
                <w:lang w:val="fr-CA"/>
              </w:rPr>
            </w:pPr>
            <w:r w:rsidRPr="00201A3F">
              <w:rPr>
                <w:rFonts w:eastAsia="Calibri"/>
                <w:sz w:val="20"/>
                <w:lang w:val="fr-CA"/>
              </w:rPr>
              <w:t>26 janvier 2009</w:t>
            </w:r>
          </w:p>
          <w:p w:rsidR="009151CA" w:rsidRPr="00201A3F" w:rsidRDefault="009151CA" w:rsidP="00B803D5">
            <w:pPr>
              <w:jc w:val="both"/>
              <w:rPr>
                <w:rFonts w:eastAsia="Calibri"/>
                <w:sz w:val="20"/>
                <w:lang w:val="fr-CA"/>
              </w:rPr>
            </w:pPr>
            <w:r w:rsidRPr="00201A3F">
              <w:rPr>
                <w:rFonts w:eastAsia="Calibri"/>
                <w:sz w:val="20"/>
                <w:lang w:val="fr-CA"/>
              </w:rPr>
              <w:t xml:space="preserve">Cour supérieure de justice de l'Ontario </w:t>
            </w:r>
          </w:p>
          <w:p w:rsidR="009151CA" w:rsidRPr="00201A3F" w:rsidRDefault="009151CA" w:rsidP="00B803D5">
            <w:pPr>
              <w:jc w:val="both"/>
              <w:rPr>
                <w:rFonts w:eastAsia="Calibri"/>
                <w:sz w:val="20"/>
                <w:lang w:val="fr-CA"/>
              </w:rPr>
            </w:pPr>
            <w:r w:rsidRPr="00201A3F">
              <w:rPr>
                <w:rFonts w:eastAsia="Calibri"/>
                <w:sz w:val="20"/>
                <w:lang w:val="fr-CA"/>
              </w:rPr>
              <w:t>(Juge Charbonneau)</w:t>
            </w:r>
          </w:p>
          <w:p w:rsidR="009151CA" w:rsidRPr="00201A3F" w:rsidRDefault="009151CA" w:rsidP="00B803D5">
            <w:pPr>
              <w:jc w:val="both"/>
              <w:rPr>
                <w:rFonts w:eastAsia="Calibri"/>
                <w:sz w:val="20"/>
                <w:lang w:val="fr-CA"/>
              </w:rPr>
            </w:pPr>
          </w:p>
        </w:tc>
        <w:tc>
          <w:tcPr>
            <w:tcW w:w="243" w:type="pct"/>
          </w:tcPr>
          <w:p w:rsidR="009151CA" w:rsidRPr="00201A3F" w:rsidRDefault="009151CA" w:rsidP="00B803D5">
            <w:pPr>
              <w:jc w:val="both"/>
              <w:rPr>
                <w:rFonts w:eastAsia="Calibri"/>
                <w:sz w:val="20"/>
                <w:lang w:val="fr-CA"/>
              </w:rPr>
            </w:pPr>
          </w:p>
        </w:tc>
        <w:tc>
          <w:tcPr>
            <w:tcW w:w="2330" w:type="pct"/>
          </w:tcPr>
          <w:p w:rsidR="009151CA" w:rsidRPr="00201A3F" w:rsidRDefault="009151CA" w:rsidP="00B803D5">
            <w:pPr>
              <w:jc w:val="both"/>
              <w:rPr>
                <w:rFonts w:eastAsia="Calibri"/>
                <w:sz w:val="20"/>
                <w:lang w:val="fr-CA"/>
              </w:rPr>
            </w:pPr>
            <w:r w:rsidRPr="00201A3F">
              <w:rPr>
                <w:rFonts w:eastAsia="Calibri"/>
                <w:sz w:val="20"/>
                <w:lang w:val="fr-CA"/>
              </w:rPr>
              <w:t>Motion de Mmes Lacroix et Ladouceur en vue de certifier des questions communes supplémentaires et de modifier la déclaration dans un recours collectif, rejetée; motion de MM. McCann et Guffie en certification de recours collectif et en certification de questions communes, rejetée</w:t>
            </w:r>
          </w:p>
          <w:p w:rsidR="009151CA" w:rsidRPr="00201A3F" w:rsidRDefault="009151CA" w:rsidP="00B803D5">
            <w:pPr>
              <w:jc w:val="both"/>
              <w:rPr>
                <w:rFonts w:eastAsia="Calibri"/>
                <w:sz w:val="20"/>
                <w:lang w:val="fr-CA"/>
              </w:rPr>
            </w:pPr>
          </w:p>
        </w:tc>
      </w:tr>
      <w:tr w:rsidR="009151CA" w:rsidRPr="00201A3F" w:rsidTr="00C46290">
        <w:trPr>
          <w:cantSplit/>
        </w:trPr>
        <w:tc>
          <w:tcPr>
            <w:tcW w:w="2427" w:type="pct"/>
          </w:tcPr>
          <w:p w:rsidR="009151CA" w:rsidRPr="00201A3F" w:rsidRDefault="009151CA" w:rsidP="00B803D5">
            <w:pPr>
              <w:jc w:val="both"/>
              <w:rPr>
                <w:rFonts w:eastAsia="Calibri"/>
                <w:sz w:val="20"/>
                <w:lang w:val="fr-CA"/>
              </w:rPr>
            </w:pPr>
            <w:r w:rsidRPr="00201A3F">
              <w:rPr>
                <w:rFonts w:eastAsia="Calibri"/>
                <w:sz w:val="20"/>
                <w:lang w:val="fr-CA"/>
              </w:rPr>
              <w:lastRenderedPageBreak/>
              <w:t>16 juin 2010</w:t>
            </w:r>
          </w:p>
          <w:p w:rsidR="009151CA" w:rsidRPr="00201A3F" w:rsidRDefault="009151CA" w:rsidP="00B803D5">
            <w:pPr>
              <w:jc w:val="both"/>
              <w:rPr>
                <w:rFonts w:eastAsia="Calibri"/>
                <w:sz w:val="20"/>
                <w:lang w:val="fr-CA"/>
              </w:rPr>
            </w:pPr>
            <w:r w:rsidRPr="00201A3F">
              <w:rPr>
                <w:rFonts w:eastAsia="Calibri"/>
                <w:sz w:val="20"/>
                <w:lang w:val="fr-CA"/>
              </w:rPr>
              <w:t xml:space="preserve">Cour supérieure de justice de l'Ontario </w:t>
            </w:r>
          </w:p>
          <w:p w:rsidR="009151CA" w:rsidRPr="00201A3F" w:rsidRDefault="009151CA" w:rsidP="00B803D5">
            <w:pPr>
              <w:jc w:val="both"/>
              <w:rPr>
                <w:rFonts w:eastAsia="Calibri"/>
                <w:sz w:val="20"/>
                <w:lang w:val="fr-CA"/>
              </w:rPr>
            </w:pPr>
            <w:r w:rsidRPr="00201A3F">
              <w:rPr>
                <w:rFonts w:eastAsia="Calibri"/>
                <w:sz w:val="20"/>
                <w:lang w:val="fr-CA"/>
              </w:rPr>
              <w:t>(Juges Wilson, Karakatsanis et Bryant)</w:t>
            </w:r>
          </w:p>
          <w:p w:rsidR="009151CA" w:rsidRPr="00201A3F" w:rsidRDefault="009151CA" w:rsidP="00B803D5">
            <w:pPr>
              <w:jc w:val="both"/>
              <w:rPr>
                <w:rFonts w:eastAsia="Calibri"/>
                <w:sz w:val="20"/>
                <w:lang w:val="fr-CA"/>
              </w:rPr>
            </w:pPr>
            <w:r w:rsidRPr="00201A3F">
              <w:rPr>
                <w:rFonts w:eastAsia="Calibri"/>
                <w:sz w:val="20"/>
                <w:lang w:val="fr-CA"/>
              </w:rPr>
              <w:t>2010 ONSC 65</w:t>
            </w:r>
          </w:p>
          <w:p w:rsidR="009151CA" w:rsidRPr="00201A3F" w:rsidRDefault="009151CA" w:rsidP="00B803D5">
            <w:pPr>
              <w:jc w:val="both"/>
              <w:rPr>
                <w:rFonts w:eastAsia="Calibri"/>
                <w:sz w:val="20"/>
                <w:lang w:val="fr-CA"/>
              </w:rPr>
            </w:pPr>
          </w:p>
        </w:tc>
        <w:tc>
          <w:tcPr>
            <w:tcW w:w="243" w:type="pct"/>
          </w:tcPr>
          <w:p w:rsidR="009151CA" w:rsidRPr="00201A3F" w:rsidRDefault="009151CA" w:rsidP="00B803D5">
            <w:pPr>
              <w:jc w:val="both"/>
              <w:rPr>
                <w:rFonts w:eastAsia="Calibri"/>
                <w:sz w:val="20"/>
                <w:lang w:val="fr-CA"/>
              </w:rPr>
            </w:pPr>
          </w:p>
        </w:tc>
        <w:tc>
          <w:tcPr>
            <w:tcW w:w="2330" w:type="pct"/>
          </w:tcPr>
          <w:p w:rsidR="009151CA" w:rsidRPr="00201A3F" w:rsidRDefault="009151CA" w:rsidP="00B803D5">
            <w:pPr>
              <w:jc w:val="both"/>
              <w:rPr>
                <w:rFonts w:eastAsia="Calibri"/>
                <w:sz w:val="20"/>
                <w:lang w:val="fr-CA"/>
              </w:rPr>
            </w:pPr>
            <w:r w:rsidRPr="00201A3F">
              <w:rPr>
                <w:rFonts w:eastAsia="Calibri"/>
                <w:sz w:val="20"/>
                <w:lang w:val="fr-CA"/>
              </w:rPr>
              <w:t>Appels rejetés</w:t>
            </w:r>
          </w:p>
          <w:p w:rsidR="009151CA" w:rsidRPr="00201A3F" w:rsidRDefault="009151CA" w:rsidP="00B803D5">
            <w:pPr>
              <w:jc w:val="both"/>
              <w:rPr>
                <w:rFonts w:eastAsia="Calibri"/>
                <w:sz w:val="20"/>
                <w:lang w:val="fr-CA"/>
              </w:rPr>
            </w:pPr>
          </w:p>
        </w:tc>
      </w:tr>
      <w:tr w:rsidR="009151CA" w:rsidRPr="00201A3F" w:rsidTr="00C46290">
        <w:trPr>
          <w:cantSplit/>
        </w:trPr>
        <w:tc>
          <w:tcPr>
            <w:tcW w:w="2427" w:type="pct"/>
          </w:tcPr>
          <w:p w:rsidR="009151CA" w:rsidRPr="00201A3F" w:rsidRDefault="009151CA" w:rsidP="00B803D5">
            <w:pPr>
              <w:jc w:val="both"/>
              <w:rPr>
                <w:rFonts w:eastAsia="Calibri"/>
                <w:sz w:val="20"/>
                <w:lang w:val="fr-CA"/>
              </w:rPr>
            </w:pPr>
            <w:r w:rsidRPr="00201A3F">
              <w:rPr>
                <w:rFonts w:eastAsia="Calibri"/>
                <w:sz w:val="20"/>
                <w:lang w:val="fr-CA"/>
              </w:rPr>
              <w:t>18 avril 2012</w:t>
            </w:r>
          </w:p>
          <w:p w:rsidR="009151CA" w:rsidRPr="00201A3F" w:rsidRDefault="009151CA" w:rsidP="00B803D5">
            <w:pPr>
              <w:jc w:val="both"/>
              <w:rPr>
                <w:rFonts w:eastAsia="Calibri"/>
                <w:sz w:val="20"/>
                <w:lang w:val="fr-CA"/>
              </w:rPr>
            </w:pPr>
            <w:r w:rsidRPr="00201A3F">
              <w:rPr>
                <w:rFonts w:eastAsia="Calibri"/>
                <w:sz w:val="20"/>
                <w:lang w:val="fr-CA"/>
              </w:rPr>
              <w:t>Cour d'appel de l’Ontario</w:t>
            </w:r>
          </w:p>
          <w:p w:rsidR="009151CA" w:rsidRPr="00201A3F" w:rsidRDefault="009151CA" w:rsidP="00B803D5">
            <w:pPr>
              <w:jc w:val="both"/>
              <w:rPr>
                <w:rFonts w:eastAsia="Calibri"/>
                <w:sz w:val="20"/>
                <w:lang w:val="fr-CA"/>
              </w:rPr>
            </w:pPr>
            <w:r w:rsidRPr="00201A3F">
              <w:rPr>
                <w:rFonts w:eastAsia="Calibri"/>
                <w:sz w:val="20"/>
                <w:lang w:val="fr-CA"/>
              </w:rPr>
              <w:t>(Juges Doherty, Laskin et Simmons)</w:t>
            </w:r>
          </w:p>
          <w:p w:rsidR="009151CA" w:rsidRPr="00201A3F" w:rsidRDefault="009151CA" w:rsidP="00B803D5">
            <w:pPr>
              <w:jc w:val="both"/>
              <w:rPr>
                <w:rFonts w:eastAsia="Calibri"/>
                <w:sz w:val="20"/>
                <w:lang w:val="fr-CA"/>
              </w:rPr>
            </w:pPr>
            <w:r w:rsidRPr="00201A3F">
              <w:rPr>
                <w:rFonts w:eastAsia="Calibri"/>
                <w:sz w:val="20"/>
                <w:lang w:val="fr-CA"/>
              </w:rPr>
              <w:t xml:space="preserve">2012 ONCA 243; C53012; C53034 </w:t>
            </w:r>
          </w:p>
          <w:p w:rsidR="009151CA" w:rsidRPr="00201A3F" w:rsidRDefault="009151CA" w:rsidP="00B803D5">
            <w:pPr>
              <w:jc w:val="both"/>
              <w:rPr>
                <w:rFonts w:eastAsia="Calibri"/>
                <w:sz w:val="20"/>
                <w:lang w:val="fr-CA"/>
              </w:rPr>
            </w:pPr>
          </w:p>
        </w:tc>
        <w:tc>
          <w:tcPr>
            <w:tcW w:w="243" w:type="pct"/>
          </w:tcPr>
          <w:p w:rsidR="009151CA" w:rsidRPr="00201A3F" w:rsidRDefault="009151CA" w:rsidP="00B803D5">
            <w:pPr>
              <w:jc w:val="both"/>
              <w:rPr>
                <w:rFonts w:eastAsia="Calibri"/>
                <w:sz w:val="20"/>
                <w:lang w:val="fr-CA"/>
              </w:rPr>
            </w:pPr>
          </w:p>
        </w:tc>
        <w:tc>
          <w:tcPr>
            <w:tcW w:w="2330" w:type="pct"/>
          </w:tcPr>
          <w:p w:rsidR="009151CA" w:rsidRPr="00201A3F" w:rsidRDefault="009151CA" w:rsidP="00B803D5">
            <w:pPr>
              <w:jc w:val="both"/>
              <w:rPr>
                <w:rFonts w:eastAsia="Calibri"/>
                <w:sz w:val="20"/>
                <w:lang w:val="fr-CA"/>
              </w:rPr>
            </w:pPr>
            <w:r w:rsidRPr="00201A3F">
              <w:rPr>
                <w:rFonts w:eastAsia="Calibri"/>
                <w:sz w:val="20"/>
                <w:lang w:val="fr-CA"/>
              </w:rPr>
              <w:t>Appels rejetés</w:t>
            </w:r>
          </w:p>
          <w:p w:rsidR="009151CA" w:rsidRPr="00201A3F" w:rsidRDefault="009151CA" w:rsidP="00B803D5">
            <w:pPr>
              <w:jc w:val="both"/>
              <w:rPr>
                <w:rFonts w:eastAsia="Calibri"/>
                <w:sz w:val="20"/>
                <w:lang w:val="fr-CA"/>
              </w:rPr>
            </w:pPr>
          </w:p>
        </w:tc>
      </w:tr>
      <w:tr w:rsidR="009151CA" w:rsidRPr="00201A3F" w:rsidTr="00C46290">
        <w:trPr>
          <w:cantSplit/>
        </w:trPr>
        <w:tc>
          <w:tcPr>
            <w:tcW w:w="2427" w:type="pct"/>
          </w:tcPr>
          <w:p w:rsidR="009151CA" w:rsidRPr="00201A3F" w:rsidRDefault="009151CA" w:rsidP="00B803D5">
            <w:pPr>
              <w:jc w:val="both"/>
              <w:rPr>
                <w:rFonts w:eastAsia="Calibri"/>
                <w:sz w:val="20"/>
                <w:lang w:val="fr-CA"/>
              </w:rPr>
            </w:pPr>
            <w:r w:rsidRPr="00201A3F">
              <w:rPr>
                <w:rFonts w:eastAsia="Calibri"/>
                <w:sz w:val="20"/>
                <w:lang w:val="fr-CA"/>
              </w:rPr>
              <w:t>15 mai 2012</w:t>
            </w:r>
          </w:p>
          <w:p w:rsidR="009151CA" w:rsidRPr="00201A3F" w:rsidRDefault="009151CA" w:rsidP="00B803D5">
            <w:pPr>
              <w:jc w:val="both"/>
              <w:rPr>
                <w:rFonts w:eastAsia="Calibri"/>
                <w:sz w:val="20"/>
                <w:lang w:val="fr-CA"/>
              </w:rPr>
            </w:pPr>
            <w:r w:rsidRPr="00201A3F">
              <w:rPr>
                <w:rFonts w:eastAsia="Calibri"/>
                <w:sz w:val="20"/>
                <w:lang w:val="fr-CA"/>
              </w:rPr>
              <w:t>Cour suprême du Canada</w:t>
            </w:r>
          </w:p>
          <w:p w:rsidR="009151CA" w:rsidRPr="00201A3F" w:rsidRDefault="009151CA" w:rsidP="00B803D5">
            <w:pPr>
              <w:jc w:val="both"/>
              <w:rPr>
                <w:rFonts w:eastAsia="Calibri"/>
                <w:sz w:val="20"/>
                <w:lang w:val="fr-CA"/>
              </w:rPr>
            </w:pPr>
          </w:p>
        </w:tc>
        <w:tc>
          <w:tcPr>
            <w:tcW w:w="243" w:type="pct"/>
          </w:tcPr>
          <w:p w:rsidR="009151CA" w:rsidRPr="00201A3F" w:rsidRDefault="009151CA" w:rsidP="00B803D5">
            <w:pPr>
              <w:jc w:val="both"/>
              <w:rPr>
                <w:rFonts w:eastAsia="Calibri"/>
                <w:sz w:val="20"/>
                <w:lang w:val="fr-CA"/>
              </w:rPr>
            </w:pPr>
          </w:p>
        </w:tc>
        <w:tc>
          <w:tcPr>
            <w:tcW w:w="2330" w:type="pct"/>
          </w:tcPr>
          <w:p w:rsidR="009151CA" w:rsidRPr="00201A3F" w:rsidRDefault="009151CA" w:rsidP="00B803D5">
            <w:pPr>
              <w:jc w:val="both"/>
              <w:rPr>
                <w:rFonts w:eastAsia="Calibri"/>
                <w:sz w:val="20"/>
                <w:lang w:val="fr-CA"/>
              </w:rPr>
            </w:pPr>
            <w:r w:rsidRPr="00201A3F">
              <w:rPr>
                <w:rFonts w:eastAsia="Calibri"/>
                <w:sz w:val="20"/>
                <w:lang w:val="fr-CA"/>
              </w:rPr>
              <w:t>Demande d'autorisation d'appel, déposée</w:t>
            </w:r>
          </w:p>
          <w:p w:rsidR="009151CA" w:rsidRPr="00201A3F" w:rsidRDefault="009151CA" w:rsidP="00B803D5">
            <w:pPr>
              <w:jc w:val="both"/>
              <w:rPr>
                <w:rFonts w:eastAsia="Calibri"/>
                <w:sz w:val="20"/>
                <w:lang w:val="fr-CA"/>
              </w:rPr>
            </w:pPr>
          </w:p>
        </w:tc>
      </w:tr>
      <w:tr w:rsidR="009151CA" w:rsidRPr="00201A3F" w:rsidTr="00C46290">
        <w:trPr>
          <w:cantSplit/>
          <w:trHeight w:val="80"/>
        </w:trPr>
        <w:tc>
          <w:tcPr>
            <w:tcW w:w="2427" w:type="pct"/>
          </w:tcPr>
          <w:p w:rsidR="009151CA" w:rsidRPr="00201A3F" w:rsidRDefault="009151CA" w:rsidP="00B803D5">
            <w:pPr>
              <w:jc w:val="both"/>
              <w:rPr>
                <w:rFonts w:eastAsia="Calibri"/>
                <w:sz w:val="20"/>
                <w:lang w:val="fr-CA"/>
              </w:rPr>
            </w:pPr>
            <w:r w:rsidRPr="00201A3F">
              <w:rPr>
                <w:rFonts w:eastAsia="Calibri"/>
                <w:sz w:val="20"/>
                <w:lang w:val="fr-CA"/>
              </w:rPr>
              <w:t>14 juin 2012</w:t>
            </w:r>
          </w:p>
          <w:p w:rsidR="009151CA" w:rsidRPr="00201A3F" w:rsidRDefault="009151CA" w:rsidP="00B803D5">
            <w:pPr>
              <w:jc w:val="both"/>
              <w:rPr>
                <w:rFonts w:eastAsia="Calibri"/>
                <w:sz w:val="20"/>
                <w:lang w:val="fr-CA"/>
              </w:rPr>
            </w:pPr>
            <w:r w:rsidRPr="00201A3F">
              <w:rPr>
                <w:rFonts w:eastAsia="Calibri"/>
                <w:sz w:val="20"/>
                <w:lang w:val="fr-CA"/>
              </w:rPr>
              <w:t xml:space="preserve">Cour suprême du Canada </w:t>
            </w:r>
          </w:p>
        </w:tc>
        <w:tc>
          <w:tcPr>
            <w:tcW w:w="243" w:type="pct"/>
          </w:tcPr>
          <w:p w:rsidR="009151CA" w:rsidRPr="00201A3F" w:rsidRDefault="009151CA" w:rsidP="00B803D5">
            <w:pPr>
              <w:jc w:val="both"/>
              <w:rPr>
                <w:rFonts w:eastAsia="Calibri"/>
                <w:sz w:val="20"/>
                <w:lang w:val="fr-CA"/>
              </w:rPr>
            </w:pPr>
          </w:p>
        </w:tc>
        <w:tc>
          <w:tcPr>
            <w:tcW w:w="2330" w:type="pct"/>
          </w:tcPr>
          <w:p w:rsidR="009151CA" w:rsidRPr="00201A3F" w:rsidRDefault="009151CA" w:rsidP="00B803D5">
            <w:pPr>
              <w:jc w:val="both"/>
              <w:rPr>
                <w:rFonts w:eastAsia="Calibri"/>
                <w:sz w:val="20"/>
                <w:lang w:val="fr-CA"/>
              </w:rPr>
            </w:pPr>
            <w:r w:rsidRPr="00201A3F">
              <w:rPr>
                <w:rFonts w:eastAsia="Calibri"/>
                <w:sz w:val="20"/>
                <w:lang w:val="fr-CA"/>
              </w:rPr>
              <w:t>Demande d'autorisation d'appel, déposée</w:t>
            </w:r>
          </w:p>
          <w:p w:rsidR="009151CA" w:rsidRPr="00201A3F" w:rsidRDefault="009151CA" w:rsidP="00B803D5">
            <w:pPr>
              <w:jc w:val="both"/>
              <w:rPr>
                <w:rFonts w:eastAsia="Calibri"/>
                <w:sz w:val="20"/>
                <w:lang w:val="fr-CA"/>
              </w:rPr>
            </w:pPr>
          </w:p>
        </w:tc>
      </w:tr>
    </w:tbl>
    <w:p w:rsidR="00A740D1" w:rsidRDefault="00A740D1" w:rsidP="00A740D1">
      <w:pPr>
        <w:rPr>
          <w:sz w:val="20"/>
          <w:szCs w:val="20"/>
        </w:rPr>
      </w:pPr>
    </w:p>
    <w:p w:rsidR="00A740D1" w:rsidRDefault="00BF3B03" w:rsidP="00A740D1">
      <w:pPr>
        <w:rPr>
          <w:sz w:val="20"/>
          <w:szCs w:val="20"/>
        </w:rPr>
      </w:pPr>
      <w:r w:rsidRPr="00BF3B03">
        <w:rPr>
          <w:sz w:val="20"/>
          <w:szCs w:val="20"/>
          <w:lang w:val="fr-CA"/>
        </w:rPr>
        <w:pict>
          <v:rect id="_x0000_i1049" style="width:2in;height:1pt" o:hrpct="0" o:hralign="center" o:hrstd="t" o:hrnoshade="t" o:hr="t" fillcolor="black [3213]" stroked="f"/>
        </w:pict>
      </w:r>
    </w:p>
    <w:p w:rsidR="00A740D1" w:rsidRDefault="00A740D1" w:rsidP="00A740D1">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65D14" w:rsidRPr="00565D14" w:rsidTr="00565D14">
        <w:trPr>
          <w:cantSplit/>
        </w:trPr>
        <w:tc>
          <w:tcPr>
            <w:tcW w:w="1458" w:type="dxa"/>
          </w:tcPr>
          <w:p w:rsidR="00565D14" w:rsidRPr="00565D14" w:rsidRDefault="00565D14" w:rsidP="00565D14">
            <w:pPr>
              <w:rPr>
                <w:sz w:val="20"/>
                <w:szCs w:val="20"/>
              </w:rPr>
            </w:pPr>
            <w:r w:rsidRPr="00565D14">
              <w:rPr>
                <w:rStyle w:val="SCCFileNumberChar"/>
                <w:sz w:val="20"/>
                <w:szCs w:val="20"/>
              </w:rPr>
              <w:t>34865</w:t>
            </w:r>
          </w:p>
          <w:p w:rsidR="00565D14" w:rsidRPr="00565D14" w:rsidRDefault="00565D14" w:rsidP="00565D14">
            <w:pPr>
              <w:rPr>
                <w:b/>
                <w:sz w:val="20"/>
                <w:szCs w:val="20"/>
                <w:lang w:val="fr-CA"/>
              </w:rPr>
            </w:pPr>
          </w:p>
        </w:tc>
        <w:tc>
          <w:tcPr>
            <w:tcW w:w="8118" w:type="dxa"/>
          </w:tcPr>
          <w:p w:rsidR="00565D14" w:rsidRPr="00565D14" w:rsidRDefault="00565D14" w:rsidP="00565D14">
            <w:pPr>
              <w:rPr>
                <w:sz w:val="20"/>
                <w:szCs w:val="20"/>
              </w:rPr>
            </w:pPr>
            <w:r w:rsidRPr="00565D14">
              <w:rPr>
                <w:rStyle w:val="SCCLsocChar"/>
                <w:sz w:val="20"/>
                <w:szCs w:val="20"/>
                <w:lang w:val="en-CA"/>
              </w:rPr>
              <w:t>Dustin Duke Darby v. Her Majesty the Queen</w:t>
            </w:r>
            <w:r w:rsidRPr="00565D14">
              <w:rPr>
                <w:sz w:val="20"/>
                <w:szCs w:val="20"/>
              </w:rPr>
              <w:t xml:space="preserve"> (Alta.) (Criminal) (By Leave)</w:t>
            </w:r>
          </w:p>
          <w:p w:rsidR="00565D14" w:rsidRPr="00565D14" w:rsidRDefault="00565D14" w:rsidP="00565D14">
            <w:pPr>
              <w:rPr>
                <w:sz w:val="20"/>
                <w:szCs w:val="20"/>
              </w:rPr>
            </w:pPr>
          </w:p>
        </w:tc>
      </w:tr>
      <w:tr w:rsidR="00565D14" w:rsidRPr="00565D14" w:rsidTr="00565D14">
        <w:trPr>
          <w:cantSplit/>
        </w:trPr>
        <w:tc>
          <w:tcPr>
            <w:tcW w:w="1458" w:type="dxa"/>
          </w:tcPr>
          <w:p w:rsidR="00565D14" w:rsidRPr="00565D14" w:rsidRDefault="00565D14" w:rsidP="00565D14">
            <w:pPr>
              <w:rPr>
                <w:sz w:val="20"/>
                <w:szCs w:val="20"/>
              </w:rPr>
            </w:pPr>
            <w:r w:rsidRPr="00565D14">
              <w:rPr>
                <w:sz w:val="20"/>
                <w:szCs w:val="20"/>
              </w:rPr>
              <w:t>Coram :</w:t>
            </w:r>
          </w:p>
        </w:tc>
        <w:tc>
          <w:tcPr>
            <w:tcW w:w="8118" w:type="dxa"/>
          </w:tcPr>
          <w:p w:rsidR="00565D14" w:rsidRPr="00565D14" w:rsidRDefault="00565D14" w:rsidP="00565D14">
            <w:pPr>
              <w:rPr>
                <w:sz w:val="20"/>
                <w:szCs w:val="20"/>
              </w:rPr>
            </w:pPr>
            <w:r w:rsidRPr="00565D14">
              <w:rPr>
                <w:rStyle w:val="SCCCoramChar"/>
                <w:sz w:val="20"/>
                <w:szCs w:val="20"/>
                <w:lang w:val="en-CA"/>
              </w:rPr>
              <w:t>McLachlin C.J. and Rothstein and Moldaver JJ.</w:t>
            </w:r>
          </w:p>
          <w:p w:rsidR="00565D14" w:rsidRPr="00565D14" w:rsidRDefault="00565D14" w:rsidP="00565D14">
            <w:pPr>
              <w:rPr>
                <w:sz w:val="20"/>
                <w:szCs w:val="20"/>
                <w:u w:val="single"/>
              </w:rPr>
            </w:pPr>
          </w:p>
        </w:tc>
      </w:tr>
      <w:tr w:rsidR="00565D14" w:rsidRPr="00DC2D1F" w:rsidTr="00565D14">
        <w:trPr>
          <w:cantSplit/>
        </w:trPr>
        <w:tc>
          <w:tcPr>
            <w:tcW w:w="9576" w:type="dxa"/>
            <w:gridSpan w:val="2"/>
          </w:tcPr>
          <w:p w:rsidR="00565D14" w:rsidRPr="00565D14" w:rsidRDefault="00565D14" w:rsidP="00565D14">
            <w:pPr>
              <w:pStyle w:val="SCCShortJudgment"/>
              <w:rPr>
                <w:szCs w:val="20"/>
              </w:rPr>
            </w:pPr>
            <w:r w:rsidRPr="00565D14">
              <w:rPr>
                <w:szCs w:val="20"/>
              </w:rPr>
              <w:t>The motion for an extension of time to serve and file the application for leave to appeal is granted.  The application for leave to appeal from the judgment of the Court of Appeal of Alberta (Calgary), Number 1001-0100-A, 2012 ABCA 27, dated January 27, 2012, is dismissed without costs.</w:t>
            </w:r>
          </w:p>
          <w:p w:rsidR="00565D14" w:rsidRPr="00565D14" w:rsidRDefault="00565D14" w:rsidP="00565D14">
            <w:pPr>
              <w:pStyle w:val="SCCShortJudgment"/>
              <w:ind w:firstLine="0"/>
              <w:rPr>
                <w:szCs w:val="20"/>
              </w:rPr>
            </w:pPr>
          </w:p>
          <w:p w:rsidR="00565D14" w:rsidRPr="00565D14" w:rsidRDefault="00565D14" w:rsidP="00565D14">
            <w:pPr>
              <w:pStyle w:val="SCCShortJudgment"/>
              <w:rPr>
                <w:szCs w:val="20"/>
                <w:lang w:val="fr-CA"/>
              </w:rPr>
            </w:pPr>
            <w:r w:rsidRPr="00565D14">
              <w:rPr>
                <w:szCs w:val="20"/>
                <w:lang w:val="fr-CA"/>
              </w:rPr>
              <w:t>La requête en prorogation du délai de signification et de dépôt de la demande d’autorisation d’appel est accueillie.  La demande d’autorisation d’appel de l’arrêt de la Cour d'appel de l’Alberta (Calgary), numéro 1001-0100-A, 2012 ABCA 27, daté du 27 janvier 2012, est rejetée sans dépens.</w:t>
            </w:r>
          </w:p>
        </w:tc>
      </w:tr>
    </w:tbl>
    <w:p w:rsidR="00A740D1" w:rsidRPr="00565D14" w:rsidRDefault="00A740D1" w:rsidP="00A740D1">
      <w:pPr>
        <w:rPr>
          <w:sz w:val="20"/>
          <w:szCs w:val="20"/>
          <w:lang w:val="fr-CA"/>
        </w:rPr>
      </w:pPr>
    </w:p>
    <w:p w:rsidR="00A740D1" w:rsidRPr="001B157C" w:rsidRDefault="00A740D1" w:rsidP="00A740D1">
      <w:pPr>
        <w:rPr>
          <w:sz w:val="20"/>
          <w:szCs w:val="20"/>
          <w:u w:val="single"/>
        </w:rPr>
      </w:pPr>
      <w:r w:rsidRPr="001B157C">
        <w:rPr>
          <w:sz w:val="20"/>
          <w:szCs w:val="20"/>
          <w:u w:val="single"/>
        </w:rPr>
        <w:t>CASE SUMMARY</w:t>
      </w:r>
    </w:p>
    <w:p w:rsidR="00A740D1" w:rsidRDefault="00A740D1" w:rsidP="00A740D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13480" w:rsidRPr="00201A3F" w:rsidTr="00B803D5">
        <w:tc>
          <w:tcPr>
            <w:tcW w:w="5000" w:type="pct"/>
            <w:gridSpan w:val="3"/>
          </w:tcPr>
          <w:p w:rsidR="00613480" w:rsidRPr="00201A3F" w:rsidRDefault="00613480" w:rsidP="00B803D5">
            <w:pPr>
              <w:jc w:val="both"/>
              <w:rPr>
                <w:rFonts w:eastAsia="Calibri"/>
                <w:sz w:val="20"/>
              </w:rPr>
            </w:pPr>
            <w:r w:rsidRPr="00201A3F">
              <w:rPr>
                <w:rFonts w:eastAsia="Calibri"/>
                <w:i/>
                <w:sz w:val="20"/>
              </w:rPr>
              <w:t>Canadian Charter of Rights and Freedoms</w:t>
            </w:r>
            <w:r w:rsidRPr="00201A3F">
              <w:rPr>
                <w:rFonts w:eastAsia="Calibri"/>
                <w:sz w:val="20"/>
              </w:rPr>
              <w:t xml:space="preserve"> — Search and Seizure — S. 8 of the </w:t>
            </w:r>
            <w:r w:rsidRPr="00201A3F">
              <w:rPr>
                <w:rFonts w:eastAsia="Calibri"/>
                <w:i/>
                <w:sz w:val="20"/>
              </w:rPr>
              <w:t>Charter</w:t>
            </w:r>
            <w:r w:rsidRPr="00201A3F">
              <w:rPr>
                <w:rFonts w:eastAsia="Calibri"/>
                <w:sz w:val="20"/>
              </w:rPr>
              <w:t xml:space="preserve"> — Criminal law — General Warrant — Whether the Court of Appeal erred in finding that the general warrant was validly executed — Whether the Court of Appeal erred in finding that the general warrant was valid when it failed to state the technique or procedure being granted — Whether the Court of Appeal erred in considering the Crown’s amplification evidence that went well beyond technical drafting errors — Whether there are issues of public importance raised — </w:t>
            </w:r>
            <w:r w:rsidRPr="00201A3F">
              <w:rPr>
                <w:rFonts w:eastAsia="Calibri"/>
                <w:i/>
                <w:sz w:val="20"/>
              </w:rPr>
              <w:t>Charter of Rights and Freedoms</w:t>
            </w:r>
            <w:r w:rsidRPr="00201A3F">
              <w:rPr>
                <w:rFonts w:eastAsia="Calibri"/>
                <w:sz w:val="20"/>
              </w:rPr>
              <w:t>, s. 8.</w:t>
            </w:r>
          </w:p>
        </w:tc>
      </w:tr>
      <w:tr w:rsidR="00613480" w:rsidRPr="00201A3F" w:rsidTr="00B803D5">
        <w:tc>
          <w:tcPr>
            <w:tcW w:w="5000" w:type="pct"/>
            <w:gridSpan w:val="3"/>
          </w:tcPr>
          <w:p w:rsidR="00613480" w:rsidRPr="00201A3F" w:rsidRDefault="00613480" w:rsidP="00B803D5">
            <w:pPr>
              <w:jc w:val="both"/>
              <w:rPr>
                <w:rFonts w:eastAsia="Calibri"/>
                <w:sz w:val="20"/>
              </w:rPr>
            </w:pPr>
          </w:p>
        </w:tc>
      </w:tr>
      <w:tr w:rsidR="00613480" w:rsidRPr="00201A3F" w:rsidTr="00B803D5">
        <w:tc>
          <w:tcPr>
            <w:tcW w:w="5000" w:type="pct"/>
            <w:gridSpan w:val="3"/>
          </w:tcPr>
          <w:p w:rsidR="00613480" w:rsidRPr="00201A3F" w:rsidRDefault="00613480" w:rsidP="00B803D5">
            <w:pPr>
              <w:jc w:val="both"/>
              <w:rPr>
                <w:rFonts w:eastAsia="Calibri"/>
                <w:sz w:val="20"/>
              </w:rPr>
            </w:pPr>
            <w:r w:rsidRPr="00201A3F">
              <w:rPr>
                <w:rFonts w:eastAsia="Calibri"/>
                <w:sz w:val="20"/>
              </w:rPr>
              <w:t xml:space="preserve">The police found a car prowler in a vehicle.  The police conducted a computer search and found that the vehicle’s registered owner was the applicant.  The blackberry found on the prowler was also linked to the applicant.  As the police searched the vehicle for registration documents, they found a loaded, unregistered handgun in the console.  That led to an extensive investigation of the applicant, which in turn led to him being charged with numerous drug and weapons related offences.  Following the applicant’s arrest, the police executed the general warrant to search one of the applicant’s apartments.  There they found eight kilograms of cocaine, approximately $150,000 in cash, body armour and a handgun.  The applications to exclude evidence or have proceedings stayed were dismissed. The trial judge held that there were no </w:t>
            </w:r>
            <w:r w:rsidRPr="00201A3F">
              <w:rPr>
                <w:rFonts w:eastAsia="Calibri"/>
                <w:i/>
                <w:sz w:val="20"/>
              </w:rPr>
              <w:t>Charter</w:t>
            </w:r>
            <w:r w:rsidRPr="00201A3F">
              <w:rPr>
                <w:rFonts w:eastAsia="Calibri"/>
                <w:sz w:val="20"/>
              </w:rPr>
              <w:t xml:space="preserve"> violations established; therefore, convictions were entered.  The Court of Appeal dismissed the appeal against conviction.</w:t>
            </w:r>
          </w:p>
          <w:p w:rsidR="00613480" w:rsidRPr="00201A3F" w:rsidRDefault="00613480" w:rsidP="00B803D5">
            <w:pPr>
              <w:jc w:val="both"/>
              <w:rPr>
                <w:rFonts w:eastAsia="Calibri"/>
                <w:sz w:val="20"/>
              </w:rPr>
            </w:pPr>
          </w:p>
        </w:tc>
      </w:tr>
      <w:tr w:rsidR="00613480" w:rsidRPr="00201A3F" w:rsidTr="00B803D5">
        <w:tc>
          <w:tcPr>
            <w:tcW w:w="2427" w:type="pct"/>
          </w:tcPr>
          <w:p w:rsidR="00613480" w:rsidRPr="00201A3F" w:rsidRDefault="00613480" w:rsidP="00B803D5">
            <w:pPr>
              <w:jc w:val="both"/>
              <w:rPr>
                <w:rFonts w:eastAsia="Calibri"/>
                <w:sz w:val="20"/>
              </w:rPr>
            </w:pPr>
            <w:r w:rsidRPr="00201A3F">
              <w:rPr>
                <w:rFonts w:eastAsia="Calibri"/>
                <w:sz w:val="20"/>
              </w:rPr>
              <w:lastRenderedPageBreak/>
              <w:t>April 8, 2010</w:t>
            </w:r>
          </w:p>
          <w:p w:rsidR="00613480" w:rsidRPr="00201A3F" w:rsidRDefault="00613480" w:rsidP="00B803D5">
            <w:pPr>
              <w:jc w:val="both"/>
              <w:rPr>
                <w:rFonts w:eastAsia="Calibri"/>
                <w:sz w:val="20"/>
              </w:rPr>
            </w:pPr>
            <w:r w:rsidRPr="00201A3F">
              <w:rPr>
                <w:rFonts w:eastAsia="Calibri"/>
                <w:sz w:val="20"/>
              </w:rPr>
              <w:t>Court of Queen’s Bench of Alberta</w:t>
            </w:r>
          </w:p>
          <w:p w:rsidR="00613480" w:rsidRPr="00201A3F" w:rsidRDefault="00613480" w:rsidP="00B803D5">
            <w:pPr>
              <w:jc w:val="both"/>
              <w:rPr>
                <w:rFonts w:eastAsia="Calibri"/>
                <w:sz w:val="20"/>
              </w:rPr>
            </w:pPr>
            <w:r w:rsidRPr="00201A3F">
              <w:rPr>
                <w:rFonts w:eastAsia="Calibri"/>
                <w:sz w:val="20"/>
              </w:rPr>
              <w:t>(Macleod J.)</w:t>
            </w:r>
          </w:p>
          <w:p w:rsidR="00613480" w:rsidRPr="00201A3F" w:rsidRDefault="00613480" w:rsidP="00B803D5">
            <w:pPr>
              <w:jc w:val="both"/>
              <w:rPr>
                <w:rFonts w:eastAsia="Calibri"/>
                <w:sz w:val="20"/>
              </w:rPr>
            </w:pPr>
          </w:p>
        </w:tc>
        <w:tc>
          <w:tcPr>
            <w:tcW w:w="243" w:type="pct"/>
          </w:tcPr>
          <w:p w:rsidR="00613480" w:rsidRPr="00201A3F" w:rsidRDefault="00613480" w:rsidP="00B803D5">
            <w:pPr>
              <w:jc w:val="both"/>
              <w:rPr>
                <w:rFonts w:eastAsia="Calibri"/>
                <w:sz w:val="20"/>
              </w:rPr>
            </w:pPr>
          </w:p>
        </w:tc>
        <w:tc>
          <w:tcPr>
            <w:tcW w:w="2330" w:type="pct"/>
          </w:tcPr>
          <w:p w:rsidR="00613480" w:rsidRPr="00201A3F" w:rsidRDefault="00613480" w:rsidP="00B803D5">
            <w:pPr>
              <w:jc w:val="both"/>
              <w:rPr>
                <w:rFonts w:eastAsia="Calibri"/>
                <w:sz w:val="20"/>
              </w:rPr>
            </w:pPr>
            <w:r w:rsidRPr="00201A3F">
              <w:rPr>
                <w:rFonts w:eastAsia="Calibri"/>
                <w:sz w:val="20"/>
              </w:rPr>
              <w:t xml:space="preserve">Applications to exclude evidence or have proceedings stayed dismissed: no </w:t>
            </w:r>
            <w:r w:rsidRPr="00201A3F">
              <w:rPr>
                <w:rFonts w:eastAsia="Calibri"/>
                <w:i/>
                <w:sz w:val="20"/>
              </w:rPr>
              <w:t>Charter</w:t>
            </w:r>
            <w:r w:rsidRPr="00201A3F">
              <w:rPr>
                <w:rFonts w:eastAsia="Calibri"/>
                <w:sz w:val="20"/>
              </w:rPr>
              <w:t xml:space="preserve"> violations established; convictions entered</w:t>
            </w:r>
          </w:p>
          <w:p w:rsidR="00613480" w:rsidRPr="00201A3F" w:rsidRDefault="00613480" w:rsidP="00B803D5">
            <w:pPr>
              <w:jc w:val="both"/>
              <w:rPr>
                <w:rFonts w:eastAsia="Calibri"/>
                <w:sz w:val="20"/>
              </w:rPr>
            </w:pPr>
          </w:p>
        </w:tc>
      </w:tr>
      <w:tr w:rsidR="00613480" w:rsidRPr="00201A3F" w:rsidTr="00B803D5">
        <w:tc>
          <w:tcPr>
            <w:tcW w:w="2427" w:type="pct"/>
          </w:tcPr>
          <w:p w:rsidR="00613480" w:rsidRPr="00201A3F" w:rsidRDefault="00613480" w:rsidP="00B803D5">
            <w:pPr>
              <w:jc w:val="both"/>
              <w:rPr>
                <w:rFonts w:eastAsia="Calibri"/>
                <w:sz w:val="20"/>
              </w:rPr>
            </w:pPr>
            <w:r w:rsidRPr="00201A3F">
              <w:rPr>
                <w:rFonts w:eastAsia="Calibri"/>
                <w:sz w:val="20"/>
              </w:rPr>
              <w:t>January 27, 2012</w:t>
            </w:r>
          </w:p>
          <w:p w:rsidR="00613480" w:rsidRPr="00201A3F" w:rsidRDefault="00613480" w:rsidP="00B803D5">
            <w:pPr>
              <w:jc w:val="both"/>
              <w:rPr>
                <w:rFonts w:eastAsia="Calibri"/>
                <w:sz w:val="20"/>
              </w:rPr>
            </w:pPr>
            <w:r w:rsidRPr="00201A3F">
              <w:rPr>
                <w:rFonts w:eastAsia="Calibri"/>
                <w:sz w:val="20"/>
              </w:rPr>
              <w:t>Court of Appeal of Alberta (Calgary)</w:t>
            </w:r>
          </w:p>
          <w:p w:rsidR="00613480" w:rsidRPr="00201A3F" w:rsidRDefault="00613480" w:rsidP="00B803D5">
            <w:pPr>
              <w:jc w:val="both"/>
              <w:rPr>
                <w:rFonts w:eastAsia="Calibri"/>
                <w:sz w:val="20"/>
              </w:rPr>
            </w:pPr>
            <w:r w:rsidRPr="00201A3F">
              <w:rPr>
                <w:rFonts w:eastAsia="Calibri"/>
                <w:sz w:val="20"/>
              </w:rPr>
              <w:t>(Picard, Martin, Rowbotham JJ.A.)</w:t>
            </w:r>
          </w:p>
          <w:p w:rsidR="00613480" w:rsidRPr="00201A3F" w:rsidRDefault="00613480" w:rsidP="00B803D5">
            <w:pPr>
              <w:jc w:val="both"/>
              <w:rPr>
                <w:rFonts w:eastAsia="Calibri"/>
                <w:sz w:val="20"/>
              </w:rPr>
            </w:pPr>
            <w:r w:rsidRPr="00201A3F">
              <w:rPr>
                <w:rFonts w:eastAsia="Calibri"/>
                <w:sz w:val="20"/>
              </w:rPr>
              <w:t>Neutral citation: 2012 ABCA 27</w:t>
            </w:r>
          </w:p>
          <w:p w:rsidR="00613480" w:rsidRPr="00201A3F" w:rsidRDefault="00613480" w:rsidP="00B803D5">
            <w:pPr>
              <w:jc w:val="both"/>
              <w:rPr>
                <w:rFonts w:eastAsia="Calibri"/>
                <w:sz w:val="20"/>
              </w:rPr>
            </w:pPr>
          </w:p>
        </w:tc>
        <w:tc>
          <w:tcPr>
            <w:tcW w:w="243" w:type="pct"/>
          </w:tcPr>
          <w:p w:rsidR="00613480" w:rsidRPr="00201A3F" w:rsidRDefault="00613480" w:rsidP="00B803D5">
            <w:pPr>
              <w:jc w:val="both"/>
              <w:rPr>
                <w:rFonts w:eastAsia="Calibri"/>
                <w:sz w:val="20"/>
              </w:rPr>
            </w:pPr>
          </w:p>
        </w:tc>
        <w:tc>
          <w:tcPr>
            <w:tcW w:w="2330" w:type="pct"/>
          </w:tcPr>
          <w:p w:rsidR="00613480" w:rsidRPr="00201A3F" w:rsidRDefault="00613480" w:rsidP="00B803D5">
            <w:pPr>
              <w:jc w:val="both"/>
              <w:rPr>
                <w:rFonts w:eastAsia="Calibri"/>
                <w:sz w:val="20"/>
              </w:rPr>
            </w:pPr>
            <w:r w:rsidRPr="00201A3F">
              <w:rPr>
                <w:rFonts w:eastAsia="Calibri"/>
                <w:sz w:val="20"/>
              </w:rPr>
              <w:t>Appeal against conviction dismissed</w:t>
            </w:r>
          </w:p>
          <w:p w:rsidR="00613480" w:rsidRPr="00201A3F" w:rsidRDefault="00613480" w:rsidP="00B803D5">
            <w:pPr>
              <w:jc w:val="both"/>
              <w:rPr>
                <w:rFonts w:eastAsia="Calibri"/>
                <w:sz w:val="20"/>
              </w:rPr>
            </w:pPr>
          </w:p>
        </w:tc>
      </w:tr>
      <w:tr w:rsidR="00613480" w:rsidRPr="00201A3F" w:rsidTr="00B803D5">
        <w:tc>
          <w:tcPr>
            <w:tcW w:w="2427" w:type="pct"/>
          </w:tcPr>
          <w:p w:rsidR="00613480" w:rsidRPr="00201A3F" w:rsidRDefault="00613480" w:rsidP="00B803D5">
            <w:pPr>
              <w:jc w:val="both"/>
              <w:rPr>
                <w:rFonts w:eastAsia="Calibri"/>
                <w:sz w:val="20"/>
              </w:rPr>
            </w:pPr>
            <w:r w:rsidRPr="00201A3F">
              <w:rPr>
                <w:rFonts w:eastAsia="Calibri"/>
                <w:sz w:val="20"/>
              </w:rPr>
              <w:t>June 11, 2012</w:t>
            </w:r>
          </w:p>
          <w:p w:rsidR="00613480" w:rsidRPr="00201A3F" w:rsidRDefault="00613480" w:rsidP="00B803D5">
            <w:pPr>
              <w:jc w:val="both"/>
              <w:rPr>
                <w:rFonts w:eastAsia="Calibri"/>
                <w:sz w:val="20"/>
              </w:rPr>
            </w:pPr>
            <w:r w:rsidRPr="00201A3F">
              <w:rPr>
                <w:rFonts w:eastAsia="Calibri"/>
                <w:sz w:val="20"/>
              </w:rPr>
              <w:t>Supreme Court of Canada</w:t>
            </w:r>
          </w:p>
          <w:p w:rsidR="00613480" w:rsidRPr="00201A3F" w:rsidRDefault="00613480" w:rsidP="00B803D5">
            <w:pPr>
              <w:jc w:val="both"/>
              <w:rPr>
                <w:rFonts w:eastAsia="Calibri"/>
                <w:sz w:val="20"/>
              </w:rPr>
            </w:pPr>
          </w:p>
        </w:tc>
        <w:tc>
          <w:tcPr>
            <w:tcW w:w="243" w:type="pct"/>
          </w:tcPr>
          <w:p w:rsidR="00613480" w:rsidRPr="00201A3F" w:rsidRDefault="00613480" w:rsidP="00B803D5">
            <w:pPr>
              <w:jc w:val="both"/>
              <w:rPr>
                <w:rFonts w:eastAsia="Calibri"/>
                <w:sz w:val="20"/>
              </w:rPr>
            </w:pPr>
          </w:p>
        </w:tc>
        <w:tc>
          <w:tcPr>
            <w:tcW w:w="2330" w:type="pct"/>
          </w:tcPr>
          <w:p w:rsidR="00613480" w:rsidRPr="00201A3F" w:rsidRDefault="00613480" w:rsidP="00B803D5">
            <w:pPr>
              <w:jc w:val="both"/>
              <w:rPr>
                <w:rFonts w:eastAsia="Calibri"/>
                <w:sz w:val="20"/>
              </w:rPr>
            </w:pPr>
            <w:r w:rsidRPr="00201A3F">
              <w:rPr>
                <w:rFonts w:eastAsia="Calibri"/>
                <w:sz w:val="20"/>
              </w:rPr>
              <w:t>Motion for an extension of time to serve and file the application for leave to appeal and application for leave to appeal filed</w:t>
            </w:r>
          </w:p>
        </w:tc>
      </w:tr>
    </w:tbl>
    <w:p w:rsidR="00A740D1" w:rsidRDefault="00A740D1" w:rsidP="00A740D1">
      <w:pPr>
        <w:rPr>
          <w:sz w:val="20"/>
          <w:szCs w:val="20"/>
        </w:rPr>
      </w:pPr>
    </w:p>
    <w:p w:rsidR="00A740D1" w:rsidRPr="00C50A5C" w:rsidRDefault="00BF3B03" w:rsidP="00A740D1">
      <w:pPr>
        <w:rPr>
          <w:sz w:val="20"/>
          <w:szCs w:val="20"/>
        </w:rPr>
      </w:pPr>
      <w:r w:rsidRPr="00BF3B03">
        <w:rPr>
          <w:sz w:val="20"/>
          <w:szCs w:val="20"/>
          <w:lang w:val="fr-CA"/>
        </w:rPr>
        <w:pict>
          <v:rect id="_x0000_i1050" style="width:2in;height:1pt" o:hrpct="0" o:hralign="center" o:hrstd="t" o:hrnoshade="t" o:hr="t" fillcolor="black [3213]" stroked="f"/>
        </w:pict>
      </w:r>
    </w:p>
    <w:p w:rsidR="00A740D1" w:rsidRDefault="00A740D1" w:rsidP="00A740D1">
      <w:pPr>
        <w:rPr>
          <w:sz w:val="20"/>
          <w:szCs w:val="20"/>
        </w:rPr>
      </w:pPr>
    </w:p>
    <w:p w:rsidR="00A740D1" w:rsidRPr="001B157C" w:rsidRDefault="00A740D1" w:rsidP="00A740D1">
      <w:pPr>
        <w:rPr>
          <w:sz w:val="20"/>
          <w:szCs w:val="20"/>
          <w:u w:val="single"/>
          <w:lang w:val="fr-CA"/>
        </w:rPr>
      </w:pPr>
      <w:r w:rsidRPr="001B157C">
        <w:rPr>
          <w:sz w:val="20"/>
          <w:szCs w:val="20"/>
          <w:u w:val="single"/>
          <w:lang w:val="fr-CA"/>
        </w:rPr>
        <w:t>RÉSUMÉ DE L’AFFAIRE</w:t>
      </w:r>
    </w:p>
    <w:p w:rsidR="00A740D1" w:rsidRDefault="00A740D1" w:rsidP="00A740D1">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613480" w:rsidRPr="00DC2D1F" w:rsidTr="00B803D5">
        <w:tc>
          <w:tcPr>
            <w:tcW w:w="5000" w:type="pct"/>
            <w:gridSpan w:val="3"/>
          </w:tcPr>
          <w:p w:rsidR="00613480" w:rsidRPr="00201A3F" w:rsidRDefault="00613480" w:rsidP="00B803D5">
            <w:pPr>
              <w:jc w:val="both"/>
              <w:rPr>
                <w:rFonts w:eastAsia="Calibri"/>
                <w:sz w:val="20"/>
                <w:lang w:val="fr-CA"/>
              </w:rPr>
            </w:pPr>
            <w:r w:rsidRPr="00201A3F">
              <w:rPr>
                <w:rFonts w:eastAsia="Calibri"/>
                <w:i/>
                <w:sz w:val="20"/>
                <w:lang w:val="fr-CA"/>
              </w:rPr>
              <w:t xml:space="preserve">Charte canadienne des droits et libertés </w:t>
            </w:r>
            <w:r w:rsidRPr="00201A3F">
              <w:rPr>
                <w:rFonts w:eastAsia="Calibri"/>
                <w:sz w:val="20"/>
                <w:lang w:val="fr-CA"/>
              </w:rPr>
              <w:t xml:space="preserve">— Fouilles et perquisitions — Art. 8 de la </w:t>
            </w:r>
            <w:r w:rsidRPr="00201A3F">
              <w:rPr>
                <w:rFonts w:eastAsia="Calibri"/>
                <w:i/>
                <w:sz w:val="20"/>
                <w:lang w:val="fr-CA"/>
              </w:rPr>
              <w:t>Charte</w:t>
            </w:r>
            <w:r w:rsidRPr="00201A3F">
              <w:rPr>
                <w:rFonts w:eastAsia="Calibri"/>
                <w:sz w:val="20"/>
                <w:lang w:val="fr-CA"/>
              </w:rPr>
              <w:t xml:space="preserve"> — Droit criminel — Mandat général — La Cour d'appel a</w:t>
            </w:r>
            <w:r w:rsidRPr="00201A3F">
              <w:rPr>
                <w:rFonts w:eastAsia="Calibri"/>
                <w:sz w:val="20"/>
                <w:lang w:val="fr-CA"/>
              </w:rPr>
              <w:noBreakHyphen/>
              <w:t>t</w:t>
            </w:r>
            <w:r w:rsidRPr="00201A3F">
              <w:rPr>
                <w:rFonts w:eastAsia="Calibri"/>
                <w:sz w:val="20"/>
                <w:lang w:val="fr-CA"/>
              </w:rPr>
              <w:noBreakHyphen/>
              <w:t>elle eu tort de conclure que le mandat général avait été validement exécuté? — La Cour d'appel a</w:t>
            </w:r>
            <w:r w:rsidRPr="00201A3F">
              <w:rPr>
                <w:rFonts w:eastAsia="Calibri"/>
                <w:sz w:val="20"/>
                <w:lang w:val="fr-CA"/>
              </w:rPr>
              <w:noBreakHyphen/>
              <w:t>t</w:t>
            </w:r>
            <w:r w:rsidRPr="00201A3F">
              <w:rPr>
                <w:rFonts w:eastAsia="Calibri"/>
                <w:sz w:val="20"/>
                <w:lang w:val="fr-CA"/>
              </w:rPr>
              <w:noBreakHyphen/>
              <w:t>elle eu tort de conclure que le mandat général était valide alors qu'il n'énonçait pas la technique ou la procédure accordée? — La Cour d'appel a</w:t>
            </w:r>
            <w:r w:rsidRPr="00201A3F">
              <w:rPr>
                <w:rFonts w:eastAsia="Calibri"/>
                <w:sz w:val="20"/>
                <w:lang w:val="fr-CA"/>
              </w:rPr>
              <w:noBreakHyphen/>
              <w:t>t</w:t>
            </w:r>
            <w:r w:rsidRPr="00201A3F">
              <w:rPr>
                <w:rFonts w:eastAsia="Calibri"/>
                <w:sz w:val="20"/>
                <w:lang w:val="fr-CA"/>
              </w:rPr>
              <w:noBreakHyphen/>
              <w:t>elle eu tort de considérer l'amplification de la preuve du ministère public qui allait bien au</w:t>
            </w:r>
            <w:r w:rsidRPr="00201A3F">
              <w:rPr>
                <w:rFonts w:eastAsia="Calibri"/>
                <w:sz w:val="20"/>
                <w:lang w:val="fr-CA"/>
              </w:rPr>
              <w:noBreakHyphen/>
              <w:t>delà des erreurs de rédaction d'ordre technique? — L'affaire soulève</w:t>
            </w:r>
            <w:r w:rsidRPr="00201A3F">
              <w:rPr>
                <w:rFonts w:eastAsia="Calibri"/>
                <w:sz w:val="20"/>
                <w:lang w:val="fr-CA"/>
              </w:rPr>
              <w:noBreakHyphen/>
              <w:t>t</w:t>
            </w:r>
            <w:r w:rsidRPr="00201A3F">
              <w:rPr>
                <w:rFonts w:eastAsia="Calibri"/>
                <w:sz w:val="20"/>
                <w:lang w:val="fr-CA"/>
              </w:rPr>
              <w:noBreakHyphen/>
              <w:t xml:space="preserve">elle des questions d'importance pour le public? — </w:t>
            </w:r>
            <w:r w:rsidRPr="00201A3F">
              <w:rPr>
                <w:rFonts w:eastAsia="Calibri"/>
                <w:i/>
                <w:sz w:val="20"/>
                <w:lang w:val="fr-CA"/>
              </w:rPr>
              <w:t>Charte des droits et libertés</w:t>
            </w:r>
            <w:r w:rsidRPr="00201A3F">
              <w:rPr>
                <w:rFonts w:eastAsia="Calibri"/>
                <w:sz w:val="20"/>
                <w:lang w:val="fr-CA"/>
              </w:rPr>
              <w:t>, art. 8.</w:t>
            </w:r>
          </w:p>
        </w:tc>
      </w:tr>
      <w:tr w:rsidR="00613480" w:rsidRPr="00DC2D1F" w:rsidTr="00B803D5">
        <w:tc>
          <w:tcPr>
            <w:tcW w:w="5000" w:type="pct"/>
            <w:gridSpan w:val="3"/>
          </w:tcPr>
          <w:p w:rsidR="00613480" w:rsidRPr="00201A3F" w:rsidRDefault="00613480" w:rsidP="00B803D5">
            <w:pPr>
              <w:jc w:val="both"/>
              <w:rPr>
                <w:rFonts w:eastAsia="Calibri"/>
                <w:sz w:val="20"/>
                <w:lang w:val="fr-CA"/>
              </w:rPr>
            </w:pPr>
          </w:p>
        </w:tc>
      </w:tr>
      <w:tr w:rsidR="00613480" w:rsidRPr="00DC2D1F" w:rsidTr="00B803D5">
        <w:tc>
          <w:tcPr>
            <w:tcW w:w="5000" w:type="pct"/>
            <w:gridSpan w:val="3"/>
          </w:tcPr>
          <w:p w:rsidR="00613480" w:rsidRPr="00201A3F" w:rsidRDefault="00613480" w:rsidP="00B803D5">
            <w:pPr>
              <w:jc w:val="both"/>
              <w:rPr>
                <w:rFonts w:eastAsia="Calibri"/>
                <w:sz w:val="20"/>
                <w:lang w:val="fr-CA"/>
              </w:rPr>
            </w:pPr>
            <w:r w:rsidRPr="00201A3F">
              <w:rPr>
                <w:rFonts w:eastAsia="Calibri"/>
                <w:sz w:val="20"/>
                <w:lang w:val="fr-CA"/>
              </w:rPr>
              <w:t>Des policiers ont trouvé un rôdeur dans un véhicule.  Les policiers ont effectué une recherche informatisée et ils ont constaté que le demandeur était le propriétaire enregistré du véhicule.  Le Blackberry trouvé sur le rôdeur était également lié au demandeur.  Alors que les policiers fouillaient le véhicule à la recherche de documents d'immatriculation, ils ont trouvé une arme de poing chargée et non enregistrée dans la console.  Cette découverte a mené à une enquête approfondie sur le demandeur, puis à ce que de nombreuses accusations d’infractions relatives à la drogue et aux armes soient portées contre lui. Après l'arrestation du demandeur, les policiers ont exécuté un mandat général pour perquisitionner un de ses appartements.  Ils y ont trouvé huit kilogrammes de cocaïne, environ 150 000 $ en argent comptant, un gilet pare</w:t>
            </w:r>
            <w:r w:rsidRPr="00201A3F">
              <w:rPr>
                <w:rFonts w:eastAsia="Calibri"/>
                <w:sz w:val="20"/>
                <w:lang w:val="fr-CA"/>
              </w:rPr>
              <w:noBreakHyphen/>
              <w:t xml:space="preserve">balles et une arme de poing.  Les demandes d'exclusion de la preuve ou d'arrêt des procédures ont été rejetées. Le juge du procès a statué qu'aucune violation de la </w:t>
            </w:r>
            <w:r w:rsidRPr="00201A3F">
              <w:rPr>
                <w:rFonts w:eastAsia="Calibri"/>
                <w:i/>
                <w:sz w:val="20"/>
                <w:lang w:val="fr-CA"/>
              </w:rPr>
              <w:t>Charte</w:t>
            </w:r>
            <w:r w:rsidRPr="00201A3F">
              <w:rPr>
                <w:rFonts w:eastAsia="Calibri"/>
                <w:sz w:val="20"/>
                <w:lang w:val="fr-CA"/>
              </w:rPr>
              <w:t xml:space="preserve"> n'avait été établie; par conséquent, des déclarations de culpabilité ont été inscrites.  La Cour d'appel a rejeté l'appel des déclarations de culpabilité.</w:t>
            </w:r>
          </w:p>
          <w:p w:rsidR="00613480" w:rsidRPr="00201A3F" w:rsidRDefault="00613480" w:rsidP="00B803D5">
            <w:pPr>
              <w:jc w:val="both"/>
              <w:rPr>
                <w:rFonts w:eastAsia="Calibri"/>
                <w:sz w:val="20"/>
                <w:lang w:val="fr-CA"/>
              </w:rPr>
            </w:pPr>
          </w:p>
        </w:tc>
      </w:tr>
      <w:tr w:rsidR="00613480" w:rsidRPr="00DC2D1F" w:rsidTr="00B803D5">
        <w:tc>
          <w:tcPr>
            <w:tcW w:w="2427" w:type="pct"/>
          </w:tcPr>
          <w:p w:rsidR="00613480" w:rsidRPr="00201A3F" w:rsidRDefault="00613480" w:rsidP="00B803D5">
            <w:pPr>
              <w:jc w:val="both"/>
              <w:rPr>
                <w:rFonts w:eastAsia="Calibri"/>
                <w:sz w:val="20"/>
                <w:lang w:val="fr-CA"/>
              </w:rPr>
            </w:pPr>
            <w:r w:rsidRPr="00201A3F">
              <w:rPr>
                <w:rFonts w:eastAsia="Calibri"/>
                <w:sz w:val="20"/>
                <w:lang w:val="fr-CA"/>
              </w:rPr>
              <w:t>8 avril 2010</w:t>
            </w:r>
          </w:p>
          <w:p w:rsidR="00613480" w:rsidRPr="00201A3F" w:rsidRDefault="00613480" w:rsidP="00B803D5">
            <w:pPr>
              <w:jc w:val="both"/>
              <w:rPr>
                <w:rFonts w:eastAsia="Calibri"/>
                <w:sz w:val="20"/>
                <w:lang w:val="fr-CA"/>
              </w:rPr>
            </w:pPr>
            <w:r w:rsidRPr="00201A3F">
              <w:rPr>
                <w:rFonts w:eastAsia="Calibri"/>
                <w:sz w:val="20"/>
                <w:lang w:val="fr-CA"/>
              </w:rPr>
              <w:t xml:space="preserve">Cour du Banc de la Reine de l'Alberta </w:t>
            </w:r>
          </w:p>
          <w:p w:rsidR="00613480" w:rsidRPr="00201A3F" w:rsidRDefault="00613480" w:rsidP="00B803D5">
            <w:pPr>
              <w:jc w:val="both"/>
              <w:rPr>
                <w:rFonts w:eastAsia="Calibri"/>
                <w:sz w:val="20"/>
                <w:lang w:val="fr-CA"/>
              </w:rPr>
            </w:pPr>
            <w:r w:rsidRPr="00201A3F">
              <w:rPr>
                <w:rFonts w:eastAsia="Calibri"/>
                <w:sz w:val="20"/>
                <w:lang w:val="fr-CA"/>
              </w:rPr>
              <w:t>(Juge Macleod)</w:t>
            </w:r>
          </w:p>
          <w:p w:rsidR="00613480" w:rsidRPr="00201A3F" w:rsidRDefault="00613480" w:rsidP="00B803D5">
            <w:pPr>
              <w:jc w:val="both"/>
              <w:rPr>
                <w:rFonts w:eastAsia="Calibri"/>
                <w:sz w:val="20"/>
                <w:lang w:val="fr-CA"/>
              </w:rPr>
            </w:pPr>
          </w:p>
        </w:tc>
        <w:tc>
          <w:tcPr>
            <w:tcW w:w="243" w:type="pct"/>
          </w:tcPr>
          <w:p w:rsidR="00613480" w:rsidRPr="00201A3F" w:rsidRDefault="00613480" w:rsidP="00B803D5">
            <w:pPr>
              <w:jc w:val="both"/>
              <w:rPr>
                <w:rFonts w:eastAsia="Calibri"/>
                <w:sz w:val="20"/>
                <w:lang w:val="fr-CA"/>
              </w:rPr>
            </w:pPr>
          </w:p>
        </w:tc>
        <w:tc>
          <w:tcPr>
            <w:tcW w:w="2330" w:type="pct"/>
          </w:tcPr>
          <w:p w:rsidR="00613480" w:rsidRPr="00201A3F" w:rsidRDefault="00613480" w:rsidP="00B803D5">
            <w:pPr>
              <w:jc w:val="both"/>
              <w:rPr>
                <w:rFonts w:eastAsia="Calibri"/>
                <w:sz w:val="20"/>
                <w:lang w:val="fr-CA"/>
              </w:rPr>
            </w:pPr>
            <w:r w:rsidRPr="00201A3F">
              <w:rPr>
                <w:rFonts w:eastAsia="Calibri"/>
                <w:sz w:val="20"/>
                <w:lang w:val="fr-CA"/>
              </w:rPr>
              <w:t xml:space="preserve">Demande d'exclusion de la preuve ou d'arrêt des procédures, rejetée : aucune violation de la </w:t>
            </w:r>
            <w:r w:rsidRPr="00201A3F">
              <w:rPr>
                <w:rFonts w:eastAsia="Calibri"/>
                <w:i/>
                <w:sz w:val="20"/>
                <w:lang w:val="fr-CA"/>
              </w:rPr>
              <w:t>Charte</w:t>
            </w:r>
            <w:r w:rsidRPr="00201A3F">
              <w:rPr>
                <w:rFonts w:eastAsia="Calibri"/>
                <w:sz w:val="20"/>
                <w:lang w:val="fr-CA"/>
              </w:rPr>
              <w:t xml:space="preserve"> n'a été établie; déclarations de culpabilité inscrites</w:t>
            </w:r>
          </w:p>
          <w:p w:rsidR="00613480" w:rsidRPr="00201A3F" w:rsidRDefault="00613480" w:rsidP="00B803D5">
            <w:pPr>
              <w:jc w:val="both"/>
              <w:rPr>
                <w:rFonts w:eastAsia="Calibri"/>
                <w:sz w:val="20"/>
                <w:lang w:val="fr-CA"/>
              </w:rPr>
            </w:pPr>
          </w:p>
        </w:tc>
      </w:tr>
      <w:tr w:rsidR="00613480" w:rsidRPr="00DC2D1F" w:rsidTr="00B803D5">
        <w:tc>
          <w:tcPr>
            <w:tcW w:w="2427" w:type="pct"/>
          </w:tcPr>
          <w:p w:rsidR="00613480" w:rsidRPr="00201A3F" w:rsidRDefault="00613480" w:rsidP="00B803D5">
            <w:pPr>
              <w:jc w:val="both"/>
              <w:rPr>
                <w:rFonts w:eastAsia="Calibri"/>
                <w:sz w:val="20"/>
                <w:lang w:val="fr-CA"/>
              </w:rPr>
            </w:pPr>
            <w:r w:rsidRPr="00201A3F">
              <w:rPr>
                <w:rFonts w:eastAsia="Calibri"/>
                <w:sz w:val="20"/>
                <w:lang w:val="fr-CA"/>
              </w:rPr>
              <w:t>27 janvier 2012</w:t>
            </w:r>
          </w:p>
          <w:p w:rsidR="00613480" w:rsidRPr="00201A3F" w:rsidRDefault="00613480" w:rsidP="00B803D5">
            <w:pPr>
              <w:jc w:val="both"/>
              <w:rPr>
                <w:rFonts w:eastAsia="Calibri"/>
                <w:sz w:val="20"/>
                <w:lang w:val="fr-CA"/>
              </w:rPr>
            </w:pPr>
            <w:r w:rsidRPr="00201A3F">
              <w:rPr>
                <w:rFonts w:eastAsia="Calibri"/>
                <w:sz w:val="20"/>
                <w:lang w:val="fr-CA"/>
              </w:rPr>
              <w:t>Cour d'appel de l'Alberta (Calgary)</w:t>
            </w:r>
          </w:p>
          <w:p w:rsidR="00613480" w:rsidRPr="00201A3F" w:rsidRDefault="00613480" w:rsidP="00B803D5">
            <w:pPr>
              <w:jc w:val="both"/>
              <w:rPr>
                <w:rFonts w:eastAsia="Calibri"/>
                <w:sz w:val="20"/>
                <w:lang w:val="fr-CA"/>
              </w:rPr>
            </w:pPr>
            <w:r w:rsidRPr="00201A3F">
              <w:rPr>
                <w:rFonts w:eastAsia="Calibri"/>
                <w:sz w:val="20"/>
                <w:lang w:val="fr-CA"/>
              </w:rPr>
              <w:t>(Juges Picard, Martin et Rowbotham)</w:t>
            </w:r>
          </w:p>
          <w:p w:rsidR="00613480" w:rsidRPr="00201A3F" w:rsidRDefault="00613480" w:rsidP="00B803D5">
            <w:pPr>
              <w:jc w:val="both"/>
              <w:rPr>
                <w:rFonts w:eastAsia="Calibri"/>
                <w:sz w:val="20"/>
                <w:lang w:val="fr-CA"/>
              </w:rPr>
            </w:pPr>
            <w:r w:rsidRPr="00201A3F">
              <w:rPr>
                <w:rFonts w:eastAsia="Calibri"/>
                <w:sz w:val="20"/>
                <w:lang w:val="fr-CA"/>
              </w:rPr>
              <w:t>Référence neutre : 2012 ABCA 27</w:t>
            </w:r>
          </w:p>
          <w:p w:rsidR="00613480" w:rsidRPr="00201A3F" w:rsidRDefault="00613480" w:rsidP="00B803D5">
            <w:pPr>
              <w:jc w:val="both"/>
              <w:rPr>
                <w:rFonts w:eastAsia="Calibri"/>
                <w:sz w:val="20"/>
                <w:lang w:val="fr-CA"/>
              </w:rPr>
            </w:pPr>
          </w:p>
        </w:tc>
        <w:tc>
          <w:tcPr>
            <w:tcW w:w="243" w:type="pct"/>
          </w:tcPr>
          <w:p w:rsidR="00613480" w:rsidRPr="00201A3F" w:rsidRDefault="00613480" w:rsidP="00B803D5">
            <w:pPr>
              <w:jc w:val="both"/>
              <w:rPr>
                <w:rFonts w:eastAsia="Calibri"/>
                <w:sz w:val="20"/>
                <w:lang w:val="fr-CA"/>
              </w:rPr>
            </w:pPr>
          </w:p>
        </w:tc>
        <w:tc>
          <w:tcPr>
            <w:tcW w:w="2330" w:type="pct"/>
          </w:tcPr>
          <w:p w:rsidR="00613480" w:rsidRPr="00201A3F" w:rsidRDefault="00613480" w:rsidP="00B803D5">
            <w:pPr>
              <w:jc w:val="both"/>
              <w:rPr>
                <w:rFonts w:eastAsia="Calibri"/>
                <w:sz w:val="20"/>
                <w:lang w:val="fr-CA"/>
              </w:rPr>
            </w:pPr>
            <w:r w:rsidRPr="00201A3F">
              <w:rPr>
                <w:rFonts w:eastAsia="Calibri"/>
                <w:sz w:val="20"/>
                <w:lang w:val="fr-CA"/>
              </w:rPr>
              <w:t>Appel des déclarations de culpabilité, rejeté</w:t>
            </w:r>
          </w:p>
          <w:p w:rsidR="00613480" w:rsidRPr="00201A3F" w:rsidRDefault="00613480" w:rsidP="00B803D5">
            <w:pPr>
              <w:jc w:val="both"/>
              <w:rPr>
                <w:rFonts w:eastAsia="Calibri"/>
                <w:sz w:val="20"/>
                <w:lang w:val="fr-CA"/>
              </w:rPr>
            </w:pPr>
          </w:p>
        </w:tc>
      </w:tr>
      <w:tr w:rsidR="00613480" w:rsidRPr="00DC2D1F" w:rsidTr="00B803D5">
        <w:tc>
          <w:tcPr>
            <w:tcW w:w="2427" w:type="pct"/>
          </w:tcPr>
          <w:p w:rsidR="00613480" w:rsidRPr="00201A3F" w:rsidRDefault="00613480" w:rsidP="00B803D5">
            <w:pPr>
              <w:jc w:val="both"/>
              <w:rPr>
                <w:rFonts w:eastAsia="Calibri"/>
                <w:sz w:val="20"/>
                <w:lang w:val="fr-CA"/>
              </w:rPr>
            </w:pPr>
            <w:r w:rsidRPr="00201A3F">
              <w:rPr>
                <w:rFonts w:eastAsia="Calibri"/>
                <w:sz w:val="20"/>
                <w:lang w:val="fr-CA"/>
              </w:rPr>
              <w:t>11 juin 2012</w:t>
            </w:r>
          </w:p>
          <w:p w:rsidR="00613480" w:rsidRPr="00201A3F" w:rsidRDefault="00613480" w:rsidP="00B803D5">
            <w:pPr>
              <w:jc w:val="both"/>
              <w:rPr>
                <w:rFonts w:eastAsia="Calibri"/>
                <w:sz w:val="20"/>
                <w:lang w:val="fr-CA"/>
              </w:rPr>
            </w:pPr>
            <w:r w:rsidRPr="00201A3F">
              <w:rPr>
                <w:rFonts w:eastAsia="Calibri"/>
                <w:sz w:val="20"/>
                <w:lang w:val="fr-CA"/>
              </w:rPr>
              <w:t>Cour suprême du Canada</w:t>
            </w:r>
          </w:p>
        </w:tc>
        <w:tc>
          <w:tcPr>
            <w:tcW w:w="243" w:type="pct"/>
          </w:tcPr>
          <w:p w:rsidR="00613480" w:rsidRPr="00201A3F" w:rsidRDefault="00613480" w:rsidP="00B803D5">
            <w:pPr>
              <w:jc w:val="both"/>
              <w:rPr>
                <w:rFonts w:eastAsia="Calibri"/>
                <w:sz w:val="20"/>
                <w:lang w:val="fr-CA"/>
              </w:rPr>
            </w:pPr>
          </w:p>
        </w:tc>
        <w:tc>
          <w:tcPr>
            <w:tcW w:w="2330" w:type="pct"/>
          </w:tcPr>
          <w:p w:rsidR="00613480" w:rsidRPr="00201A3F" w:rsidRDefault="00613480" w:rsidP="00B803D5">
            <w:pPr>
              <w:jc w:val="both"/>
              <w:rPr>
                <w:rFonts w:eastAsia="Calibri"/>
                <w:sz w:val="20"/>
                <w:lang w:val="fr-CA"/>
              </w:rPr>
            </w:pPr>
            <w:r w:rsidRPr="00201A3F">
              <w:rPr>
                <w:rFonts w:eastAsia="Calibri"/>
                <w:sz w:val="20"/>
                <w:lang w:val="fr-CA"/>
              </w:rPr>
              <w:t>Requête en prorogation du délai de signification et de dépôt de la demande autorisation d'appel et demande autorisation d'appel, déposées</w:t>
            </w:r>
          </w:p>
        </w:tc>
      </w:tr>
    </w:tbl>
    <w:p w:rsidR="00A740D1" w:rsidRPr="00613480" w:rsidRDefault="00A740D1" w:rsidP="00A740D1">
      <w:pPr>
        <w:rPr>
          <w:sz w:val="20"/>
          <w:szCs w:val="20"/>
          <w:lang w:val="fr-CA"/>
        </w:rPr>
      </w:pPr>
    </w:p>
    <w:p w:rsidR="00A740D1" w:rsidRDefault="00BF3B03" w:rsidP="00A740D1">
      <w:pPr>
        <w:rPr>
          <w:sz w:val="20"/>
          <w:szCs w:val="20"/>
        </w:rPr>
      </w:pPr>
      <w:r w:rsidRPr="00BF3B03">
        <w:rPr>
          <w:sz w:val="20"/>
          <w:szCs w:val="20"/>
          <w:lang w:val="fr-CA"/>
        </w:rPr>
        <w:pict>
          <v:rect id="_x0000_i1051" style="width:2in;height:1pt" o:hrpct="0" o:hralign="center" o:hrstd="t" o:hrnoshade="t" o:hr="t" fillcolor="black [3213]" stroked="f"/>
        </w:pic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46290" w:rsidRPr="003C7D2B" w:rsidTr="00C46290">
        <w:trPr>
          <w:cantSplit/>
        </w:trPr>
        <w:tc>
          <w:tcPr>
            <w:tcW w:w="1458" w:type="dxa"/>
          </w:tcPr>
          <w:p w:rsidR="00C46290" w:rsidRPr="003C7D2B" w:rsidRDefault="00C46290" w:rsidP="00C46290">
            <w:pPr>
              <w:rPr>
                <w:sz w:val="20"/>
                <w:szCs w:val="20"/>
              </w:rPr>
            </w:pPr>
            <w:r w:rsidRPr="003C7D2B">
              <w:rPr>
                <w:rStyle w:val="SCCFileNumberChar"/>
                <w:sz w:val="20"/>
                <w:szCs w:val="20"/>
              </w:rPr>
              <w:lastRenderedPageBreak/>
              <w:t>34883</w:t>
            </w:r>
          </w:p>
          <w:p w:rsidR="00C46290" w:rsidRPr="003C7D2B" w:rsidRDefault="00C46290" w:rsidP="00C46290">
            <w:pPr>
              <w:rPr>
                <w:b/>
                <w:sz w:val="20"/>
                <w:szCs w:val="20"/>
                <w:lang w:val="fr-CA"/>
              </w:rPr>
            </w:pPr>
          </w:p>
        </w:tc>
        <w:tc>
          <w:tcPr>
            <w:tcW w:w="8118" w:type="dxa"/>
          </w:tcPr>
          <w:p w:rsidR="00C46290" w:rsidRPr="003C7D2B" w:rsidRDefault="00C46290" w:rsidP="00C46290">
            <w:pPr>
              <w:jc w:val="both"/>
              <w:rPr>
                <w:sz w:val="20"/>
                <w:szCs w:val="20"/>
              </w:rPr>
            </w:pPr>
            <w:r w:rsidRPr="00C46290">
              <w:rPr>
                <w:rStyle w:val="SCCLsocChar"/>
                <w:sz w:val="20"/>
                <w:szCs w:val="20"/>
                <w:lang w:val="en-CA"/>
              </w:rPr>
              <w:t>Workers' Compensation Board of British Columbia v. Marko Jozipovic</w:t>
            </w:r>
            <w:r w:rsidR="00115D3F">
              <w:rPr>
                <w:rStyle w:val="SCCLsocChar"/>
                <w:sz w:val="20"/>
                <w:szCs w:val="20"/>
                <w:lang w:val="en-CA"/>
              </w:rPr>
              <w:t xml:space="preserve"> and</w:t>
            </w:r>
            <w:r w:rsidRPr="00C46290">
              <w:rPr>
                <w:rStyle w:val="SCCLsocChar"/>
                <w:sz w:val="20"/>
                <w:szCs w:val="20"/>
                <w:lang w:val="en-CA"/>
              </w:rPr>
              <w:t xml:space="preserve"> Workers' Compensation Appeal Tribunal</w:t>
            </w:r>
            <w:r w:rsidRPr="003C7D2B">
              <w:rPr>
                <w:sz w:val="20"/>
                <w:szCs w:val="20"/>
              </w:rPr>
              <w:t xml:space="preserve"> (B.C.) (Civil) (By Leave)</w:t>
            </w:r>
          </w:p>
          <w:p w:rsidR="00C46290" w:rsidRPr="003C7D2B" w:rsidRDefault="00C46290" w:rsidP="00C46290">
            <w:pPr>
              <w:rPr>
                <w:sz w:val="20"/>
                <w:szCs w:val="20"/>
              </w:rPr>
            </w:pPr>
          </w:p>
        </w:tc>
      </w:tr>
      <w:tr w:rsidR="00C46290" w:rsidRPr="003C7D2B" w:rsidTr="00C46290">
        <w:trPr>
          <w:cantSplit/>
        </w:trPr>
        <w:tc>
          <w:tcPr>
            <w:tcW w:w="1458" w:type="dxa"/>
          </w:tcPr>
          <w:p w:rsidR="00C46290" w:rsidRPr="003C7D2B" w:rsidRDefault="00C46290" w:rsidP="00C46290">
            <w:pPr>
              <w:rPr>
                <w:sz w:val="20"/>
                <w:szCs w:val="20"/>
              </w:rPr>
            </w:pPr>
            <w:r w:rsidRPr="003C7D2B">
              <w:rPr>
                <w:sz w:val="20"/>
                <w:szCs w:val="20"/>
              </w:rPr>
              <w:t>Coram :</w:t>
            </w:r>
          </w:p>
        </w:tc>
        <w:tc>
          <w:tcPr>
            <w:tcW w:w="8118" w:type="dxa"/>
          </w:tcPr>
          <w:p w:rsidR="00C46290" w:rsidRPr="003C7D2B" w:rsidRDefault="00C46290" w:rsidP="00C46290">
            <w:pPr>
              <w:rPr>
                <w:sz w:val="20"/>
                <w:szCs w:val="20"/>
              </w:rPr>
            </w:pPr>
            <w:r w:rsidRPr="00C46290">
              <w:rPr>
                <w:rStyle w:val="SCCCoramChar"/>
                <w:sz w:val="20"/>
                <w:szCs w:val="20"/>
                <w:lang w:val="en-CA"/>
              </w:rPr>
              <w:t>McLachlin C.J. and Rothstein and Moldaver JJ.</w:t>
            </w:r>
          </w:p>
          <w:p w:rsidR="00C46290" w:rsidRPr="003C7D2B" w:rsidRDefault="00C46290" w:rsidP="00C46290">
            <w:pPr>
              <w:rPr>
                <w:sz w:val="20"/>
                <w:szCs w:val="20"/>
                <w:u w:val="single"/>
              </w:rPr>
            </w:pPr>
          </w:p>
        </w:tc>
      </w:tr>
      <w:tr w:rsidR="00C46290" w:rsidRPr="00DC2D1F" w:rsidTr="00C46290">
        <w:trPr>
          <w:cantSplit/>
        </w:trPr>
        <w:tc>
          <w:tcPr>
            <w:tcW w:w="9576" w:type="dxa"/>
            <w:gridSpan w:val="2"/>
          </w:tcPr>
          <w:p w:rsidR="00C46290" w:rsidRPr="003C7D2B" w:rsidRDefault="00C46290" w:rsidP="00C46290">
            <w:pPr>
              <w:pStyle w:val="SCCShortJudgment"/>
              <w:rPr>
                <w:szCs w:val="20"/>
              </w:rPr>
            </w:pPr>
            <w:r w:rsidRPr="003C7D2B">
              <w:rPr>
                <w:szCs w:val="20"/>
              </w:rPr>
              <w:t>The application for leave to appeal from the judgment of the Court of Appeal for British Columbia (Vancouver), Number CA038929, 2012 BCCA 174, dated April 26, 2012, is dismissed with costs to the Respondent, Marko Jozipovic.</w:t>
            </w:r>
          </w:p>
          <w:p w:rsidR="00C46290" w:rsidRPr="003C7D2B" w:rsidRDefault="00C46290" w:rsidP="00C46290">
            <w:pPr>
              <w:pStyle w:val="SCCShortJudgment"/>
              <w:ind w:firstLine="0"/>
              <w:rPr>
                <w:szCs w:val="20"/>
              </w:rPr>
            </w:pPr>
          </w:p>
          <w:p w:rsidR="00C46290" w:rsidRPr="003C7D2B" w:rsidRDefault="00C46290" w:rsidP="00C46290">
            <w:pPr>
              <w:pStyle w:val="SCCShortJudgment"/>
              <w:rPr>
                <w:szCs w:val="20"/>
                <w:lang w:val="fr-CA"/>
              </w:rPr>
            </w:pPr>
            <w:r w:rsidRPr="003C7D2B">
              <w:rPr>
                <w:szCs w:val="20"/>
                <w:lang w:val="fr-CA"/>
              </w:rPr>
              <w:t>La demande d’autorisation d’appel de l’arrêt de la Cour d’appel de la Colombie-Britannique (Vancouver), numéro CA038929, 2012 BCCA 174, daté du 26 avril 2012, est rejetée avec dépens en faveur de l’intimé, Marko Jozipovic.</w:t>
            </w:r>
          </w:p>
        </w:tc>
      </w:tr>
    </w:tbl>
    <w:p w:rsidR="00A740D1" w:rsidRPr="00C46290" w:rsidRDefault="00A740D1" w:rsidP="00A740D1">
      <w:pPr>
        <w:rPr>
          <w:sz w:val="20"/>
          <w:szCs w:val="20"/>
          <w:lang w:val="fr-CA"/>
        </w:rPr>
      </w:pPr>
    </w:p>
    <w:p w:rsidR="00A740D1" w:rsidRPr="001B157C" w:rsidRDefault="00A740D1" w:rsidP="00A740D1">
      <w:pPr>
        <w:rPr>
          <w:sz w:val="20"/>
          <w:szCs w:val="20"/>
          <w:u w:val="single"/>
        </w:rPr>
      </w:pPr>
      <w:r w:rsidRPr="001B157C">
        <w:rPr>
          <w:sz w:val="20"/>
          <w:szCs w:val="20"/>
          <w:u w:val="single"/>
        </w:rPr>
        <w:t>CASE SUMMARY</w:t>
      </w:r>
    </w:p>
    <w:p w:rsidR="00A740D1" w:rsidRDefault="00A740D1" w:rsidP="00A740D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C40B1" w:rsidRPr="00201A3F" w:rsidTr="00B803D5">
        <w:tc>
          <w:tcPr>
            <w:tcW w:w="5000" w:type="pct"/>
            <w:gridSpan w:val="3"/>
          </w:tcPr>
          <w:p w:rsidR="007C40B1" w:rsidRPr="00201A3F" w:rsidRDefault="007C40B1" w:rsidP="00B803D5">
            <w:pPr>
              <w:jc w:val="both"/>
              <w:rPr>
                <w:rFonts w:eastAsia="Calibri"/>
                <w:sz w:val="20"/>
              </w:rPr>
            </w:pPr>
            <w:r w:rsidRPr="00201A3F">
              <w:rPr>
                <w:rFonts w:eastAsia="Calibri"/>
                <w:sz w:val="20"/>
              </w:rPr>
              <w:t xml:space="preserve">Administrative law — Judicial review — </w:t>
            </w:r>
            <w:r w:rsidRPr="00201A3F">
              <w:rPr>
                <w:rFonts w:eastAsia="Calibri"/>
                <w:i/>
                <w:sz w:val="20"/>
              </w:rPr>
              <w:t>Workers Compensation Act</w:t>
            </w:r>
            <w:r w:rsidRPr="00201A3F">
              <w:rPr>
                <w:rFonts w:eastAsia="Calibri"/>
                <w:sz w:val="20"/>
              </w:rPr>
              <w:t xml:space="preserve">, R.S.B.C. 1996, c. 492, s. 23(1), s. 23(3), s. 23(3.1), s. 99(2), s. 250(2), s. 251 and s. 255 — </w:t>
            </w:r>
            <w:r w:rsidRPr="00201A3F">
              <w:rPr>
                <w:rFonts w:eastAsia="Calibri"/>
                <w:i/>
                <w:sz w:val="20"/>
              </w:rPr>
              <w:t>Administrative Tribunals Act</w:t>
            </w:r>
            <w:r w:rsidRPr="00201A3F">
              <w:rPr>
                <w:rFonts w:eastAsia="Calibri"/>
                <w:sz w:val="20"/>
              </w:rPr>
              <w:t xml:space="preserve">, S.B.C. 2004, c. 45, s. 58 — </w:t>
            </w:r>
            <w:r w:rsidRPr="00201A3F">
              <w:rPr>
                <w:rFonts w:eastAsia="Calibri"/>
                <w:i/>
                <w:sz w:val="20"/>
              </w:rPr>
              <w:t>Constitution Act, 1867</w:t>
            </w:r>
            <w:r w:rsidRPr="00201A3F">
              <w:rPr>
                <w:rFonts w:eastAsia="Calibri"/>
                <w:sz w:val="20"/>
              </w:rPr>
              <w:t xml:space="preserve"> — Should a superior court undertake directly the judicial review of an administrative tribunal which is by statute subject to reasonableness review by another administrative tribunal? — How is a court to identify the appropriate object of review? — When is a question of law a question within the core of </w:t>
            </w:r>
            <w:proofErr w:type="gramStart"/>
            <w:r w:rsidRPr="00201A3F">
              <w:rPr>
                <w:rFonts w:eastAsia="Calibri"/>
                <w:sz w:val="20"/>
              </w:rPr>
              <w:t>a</w:t>
            </w:r>
            <w:proofErr w:type="gramEnd"/>
            <w:r w:rsidRPr="00201A3F">
              <w:rPr>
                <w:rFonts w:eastAsia="Calibri"/>
                <w:sz w:val="20"/>
              </w:rPr>
              <w:t xml:space="preserve"> s. 96 court’s jurisdiction? — Does the fact that one tribunal is required by statute to apply deference when reviewing the decision of another tribunal mean the court can side step clear legislative intention and judicially review the decision of the first tribunal without any regard for the decision of the second tribunal? — In light of the principles set out in </w:t>
            </w:r>
            <w:r w:rsidRPr="00201A3F">
              <w:rPr>
                <w:rFonts w:eastAsia="Calibri"/>
                <w:i/>
                <w:iCs/>
                <w:sz w:val="20"/>
              </w:rPr>
              <w:t>Alberta (Information and Privacy Commissioner) v. Alberta Teachers’ Association</w:t>
            </w:r>
            <w:r w:rsidRPr="00201A3F">
              <w:rPr>
                <w:rFonts w:eastAsia="Calibri"/>
                <w:sz w:val="20"/>
              </w:rPr>
              <w:t xml:space="preserve">, </w:t>
            </w:r>
            <w:hyperlink r:id="rId25" w:tgtFrame="_parent" w:history="1">
              <w:r w:rsidRPr="00201A3F">
                <w:rPr>
                  <w:rFonts w:eastAsia="Calibri"/>
                  <w:sz w:val="20"/>
                </w:rPr>
                <w:t>[2011] 3 S.C.R. 654</w:t>
              </w:r>
            </w:hyperlink>
            <w:r w:rsidRPr="00201A3F">
              <w:rPr>
                <w:rFonts w:eastAsia="Calibri"/>
                <w:sz w:val="20"/>
              </w:rPr>
              <w:t xml:space="preserve">, </w:t>
            </w:r>
            <w:hyperlink r:id="rId26" w:tgtFrame="_parent" w:history="1">
              <w:r w:rsidRPr="00201A3F">
                <w:rPr>
                  <w:rFonts w:eastAsia="Calibri"/>
                  <w:sz w:val="20"/>
                </w:rPr>
                <w:t>2011 SCC 61</w:t>
              </w:r>
            </w:hyperlink>
            <w:r w:rsidRPr="00201A3F">
              <w:rPr>
                <w:rFonts w:eastAsia="Calibri"/>
                <w:sz w:val="20"/>
              </w:rPr>
              <w:t>, should a court exercise its discretion to grant judicial review where an issue could have been but was not raised before the administrative tribunal in circumstances where the applicant was invited to make submissions but declined to do so and there is no implied decision on the precise issue raised?</w:t>
            </w:r>
          </w:p>
        </w:tc>
      </w:tr>
      <w:tr w:rsidR="007C40B1" w:rsidRPr="00201A3F" w:rsidTr="00B803D5">
        <w:tc>
          <w:tcPr>
            <w:tcW w:w="5000" w:type="pct"/>
            <w:gridSpan w:val="3"/>
          </w:tcPr>
          <w:p w:rsidR="007C40B1" w:rsidRPr="00201A3F" w:rsidRDefault="007C40B1" w:rsidP="00B803D5">
            <w:pPr>
              <w:jc w:val="both"/>
              <w:rPr>
                <w:rFonts w:eastAsia="Calibri"/>
                <w:sz w:val="20"/>
              </w:rPr>
            </w:pPr>
          </w:p>
        </w:tc>
      </w:tr>
      <w:tr w:rsidR="007C40B1" w:rsidRPr="00201A3F" w:rsidTr="00B803D5">
        <w:tc>
          <w:tcPr>
            <w:tcW w:w="5000" w:type="pct"/>
            <w:gridSpan w:val="3"/>
          </w:tcPr>
          <w:p w:rsidR="007C40B1" w:rsidRPr="00201A3F" w:rsidRDefault="007C40B1" w:rsidP="00B803D5">
            <w:pPr>
              <w:jc w:val="both"/>
              <w:rPr>
                <w:rFonts w:eastAsia="Calibri"/>
                <w:sz w:val="20"/>
              </w:rPr>
            </w:pPr>
            <w:r w:rsidRPr="00201A3F">
              <w:rPr>
                <w:rFonts w:eastAsia="Calibri"/>
                <w:sz w:val="20"/>
              </w:rPr>
              <w:t xml:space="preserve">The Respondent Marco Jozipovic suffered a back injury while working as a steel fabricator.  Effective October 25, 2004, he was declared by the Workers’ Compensation Board (the “WCB”) to be entitled to permanent partial disability benefits under the </w:t>
            </w:r>
            <w:r w:rsidRPr="00201A3F">
              <w:rPr>
                <w:rFonts w:eastAsia="Calibri"/>
                <w:i/>
                <w:sz w:val="20"/>
              </w:rPr>
              <w:t>Workers Compensation Act</w:t>
            </w:r>
            <w:r w:rsidRPr="00201A3F">
              <w:rPr>
                <w:rFonts w:eastAsia="Calibri"/>
                <w:sz w:val="20"/>
              </w:rPr>
              <w:t xml:space="preserve">, R.S.B.C. 1996, c. 492 (the “Act”).  The WCB applied the “Functional Impairment Method” in assessing the Respondent’s compensation entitlement pursuant to s. 23(1) of the Act and rejected the “Loss of Earnings Method” contemplated by s. 23(3) of the Act.  In so doing, the WCB followed the policy established by the WCB’s board of directors in this regard, which mandatorily set outs the procedure and criteria regarding the applicability of s. 23(3) and s. 23(3.2) of the Act.  The WCB’s assessment was upheld on review by a reviewing officer, and again on an appeal by the Workers’ Compensation Appeal Tribunal (the “WCAT”).  The Respondent subsequently initiated reconsideration proceedings before the WCAT, but was again unsuccessful.  The Respondent thereafter applied for judicial review on grounds that, </w:t>
            </w:r>
            <w:r w:rsidRPr="00201A3F">
              <w:rPr>
                <w:rFonts w:eastAsia="Calibri"/>
                <w:i/>
                <w:sz w:val="20"/>
              </w:rPr>
              <w:t>inter alia</w:t>
            </w:r>
            <w:r w:rsidRPr="00201A3F">
              <w:rPr>
                <w:rFonts w:eastAsia="Calibri"/>
                <w:sz w:val="20"/>
              </w:rPr>
              <w:t>, the policy established by the WCB’s board of directors with respect to the use of the Loss of Earnings Method is overly restrictive and not supported by the Act.</w:t>
            </w:r>
          </w:p>
          <w:p w:rsidR="007C40B1" w:rsidRPr="00201A3F" w:rsidRDefault="007C40B1" w:rsidP="00B803D5">
            <w:pPr>
              <w:jc w:val="both"/>
              <w:rPr>
                <w:rFonts w:eastAsia="Calibri"/>
                <w:sz w:val="20"/>
              </w:rPr>
            </w:pPr>
          </w:p>
        </w:tc>
      </w:tr>
      <w:tr w:rsidR="007C40B1" w:rsidRPr="00201A3F" w:rsidTr="00B803D5">
        <w:tc>
          <w:tcPr>
            <w:tcW w:w="2427" w:type="pct"/>
          </w:tcPr>
          <w:p w:rsidR="007C40B1" w:rsidRPr="00201A3F" w:rsidRDefault="007C40B1" w:rsidP="00B803D5">
            <w:pPr>
              <w:jc w:val="both"/>
              <w:rPr>
                <w:rFonts w:eastAsia="Calibri"/>
                <w:sz w:val="20"/>
              </w:rPr>
            </w:pPr>
            <w:r w:rsidRPr="00201A3F">
              <w:rPr>
                <w:rFonts w:eastAsia="Calibri"/>
                <w:sz w:val="20"/>
              </w:rPr>
              <w:t>May 30, 2006</w:t>
            </w:r>
          </w:p>
          <w:p w:rsidR="007C40B1" w:rsidRPr="00201A3F" w:rsidRDefault="007C40B1" w:rsidP="00B803D5">
            <w:pPr>
              <w:jc w:val="both"/>
              <w:rPr>
                <w:rFonts w:eastAsia="Calibri"/>
                <w:sz w:val="20"/>
              </w:rPr>
            </w:pPr>
            <w:r w:rsidRPr="00201A3F">
              <w:rPr>
                <w:rFonts w:eastAsia="Calibri"/>
                <w:sz w:val="20"/>
              </w:rPr>
              <w:t>Workers’ Compensation Appeal Tribunal</w:t>
            </w:r>
          </w:p>
          <w:p w:rsidR="007C40B1" w:rsidRPr="00201A3F" w:rsidRDefault="007C40B1" w:rsidP="00B803D5">
            <w:pPr>
              <w:jc w:val="both"/>
              <w:rPr>
                <w:rFonts w:eastAsia="Calibri"/>
                <w:sz w:val="20"/>
              </w:rPr>
            </w:pPr>
            <w:r w:rsidRPr="00201A3F">
              <w:rPr>
                <w:rFonts w:eastAsia="Calibri"/>
                <w:sz w:val="20"/>
              </w:rPr>
              <w:t>No. 2006</w:t>
            </w:r>
            <w:r w:rsidRPr="00201A3F">
              <w:rPr>
                <w:rFonts w:eastAsia="Calibri"/>
                <w:sz w:val="20"/>
              </w:rPr>
              <w:noBreakHyphen/>
              <w:t>02312</w:t>
            </w:r>
          </w:p>
        </w:tc>
        <w:tc>
          <w:tcPr>
            <w:tcW w:w="243" w:type="pct"/>
          </w:tcPr>
          <w:p w:rsidR="007C40B1" w:rsidRPr="00201A3F" w:rsidRDefault="007C40B1" w:rsidP="00B803D5">
            <w:pPr>
              <w:jc w:val="both"/>
              <w:rPr>
                <w:rFonts w:eastAsia="Calibri"/>
                <w:sz w:val="20"/>
              </w:rPr>
            </w:pPr>
          </w:p>
        </w:tc>
        <w:tc>
          <w:tcPr>
            <w:tcW w:w="2330" w:type="pct"/>
          </w:tcPr>
          <w:p w:rsidR="007C40B1" w:rsidRPr="00201A3F" w:rsidRDefault="007C40B1" w:rsidP="00B803D5">
            <w:pPr>
              <w:jc w:val="both"/>
              <w:rPr>
                <w:rFonts w:eastAsia="Calibri"/>
                <w:sz w:val="20"/>
              </w:rPr>
            </w:pPr>
            <w:r w:rsidRPr="00201A3F">
              <w:rPr>
                <w:rFonts w:eastAsia="Calibri"/>
                <w:sz w:val="20"/>
              </w:rPr>
              <w:t>The Respondent Marko Jozipovic’s entitlement to compensation pursuant to s. 23(1) of the Act as determined by the WCB confirmed (the “Original Decision”).</w:t>
            </w:r>
          </w:p>
          <w:p w:rsidR="007C40B1" w:rsidRPr="00201A3F" w:rsidRDefault="007C40B1" w:rsidP="00B803D5">
            <w:pPr>
              <w:jc w:val="both"/>
              <w:rPr>
                <w:rFonts w:eastAsia="Calibri"/>
                <w:sz w:val="20"/>
              </w:rPr>
            </w:pPr>
          </w:p>
        </w:tc>
      </w:tr>
      <w:tr w:rsidR="007C40B1" w:rsidRPr="00201A3F" w:rsidTr="00B803D5">
        <w:tc>
          <w:tcPr>
            <w:tcW w:w="2427" w:type="pct"/>
          </w:tcPr>
          <w:p w:rsidR="007C40B1" w:rsidRPr="00201A3F" w:rsidRDefault="007C40B1" w:rsidP="00B803D5">
            <w:pPr>
              <w:jc w:val="both"/>
              <w:rPr>
                <w:rFonts w:eastAsia="Calibri"/>
                <w:sz w:val="20"/>
              </w:rPr>
            </w:pPr>
            <w:r w:rsidRPr="00201A3F">
              <w:rPr>
                <w:rFonts w:eastAsia="Calibri"/>
                <w:sz w:val="20"/>
              </w:rPr>
              <w:t>October 8, 2009</w:t>
            </w:r>
          </w:p>
          <w:p w:rsidR="007C40B1" w:rsidRPr="00201A3F" w:rsidRDefault="007C40B1" w:rsidP="00B803D5">
            <w:pPr>
              <w:jc w:val="both"/>
              <w:rPr>
                <w:rFonts w:eastAsia="Calibri"/>
                <w:sz w:val="20"/>
              </w:rPr>
            </w:pPr>
            <w:r w:rsidRPr="00201A3F">
              <w:rPr>
                <w:rFonts w:eastAsia="Calibri"/>
                <w:sz w:val="20"/>
              </w:rPr>
              <w:t>Workers’ Compensation Appeal Tribunal</w:t>
            </w:r>
          </w:p>
          <w:p w:rsidR="007C40B1" w:rsidRPr="00201A3F" w:rsidRDefault="007C40B1" w:rsidP="00B803D5">
            <w:pPr>
              <w:jc w:val="both"/>
              <w:rPr>
                <w:rFonts w:eastAsia="Calibri"/>
                <w:sz w:val="20"/>
              </w:rPr>
            </w:pPr>
            <w:r w:rsidRPr="00201A3F">
              <w:rPr>
                <w:rFonts w:eastAsia="Calibri"/>
                <w:sz w:val="20"/>
              </w:rPr>
              <w:t>No. 2009</w:t>
            </w:r>
            <w:r w:rsidRPr="00201A3F">
              <w:rPr>
                <w:rFonts w:eastAsia="Calibri"/>
                <w:sz w:val="20"/>
              </w:rPr>
              <w:noBreakHyphen/>
              <w:t>02631</w:t>
            </w:r>
          </w:p>
          <w:p w:rsidR="007C40B1" w:rsidRPr="00201A3F" w:rsidRDefault="007C40B1" w:rsidP="00B803D5">
            <w:pPr>
              <w:jc w:val="both"/>
              <w:rPr>
                <w:rFonts w:eastAsia="Calibri"/>
                <w:sz w:val="20"/>
              </w:rPr>
            </w:pPr>
          </w:p>
        </w:tc>
        <w:tc>
          <w:tcPr>
            <w:tcW w:w="243" w:type="pct"/>
          </w:tcPr>
          <w:p w:rsidR="007C40B1" w:rsidRPr="00201A3F" w:rsidRDefault="007C40B1" w:rsidP="00B803D5">
            <w:pPr>
              <w:jc w:val="both"/>
              <w:rPr>
                <w:rFonts w:eastAsia="Calibri"/>
                <w:sz w:val="20"/>
              </w:rPr>
            </w:pPr>
          </w:p>
        </w:tc>
        <w:tc>
          <w:tcPr>
            <w:tcW w:w="2330" w:type="pct"/>
          </w:tcPr>
          <w:p w:rsidR="007C40B1" w:rsidRPr="00201A3F" w:rsidRDefault="007C40B1" w:rsidP="00B803D5">
            <w:pPr>
              <w:jc w:val="both"/>
              <w:rPr>
                <w:rFonts w:eastAsia="Calibri"/>
                <w:sz w:val="20"/>
              </w:rPr>
            </w:pPr>
            <w:r w:rsidRPr="00201A3F">
              <w:rPr>
                <w:rFonts w:eastAsia="Calibri"/>
                <w:sz w:val="20"/>
              </w:rPr>
              <w:t>Original Decision confirmed (the “Reconsideration Decision”).</w:t>
            </w:r>
          </w:p>
        </w:tc>
      </w:tr>
      <w:tr w:rsidR="007C40B1" w:rsidRPr="00201A3F" w:rsidTr="00B803D5">
        <w:tc>
          <w:tcPr>
            <w:tcW w:w="2427" w:type="pct"/>
          </w:tcPr>
          <w:p w:rsidR="007C40B1" w:rsidRPr="00201A3F" w:rsidRDefault="007C40B1" w:rsidP="00B803D5">
            <w:pPr>
              <w:jc w:val="both"/>
              <w:rPr>
                <w:rFonts w:eastAsia="Calibri"/>
                <w:sz w:val="20"/>
              </w:rPr>
            </w:pPr>
            <w:r w:rsidRPr="00201A3F">
              <w:rPr>
                <w:rFonts w:eastAsia="Calibri"/>
                <w:sz w:val="20"/>
              </w:rPr>
              <w:lastRenderedPageBreak/>
              <w:t>March 18, 2011</w:t>
            </w:r>
          </w:p>
          <w:p w:rsidR="007C40B1" w:rsidRPr="00201A3F" w:rsidRDefault="007C40B1" w:rsidP="00B803D5">
            <w:pPr>
              <w:jc w:val="both"/>
              <w:rPr>
                <w:rFonts w:eastAsia="Calibri"/>
                <w:sz w:val="20"/>
              </w:rPr>
            </w:pPr>
            <w:r w:rsidRPr="00201A3F">
              <w:rPr>
                <w:rFonts w:eastAsia="Calibri"/>
                <w:sz w:val="20"/>
              </w:rPr>
              <w:t>Supreme Court of British Columbia</w:t>
            </w:r>
          </w:p>
          <w:p w:rsidR="007C40B1" w:rsidRPr="00201A3F" w:rsidRDefault="007C40B1" w:rsidP="00B803D5">
            <w:pPr>
              <w:jc w:val="both"/>
              <w:rPr>
                <w:rFonts w:eastAsia="Calibri"/>
                <w:sz w:val="20"/>
              </w:rPr>
            </w:pPr>
            <w:r w:rsidRPr="00201A3F">
              <w:rPr>
                <w:rFonts w:eastAsia="Calibri"/>
                <w:sz w:val="20"/>
              </w:rPr>
              <w:t>(Bruce J.)</w:t>
            </w:r>
          </w:p>
          <w:p w:rsidR="007C40B1" w:rsidRPr="00201A3F" w:rsidRDefault="007C40B1" w:rsidP="00B803D5">
            <w:pPr>
              <w:jc w:val="both"/>
              <w:rPr>
                <w:rFonts w:eastAsia="Calibri"/>
                <w:sz w:val="20"/>
              </w:rPr>
            </w:pPr>
            <w:r w:rsidRPr="00201A3F">
              <w:rPr>
                <w:rFonts w:eastAsia="Calibri"/>
                <w:sz w:val="20"/>
              </w:rPr>
              <w:t>No. S098894; 2011 BCSC 329</w:t>
            </w:r>
          </w:p>
          <w:p w:rsidR="007C40B1" w:rsidRPr="00201A3F" w:rsidRDefault="007C40B1" w:rsidP="00B803D5">
            <w:pPr>
              <w:jc w:val="both"/>
              <w:rPr>
                <w:rFonts w:eastAsia="Calibri"/>
                <w:sz w:val="20"/>
              </w:rPr>
            </w:pPr>
          </w:p>
        </w:tc>
        <w:tc>
          <w:tcPr>
            <w:tcW w:w="243" w:type="pct"/>
          </w:tcPr>
          <w:p w:rsidR="007C40B1" w:rsidRPr="00201A3F" w:rsidRDefault="007C40B1" w:rsidP="00B803D5">
            <w:pPr>
              <w:jc w:val="both"/>
              <w:rPr>
                <w:rFonts w:eastAsia="Calibri"/>
                <w:sz w:val="20"/>
              </w:rPr>
            </w:pPr>
          </w:p>
        </w:tc>
        <w:tc>
          <w:tcPr>
            <w:tcW w:w="2330" w:type="pct"/>
          </w:tcPr>
          <w:p w:rsidR="007C40B1" w:rsidRPr="00201A3F" w:rsidRDefault="007C40B1" w:rsidP="00B803D5">
            <w:pPr>
              <w:jc w:val="both"/>
              <w:rPr>
                <w:rFonts w:eastAsia="Calibri"/>
                <w:sz w:val="20"/>
              </w:rPr>
            </w:pPr>
            <w:r w:rsidRPr="00201A3F">
              <w:rPr>
                <w:rFonts w:eastAsia="Calibri"/>
                <w:sz w:val="20"/>
              </w:rPr>
              <w:t>Original Decision and Reconsideration Decision declared patently unreasonable insofar as they relate to (i) the calculation of the Respondent’s functional impairment award under section 23(1) of the Act, and (ii) the assessment of the Respondent’s eligibility for a pension calculated under section 23(3) of the Act on basis that the policy of the WCB’s board of directors is not rationally supported by the Act.  Both Decisions accordingly set aside and WCAT ordered to reconsider the Respondent’s pension entitlement under s. 23(1) and s. 23(3) of the Act having due regard for the principles outlined by the Supreme Court of British Columbia.</w:t>
            </w:r>
          </w:p>
          <w:p w:rsidR="007C40B1" w:rsidRPr="00201A3F" w:rsidRDefault="007C40B1" w:rsidP="00B803D5">
            <w:pPr>
              <w:jc w:val="both"/>
              <w:rPr>
                <w:rFonts w:eastAsia="Calibri"/>
                <w:sz w:val="20"/>
              </w:rPr>
            </w:pPr>
          </w:p>
        </w:tc>
      </w:tr>
      <w:tr w:rsidR="007C40B1" w:rsidRPr="00201A3F" w:rsidTr="00B803D5">
        <w:tc>
          <w:tcPr>
            <w:tcW w:w="2427" w:type="pct"/>
          </w:tcPr>
          <w:p w:rsidR="007C40B1" w:rsidRPr="00201A3F" w:rsidRDefault="007C40B1" w:rsidP="00B803D5">
            <w:pPr>
              <w:jc w:val="both"/>
              <w:rPr>
                <w:rFonts w:eastAsia="Calibri"/>
                <w:sz w:val="20"/>
              </w:rPr>
            </w:pPr>
            <w:r w:rsidRPr="00201A3F">
              <w:rPr>
                <w:rFonts w:eastAsia="Calibri"/>
                <w:sz w:val="20"/>
              </w:rPr>
              <w:t>April 26, 2012</w:t>
            </w:r>
          </w:p>
          <w:p w:rsidR="007C40B1" w:rsidRPr="00201A3F" w:rsidRDefault="007C40B1" w:rsidP="00B803D5">
            <w:pPr>
              <w:jc w:val="both"/>
              <w:rPr>
                <w:rFonts w:eastAsia="Calibri"/>
                <w:sz w:val="20"/>
              </w:rPr>
            </w:pPr>
            <w:r w:rsidRPr="00201A3F">
              <w:rPr>
                <w:rFonts w:eastAsia="Calibri"/>
                <w:sz w:val="20"/>
              </w:rPr>
              <w:t>Court of Appeal for British Columbia (Vancouver)</w:t>
            </w:r>
          </w:p>
          <w:p w:rsidR="007C40B1" w:rsidRPr="00201A3F" w:rsidRDefault="007C40B1" w:rsidP="00B803D5">
            <w:pPr>
              <w:jc w:val="both"/>
              <w:rPr>
                <w:rFonts w:eastAsia="Calibri"/>
                <w:sz w:val="20"/>
              </w:rPr>
            </w:pPr>
            <w:r w:rsidRPr="00201A3F">
              <w:rPr>
                <w:rFonts w:eastAsia="Calibri"/>
                <w:sz w:val="20"/>
              </w:rPr>
              <w:t>(Newbury, Kirkpatrick and Groberman JJ.A.)</w:t>
            </w:r>
          </w:p>
          <w:p w:rsidR="007C40B1" w:rsidRPr="00201A3F" w:rsidRDefault="007C40B1" w:rsidP="00B803D5">
            <w:pPr>
              <w:jc w:val="both"/>
              <w:rPr>
                <w:rFonts w:eastAsia="Calibri"/>
                <w:sz w:val="20"/>
              </w:rPr>
            </w:pPr>
            <w:r w:rsidRPr="00201A3F">
              <w:rPr>
                <w:rFonts w:eastAsia="Calibri"/>
                <w:sz w:val="20"/>
              </w:rPr>
              <w:t>No. CA038929; 2012 BCCA 174</w:t>
            </w:r>
          </w:p>
        </w:tc>
        <w:tc>
          <w:tcPr>
            <w:tcW w:w="243" w:type="pct"/>
          </w:tcPr>
          <w:p w:rsidR="007C40B1" w:rsidRPr="00201A3F" w:rsidRDefault="007C40B1" w:rsidP="00B803D5">
            <w:pPr>
              <w:jc w:val="both"/>
              <w:rPr>
                <w:rFonts w:eastAsia="Calibri"/>
                <w:sz w:val="20"/>
              </w:rPr>
            </w:pPr>
          </w:p>
        </w:tc>
        <w:tc>
          <w:tcPr>
            <w:tcW w:w="2330" w:type="pct"/>
          </w:tcPr>
          <w:p w:rsidR="007C40B1" w:rsidRPr="00201A3F" w:rsidRDefault="007C40B1" w:rsidP="00B803D5">
            <w:pPr>
              <w:jc w:val="both"/>
              <w:rPr>
                <w:rFonts w:eastAsia="Calibri"/>
                <w:sz w:val="20"/>
              </w:rPr>
            </w:pPr>
            <w:r w:rsidRPr="00201A3F">
              <w:rPr>
                <w:rFonts w:eastAsia="Calibri"/>
                <w:sz w:val="20"/>
              </w:rPr>
              <w:t>The WCB’s appeal is dismissed and the Respondent Marko Jozipovic’s cross</w:t>
            </w:r>
            <w:r w:rsidRPr="00201A3F">
              <w:rPr>
                <w:rFonts w:eastAsia="Calibri"/>
                <w:sz w:val="20"/>
              </w:rPr>
              <w:noBreakHyphen/>
              <w:t>appeal is allowed; policy of the WCB’s board of directors declared of no force or effect to the extent of its inconsistency with the Act.</w:t>
            </w:r>
          </w:p>
          <w:p w:rsidR="007C40B1" w:rsidRPr="00201A3F" w:rsidRDefault="007C40B1" w:rsidP="00B803D5">
            <w:pPr>
              <w:jc w:val="both"/>
              <w:rPr>
                <w:rFonts w:eastAsia="Calibri"/>
                <w:sz w:val="20"/>
              </w:rPr>
            </w:pPr>
          </w:p>
        </w:tc>
      </w:tr>
      <w:tr w:rsidR="007C40B1" w:rsidRPr="00201A3F" w:rsidTr="00B803D5">
        <w:tc>
          <w:tcPr>
            <w:tcW w:w="2427" w:type="pct"/>
          </w:tcPr>
          <w:p w:rsidR="007C40B1" w:rsidRPr="00201A3F" w:rsidRDefault="007C40B1" w:rsidP="00B803D5">
            <w:pPr>
              <w:jc w:val="both"/>
              <w:rPr>
                <w:rFonts w:eastAsia="Calibri"/>
                <w:sz w:val="20"/>
              </w:rPr>
            </w:pPr>
            <w:r w:rsidRPr="00201A3F">
              <w:rPr>
                <w:rFonts w:eastAsia="Calibri"/>
                <w:sz w:val="20"/>
              </w:rPr>
              <w:t>June 20, 2012</w:t>
            </w:r>
          </w:p>
          <w:p w:rsidR="007C40B1" w:rsidRPr="00201A3F" w:rsidRDefault="007C40B1" w:rsidP="00B803D5">
            <w:pPr>
              <w:jc w:val="both"/>
              <w:rPr>
                <w:rFonts w:eastAsia="Calibri"/>
                <w:sz w:val="20"/>
              </w:rPr>
            </w:pPr>
            <w:r w:rsidRPr="00201A3F">
              <w:rPr>
                <w:rFonts w:eastAsia="Calibri"/>
                <w:sz w:val="20"/>
              </w:rPr>
              <w:t>Supreme Court of Canada</w:t>
            </w:r>
          </w:p>
        </w:tc>
        <w:tc>
          <w:tcPr>
            <w:tcW w:w="243" w:type="pct"/>
          </w:tcPr>
          <w:p w:rsidR="007C40B1" w:rsidRPr="00201A3F" w:rsidRDefault="007C40B1" w:rsidP="00B803D5">
            <w:pPr>
              <w:jc w:val="both"/>
              <w:rPr>
                <w:rFonts w:eastAsia="Calibri"/>
                <w:sz w:val="20"/>
              </w:rPr>
            </w:pPr>
          </w:p>
        </w:tc>
        <w:tc>
          <w:tcPr>
            <w:tcW w:w="2330" w:type="pct"/>
          </w:tcPr>
          <w:p w:rsidR="007C40B1" w:rsidRPr="00201A3F" w:rsidRDefault="007C40B1" w:rsidP="00B803D5">
            <w:pPr>
              <w:jc w:val="both"/>
              <w:rPr>
                <w:rFonts w:eastAsia="Calibri"/>
                <w:sz w:val="20"/>
              </w:rPr>
            </w:pPr>
            <w:r w:rsidRPr="00201A3F">
              <w:rPr>
                <w:rFonts w:eastAsia="Calibri"/>
                <w:sz w:val="20"/>
              </w:rPr>
              <w:t>Application for leave to appeal filed.</w:t>
            </w:r>
          </w:p>
        </w:tc>
      </w:tr>
    </w:tbl>
    <w:p w:rsidR="00A740D1" w:rsidRDefault="00A740D1" w:rsidP="00A740D1">
      <w:pPr>
        <w:rPr>
          <w:sz w:val="20"/>
          <w:szCs w:val="20"/>
        </w:rPr>
      </w:pPr>
    </w:p>
    <w:p w:rsidR="00A740D1" w:rsidRPr="00C50A5C" w:rsidRDefault="00BF3B03" w:rsidP="00A740D1">
      <w:pPr>
        <w:rPr>
          <w:sz w:val="20"/>
          <w:szCs w:val="20"/>
        </w:rPr>
      </w:pPr>
      <w:r w:rsidRPr="00BF3B03">
        <w:rPr>
          <w:sz w:val="20"/>
          <w:szCs w:val="20"/>
          <w:lang w:val="fr-CA"/>
        </w:rPr>
        <w:pict>
          <v:rect id="_x0000_i1052" style="width:2in;height:1pt" o:hrpct="0" o:hralign="center" o:hrstd="t" o:hrnoshade="t" o:hr="t" fillcolor="black [3213]" stroked="f"/>
        </w:pict>
      </w:r>
    </w:p>
    <w:p w:rsidR="00A740D1" w:rsidRDefault="00A740D1" w:rsidP="00A740D1">
      <w:pPr>
        <w:rPr>
          <w:sz w:val="20"/>
          <w:szCs w:val="20"/>
        </w:rPr>
      </w:pPr>
    </w:p>
    <w:p w:rsidR="00A740D1" w:rsidRPr="001B157C" w:rsidRDefault="00A740D1" w:rsidP="00A740D1">
      <w:pPr>
        <w:rPr>
          <w:sz w:val="20"/>
          <w:szCs w:val="20"/>
          <w:u w:val="single"/>
          <w:lang w:val="fr-CA"/>
        </w:rPr>
      </w:pPr>
      <w:r w:rsidRPr="001B157C">
        <w:rPr>
          <w:sz w:val="20"/>
          <w:szCs w:val="20"/>
          <w:u w:val="single"/>
          <w:lang w:val="fr-CA"/>
        </w:rPr>
        <w:t>RÉSUMÉ DE L’AFFAIRE</w:t>
      </w:r>
    </w:p>
    <w:p w:rsidR="00A740D1" w:rsidRDefault="00A740D1" w:rsidP="00A740D1">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7C40B1" w:rsidRPr="00DC2D1F" w:rsidTr="00B803D5">
        <w:tc>
          <w:tcPr>
            <w:tcW w:w="5000" w:type="pct"/>
            <w:gridSpan w:val="3"/>
          </w:tcPr>
          <w:p w:rsidR="007C40B1" w:rsidRPr="00201A3F" w:rsidRDefault="007C40B1" w:rsidP="00B803D5">
            <w:pPr>
              <w:jc w:val="both"/>
              <w:rPr>
                <w:rFonts w:eastAsia="Calibri"/>
                <w:sz w:val="20"/>
                <w:lang w:val="fr-CA"/>
              </w:rPr>
            </w:pPr>
            <w:r w:rsidRPr="00201A3F">
              <w:rPr>
                <w:rFonts w:eastAsia="Calibri"/>
                <w:sz w:val="20"/>
                <w:lang w:val="fr-CA"/>
              </w:rPr>
              <w:t xml:space="preserve">Droit administratif — Contrôle judiciaire — </w:t>
            </w:r>
            <w:r w:rsidRPr="00201A3F">
              <w:rPr>
                <w:rFonts w:eastAsia="Calibri"/>
                <w:i/>
                <w:sz w:val="20"/>
                <w:lang w:val="fr-CA"/>
              </w:rPr>
              <w:t>Workers Compensation Act</w:t>
            </w:r>
            <w:r w:rsidRPr="00201A3F">
              <w:rPr>
                <w:rFonts w:eastAsia="Calibri"/>
                <w:sz w:val="20"/>
                <w:lang w:val="fr-CA"/>
              </w:rPr>
              <w:t xml:space="preserve">, R.S.B.C. 1996, ch. 492, par. 23(1), par. 23(3), par. 23(3.1), par. 99(2), par. 250(2), art. 251 et art. 255 — </w:t>
            </w:r>
            <w:r w:rsidRPr="00201A3F">
              <w:rPr>
                <w:rFonts w:eastAsia="Calibri"/>
                <w:i/>
                <w:sz w:val="20"/>
                <w:lang w:val="fr-CA"/>
              </w:rPr>
              <w:t>Administrative Tribunals Act</w:t>
            </w:r>
            <w:r w:rsidRPr="00201A3F">
              <w:rPr>
                <w:rFonts w:eastAsia="Calibri"/>
                <w:sz w:val="20"/>
                <w:lang w:val="fr-CA"/>
              </w:rPr>
              <w:t>, S.B.C. 2004, ch. 45, art. 58 —</w:t>
            </w:r>
            <w:r w:rsidRPr="00201A3F">
              <w:rPr>
                <w:rFonts w:eastAsia="Calibri"/>
                <w:i/>
                <w:sz w:val="20"/>
                <w:lang w:val="fr-CA"/>
              </w:rPr>
              <w:t xml:space="preserve"> Loi constitutionnelle de 1867</w:t>
            </w:r>
            <w:r w:rsidRPr="00201A3F">
              <w:rPr>
                <w:rFonts w:eastAsia="Calibri"/>
                <w:sz w:val="20"/>
                <w:lang w:val="fr-CA"/>
              </w:rPr>
              <w:t xml:space="preserve"> — Une cour supérieure devrait</w:t>
            </w:r>
            <w:r w:rsidRPr="00201A3F">
              <w:rPr>
                <w:rFonts w:eastAsia="Calibri"/>
                <w:sz w:val="20"/>
                <w:lang w:val="fr-CA"/>
              </w:rPr>
              <w:noBreakHyphen/>
              <w:t>elle entreprendre directement le contrôle judiciaire de la décision d’un tribunal administratif qui, en vertu de la loi, peut être examinée par un autre tribunal administratif suivant la norme de la décision raisonnable? — Comment une cour doit</w:t>
            </w:r>
            <w:r w:rsidRPr="00201A3F">
              <w:rPr>
                <w:rFonts w:eastAsia="Calibri"/>
                <w:sz w:val="20"/>
                <w:lang w:val="fr-CA"/>
              </w:rPr>
              <w:noBreakHyphen/>
              <w:t>elle identifier l’objet qu’il convient de contrôler? — Dans quelles situations une question de droit est</w:t>
            </w:r>
            <w:r w:rsidRPr="00201A3F">
              <w:rPr>
                <w:rFonts w:eastAsia="Calibri"/>
                <w:sz w:val="20"/>
                <w:lang w:val="fr-CA"/>
              </w:rPr>
              <w:noBreakHyphen/>
              <w:t>elle une question qui relève fondamentalement de la compétence d’une cour établie en vertu de l'article 96? — Le fait qu'un tribunal soit tenu par la loi de faire preuve de déférence lorsqu'il examine la décision d'un autre tribunal signifie</w:t>
            </w:r>
            <w:r w:rsidRPr="00201A3F">
              <w:rPr>
                <w:rFonts w:eastAsia="Calibri"/>
                <w:sz w:val="20"/>
                <w:lang w:val="fr-CA"/>
              </w:rPr>
              <w:noBreakHyphen/>
              <w:t>t</w:t>
            </w:r>
            <w:r w:rsidRPr="00201A3F">
              <w:rPr>
                <w:rFonts w:eastAsia="Calibri"/>
                <w:sz w:val="20"/>
                <w:lang w:val="fr-CA"/>
              </w:rPr>
              <w:noBreakHyphen/>
              <w:t xml:space="preserve">il que la cour peut passer outre à l'intention claire du législateur et contrôler judiciairement la décision du premier tribunal sans égard à la décision du deuxième tribunal? — À la lumière des principes énoncés dans l'arrêt </w:t>
            </w:r>
            <w:r w:rsidRPr="00201A3F">
              <w:rPr>
                <w:rFonts w:eastAsia="Calibri"/>
                <w:i/>
                <w:iCs/>
                <w:sz w:val="20"/>
                <w:lang w:val="fr-CA"/>
              </w:rPr>
              <w:t>Alberta (Information and Privacy Commissioner) c. Alberta Teachers’ Association</w:t>
            </w:r>
            <w:r w:rsidRPr="00201A3F">
              <w:rPr>
                <w:rFonts w:eastAsia="Calibri"/>
                <w:sz w:val="20"/>
                <w:lang w:val="fr-CA"/>
              </w:rPr>
              <w:t xml:space="preserve">, </w:t>
            </w:r>
            <w:hyperlink r:id="rId27" w:tgtFrame="_parent" w:history="1">
              <w:r w:rsidRPr="00201A3F">
                <w:rPr>
                  <w:rFonts w:eastAsia="Calibri"/>
                  <w:sz w:val="20"/>
                  <w:lang w:val="fr-CA"/>
                </w:rPr>
                <w:t>[2011] 3 R.C.S. 654</w:t>
              </w:r>
            </w:hyperlink>
            <w:r w:rsidRPr="00201A3F">
              <w:rPr>
                <w:rFonts w:eastAsia="Calibri"/>
                <w:sz w:val="20"/>
                <w:lang w:val="fr-CA"/>
              </w:rPr>
              <w:t xml:space="preserve">, </w:t>
            </w:r>
            <w:hyperlink r:id="rId28" w:tgtFrame="_parent" w:history="1">
              <w:r w:rsidRPr="00201A3F">
                <w:rPr>
                  <w:rFonts w:eastAsia="Calibri"/>
                  <w:sz w:val="20"/>
                  <w:lang w:val="fr-CA"/>
                </w:rPr>
                <w:t>2011 CSC 61</w:t>
              </w:r>
            </w:hyperlink>
            <w:r w:rsidRPr="00201A3F">
              <w:rPr>
                <w:rFonts w:eastAsia="Calibri"/>
                <w:sz w:val="20"/>
                <w:lang w:val="fr-CA"/>
              </w:rPr>
              <w:t>, une cour doit</w:t>
            </w:r>
            <w:r w:rsidRPr="00201A3F">
              <w:rPr>
                <w:rFonts w:eastAsia="Calibri"/>
                <w:sz w:val="20"/>
                <w:lang w:val="fr-CA"/>
              </w:rPr>
              <w:noBreakHyphen/>
              <w:t>elle exercer son pouvoir discrétionnaire d'accorder le contrôle judiciaire lorsqu'une question aurait pu être — mais n'a pas été — soulevée devant le tribunal administratif dans une situation où le demandeur avait été invité à présenter des observations mais a refusé de le faire et où il n'y a aucune décision implicite portant sur la question précise soulevée?</w:t>
            </w:r>
          </w:p>
        </w:tc>
      </w:tr>
      <w:tr w:rsidR="007C40B1" w:rsidRPr="00DC2D1F" w:rsidTr="00B803D5">
        <w:tc>
          <w:tcPr>
            <w:tcW w:w="5000" w:type="pct"/>
            <w:gridSpan w:val="3"/>
          </w:tcPr>
          <w:p w:rsidR="007C40B1" w:rsidRPr="00201A3F" w:rsidRDefault="007C40B1" w:rsidP="00B803D5">
            <w:pPr>
              <w:jc w:val="both"/>
              <w:rPr>
                <w:rFonts w:eastAsia="Calibri"/>
                <w:sz w:val="20"/>
                <w:lang w:val="fr-CA"/>
              </w:rPr>
            </w:pPr>
          </w:p>
        </w:tc>
      </w:tr>
      <w:tr w:rsidR="007C40B1" w:rsidRPr="00DC2D1F" w:rsidTr="00B803D5">
        <w:tc>
          <w:tcPr>
            <w:tcW w:w="5000" w:type="pct"/>
            <w:gridSpan w:val="3"/>
          </w:tcPr>
          <w:p w:rsidR="007C40B1" w:rsidRPr="00201A3F" w:rsidRDefault="007C40B1" w:rsidP="00B803D5">
            <w:pPr>
              <w:jc w:val="both"/>
              <w:rPr>
                <w:rFonts w:eastAsia="Calibri"/>
                <w:sz w:val="20"/>
                <w:lang w:val="fr-CA"/>
              </w:rPr>
            </w:pPr>
            <w:r w:rsidRPr="00201A3F">
              <w:rPr>
                <w:rFonts w:eastAsia="Calibri"/>
                <w:sz w:val="20"/>
                <w:lang w:val="fr-CA"/>
              </w:rPr>
              <w:t xml:space="preserve">L'intimé Marco Jozipovic a subi une blessure au dos pendant qu'il travaillait comme ouvrier aciériste.  À compter du 25 octobre 2004, la Workers’ Compensation Board (la « commission ») a déclaré qu'il avait droit à des prestations pour incapacité partielle permanente sous le régime de la </w:t>
            </w:r>
            <w:r w:rsidRPr="00201A3F">
              <w:rPr>
                <w:rFonts w:eastAsia="Calibri"/>
                <w:i/>
                <w:sz w:val="20"/>
                <w:lang w:val="fr-CA"/>
              </w:rPr>
              <w:t>Workers Compensation Act</w:t>
            </w:r>
            <w:r w:rsidRPr="00201A3F">
              <w:rPr>
                <w:rFonts w:eastAsia="Calibri"/>
                <w:sz w:val="20"/>
                <w:lang w:val="fr-CA"/>
              </w:rPr>
              <w:t>, R.S.B.C. 1996, ch. 492 (la « Loi »).  La commission a appliqué la méthode dite de la « déficience fonctionnelle » dans son évaluation du droit de l'intimé à une indemnité en vertu du par. 23(1) de la Loi et a rejeté la méthode dite de la [</w:t>
            </w:r>
            <w:r w:rsidRPr="00201A3F">
              <w:rPr>
                <w:rFonts w:eastAsia="Calibri"/>
                <w:smallCaps/>
                <w:sz w:val="20"/>
                <w:lang w:val="fr-CA"/>
              </w:rPr>
              <w:t>traduction</w:t>
            </w:r>
            <w:r w:rsidRPr="00201A3F">
              <w:rPr>
                <w:rFonts w:eastAsia="Calibri"/>
                <w:sz w:val="20"/>
                <w:lang w:val="fr-CA"/>
              </w:rPr>
              <w:t xml:space="preserve">] « perte de gains » prévue au par. 23(3) de la Loi.  Ce faisant, la commission respectait la politique établie par son conseil d'administration à cet égard, qui énonce obligatoirement la procédure et les critères relatifs à l'applicabilité des par. 23(3) et 23(3.2) de la Loi.  L'évaluation de la commission a été confirmée au terme d'un examen par un agent de révision et de nouveau en appel par le Workers’ Compensation Appeal Tribunal (le « tribunal »).  L'intimé a ensuite introduit une instance en réexamen devant le tribunal, mais il a été débouté de nouveau.  Par la suite, l'intimé a présenté une demande de contrôle judiciaire, faisant notamment valoir que la politique établie par le conseil </w:t>
            </w:r>
            <w:r w:rsidRPr="00201A3F">
              <w:rPr>
                <w:rFonts w:eastAsia="Calibri"/>
                <w:sz w:val="20"/>
                <w:lang w:val="fr-CA"/>
              </w:rPr>
              <w:lastRenderedPageBreak/>
              <w:t xml:space="preserve">d'administration de la commission relativement à l'utilisation de la méthode dite de la « perte des gains » </w:t>
            </w:r>
            <w:proofErr w:type="gramStart"/>
            <w:r w:rsidRPr="00201A3F">
              <w:rPr>
                <w:rFonts w:eastAsia="Calibri"/>
                <w:sz w:val="20"/>
                <w:lang w:val="fr-CA"/>
              </w:rPr>
              <w:t>était</w:t>
            </w:r>
            <w:proofErr w:type="gramEnd"/>
            <w:r w:rsidRPr="00201A3F">
              <w:rPr>
                <w:rFonts w:eastAsia="Calibri"/>
                <w:sz w:val="20"/>
                <w:lang w:val="fr-CA"/>
              </w:rPr>
              <w:t xml:space="preserve"> indûment restrictive et non étayée par la Loi.</w:t>
            </w:r>
          </w:p>
          <w:p w:rsidR="007C40B1" w:rsidRPr="00201A3F" w:rsidRDefault="007C40B1" w:rsidP="00B803D5">
            <w:pPr>
              <w:jc w:val="both"/>
              <w:rPr>
                <w:rFonts w:eastAsia="Calibri"/>
                <w:sz w:val="20"/>
                <w:lang w:val="fr-CA"/>
              </w:rPr>
            </w:pPr>
          </w:p>
        </w:tc>
      </w:tr>
      <w:tr w:rsidR="007C40B1" w:rsidRPr="00DC2D1F" w:rsidTr="00B803D5">
        <w:tc>
          <w:tcPr>
            <w:tcW w:w="2427" w:type="pct"/>
          </w:tcPr>
          <w:p w:rsidR="007C40B1" w:rsidRPr="00201A3F" w:rsidRDefault="007C40B1" w:rsidP="00B803D5">
            <w:pPr>
              <w:jc w:val="both"/>
              <w:rPr>
                <w:rFonts w:eastAsia="Calibri"/>
                <w:sz w:val="20"/>
              </w:rPr>
            </w:pPr>
            <w:r w:rsidRPr="00201A3F">
              <w:rPr>
                <w:rFonts w:eastAsia="Calibri"/>
                <w:sz w:val="20"/>
              </w:rPr>
              <w:lastRenderedPageBreak/>
              <w:t>30 mai 2006</w:t>
            </w:r>
          </w:p>
          <w:p w:rsidR="007C40B1" w:rsidRPr="00201A3F" w:rsidRDefault="007C40B1" w:rsidP="00B803D5">
            <w:pPr>
              <w:jc w:val="both"/>
              <w:rPr>
                <w:rFonts w:eastAsia="Calibri"/>
                <w:sz w:val="20"/>
              </w:rPr>
            </w:pPr>
            <w:r w:rsidRPr="00201A3F">
              <w:rPr>
                <w:rFonts w:eastAsia="Calibri"/>
                <w:sz w:val="20"/>
              </w:rPr>
              <w:t>Workers’ Compensation Appeal Tribunal</w:t>
            </w:r>
          </w:p>
          <w:p w:rsidR="007C40B1" w:rsidRPr="00201A3F" w:rsidRDefault="007C40B1" w:rsidP="00B803D5">
            <w:pPr>
              <w:jc w:val="both"/>
              <w:rPr>
                <w:rFonts w:eastAsia="Calibri"/>
                <w:sz w:val="20"/>
              </w:rPr>
            </w:pPr>
            <w:r w:rsidRPr="00201A3F">
              <w:rPr>
                <w:rFonts w:eastAsia="Calibri"/>
                <w:sz w:val="20"/>
              </w:rPr>
              <w:t>N</w:t>
            </w:r>
            <w:r w:rsidRPr="00201A3F">
              <w:rPr>
                <w:rFonts w:eastAsia="Calibri"/>
                <w:sz w:val="20"/>
                <w:vertAlign w:val="superscript"/>
              </w:rPr>
              <w:t>o</w:t>
            </w:r>
            <w:r w:rsidRPr="00201A3F">
              <w:rPr>
                <w:rFonts w:eastAsia="Calibri"/>
                <w:sz w:val="20"/>
              </w:rPr>
              <w:t xml:space="preserve"> 2006</w:t>
            </w:r>
            <w:r w:rsidRPr="00201A3F">
              <w:rPr>
                <w:rFonts w:eastAsia="Calibri"/>
                <w:sz w:val="20"/>
              </w:rPr>
              <w:noBreakHyphen/>
              <w:t>02312</w:t>
            </w:r>
          </w:p>
        </w:tc>
        <w:tc>
          <w:tcPr>
            <w:tcW w:w="243" w:type="pct"/>
          </w:tcPr>
          <w:p w:rsidR="007C40B1" w:rsidRPr="00201A3F" w:rsidRDefault="007C40B1" w:rsidP="00B803D5">
            <w:pPr>
              <w:jc w:val="both"/>
              <w:rPr>
                <w:rFonts w:eastAsia="Calibri"/>
                <w:sz w:val="20"/>
              </w:rPr>
            </w:pPr>
          </w:p>
        </w:tc>
        <w:tc>
          <w:tcPr>
            <w:tcW w:w="2330" w:type="pct"/>
          </w:tcPr>
          <w:p w:rsidR="007C40B1" w:rsidRPr="00201A3F" w:rsidRDefault="007C40B1" w:rsidP="00B803D5">
            <w:pPr>
              <w:jc w:val="both"/>
              <w:rPr>
                <w:rFonts w:eastAsia="Calibri"/>
                <w:sz w:val="20"/>
                <w:lang w:val="fr-CA"/>
              </w:rPr>
            </w:pPr>
            <w:r w:rsidRPr="00201A3F">
              <w:rPr>
                <w:rFonts w:eastAsia="Calibri"/>
                <w:sz w:val="20"/>
                <w:lang w:val="fr-CA"/>
              </w:rPr>
              <w:t>Droit de l'intimé Marko Jozipovic à une indemnité en vertu du par. 23(1) de la Loi tel que reconnu par la commission, confirmé (la « décision initiale »).</w:t>
            </w:r>
          </w:p>
          <w:p w:rsidR="007C40B1" w:rsidRPr="00201A3F" w:rsidRDefault="007C40B1" w:rsidP="00B803D5">
            <w:pPr>
              <w:jc w:val="both"/>
              <w:rPr>
                <w:rFonts w:eastAsia="Calibri"/>
                <w:sz w:val="20"/>
                <w:lang w:val="fr-CA"/>
              </w:rPr>
            </w:pPr>
          </w:p>
        </w:tc>
      </w:tr>
      <w:tr w:rsidR="007C40B1" w:rsidRPr="00DC2D1F" w:rsidTr="00B803D5">
        <w:tc>
          <w:tcPr>
            <w:tcW w:w="2427" w:type="pct"/>
          </w:tcPr>
          <w:p w:rsidR="007C40B1" w:rsidRPr="00201A3F" w:rsidRDefault="007C40B1" w:rsidP="00B803D5">
            <w:pPr>
              <w:jc w:val="both"/>
              <w:rPr>
                <w:rFonts w:eastAsia="Calibri"/>
                <w:sz w:val="20"/>
              </w:rPr>
            </w:pPr>
            <w:r w:rsidRPr="00201A3F">
              <w:rPr>
                <w:rFonts w:eastAsia="Calibri"/>
                <w:sz w:val="20"/>
              </w:rPr>
              <w:t>8 octobre 2009</w:t>
            </w:r>
          </w:p>
          <w:p w:rsidR="007C40B1" w:rsidRPr="00201A3F" w:rsidRDefault="007C40B1" w:rsidP="00B803D5">
            <w:pPr>
              <w:jc w:val="both"/>
              <w:rPr>
                <w:rFonts w:eastAsia="Calibri"/>
                <w:sz w:val="20"/>
              </w:rPr>
            </w:pPr>
            <w:r w:rsidRPr="00201A3F">
              <w:rPr>
                <w:rFonts w:eastAsia="Calibri"/>
                <w:sz w:val="20"/>
              </w:rPr>
              <w:t>Workers’ Compensation Appeal Tribunal</w:t>
            </w:r>
          </w:p>
          <w:p w:rsidR="007C40B1" w:rsidRPr="00201A3F" w:rsidRDefault="007C40B1" w:rsidP="00B803D5">
            <w:pPr>
              <w:jc w:val="both"/>
              <w:rPr>
                <w:rFonts w:eastAsia="Calibri"/>
                <w:sz w:val="20"/>
              </w:rPr>
            </w:pPr>
            <w:r w:rsidRPr="00201A3F">
              <w:rPr>
                <w:rFonts w:eastAsia="Calibri"/>
                <w:sz w:val="20"/>
              </w:rPr>
              <w:t>N</w:t>
            </w:r>
            <w:r w:rsidRPr="00201A3F">
              <w:rPr>
                <w:rFonts w:eastAsia="Calibri"/>
                <w:sz w:val="20"/>
                <w:vertAlign w:val="superscript"/>
              </w:rPr>
              <w:t>o</w:t>
            </w:r>
            <w:r w:rsidRPr="00201A3F">
              <w:rPr>
                <w:rFonts w:eastAsia="Calibri"/>
                <w:sz w:val="20"/>
              </w:rPr>
              <w:t xml:space="preserve"> 2009</w:t>
            </w:r>
            <w:r w:rsidRPr="00201A3F">
              <w:rPr>
                <w:rFonts w:eastAsia="Calibri"/>
                <w:sz w:val="20"/>
              </w:rPr>
              <w:noBreakHyphen/>
              <w:t>02631</w:t>
            </w:r>
          </w:p>
          <w:p w:rsidR="007C40B1" w:rsidRPr="00201A3F" w:rsidRDefault="007C40B1" w:rsidP="00B803D5">
            <w:pPr>
              <w:jc w:val="both"/>
              <w:rPr>
                <w:rFonts w:eastAsia="Calibri"/>
                <w:sz w:val="20"/>
              </w:rPr>
            </w:pPr>
          </w:p>
        </w:tc>
        <w:tc>
          <w:tcPr>
            <w:tcW w:w="243" w:type="pct"/>
          </w:tcPr>
          <w:p w:rsidR="007C40B1" w:rsidRPr="00201A3F" w:rsidRDefault="007C40B1" w:rsidP="00B803D5">
            <w:pPr>
              <w:jc w:val="both"/>
              <w:rPr>
                <w:rFonts w:eastAsia="Calibri"/>
                <w:sz w:val="20"/>
              </w:rPr>
            </w:pPr>
          </w:p>
        </w:tc>
        <w:tc>
          <w:tcPr>
            <w:tcW w:w="2330" w:type="pct"/>
          </w:tcPr>
          <w:p w:rsidR="007C40B1" w:rsidRPr="00201A3F" w:rsidRDefault="007C40B1" w:rsidP="00B803D5">
            <w:pPr>
              <w:jc w:val="both"/>
              <w:rPr>
                <w:rFonts w:eastAsia="Calibri"/>
                <w:sz w:val="20"/>
                <w:lang w:val="fr-CA"/>
              </w:rPr>
            </w:pPr>
            <w:r w:rsidRPr="00201A3F">
              <w:rPr>
                <w:rFonts w:eastAsia="Calibri"/>
                <w:sz w:val="20"/>
                <w:lang w:val="fr-CA"/>
              </w:rPr>
              <w:t>Décision initiale confirmée (la « décision en réexamen »).</w:t>
            </w:r>
          </w:p>
        </w:tc>
      </w:tr>
      <w:tr w:rsidR="007C40B1" w:rsidRPr="00DC2D1F" w:rsidTr="00B803D5">
        <w:tc>
          <w:tcPr>
            <w:tcW w:w="2427" w:type="pct"/>
          </w:tcPr>
          <w:p w:rsidR="007C40B1" w:rsidRPr="00201A3F" w:rsidRDefault="007C40B1" w:rsidP="00B803D5">
            <w:pPr>
              <w:jc w:val="both"/>
              <w:rPr>
                <w:rFonts w:eastAsia="Calibri"/>
                <w:sz w:val="20"/>
                <w:lang w:val="fr-CA"/>
              </w:rPr>
            </w:pPr>
            <w:r w:rsidRPr="00201A3F">
              <w:rPr>
                <w:rFonts w:eastAsia="Calibri"/>
                <w:sz w:val="20"/>
                <w:lang w:val="fr-CA"/>
              </w:rPr>
              <w:t>18 mars 2011</w:t>
            </w:r>
          </w:p>
          <w:p w:rsidR="007C40B1" w:rsidRPr="00201A3F" w:rsidRDefault="007C40B1" w:rsidP="00B803D5">
            <w:pPr>
              <w:jc w:val="both"/>
              <w:rPr>
                <w:rFonts w:eastAsia="Calibri"/>
                <w:sz w:val="20"/>
                <w:lang w:val="fr-CA"/>
              </w:rPr>
            </w:pPr>
            <w:r w:rsidRPr="00201A3F">
              <w:rPr>
                <w:rFonts w:eastAsia="Calibri"/>
                <w:sz w:val="20"/>
                <w:lang w:val="fr-CA"/>
              </w:rPr>
              <w:t>Cour suprême de la Colombie</w:t>
            </w:r>
            <w:r w:rsidRPr="00201A3F">
              <w:rPr>
                <w:rFonts w:eastAsia="Calibri"/>
                <w:sz w:val="20"/>
                <w:lang w:val="fr-CA"/>
              </w:rPr>
              <w:noBreakHyphen/>
              <w:t xml:space="preserve">Britannique </w:t>
            </w:r>
          </w:p>
          <w:p w:rsidR="007C40B1" w:rsidRPr="00201A3F" w:rsidRDefault="007C40B1" w:rsidP="00B803D5">
            <w:pPr>
              <w:jc w:val="both"/>
              <w:rPr>
                <w:rFonts w:eastAsia="Calibri"/>
                <w:sz w:val="20"/>
              </w:rPr>
            </w:pPr>
            <w:r w:rsidRPr="00201A3F">
              <w:rPr>
                <w:rFonts w:eastAsia="Calibri"/>
                <w:sz w:val="20"/>
              </w:rPr>
              <w:t>(Juge Bruce)</w:t>
            </w:r>
          </w:p>
          <w:p w:rsidR="007C40B1" w:rsidRPr="00201A3F" w:rsidRDefault="007C40B1" w:rsidP="00B803D5">
            <w:pPr>
              <w:jc w:val="both"/>
              <w:rPr>
                <w:rFonts w:eastAsia="Calibri"/>
                <w:sz w:val="20"/>
              </w:rPr>
            </w:pPr>
            <w:r w:rsidRPr="00201A3F">
              <w:rPr>
                <w:rFonts w:eastAsia="Calibri"/>
                <w:sz w:val="20"/>
              </w:rPr>
              <w:t>N</w:t>
            </w:r>
            <w:r w:rsidRPr="00201A3F">
              <w:rPr>
                <w:rFonts w:eastAsia="Calibri"/>
                <w:sz w:val="20"/>
                <w:vertAlign w:val="superscript"/>
              </w:rPr>
              <w:t>o</w:t>
            </w:r>
            <w:r w:rsidRPr="00201A3F">
              <w:rPr>
                <w:rFonts w:eastAsia="Calibri"/>
                <w:sz w:val="20"/>
              </w:rPr>
              <w:t xml:space="preserve"> S098894; 2011 BCSC 329</w:t>
            </w:r>
          </w:p>
          <w:p w:rsidR="007C40B1" w:rsidRPr="00201A3F" w:rsidRDefault="007C40B1" w:rsidP="00B803D5">
            <w:pPr>
              <w:jc w:val="both"/>
              <w:rPr>
                <w:rFonts w:eastAsia="Calibri"/>
                <w:sz w:val="20"/>
              </w:rPr>
            </w:pPr>
          </w:p>
        </w:tc>
        <w:tc>
          <w:tcPr>
            <w:tcW w:w="243" w:type="pct"/>
          </w:tcPr>
          <w:p w:rsidR="007C40B1" w:rsidRPr="00201A3F" w:rsidRDefault="007C40B1" w:rsidP="00B803D5">
            <w:pPr>
              <w:jc w:val="both"/>
              <w:rPr>
                <w:rFonts w:eastAsia="Calibri"/>
                <w:sz w:val="20"/>
              </w:rPr>
            </w:pPr>
          </w:p>
        </w:tc>
        <w:tc>
          <w:tcPr>
            <w:tcW w:w="2330" w:type="pct"/>
          </w:tcPr>
          <w:p w:rsidR="007C40B1" w:rsidRPr="00201A3F" w:rsidRDefault="007C40B1" w:rsidP="00B803D5">
            <w:pPr>
              <w:jc w:val="both"/>
              <w:rPr>
                <w:rFonts w:eastAsia="Calibri"/>
                <w:sz w:val="20"/>
                <w:lang w:val="fr-CA"/>
              </w:rPr>
            </w:pPr>
            <w:r w:rsidRPr="00201A3F">
              <w:rPr>
                <w:rFonts w:eastAsia="Calibri"/>
                <w:sz w:val="20"/>
                <w:lang w:val="fr-CA"/>
              </w:rPr>
              <w:t>Décision initiale et décision en réexamen déclarées manifestement déraisonnables dans la mesure où elles se rapportent (i) au calcul du montant de l'indemnité accordée à l'intimé au titre de la déficience fonctionnelle en vertu du par. 23(1) de la Loi et (ii) à l'évaluation du droit de l'intimé à une pension calculée en vertu du par. 23(3) de la Loi au motif que la politique du conseil d'administration de la commission n'est pas rationnellement étayée par la Loi. Les deux décisions sont donc annulées et la commission est enjointe de réexaminer le droit à pension de l'intimé en vertu des par. 23(1) et 23(3) de la Loi ayant dûment égard aux principes énoncés par la Cour suprême de la Colombie</w:t>
            </w:r>
            <w:r w:rsidRPr="00201A3F">
              <w:rPr>
                <w:rFonts w:eastAsia="Calibri"/>
                <w:sz w:val="20"/>
                <w:lang w:val="fr-CA"/>
              </w:rPr>
              <w:noBreakHyphen/>
              <w:t>Britannique.</w:t>
            </w:r>
          </w:p>
          <w:p w:rsidR="007C40B1" w:rsidRPr="00201A3F" w:rsidRDefault="007C40B1" w:rsidP="00B803D5">
            <w:pPr>
              <w:jc w:val="both"/>
              <w:rPr>
                <w:rFonts w:eastAsia="Calibri"/>
                <w:sz w:val="20"/>
                <w:lang w:val="fr-CA"/>
              </w:rPr>
            </w:pPr>
          </w:p>
        </w:tc>
      </w:tr>
      <w:tr w:rsidR="007C40B1" w:rsidRPr="00DC2D1F" w:rsidTr="00B803D5">
        <w:tc>
          <w:tcPr>
            <w:tcW w:w="2427" w:type="pct"/>
          </w:tcPr>
          <w:p w:rsidR="007C40B1" w:rsidRPr="00201A3F" w:rsidRDefault="007C40B1" w:rsidP="00B803D5">
            <w:pPr>
              <w:jc w:val="both"/>
              <w:rPr>
                <w:rFonts w:eastAsia="Calibri"/>
                <w:sz w:val="20"/>
                <w:lang w:val="fr-CA"/>
              </w:rPr>
            </w:pPr>
            <w:r w:rsidRPr="00201A3F">
              <w:rPr>
                <w:rFonts w:eastAsia="Calibri"/>
                <w:sz w:val="20"/>
                <w:lang w:val="fr-CA"/>
              </w:rPr>
              <w:t>26 avril 2012</w:t>
            </w:r>
          </w:p>
          <w:p w:rsidR="007C40B1" w:rsidRPr="00201A3F" w:rsidRDefault="007C40B1" w:rsidP="00B803D5">
            <w:pPr>
              <w:jc w:val="both"/>
              <w:rPr>
                <w:rFonts w:eastAsia="Calibri"/>
                <w:sz w:val="20"/>
                <w:lang w:val="fr-CA"/>
              </w:rPr>
            </w:pPr>
            <w:r w:rsidRPr="00201A3F">
              <w:rPr>
                <w:rFonts w:eastAsia="Calibri"/>
                <w:sz w:val="20"/>
                <w:lang w:val="fr-CA"/>
              </w:rPr>
              <w:t>Cour d'appel de la Colombie</w:t>
            </w:r>
            <w:r w:rsidRPr="00201A3F">
              <w:rPr>
                <w:rFonts w:eastAsia="Calibri"/>
                <w:sz w:val="20"/>
                <w:lang w:val="fr-CA"/>
              </w:rPr>
              <w:noBreakHyphen/>
              <w:t>Britannique (Vancouver)</w:t>
            </w:r>
          </w:p>
          <w:p w:rsidR="007C40B1" w:rsidRPr="00201A3F" w:rsidRDefault="007C40B1" w:rsidP="00B803D5">
            <w:pPr>
              <w:jc w:val="both"/>
              <w:rPr>
                <w:rFonts w:eastAsia="Calibri"/>
                <w:sz w:val="20"/>
              </w:rPr>
            </w:pPr>
            <w:r w:rsidRPr="00201A3F">
              <w:rPr>
                <w:rFonts w:eastAsia="Calibri"/>
                <w:sz w:val="20"/>
              </w:rPr>
              <w:t>(Juges Newbury, Kirkpatrick et Groberman)</w:t>
            </w:r>
          </w:p>
          <w:p w:rsidR="007C40B1" w:rsidRPr="00201A3F" w:rsidRDefault="007C40B1" w:rsidP="00B803D5">
            <w:pPr>
              <w:jc w:val="both"/>
              <w:rPr>
                <w:rFonts w:eastAsia="Calibri"/>
                <w:sz w:val="20"/>
              </w:rPr>
            </w:pPr>
            <w:r w:rsidRPr="00201A3F">
              <w:rPr>
                <w:rFonts w:eastAsia="Calibri"/>
                <w:sz w:val="20"/>
              </w:rPr>
              <w:t>N</w:t>
            </w:r>
            <w:r w:rsidRPr="00201A3F">
              <w:rPr>
                <w:rFonts w:eastAsia="Calibri"/>
                <w:sz w:val="20"/>
                <w:vertAlign w:val="superscript"/>
              </w:rPr>
              <w:t>o</w:t>
            </w:r>
            <w:r w:rsidRPr="00201A3F">
              <w:rPr>
                <w:rFonts w:eastAsia="Calibri"/>
                <w:sz w:val="20"/>
              </w:rPr>
              <w:t xml:space="preserve"> CA038929; 2012 BCCA 174</w:t>
            </w:r>
          </w:p>
        </w:tc>
        <w:tc>
          <w:tcPr>
            <w:tcW w:w="243" w:type="pct"/>
          </w:tcPr>
          <w:p w:rsidR="007C40B1" w:rsidRPr="00201A3F" w:rsidRDefault="007C40B1" w:rsidP="00B803D5">
            <w:pPr>
              <w:jc w:val="both"/>
              <w:rPr>
                <w:rFonts w:eastAsia="Calibri"/>
                <w:sz w:val="20"/>
              </w:rPr>
            </w:pPr>
          </w:p>
        </w:tc>
        <w:tc>
          <w:tcPr>
            <w:tcW w:w="2330" w:type="pct"/>
          </w:tcPr>
          <w:p w:rsidR="007C40B1" w:rsidRPr="00201A3F" w:rsidRDefault="007C40B1" w:rsidP="00B803D5">
            <w:pPr>
              <w:jc w:val="both"/>
              <w:rPr>
                <w:rFonts w:eastAsia="Calibri"/>
                <w:sz w:val="20"/>
                <w:lang w:val="fr-CA"/>
              </w:rPr>
            </w:pPr>
            <w:r w:rsidRPr="00201A3F">
              <w:rPr>
                <w:rFonts w:eastAsia="Calibri"/>
                <w:sz w:val="20"/>
                <w:lang w:val="fr-CA"/>
              </w:rPr>
              <w:t>L'appel de la commission est rejeté et l'appel incident de l'intimé Marko Jozipovic est accueilli; la politique du conseil d'administration de la commission est déclarée nulle dans la mesure où elle est incompatible avec la loi.</w:t>
            </w:r>
          </w:p>
          <w:p w:rsidR="007C40B1" w:rsidRPr="00201A3F" w:rsidRDefault="007C40B1" w:rsidP="00B803D5">
            <w:pPr>
              <w:jc w:val="both"/>
              <w:rPr>
                <w:rFonts w:eastAsia="Calibri"/>
                <w:sz w:val="20"/>
                <w:lang w:val="fr-CA"/>
              </w:rPr>
            </w:pPr>
          </w:p>
        </w:tc>
      </w:tr>
      <w:tr w:rsidR="007C40B1" w:rsidRPr="00201A3F" w:rsidTr="00B803D5">
        <w:tc>
          <w:tcPr>
            <w:tcW w:w="2427" w:type="pct"/>
          </w:tcPr>
          <w:p w:rsidR="007C40B1" w:rsidRPr="00201A3F" w:rsidRDefault="007C40B1" w:rsidP="00B803D5">
            <w:pPr>
              <w:jc w:val="both"/>
              <w:rPr>
                <w:rFonts w:eastAsia="Calibri"/>
                <w:sz w:val="20"/>
                <w:lang w:val="fr-CA"/>
              </w:rPr>
            </w:pPr>
            <w:r w:rsidRPr="00201A3F">
              <w:rPr>
                <w:rFonts w:eastAsia="Calibri"/>
                <w:sz w:val="20"/>
                <w:lang w:val="fr-CA"/>
              </w:rPr>
              <w:t>20 juin 2012</w:t>
            </w:r>
          </w:p>
          <w:p w:rsidR="007C40B1" w:rsidRPr="00201A3F" w:rsidRDefault="007C40B1" w:rsidP="00B803D5">
            <w:pPr>
              <w:jc w:val="both"/>
              <w:rPr>
                <w:rFonts w:eastAsia="Calibri"/>
                <w:sz w:val="20"/>
                <w:lang w:val="fr-CA"/>
              </w:rPr>
            </w:pPr>
            <w:r w:rsidRPr="00201A3F">
              <w:rPr>
                <w:rFonts w:eastAsia="Calibri"/>
                <w:sz w:val="20"/>
                <w:lang w:val="fr-CA"/>
              </w:rPr>
              <w:t>Cour suprême du Canada</w:t>
            </w:r>
          </w:p>
        </w:tc>
        <w:tc>
          <w:tcPr>
            <w:tcW w:w="243" w:type="pct"/>
          </w:tcPr>
          <w:p w:rsidR="007C40B1" w:rsidRPr="00201A3F" w:rsidRDefault="007C40B1" w:rsidP="00B803D5">
            <w:pPr>
              <w:jc w:val="both"/>
              <w:rPr>
                <w:rFonts w:eastAsia="Calibri"/>
                <w:sz w:val="20"/>
                <w:lang w:val="fr-CA"/>
              </w:rPr>
            </w:pPr>
          </w:p>
        </w:tc>
        <w:tc>
          <w:tcPr>
            <w:tcW w:w="2330" w:type="pct"/>
          </w:tcPr>
          <w:p w:rsidR="007C40B1" w:rsidRPr="00201A3F" w:rsidRDefault="007C40B1" w:rsidP="00B803D5">
            <w:pPr>
              <w:jc w:val="both"/>
              <w:rPr>
                <w:rFonts w:eastAsia="Calibri"/>
                <w:sz w:val="20"/>
                <w:lang w:val="fr-CA"/>
              </w:rPr>
            </w:pPr>
            <w:r w:rsidRPr="00201A3F">
              <w:rPr>
                <w:rFonts w:eastAsia="Calibri"/>
                <w:sz w:val="20"/>
                <w:lang w:val="fr-CA"/>
              </w:rPr>
              <w:t>Demande d'autorisation d'appel, déposée.</w:t>
            </w:r>
          </w:p>
          <w:p w:rsidR="007C40B1" w:rsidRPr="00201A3F" w:rsidRDefault="007C40B1" w:rsidP="00B803D5">
            <w:pPr>
              <w:jc w:val="both"/>
              <w:rPr>
                <w:rFonts w:eastAsia="Calibri"/>
                <w:sz w:val="20"/>
                <w:lang w:val="fr-CA"/>
              </w:rPr>
            </w:pPr>
          </w:p>
        </w:tc>
      </w:tr>
    </w:tbl>
    <w:p w:rsidR="00A740D1" w:rsidRDefault="00A740D1" w:rsidP="00A740D1">
      <w:pPr>
        <w:rPr>
          <w:sz w:val="20"/>
          <w:szCs w:val="20"/>
        </w:rPr>
      </w:pPr>
    </w:p>
    <w:p w:rsidR="00A740D1" w:rsidRDefault="00BF3B03" w:rsidP="00A740D1">
      <w:pPr>
        <w:rPr>
          <w:sz w:val="20"/>
          <w:szCs w:val="20"/>
        </w:rPr>
      </w:pPr>
      <w:r w:rsidRPr="00BF3B03">
        <w:rPr>
          <w:sz w:val="20"/>
          <w:szCs w:val="20"/>
          <w:lang w:val="fr-CA"/>
        </w:rPr>
        <w:pict>
          <v:rect id="_x0000_i1053" style="width:2in;height:1pt" o:hrpct="0" o:hralign="center" o:hrstd="t" o:hrnoshade="t" o:hr="t" fillcolor="black [3213]" stroked="f"/>
        </w:pict>
      </w:r>
    </w:p>
    <w:p w:rsidR="00A740D1" w:rsidRDefault="00A740D1" w:rsidP="00A740D1">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46290" w:rsidRPr="003C7D2B" w:rsidTr="00C46290">
        <w:trPr>
          <w:cantSplit/>
        </w:trPr>
        <w:tc>
          <w:tcPr>
            <w:tcW w:w="1458" w:type="dxa"/>
          </w:tcPr>
          <w:p w:rsidR="00C46290" w:rsidRPr="003C7D2B" w:rsidRDefault="00C46290" w:rsidP="00C46290">
            <w:pPr>
              <w:rPr>
                <w:sz w:val="20"/>
                <w:szCs w:val="20"/>
              </w:rPr>
            </w:pPr>
            <w:r w:rsidRPr="003C7D2B">
              <w:rPr>
                <w:rStyle w:val="SCCFileNumberChar"/>
                <w:sz w:val="20"/>
                <w:szCs w:val="20"/>
              </w:rPr>
              <w:t>34891</w:t>
            </w:r>
          </w:p>
          <w:p w:rsidR="00C46290" w:rsidRPr="003C7D2B" w:rsidRDefault="00C46290" w:rsidP="00C46290">
            <w:pPr>
              <w:rPr>
                <w:b/>
                <w:sz w:val="20"/>
                <w:szCs w:val="20"/>
                <w:lang w:val="fr-CA"/>
              </w:rPr>
            </w:pPr>
          </w:p>
        </w:tc>
        <w:tc>
          <w:tcPr>
            <w:tcW w:w="8118" w:type="dxa"/>
          </w:tcPr>
          <w:p w:rsidR="00C46290" w:rsidRPr="003C7D2B" w:rsidRDefault="00C46290" w:rsidP="00C46290">
            <w:pPr>
              <w:rPr>
                <w:sz w:val="20"/>
                <w:szCs w:val="20"/>
              </w:rPr>
            </w:pPr>
            <w:r w:rsidRPr="00C46290">
              <w:rPr>
                <w:rStyle w:val="SCCLsocChar"/>
                <w:sz w:val="20"/>
                <w:szCs w:val="20"/>
                <w:lang w:val="en-CA"/>
              </w:rPr>
              <w:t>Richard Rousseau v. Scotia Bank</w:t>
            </w:r>
            <w:r w:rsidRPr="003C7D2B">
              <w:rPr>
                <w:sz w:val="20"/>
                <w:szCs w:val="20"/>
              </w:rPr>
              <w:t xml:space="preserve"> (Ont.) (Civil) (By Leave)</w:t>
            </w:r>
          </w:p>
          <w:p w:rsidR="00C46290" w:rsidRPr="003C7D2B" w:rsidRDefault="00C46290" w:rsidP="00C46290">
            <w:pPr>
              <w:rPr>
                <w:sz w:val="20"/>
                <w:szCs w:val="20"/>
              </w:rPr>
            </w:pPr>
          </w:p>
        </w:tc>
      </w:tr>
      <w:tr w:rsidR="00C46290" w:rsidRPr="003C7D2B" w:rsidTr="00C46290">
        <w:trPr>
          <w:cantSplit/>
        </w:trPr>
        <w:tc>
          <w:tcPr>
            <w:tcW w:w="1458" w:type="dxa"/>
          </w:tcPr>
          <w:p w:rsidR="00C46290" w:rsidRPr="003C7D2B" w:rsidRDefault="00C46290" w:rsidP="00C46290">
            <w:pPr>
              <w:rPr>
                <w:sz w:val="20"/>
                <w:szCs w:val="20"/>
              </w:rPr>
            </w:pPr>
            <w:r w:rsidRPr="003C7D2B">
              <w:rPr>
                <w:sz w:val="20"/>
                <w:szCs w:val="20"/>
              </w:rPr>
              <w:t>Coram :</w:t>
            </w:r>
          </w:p>
        </w:tc>
        <w:tc>
          <w:tcPr>
            <w:tcW w:w="8118" w:type="dxa"/>
          </w:tcPr>
          <w:p w:rsidR="00C46290" w:rsidRPr="003C7D2B" w:rsidRDefault="00C46290" w:rsidP="00C46290">
            <w:pPr>
              <w:rPr>
                <w:sz w:val="20"/>
                <w:szCs w:val="20"/>
              </w:rPr>
            </w:pPr>
            <w:r w:rsidRPr="00C46290">
              <w:rPr>
                <w:rStyle w:val="SCCCoramChar"/>
                <w:sz w:val="20"/>
                <w:szCs w:val="20"/>
                <w:lang w:val="en-CA"/>
              </w:rPr>
              <w:t>McLachlin C.J. and Rothstein and Moldaver JJ.</w:t>
            </w:r>
          </w:p>
          <w:p w:rsidR="00C46290" w:rsidRPr="003C7D2B" w:rsidRDefault="00C46290" w:rsidP="00C46290">
            <w:pPr>
              <w:rPr>
                <w:sz w:val="20"/>
                <w:szCs w:val="20"/>
                <w:u w:val="single"/>
              </w:rPr>
            </w:pPr>
          </w:p>
        </w:tc>
      </w:tr>
      <w:tr w:rsidR="00C46290" w:rsidRPr="00DC2D1F" w:rsidTr="00C46290">
        <w:trPr>
          <w:cantSplit/>
        </w:trPr>
        <w:tc>
          <w:tcPr>
            <w:tcW w:w="9576" w:type="dxa"/>
            <w:gridSpan w:val="2"/>
          </w:tcPr>
          <w:p w:rsidR="00C46290" w:rsidRPr="003C7D2B" w:rsidRDefault="00C46290" w:rsidP="00C46290">
            <w:pPr>
              <w:pStyle w:val="SCCShortJudgment"/>
              <w:rPr>
                <w:szCs w:val="20"/>
              </w:rPr>
            </w:pPr>
            <w:r w:rsidRPr="003C7D2B">
              <w:rPr>
                <w:szCs w:val="20"/>
              </w:rPr>
              <w:t>The motion for an extension of time to serve and file the application for leave to appeal is granted.  The application for leave to appeal from the judgment of the Court of Appeal for Ontario, Number C54264, 2012 ONCA 279, dated April 12, 2012 is dismissed with costs.</w:t>
            </w:r>
          </w:p>
          <w:p w:rsidR="00C46290" w:rsidRPr="003C7D2B" w:rsidRDefault="00C46290" w:rsidP="00C46290">
            <w:pPr>
              <w:pStyle w:val="SCCShortJudgment"/>
              <w:ind w:firstLine="0"/>
              <w:rPr>
                <w:szCs w:val="20"/>
              </w:rPr>
            </w:pPr>
          </w:p>
          <w:p w:rsidR="00C46290" w:rsidRPr="003C7D2B" w:rsidRDefault="00C46290" w:rsidP="00C46290">
            <w:pPr>
              <w:pStyle w:val="SCCShortJudgment"/>
              <w:rPr>
                <w:szCs w:val="20"/>
                <w:lang w:val="fr-CA"/>
              </w:rPr>
            </w:pPr>
            <w:r w:rsidRPr="003C7D2B">
              <w:rPr>
                <w:szCs w:val="20"/>
                <w:lang w:val="fr-CA"/>
              </w:rPr>
              <w:t>La requête en prorogation du délai de signification et de dépôt de la demande d’autorisation d’appel est accueillie.  La demande d’autorisation d’appel de l’arrêt de la Cour d’appel de l’Ontario, numéro C54264, 2012 ONCA 279, daté du 12 avril 2012, est rejetée avec dépens.</w:t>
            </w:r>
          </w:p>
        </w:tc>
      </w:tr>
    </w:tbl>
    <w:p w:rsidR="00A740D1" w:rsidRPr="00C46290" w:rsidRDefault="00A740D1" w:rsidP="00A740D1">
      <w:pPr>
        <w:rPr>
          <w:sz w:val="20"/>
          <w:szCs w:val="20"/>
          <w:lang w:val="fr-CA"/>
        </w:rPr>
      </w:pPr>
    </w:p>
    <w:p w:rsidR="00C46290" w:rsidRPr="00D41C9D" w:rsidRDefault="00C46290">
      <w:pPr>
        <w:rPr>
          <w:sz w:val="20"/>
          <w:szCs w:val="20"/>
          <w:u w:val="single"/>
          <w:lang w:val="fr-CA"/>
        </w:rPr>
      </w:pPr>
      <w:r w:rsidRPr="00D41C9D">
        <w:rPr>
          <w:sz w:val="20"/>
          <w:szCs w:val="20"/>
          <w:u w:val="single"/>
          <w:lang w:val="fr-CA"/>
        </w:rPr>
        <w:br w:type="page"/>
      </w:r>
    </w:p>
    <w:p w:rsidR="00A740D1" w:rsidRPr="001B157C" w:rsidRDefault="00A740D1" w:rsidP="00A740D1">
      <w:pPr>
        <w:rPr>
          <w:sz w:val="20"/>
          <w:szCs w:val="20"/>
          <w:u w:val="single"/>
        </w:rPr>
      </w:pPr>
      <w:r w:rsidRPr="001B157C">
        <w:rPr>
          <w:sz w:val="20"/>
          <w:szCs w:val="20"/>
          <w:u w:val="single"/>
        </w:rPr>
        <w:lastRenderedPageBreak/>
        <w:t>CASE SUMMARY</w:t>
      </w:r>
    </w:p>
    <w:p w:rsidR="00A740D1" w:rsidRDefault="00A740D1" w:rsidP="00A740D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C40B1" w:rsidRPr="00201A3F" w:rsidTr="00B803D5">
        <w:tc>
          <w:tcPr>
            <w:tcW w:w="5000" w:type="pct"/>
            <w:gridSpan w:val="3"/>
          </w:tcPr>
          <w:p w:rsidR="007C40B1" w:rsidRPr="00201A3F" w:rsidRDefault="007C40B1" w:rsidP="00B803D5">
            <w:pPr>
              <w:jc w:val="both"/>
              <w:rPr>
                <w:rFonts w:eastAsia="Calibri"/>
                <w:sz w:val="20"/>
              </w:rPr>
            </w:pPr>
            <w:r w:rsidRPr="00201A3F">
              <w:rPr>
                <w:rFonts w:eastAsia="Calibri"/>
                <w:sz w:val="20"/>
              </w:rPr>
              <w:t xml:space="preserve">Judgments and orders — Summary judgment — Negligence — Whether the application and constitutionality of the provisions of Rule 20 of the Ontario </w:t>
            </w:r>
            <w:r w:rsidRPr="00201A3F">
              <w:rPr>
                <w:rFonts w:eastAsia="Calibri"/>
                <w:i/>
                <w:sz w:val="20"/>
              </w:rPr>
              <w:t>Rules of Civil Procedure</w:t>
            </w:r>
            <w:r w:rsidRPr="00201A3F">
              <w:rPr>
                <w:rFonts w:eastAsia="Calibri"/>
                <w:sz w:val="20"/>
              </w:rPr>
              <w:t xml:space="preserve"> permit a motions judge to weigh evidence, make findings of credibility and draw inferences from the evidence — Whether the test for broker’s negligence should be separate and distinct from the tort of negligent misrepresentation — </w:t>
            </w:r>
            <w:r w:rsidRPr="00201A3F">
              <w:rPr>
                <w:rFonts w:eastAsia="Calibri"/>
                <w:i/>
                <w:sz w:val="20"/>
              </w:rPr>
              <w:t>Rules of Civil Procedure</w:t>
            </w:r>
            <w:r w:rsidRPr="00201A3F">
              <w:rPr>
                <w:rFonts w:eastAsia="Calibri"/>
                <w:sz w:val="20"/>
              </w:rPr>
              <w:t>, R.R.O. 1990, Reg. 149, rule 20</w:t>
            </w:r>
          </w:p>
        </w:tc>
      </w:tr>
      <w:tr w:rsidR="007C40B1" w:rsidRPr="00201A3F" w:rsidTr="00B803D5">
        <w:tc>
          <w:tcPr>
            <w:tcW w:w="5000" w:type="pct"/>
            <w:gridSpan w:val="3"/>
          </w:tcPr>
          <w:p w:rsidR="007C40B1" w:rsidRPr="00201A3F" w:rsidRDefault="007C40B1" w:rsidP="00B803D5">
            <w:pPr>
              <w:jc w:val="both"/>
              <w:rPr>
                <w:rFonts w:eastAsia="Calibri"/>
                <w:sz w:val="20"/>
              </w:rPr>
            </w:pPr>
          </w:p>
        </w:tc>
      </w:tr>
      <w:tr w:rsidR="007C40B1" w:rsidRPr="00201A3F" w:rsidTr="00B803D5">
        <w:tc>
          <w:tcPr>
            <w:tcW w:w="5000" w:type="pct"/>
            <w:gridSpan w:val="3"/>
          </w:tcPr>
          <w:p w:rsidR="007C40B1" w:rsidRPr="00201A3F" w:rsidRDefault="007C40B1" w:rsidP="00B803D5">
            <w:pPr>
              <w:jc w:val="both"/>
              <w:rPr>
                <w:rFonts w:eastAsia="Calibri"/>
                <w:sz w:val="20"/>
              </w:rPr>
            </w:pPr>
            <w:r w:rsidRPr="00201A3F">
              <w:rPr>
                <w:rFonts w:eastAsia="Calibri"/>
                <w:sz w:val="20"/>
              </w:rPr>
              <w:t>In 2002, Rousseau borrowed money from the Bank of Nova Scotia (“the Bank”) to buy a house and the loan was secured by a mortgage.  When he signed the loan application, Rousseau accepted mortgage insurance that would pay the mortgage if he died.  He declined health crisis insurance which would have paid the mortgage if he suffered any of a number of specified major health problems such as heart attack, cancer or stroke.  The Bank had no mortgage protection policy that would pay in the event of disability.  Rousseau alleges that the Bank’s loan officer was negligent in failing to inform him that he should consider getting his own disability insurance from someone who offered it.  Rousseau was disabled in a car accident in 2005.  He had no insurance to pay off the mortgage and he paid it off in 2008.  Rousseau claimed the amount that he had to pay and damages for mental distress.</w:t>
            </w:r>
          </w:p>
          <w:p w:rsidR="007C40B1" w:rsidRPr="00201A3F" w:rsidRDefault="007C40B1" w:rsidP="00B803D5">
            <w:pPr>
              <w:jc w:val="both"/>
              <w:rPr>
                <w:rFonts w:eastAsia="Calibri"/>
                <w:sz w:val="20"/>
              </w:rPr>
            </w:pPr>
          </w:p>
          <w:p w:rsidR="007C40B1" w:rsidRPr="00201A3F" w:rsidRDefault="007C40B1" w:rsidP="00B803D5">
            <w:pPr>
              <w:jc w:val="both"/>
              <w:rPr>
                <w:rFonts w:eastAsia="Calibri"/>
                <w:sz w:val="20"/>
              </w:rPr>
            </w:pPr>
            <w:r w:rsidRPr="00201A3F">
              <w:rPr>
                <w:rFonts w:eastAsia="Calibri"/>
                <w:sz w:val="20"/>
              </w:rPr>
              <w:t>Rousseau’s claim against the Bank for negligent misrepresentation and breach of fiduciary or statutory duty was dismissed on summary judgment.  Rousseau’s appeal was also dismissed.</w:t>
            </w:r>
          </w:p>
          <w:p w:rsidR="007C40B1" w:rsidRPr="00201A3F" w:rsidRDefault="007C40B1" w:rsidP="00B803D5">
            <w:pPr>
              <w:jc w:val="both"/>
              <w:rPr>
                <w:rFonts w:eastAsia="Calibri"/>
                <w:sz w:val="20"/>
              </w:rPr>
            </w:pPr>
          </w:p>
        </w:tc>
      </w:tr>
      <w:tr w:rsidR="007C40B1" w:rsidRPr="00201A3F" w:rsidTr="00B803D5">
        <w:tc>
          <w:tcPr>
            <w:tcW w:w="2427" w:type="pct"/>
          </w:tcPr>
          <w:p w:rsidR="007C40B1" w:rsidRPr="00201A3F" w:rsidRDefault="007C40B1" w:rsidP="00B803D5">
            <w:pPr>
              <w:jc w:val="both"/>
              <w:rPr>
                <w:rFonts w:eastAsia="Calibri"/>
                <w:sz w:val="20"/>
              </w:rPr>
            </w:pPr>
            <w:r w:rsidRPr="00201A3F">
              <w:rPr>
                <w:rFonts w:eastAsia="Calibri"/>
                <w:sz w:val="20"/>
              </w:rPr>
              <w:t>August 2, 2011</w:t>
            </w:r>
          </w:p>
          <w:p w:rsidR="007C40B1" w:rsidRPr="00201A3F" w:rsidRDefault="007C40B1" w:rsidP="00B803D5">
            <w:pPr>
              <w:jc w:val="both"/>
              <w:rPr>
                <w:rFonts w:eastAsia="Calibri"/>
                <w:sz w:val="20"/>
              </w:rPr>
            </w:pPr>
            <w:r w:rsidRPr="00201A3F">
              <w:rPr>
                <w:rFonts w:eastAsia="Calibri"/>
                <w:sz w:val="20"/>
              </w:rPr>
              <w:t>Ontario Superior Court of Justice</w:t>
            </w:r>
          </w:p>
          <w:p w:rsidR="007C40B1" w:rsidRPr="00201A3F" w:rsidRDefault="007C40B1" w:rsidP="00B803D5">
            <w:pPr>
              <w:jc w:val="both"/>
              <w:rPr>
                <w:rFonts w:eastAsia="Calibri"/>
                <w:sz w:val="20"/>
              </w:rPr>
            </w:pPr>
            <w:r w:rsidRPr="00201A3F">
              <w:rPr>
                <w:rFonts w:eastAsia="Calibri"/>
                <w:sz w:val="20"/>
              </w:rPr>
              <w:t>(Ramsay J.)</w:t>
            </w:r>
          </w:p>
          <w:p w:rsidR="007C40B1" w:rsidRPr="00201A3F" w:rsidRDefault="007C40B1" w:rsidP="00B803D5">
            <w:pPr>
              <w:jc w:val="both"/>
              <w:rPr>
                <w:rFonts w:eastAsia="Calibri"/>
                <w:sz w:val="20"/>
              </w:rPr>
            </w:pPr>
          </w:p>
        </w:tc>
        <w:tc>
          <w:tcPr>
            <w:tcW w:w="243" w:type="pct"/>
          </w:tcPr>
          <w:p w:rsidR="007C40B1" w:rsidRPr="00201A3F" w:rsidRDefault="007C40B1" w:rsidP="00B803D5">
            <w:pPr>
              <w:jc w:val="both"/>
              <w:rPr>
                <w:rFonts w:eastAsia="Calibri"/>
                <w:sz w:val="20"/>
              </w:rPr>
            </w:pPr>
          </w:p>
        </w:tc>
        <w:tc>
          <w:tcPr>
            <w:tcW w:w="2330" w:type="pct"/>
          </w:tcPr>
          <w:p w:rsidR="007C40B1" w:rsidRPr="00201A3F" w:rsidRDefault="007C40B1" w:rsidP="00B803D5">
            <w:pPr>
              <w:jc w:val="both"/>
              <w:rPr>
                <w:rFonts w:eastAsia="Calibri"/>
                <w:sz w:val="20"/>
              </w:rPr>
            </w:pPr>
            <w:r w:rsidRPr="00201A3F">
              <w:rPr>
                <w:rFonts w:eastAsia="Calibri"/>
                <w:sz w:val="20"/>
              </w:rPr>
              <w:t>Motion for summary judgment granted; Applicant’s action dismissed</w:t>
            </w:r>
          </w:p>
          <w:p w:rsidR="007C40B1" w:rsidRPr="00201A3F" w:rsidRDefault="007C40B1" w:rsidP="00B803D5">
            <w:pPr>
              <w:jc w:val="both"/>
              <w:rPr>
                <w:rFonts w:eastAsia="Calibri"/>
                <w:sz w:val="20"/>
              </w:rPr>
            </w:pPr>
          </w:p>
        </w:tc>
      </w:tr>
      <w:tr w:rsidR="007C40B1" w:rsidRPr="00201A3F" w:rsidTr="00B803D5">
        <w:tc>
          <w:tcPr>
            <w:tcW w:w="2427" w:type="pct"/>
          </w:tcPr>
          <w:p w:rsidR="007C40B1" w:rsidRPr="00201A3F" w:rsidRDefault="007C40B1" w:rsidP="00B803D5">
            <w:pPr>
              <w:jc w:val="both"/>
              <w:rPr>
                <w:rFonts w:eastAsia="Calibri"/>
                <w:sz w:val="20"/>
              </w:rPr>
            </w:pPr>
            <w:r w:rsidRPr="00201A3F">
              <w:rPr>
                <w:rFonts w:eastAsia="Calibri"/>
                <w:sz w:val="20"/>
              </w:rPr>
              <w:t>April 12, 2012</w:t>
            </w:r>
          </w:p>
          <w:p w:rsidR="007C40B1" w:rsidRPr="00201A3F" w:rsidRDefault="007C40B1" w:rsidP="00B803D5">
            <w:pPr>
              <w:jc w:val="both"/>
              <w:rPr>
                <w:rFonts w:eastAsia="Calibri"/>
                <w:sz w:val="20"/>
              </w:rPr>
            </w:pPr>
            <w:r w:rsidRPr="00201A3F">
              <w:rPr>
                <w:rFonts w:eastAsia="Calibri"/>
                <w:sz w:val="20"/>
              </w:rPr>
              <w:t>Court of Appeal for Ontario</w:t>
            </w:r>
          </w:p>
          <w:p w:rsidR="007C40B1" w:rsidRPr="00201A3F" w:rsidRDefault="007C40B1" w:rsidP="00B803D5">
            <w:pPr>
              <w:jc w:val="both"/>
              <w:rPr>
                <w:rFonts w:eastAsia="Calibri"/>
                <w:sz w:val="20"/>
              </w:rPr>
            </w:pPr>
            <w:r w:rsidRPr="00201A3F">
              <w:rPr>
                <w:rFonts w:eastAsia="Calibri"/>
                <w:sz w:val="20"/>
              </w:rPr>
              <w:t>(Feldman, Simmons and Cronk JJ.A.)</w:t>
            </w:r>
          </w:p>
          <w:p w:rsidR="007C40B1" w:rsidRPr="00201A3F" w:rsidRDefault="007C40B1" w:rsidP="00B803D5">
            <w:pPr>
              <w:jc w:val="both"/>
              <w:rPr>
                <w:rFonts w:eastAsia="Calibri"/>
                <w:sz w:val="20"/>
              </w:rPr>
            </w:pPr>
            <w:r w:rsidRPr="00201A3F">
              <w:rPr>
                <w:rFonts w:eastAsia="Calibri"/>
                <w:sz w:val="20"/>
              </w:rPr>
              <w:t>2012 ONCA 279; C54264</w:t>
            </w:r>
          </w:p>
          <w:p w:rsidR="007C40B1" w:rsidRPr="00201A3F" w:rsidRDefault="007C40B1" w:rsidP="00B803D5">
            <w:pPr>
              <w:jc w:val="both"/>
              <w:rPr>
                <w:rFonts w:eastAsia="Calibri"/>
                <w:sz w:val="20"/>
              </w:rPr>
            </w:pPr>
          </w:p>
        </w:tc>
        <w:tc>
          <w:tcPr>
            <w:tcW w:w="243" w:type="pct"/>
          </w:tcPr>
          <w:p w:rsidR="007C40B1" w:rsidRPr="00201A3F" w:rsidRDefault="007C40B1" w:rsidP="00B803D5">
            <w:pPr>
              <w:jc w:val="both"/>
              <w:rPr>
                <w:rFonts w:eastAsia="Calibri"/>
                <w:sz w:val="20"/>
              </w:rPr>
            </w:pPr>
          </w:p>
        </w:tc>
        <w:tc>
          <w:tcPr>
            <w:tcW w:w="2330" w:type="pct"/>
          </w:tcPr>
          <w:p w:rsidR="007C40B1" w:rsidRPr="00201A3F" w:rsidRDefault="007C40B1" w:rsidP="00B803D5">
            <w:pPr>
              <w:jc w:val="both"/>
              <w:rPr>
                <w:rFonts w:eastAsia="Calibri"/>
                <w:sz w:val="20"/>
              </w:rPr>
            </w:pPr>
            <w:r w:rsidRPr="00201A3F">
              <w:rPr>
                <w:rFonts w:eastAsia="Calibri"/>
                <w:sz w:val="20"/>
              </w:rPr>
              <w:t>Appeal dismissed</w:t>
            </w:r>
          </w:p>
          <w:p w:rsidR="007C40B1" w:rsidRPr="00201A3F" w:rsidRDefault="007C40B1" w:rsidP="00B803D5">
            <w:pPr>
              <w:jc w:val="both"/>
              <w:rPr>
                <w:rFonts w:eastAsia="Calibri"/>
                <w:sz w:val="20"/>
              </w:rPr>
            </w:pPr>
          </w:p>
        </w:tc>
      </w:tr>
      <w:tr w:rsidR="007C40B1" w:rsidRPr="00201A3F" w:rsidTr="00B803D5">
        <w:tc>
          <w:tcPr>
            <w:tcW w:w="2427" w:type="pct"/>
          </w:tcPr>
          <w:p w:rsidR="007C40B1" w:rsidRPr="00201A3F" w:rsidRDefault="007C40B1" w:rsidP="00B803D5">
            <w:pPr>
              <w:jc w:val="both"/>
              <w:rPr>
                <w:rFonts w:eastAsia="Calibri"/>
                <w:sz w:val="20"/>
              </w:rPr>
            </w:pPr>
            <w:r w:rsidRPr="00201A3F">
              <w:rPr>
                <w:rFonts w:eastAsia="Calibri"/>
                <w:sz w:val="20"/>
              </w:rPr>
              <w:t>June 28, 2012</w:t>
            </w:r>
          </w:p>
          <w:p w:rsidR="007C40B1" w:rsidRPr="00201A3F" w:rsidRDefault="007C40B1" w:rsidP="00B803D5">
            <w:pPr>
              <w:jc w:val="both"/>
              <w:rPr>
                <w:rFonts w:eastAsia="Calibri"/>
                <w:sz w:val="20"/>
              </w:rPr>
            </w:pPr>
            <w:r w:rsidRPr="00201A3F">
              <w:rPr>
                <w:rFonts w:eastAsia="Calibri"/>
                <w:sz w:val="20"/>
              </w:rPr>
              <w:t>Supreme Court of Canada</w:t>
            </w:r>
          </w:p>
          <w:p w:rsidR="007C40B1" w:rsidRPr="00201A3F" w:rsidRDefault="007C40B1" w:rsidP="00B803D5">
            <w:pPr>
              <w:jc w:val="both"/>
              <w:rPr>
                <w:rFonts w:eastAsia="Calibri"/>
                <w:sz w:val="20"/>
              </w:rPr>
            </w:pPr>
          </w:p>
        </w:tc>
        <w:tc>
          <w:tcPr>
            <w:tcW w:w="243" w:type="pct"/>
          </w:tcPr>
          <w:p w:rsidR="007C40B1" w:rsidRPr="00201A3F" w:rsidRDefault="007C40B1" w:rsidP="00B803D5">
            <w:pPr>
              <w:jc w:val="both"/>
              <w:rPr>
                <w:rFonts w:eastAsia="Calibri"/>
                <w:sz w:val="20"/>
              </w:rPr>
            </w:pPr>
          </w:p>
        </w:tc>
        <w:tc>
          <w:tcPr>
            <w:tcW w:w="2330" w:type="pct"/>
          </w:tcPr>
          <w:p w:rsidR="007C40B1" w:rsidRPr="00201A3F" w:rsidRDefault="007C40B1" w:rsidP="00B803D5">
            <w:pPr>
              <w:jc w:val="both"/>
              <w:rPr>
                <w:rFonts w:eastAsia="Calibri"/>
                <w:sz w:val="20"/>
              </w:rPr>
            </w:pPr>
            <w:r w:rsidRPr="00201A3F">
              <w:rPr>
                <w:rFonts w:eastAsia="Calibri"/>
                <w:sz w:val="20"/>
              </w:rPr>
              <w:t>Motion for extension of time to serve and file the application for leave to appeal and Application for leave to appeal filed</w:t>
            </w:r>
          </w:p>
        </w:tc>
      </w:tr>
    </w:tbl>
    <w:p w:rsidR="00A740D1" w:rsidRDefault="00A740D1" w:rsidP="00A740D1">
      <w:pPr>
        <w:rPr>
          <w:sz w:val="20"/>
          <w:szCs w:val="20"/>
        </w:rPr>
      </w:pPr>
    </w:p>
    <w:p w:rsidR="00A740D1" w:rsidRPr="00C50A5C" w:rsidRDefault="00BF3B03" w:rsidP="00A740D1">
      <w:pPr>
        <w:rPr>
          <w:sz w:val="20"/>
          <w:szCs w:val="20"/>
        </w:rPr>
      </w:pPr>
      <w:r w:rsidRPr="00BF3B03">
        <w:rPr>
          <w:sz w:val="20"/>
          <w:szCs w:val="20"/>
          <w:lang w:val="fr-CA"/>
        </w:rPr>
        <w:pict>
          <v:rect id="_x0000_i1054" style="width:2in;height:1pt" o:hrpct="0" o:hralign="center" o:hrstd="t" o:hrnoshade="t" o:hr="t" fillcolor="black [3213]" stroked="f"/>
        </w:pict>
      </w:r>
    </w:p>
    <w:p w:rsidR="00A740D1" w:rsidRDefault="00A740D1" w:rsidP="00A740D1">
      <w:pPr>
        <w:rPr>
          <w:sz w:val="20"/>
          <w:szCs w:val="20"/>
        </w:rPr>
      </w:pPr>
    </w:p>
    <w:p w:rsidR="00A740D1" w:rsidRPr="001B157C" w:rsidRDefault="00A740D1" w:rsidP="00A740D1">
      <w:pPr>
        <w:rPr>
          <w:sz w:val="20"/>
          <w:szCs w:val="20"/>
          <w:u w:val="single"/>
          <w:lang w:val="fr-CA"/>
        </w:rPr>
      </w:pPr>
      <w:r w:rsidRPr="001B157C">
        <w:rPr>
          <w:sz w:val="20"/>
          <w:szCs w:val="20"/>
          <w:u w:val="single"/>
          <w:lang w:val="fr-CA"/>
        </w:rPr>
        <w:t>RÉSUMÉ DE L’AFFAIRE</w:t>
      </w:r>
    </w:p>
    <w:p w:rsidR="00A740D1" w:rsidRDefault="00A740D1" w:rsidP="00A740D1">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7C40B1" w:rsidRPr="00DC2D1F" w:rsidTr="00B803D5">
        <w:tc>
          <w:tcPr>
            <w:tcW w:w="5000" w:type="pct"/>
            <w:gridSpan w:val="3"/>
          </w:tcPr>
          <w:p w:rsidR="007C40B1" w:rsidRPr="00201A3F" w:rsidRDefault="007C40B1" w:rsidP="00B803D5">
            <w:pPr>
              <w:jc w:val="both"/>
              <w:rPr>
                <w:rFonts w:eastAsia="Calibri"/>
                <w:sz w:val="20"/>
                <w:lang w:val="fr-CA"/>
              </w:rPr>
            </w:pPr>
            <w:r w:rsidRPr="00201A3F">
              <w:rPr>
                <w:rFonts w:eastAsia="Calibri"/>
                <w:sz w:val="20"/>
                <w:lang w:val="fr-CA"/>
              </w:rPr>
              <w:t>Jugements et ordonnances — Jugement sommaire — Négligence — L'application et la constitutionnalité des dispositions de la règle 20 des</w:t>
            </w:r>
            <w:r w:rsidRPr="00201A3F">
              <w:rPr>
                <w:rFonts w:eastAsia="Calibri"/>
                <w:i/>
                <w:sz w:val="20"/>
                <w:lang w:val="fr-CA"/>
              </w:rPr>
              <w:t xml:space="preserve"> Règles de procédure civile </w:t>
            </w:r>
            <w:r w:rsidRPr="00201A3F">
              <w:rPr>
                <w:rFonts w:eastAsia="Calibri"/>
                <w:sz w:val="20"/>
                <w:lang w:val="fr-CA"/>
              </w:rPr>
              <w:t>de l'Ontario permettent</w:t>
            </w:r>
            <w:r w:rsidRPr="00201A3F">
              <w:rPr>
                <w:rFonts w:eastAsia="Calibri"/>
                <w:sz w:val="20"/>
                <w:lang w:val="fr-CA"/>
              </w:rPr>
              <w:noBreakHyphen/>
              <w:t>elles à un juge saisi d'une motion d'apprécier la preuve, de tirer des conclusions sur la crédibilité et de tirer des conclusions à partir de la preuve? — Le critère applicable à la négligence du courtier doit</w:t>
            </w:r>
            <w:r w:rsidRPr="00201A3F">
              <w:rPr>
                <w:rFonts w:eastAsia="Calibri"/>
                <w:sz w:val="20"/>
                <w:lang w:val="fr-CA"/>
              </w:rPr>
              <w:noBreakHyphen/>
              <w:t>il être distinct de celui qui s'applique au délit de déclaration inexacte faite par négligence? —</w:t>
            </w:r>
            <w:r w:rsidRPr="00201A3F">
              <w:rPr>
                <w:rFonts w:eastAsia="Calibri"/>
                <w:i/>
                <w:sz w:val="20"/>
                <w:lang w:val="fr-CA"/>
              </w:rPr>
              <w:t xml:space="preserve"> Règles de procédure civile</w:t>
            </w:r>
            <w:r w:rsidRPr="00201A3F">
              <w:rPr>
                <w:rFonts w:eastAsia="Calibri"/>
                <w:sz w:val="20"/>
                <w:lang w:val="fr-CA"/>
              </w:rPr>
              <w:t>, R.R.O. 1990, Règl. 149, règle 20</w:t>
            </w:r>
          </w:p>
        </w:tc>
      </w:tr>
      <w:tr w:rsidR="007C40B1" w:rsidRPr="00DC2D1F" w:rsidTr="00B803D5">
        <w:tc>
          <w:tcPr>
            <w:tcW w:w="5000" w:type="pct"/>
            <w:gridSpan w:val="3"/>
          </w:tcPr>
          <w:p w:rsidR="007C40B1" w:rsidRPr="00201A3F" w:rsidRDefault="007C40B1" w:rsidP="00B803D5">
            <w:pPr>
              <w:jc w:val="both"/>
              <w:rPr>
                <w:rFonts w:eastAsia="Calibri"/>
                <w:sz w:val="20"/>
                <w:lang w:val="fr-CA"/>
              </w:rPr>
            </w:pPr>
          </w:p>
        </w:tc>
      </w:tr>
      <w:tr w:rsidR="007C40B1" w:rsidRPr="00201A3F" w:rsidTr="00B803D5">
        <w:tc>
          <w:tcPr>
            <w:tcW w:w="5000" w:type="pct"/>
            <w:gridSpan w:val="3"/>
          </w:tcPr>
          <w:p w:rsidR="007C40B1" w:rsidRPr="00201A3F" w:rsidRDefault="007C40B1" w:rsidP="00B803D5">
            <w:pPr>
              <w:jc w:val="both"/>
              <w:rPr>
                <w:rFonts w:eastAsia="Calibri"/>
                <w:sz w:val="20"/>
                <w:lang w:val="fr-CA"/>
              </w:rPr>
            </w:pPr>
            <w:r w:rsidRPr="00201A3F">
              <w:rPr>
                <w:rFonts w:eastAsia="Calibri"/>
                <w:sz w:val="20"/>
                <w:lang w:val="fr-CA"/>
              </w:rPr>
              <w:t>En 2002, M. Rousseau a emprunté de l'argent de la Banque de Nouvelle</w:t>
            </w:r>
            <w:r w:rsidRPr="00201A3F">
              <w:rPr>
                <w:rFonts w:eastAsia="Calibri"/>
                <w:sz w:val="20"/>
                <w:lang w:val="fr-CA"/>
              </w:rPr>
              <w:noBreakHyphen/>
              <w:t xml:space="preserve">Écosse (« la banque ») pour acheter une maison et l'emprunt était garanti par une hypothèque.  Lorsqu'il a signé la demande d'emprunt, M. Rousseau a accepté une assurance hypothèque qui réglerait le solde de l’emprunt s'il décédait.  Il a refusé l'assurance maladie grave qui aurait réglé le solde de l'emprunt s'il avait connu certains problèmes de santé grave particuliers, par exemple un infarctus, un cancer ou un accident vasculaire cérébral.  La banque n'offrait aucune assurance hypothèque qui réglerait le solde en cas d'invalidité.  Monsieur Rousseau allègue que le responsable des prêts de la banque a été négligent en omettant de l'informer qu'il devait envisager de souscrire sa propre assurance invalidité de quelqu'un qui l'offrait.  </w:t>
            </w:r>
            <w:r w:rsidRPr="00201A3F">
              <w:rPr>
                <w:rFonts w:eastAsia="Calibri"/>
                <w:sz w:val="20"/>
                <w:lang w:val="fr-CA"/>
              </w:rPr>
              <w:lastRenderedPageBreak/>
              <w:t>Monsieur Rousseau est devenu invalide à la suite d'un accident de voiture survenu en 2005.  Il n'avait aucune assurance pour régler le solde de l'emprunt hypothécaire et il a réglé cet emprunt en 2008.  Monsieur Rousseau a réclamé le montant qu'il avait dû payer et des dommages</w:t>
            </w:r>
            <w:r w:rsidRPr="00201A3F">
              <w:rPr>
                <w:rFonts w:eastAsia="Calibri"/>
                <w:sz w:val="20"/>
                <w:lang w:val="fr-CA"/>
              </w:rPr>
              <w:noBreakHyphen/>
              <w:t>intérêts pour souffrance morale.</w:t>
            </w:r>
          </w:p>
          <w:p w:rsidR="007C40B1" w:rsidRPr="00201A3F" w:rsidRDefault="007C40B1" w:rsidP="00B803D5">
            <w:pPr>
              <w:jc w:val="both"/>
              <w:rPr>
                <w:rFonts w:eastAsia="Calibri"/>
                <w:sz w:val="20"/>
                <w:lang w:val="fr-CA"/>
              </w:rPr>
            </w:pPr>
          </w:p>
          <w:p w:rsidR="007C40B1" w:rsidRPr="00201A3F" w:rsidRDefault="007C40B1" w:rsidP="00B803D5">
            <w:pPr>
              <w:jc w:val="both"/>
              <w:rPr>
                <w:rFonts w:eastAsia="Calibri"/>
                <w:sz w:val="20"/>
                <w:lang w:val="fr-CA"/>
              </w:rPr>
            </w:pPr>
            <w:r w:rsidRPr="00201A3F">
              <w:rPr>
                <w:rFonts w:eastAsia="Calibri"/>
                <w:sz w:val="20"/>
                <w:lang w:val="fr-CA"/>
              </w:rPr>
              <w:t>La demande de M. Rousseau contre la banque pour déclaration inexacte faite par négligence et manquement à une obligation fiduciaire ou légale a été rejetée par jugement sommaire.  L'appel de M. Rousseau a également été rejeté.</w:t>
            </w:r>
          </w:p>
          <w:p w:rsidR="007C40B1" w:rsidRPr="00201A3F" w:rsidRDefault="007C40B1" w:rsidP="00B803D5">
            <w:pPr>
              <w:jc w:val="both"/>
              <w:rPr>
                <w:rFonts w:eastAsia="Calibri"/>
                <w:sz w:val="20"/>
                <w:lang w:val="fr-CA"/>
              </w:rPr>
            </w:pPr>
          </w:p>
        </w:tc>
      </w:tr>
      <w:tr w:rsidR="007C40B1" w:rsidRPr="00DC2D1F" w:rsidTr="00B803D5">
        <w:tc>
          <w:tcPr>
            <w:tcW w:w="2427" w:type="pct"/>
          </w:tcPr>
          <w:p w:rsidR="007C40B1" w:rsidRPr="00201A3F" w:rsidRDefault="007C40B1" w:rsidP="00B803D5">
            <w:pPr>
              <w:jc w:val="both"/>
              <w:rPr>
                <w:rFonts w:eastAsia="Calibri"/>
                <w:sz w:val="20"/>
                <w:lang w:val="fr-CA"/>
              </w:rPr>
            </w:pPr>
            <w:r w:rsidRPr="00201A3F">
              <w:rPr>
                <w:rFonts w:eastAsia="Calibri"/>
                <w:sz w:val="20"/>
                <w:lang w:val="fr-CA"/>
              </w:rPr>
              <w:lastRenderedPageBreak/>
              <w:t>2 août 2011</w:t>
            </w:r>
          </w:p>
          <w:p w:rsidR="007C40B1" w:rsidRPr="00201A3F" w:rsidRDefault="007C40B1" w:rsidP="00B803D5">
            <w:pPr>
              <w:jc w:val="both"/>
              <w:rPr>
                <w:rFonts w:eastAsia="Calibri"/>
                <w:sz w:val="20"/>
                <w:lang w:val="fr-CA"/>
              </w:rPr>
            </w:pPr>
            <w:r w:rsidRPr="00201A3F">
              <w:rPr>
                <w:rFonts w:eastAsia="Calibri"/>
                <w:sz w:val="20"/>
                <w:lang w:val="fr-CA"/>
              </w:rPr>
              <w:t xml:space="preserve">Cour supérieure de justice de l'Ontario </w:t>
            </w:r>
          </w:p>
          <w:p w:rsidR="007C40B1" w:rsidRPr="00201A3F" w:rsidRDefault="007C40B1" w:rsidP="00B803D5">
            <w:pPr>
              <w:jc w:val="both"/>
              <w:rPr>
                <w:rFonts w:eastAsia="Calibri"/>
                <w:sz w:val="20"/>
                <w:lang w:val="fr-CA"/>
              </w:rPr>
            </w:pPr>
            <w:r w:rsidRPr="00201A3F">
              <w:rPr>
                <w:rFonts w:eastAsia="Calibri"/>
                <w:sz w:val="20"/>
                <w:lang w:val="fr-CA"/>
              </w:rPr>
              <w:t>(Juge Ramsay)</w:t>
            </w:r>
          </w:p>
          <w:p w:rsidR="007C40B1" w:rsidRPr="00201A3F" w:rsidRDefault="007C40B1" w:rsidP="00B803D5">
            <w:pPr>
              <w:jc w:val="both"/>
              <w:rPr>
                <w:rFonts w:eastAsia="Calibri"/>
                <w:sz w:val="20"/>
                <w:lang w:val="fr-CA"/>
              </w:rPr>
            </w:pPr>
          </w:p>
        </w:tc>
        <w:tc>
          <w:tcPr>
            <w:tcW w:w="243" w:type="pct"/>
          </w:tcPr>
          <w:p w:rsidR="007C40B1" w:rsidRPr="00201A3F" w:rsidRDefault="007C40B1" w:rsidP="00B803D5">
            <w:pPr>
              <w:jc w:val="both"/>
              <w:rPr>
                <w:rFonts w:eastAsia="Calibri"/>
                <w:sz w:val="20"/>
                <w:lang w:val="fr-CA"/>
              </w:rPr>
            </w:pPr>
          </w:p>
        </w:tc>
        <w:tc>
          <w:tcPr>
            <w:tcW w:w="2330" w:type="pct"/>
          </w:tcPr>
          <w:p w:rsidR="007C40B1" w:rsidRPr="00201A3F" w:rsidRDefault="007C40B1" w:rsidP="00B803D5">
            <w:pPr>
              <w:jc w:val="both"/>
              <w:rPr>
                <w:rFonts w:eastAsia="Calibri"/>
                <w:sz w:val="20"/>
                <w:lang w:val="fr-CA"/>
              </w:rPr>
            </w:pPr>
            <w:r w:rsidRPr="00201A3F">
              <w:rPr>
                <w:rFonts w:eastAsia="Calibri"/>
                <w:sz w:val="20"/>
                <w:lang w:val="fr-CA"/>
              </w:rPr>
              <w:t>Motion en jugement sommaire, accueillie; action du demandeur, rejetée</w:t>
            </w:r>
          </w:p>
          <w:p w:rsidR="007C40B1" w:rsidRPr="00201A3F" w:rsidRDefault="007C40B1" w:rsidP="00B803D5">
            <w:pPr>
              <w:jc w:val="both"/>
              <w:rPr>
                <w:rFonts w:eastAsia="Calibri"/>
                <w:sz w:val="20"/>
                <w:lang w:val="fr-CA"/>
              </w:rPr>
            </w:pPr>
          </w:p>
        </w:tc>
      </w:tr>
      <w:tr w:rsidR="007C40B1" w:rsidRPr="00201A3F" w:rsidTr="00B803D5">
        <w:tc>
          <w:tcPr>
            <w:tcW w:w="2427" w:type="pct"/>
          </w:tcPr>
          <w:p w:rsidR="007C40B1" w:rsidRPr="00201A3F" w:rsidRDefault="007C40B1" w:rsidP="00B803D5">
            <w:pPr>
              <w:jc w:val="both"/>
              <w:rPr>
                <w:rFonts w:eastAsia="Calibri"/>
                <w:sz w:val="20"/>
                <w:lang w:val="fr-CA"/>
              </w:rPr>
            </w:pPr>
            <w:r w:rsidRPr="00201A3F">
              <w:rPr>
                <w:rFonts w:eastAsia="Calibri"/>
                <w:sz w:val="20"/>
                <w:lang w:val="fr-CA"/>
              </w:rPr>
              <w:t>12 avril 2012</w:t>
            </w:r>
          </w:p>
          <w:p w:rsidR="007C40B1" w:rsidRPr="00201A3F" w:rsidRDefault="007C40B1" w:rsidP="00B803D5">
            <w:pPr>
              <w:jc w:val="both"/>
              <w:rPr>
                <w:rFonts w:eastAsia="Calibri"/>
                <w:sz w:val="20"/>
                <w:lang w:val="fr-CA"/>
              </w:rPr>
            </w:pPr>
            <w:r w:rsidRPr="00201A3F">
              <w:rPr>
                <w:rFonts w:eastAsia="Calibri"/>
                <w:sz w:val="20"/>
                <w:lang w:val="fr-CA"/>
              </w:rPr>
              <w:t xml:space="preserve">Cour d'appel de l'Ontario </w:t>
            </w:r>
          </w:p>
          <w:p w:rsidR="007C40B1" w:rsidRPr="00201A3F" w:rsidRDefault="007C40B1" w:rsidP="00B803D5">
            <w:pPr>
              <w:jc w:val="both"/>
              <w:rPr>
                <w:rFonts w:eastAsia="Calibri"/>
                <w:sz w:val="20"/>
                <w:lang w:val="fr-CA"/>
              </w:rPr>
            </w:pPr>
            <w:r w:rsidRPr="00201A3F">
              <w:rPr>
                <w:rFonts w:eastAsia="Calibri"/>
                <w:sz w:val="20"/>
                <w:lang w:val="fr-CA"/>
              </w:rPr>
              <w:t>(Juges Feldman, Simmons et Cronk)</w:t>
            </w:r>
          </w:p>
          <w:p w:rsidR="007C40B1" w:rsidRPr="00201A3F" w:rsidRDefault="007C40B1" w:rsidP="00B803D5">
            <w:pPr>
              <w:jc w:val="both"/>
              <w:rPr>
                <w:rFonts w:eastAsia="Calibri"/>
                <w:sz w:val="20"/>
                <w:lang w:val="fr-CA"/>
              </w:rPr>
            </w:pPr>
            <w:r w:rsidRPr="00201A3F">
              <w:rPr>
                <w:rFonts w:eastAsia="Calibri"/>
                <w:sz w:val="20"/>
                <w:lang w:val="fr-CA"/>
              </w:rPr>
              <w:t>2012 ONCA 279; C54264</w:t>
            </w:r>
          </w:p>
          <w:p w:rsidR="007C40B1" w:rsidRPr="00201A3F" w:rsidRDefault="007C40B1" w:rsidP="00B803D5">
            <w:pPr>
              <w:jc w:val="both"/>
              <w:rPr>
                <w:rFonts w:eastAsia="Calibri"/>
                <w:sz w:val="20"/>
                <w:lang w:val="fr-CA"/>
              </w:rPr>
            </w:pPr>
          </w:p>
        </w:tc>
        <w:tc>
          <w:tcPr>
            <w:tcW w:w="243" w:type="pct"/>
          </w:tcPr>
          <w:p w:rsidR="007C40B1" w:rsidRPr="00201A3F" w:rsidRDefault="007C40B1" w:rsidP="00B803D5">
            <w:pPr>
              <w:jc w:val="both"/>
              <w:rPr>
                <w:rFonts w:eastAsia="Calibri"/>
                <w:sz w:val="20"/>
                <w:lang w:val="fr-CA"/>
              </w:rPr>
            </w:pPr>
          </w:p>
        </w:tc>
        <w:tc>
          <w:tcPr>
            <w:tcW w:w="2330" w:type="pct"/>
          </w:tcPr>
          <w:p w:rsidR="007C40B1" w:rsidRPr="00201A3F" w:rsidRDefault="007C40B1" w:rsidP="00B803D5">
            <w:pPr>
              <w:jc w:val="both"/>
              <w:rPr>
                <w:rFonts w:eastAsia="Calibri"/>
                <w:sz w:val="20"/>
                <w:lang w:val="fr-CA"/>
              </w:rPr>
            </w:pPr>
            <w:r w:rsidRPr="00201A3F">
              <w:rPr>
                <w:rFonts w:eastAsia="Calibri"/>
                <w:sz w:val="20"/>
                <w:lang w:val="fr-CA"/>
              </w:rPr>
              <w:t>Appel rejeté</w:t>
            </w:r>
          </w:p>
          <w:p w:rsidR="007C40B1" w:rsidRPr="00201A3F" w:rsidRDefault="007C40B1" w:rsidP="00B803D5">
            <w:pPr>
              <w:jc w:val="both"/>
              <w:rPr>
                <w:rFonts w:eastAsia="Calibri"/>
                <w:sz w:val="20"/>
                <w:lang w:val="fr-CA"/>
              </w:rPr>
            </w:pPr>
          </w:p>
        </w:tc>
      </w:tr>
      <w:tr w:rsidR="007C40B1" w:rsidRPr="00DC2D1F" w:rsidTr="00B803D5">
        <w:tc>
          <w:tcPr>
            <w:tcW w:w="2427" w:type="pct"/>
          </w:tcPr>
          <w:p w:rsidR="007C40B1" w:rsidRPr="00201A3F" w:rsidRDefault="007C40B1" w:rsidP="00B803D5">
            <w:pPr>
              <w:jc w:val="both"/>
              <w:rPr>
                <w:rFonts w:eastAsia="Calibri"/>
                <w:sz w:val="20"/>
                <w:lang w:val="fr-CA"/>
              </w:rPr>
            </w:pPr>
            <w:r w:rsidRPr="00201A3F">
              <w:rPr>
                <w:rFonts w:eastAsia="Calibri"/>
                <w:sz w:val="20"/>
                <w:lang w:val="fr-CA"/>
              </w:rPr>
              <w:t>28 juin 2012</w:t>
            </w:r>
          </w:p>
          <w:p w:rsidR="007C40B1" w:rsidRPr="00201A3F" w:rsidRDefault="007C40B1" w:rsidP="00B803D5">
            <w:pPr>
              <w:jc w:val="both"/>
              <w:rPr>
                <w:rFonts w:eastAsia="Calibri"/>
                <w:sz w:val="20"/>
                <w:lang w:val="fr-CA"/>
              </w:rPr>
            </w:pPr>
            <w:r w:rsidRPr="00201A3F">
              <w:rPr>
                <w:rFonts w:eastAsia="Calibri"/>
                <w:sz w:val="20"/>
                <w:lang w:val="fr-CA"/>
              </w:rPr>
              <w:t>Cour suprême du Canada</w:t>
            </w:r>
          </w:p>
          <w:p w:rsidR="007C40B1" w:rsidRPr="00201A3F" w:rsidRDefault="007C40B1" w:rsidP="00B803D5">
            <w:pPr>
              <w:jc w:val="both"/>
              <w:rPr>
                <w:rFonts w:eastAsia="Calibri"/>
                <w:sz w:val="20"/>
                <w:lang w:val="fr-CA"/>
              </w:rPr>
            </w:pPr>
          </w:p>
        </w:tc>
        <w:tc>
          <w:tcPr>
            <w:tcW w:w="243" w:type="pct"/>
          </w:tcPr>
          <w:p w:rsidR="007C40B1" w:rsidRPr="00201A3F" w:rsidRDefault="007C40B1" w:rsidP="00B803D5">
            <w:pPr>
              <w:jc w:val="both"/>
              <w:rPr>
                <w:rFonts w:eastAsia="Calibri"/>
                <w:sz w:val="20"/>
                <w:lang w:val="fr-CA"/>
              </w:rPr>
            </w:pPr>
          </w:p>
        </w:tc>
        <w:tc>
          <w:tcPr>
            <w:tcW w:w="2330" w:type="pct"/>
          </w:tcPr>
          <w:p w:rsidR="007C40B1" w:rsidRPr="00201A3F" w:rsidRDefault="007C40B1" w:rsidP="00B803D5">
            <w:pPr>
              <w:jc w:val="both"/>
              <w:rPr>
                <w:rFonts w:eastAsia="Calibri"/>
                <w:sz w:val="20"/>
                <w:lang w:val="fr-CA"/>
              </w:rPr>
            </w:pPr>
            <w:r w:rsidRPr="00201A3F">
              <w:rPr>
                <w:rFonts w:eastAsia="Calibri"/>
                <w:sz w:val="20"/>
                <w:lang w:val="fr-CA"/>
              </w:rPr>
              <w:t>Requête en prorogation du délai de signification et de dépôt de la demande d'autorisation d'appel et demande d'autorisation d'appel, déposées</w:t>
            </w:r>
          </w:p>
        </w:tc>
      </w:tr>
    </w:tbl>
    <w:p w:rsidR="00A740D1" w:rsidRPr="007C40B1" w:rsidRDefault="00A740D1" w:rsidP="00A740D1">
      <w:pPr>
        <w:rPr>
          <w:sz w:val="20"/>
          <w:szCs w:val="20"/>
          <w:lang w:val="fr-CA"/>
        </w:rPr>
      </w:pPr>
    </w:p>
    <w:p w:rsidR="00A740D1" w:rsidRDefault="00BF3B03" w:rsidP="00A740D1">
      <w:pPr>
        <w:rPr>
          <w:sz w:val="20"/>
          <w:szCs w:val="20"/>
        </w:rPr>
      </w:pPr>
      <w:r w:rsidRPr="00BF3B03">
        <w:rPr>
          <w:sz w:val="20"/>
          <w:szCs w:val="20"/>
          <w:lang w:val="fr-CA"/>
        </w:rPr>
        <w:pict>
          <v:rect id="_x0000_i1055" style="width:2in;height:1pt" o:hrpct="0" o:hralign="center" o:hrstd="t" o:hrnoshade="t" o:hr="t" fillcolor="black [3213]" stroked="f"/>
        </w:pict>
      </w:r>
    </w:p>
    <w:p w:rsidR="00A740D1" w:rsidRDefault="00A740D1" w:rsidP="00A740D1">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46290" w:rsidRPr="003C7D2B" w:rsidTr="00C46290">
        <w:trPr>
          <w:cantSplit/>
        </w:trPr>
        <w:tc>
          <w:tcPr>
            <w:tcW w:w="1458" w:type="dxa"/>
          </w:tcPr>
          <w:p w:rsidR="00C46290" w:rsidRPr="003C7D2B" w:rsidRDefault="00C46290" w:rsidP="00C46290">
            <w:pPr>
              <w:rPr>
                <w:sz w:val="20"/>
                <w:szCs w:val="20"/>
              </w:rPr>
            </w:pPr>
            <w:r w:rsidRPr="003C7D2B">
              <w:rPr>
                <w:rStyle w:val="SCCFileNumberChar"/>
                <w:sz w:val="20"/>
                <w:szCs w:val="20"/>
              </w:rPr>
              <w:t>34892</w:t>
            </w:r>
          </w:p>
          <w:p w:rsidR="00C46290" w:rsidRPr="003C7D2B" w:rsidRDefault="00C46290" w:rsidP="00C46290">
            <w:pPr>
              <w:rPr>
                <w:b/>
                <w:sz w:val="20"/>
                <w:szCs w:val="20"/>
                <w:lang w:val="fr-CA"/>
              </w:rPr>
            </w:pPr>
          </w:p>
        </w:tc>
        <w:tc>
          <w:tcPr>
            <w:tcW w:w="8118" w:type="dxa"/>
          </w:tcPr>
          <w:p w:rsidR="00C46290" w:rsidRPr="003C7D2B" w:rsidRDefault="00C46290" w:rsidP="00C46290">
            <w:pPr>
              <w:rPr>
                <w:sz w:val="20"/>
                <w:szCs w:val="20"/>
              </w:rPr>
            </w:pPr>
            <w:r w:rsidRPr="00C46290">
              <w:rPr>
                <w:rStyle w:val="SCCLsocChar"/>
                <w:sz w:val="20"/>
                <w:szCs w:val="20"/>
                <w:lang w:val="en-CA"/>
              </w:rPr>
              <w:t>Victor J. Buencamino v. Canada Minister of Justice</w:t>
            </w:r>
            <w:r w:rsidRPr="003C7D2B">
              <w:rPr>
                <w:sz w:val="20"/>
                <w:szCs w:val="20"/>
              </w:rPr>
              <w:t xml:space="preserve"> (B.C.) (Criminal) (By Leave)</w:t>
            </w:r>
          </w:p>
          <w:p w:rsidR="00C46290" w:rsidRPr="003C7D2B" w:rsidRDefault="00C46290" w:rsidP="00C46290">
            <w:pPr>
              <w:rPr>
                <w:sz w:val="20"/>
                <w:szCs w:val="20"/>
              </w:rPr>
            </w:pPr>
          </w:p>
        </w:tc>
      </w:tr>
      <w:tr w:rsidR="00C46290" w:rsidRPr="003C7D2B" w:rsidTr="00C46290">
        <w:trPr>
          <w:cantSplit/>
        </w:trPr>
        <w:tc>
          <w:tcPr>
            <w:tcW w:w="1458" w:type="dxa"/>
          </w:tcPr>
          <w:p w:rsidR="00C46290" w:rsidRPr="003C7D2B" w:rsidRDefault="00C46290" w:rsidP="00C46290">
            <w:pPr>
              <w:rPr>
                <w:sz w:val="20"/>
                <w:szCs w:val="20"/>
              </w:rPr>
            </w:pPr>
            <w:r w:rsidRPr="003C7D2B">
              <w:rPr>
                <w:sz w:val="20"/>
                <w:szCs w:val="20"/>
              </w:rPr>
              <w:t>Coram :</w:t>
            </w:r>
          </w:p>
        </w:tc>
        <w:tc>
          <w:tcPr>
            <w:tcW w:w="8118" w:type="dxa"/>
          </w:tcPr>
          <w:p w:rsidR="00C46290" w:rsidRPr="003C7D2B" w:rsidRDefault="00C46290" w:rsidP="00C46290">
            <w:pPr>
              <w:rPr>
                <w:sz w:val="20"/>
                <w:szCs w:val="20"/>
              </w:rPr>
            </w:pPr>
            <w:r w:rsidRPr="00C46290">
              <w:rPr>
                <w:rStyle w:val="SCCCoramChar"/>
                <w:sz w:val="20"/>
                <w:szCs w:val="20"/>
                <w:lang w:val="en-CA"/>
              </w:rPr>
              <w:t>McLachlin C.J. and Rothstein and Moldaver JJ.</w:t>
            </w:r>
          </w:p>
          <w:p w:rsidR="00C46290" w:rsidRPr="003C7D2B" w:rsidRDefault="00C46290" w:rsidP="00C46290">
            <w:pPr>
              <w:rPr>
                <w:sz w:val="20"/>
                <w:szCs w:val="20"/>
                <w:u w:val="single"/>
              </w:rPr>
            </w:pPr>
          </w:p>
        </w:tc>
      </w:tr>
      <w:tr w:rsidR="00C46290" w:rsidRPr="00DC2D1F" w:rsidTr="00C46290">
        <w:trPr>
          <w:cantSplit/>
        </w:trPr>
        <w:tc>
          <w:tcPr>
            <w:tcW w:w="9576" w:type="dxa"/>
            <w:gridSpan w:val="2"/>
          </w:tcPr>
          <w:p w:rsidR="00C46290" w:rsidRPr="003C7D2B" w:rsidRDefault="00C46290" w:rsidP="00C46290">
            <w:pPr>
              <w:pStyle w:val="SCCShortJudgment"/>
              <w:rPr>
                <w:szCs w:val="20"/>
              </w:rPr>
            </w:pPr>
            <w:r w:rsidRPr="003C7D2B">
              <w:rPr>
                <w:szCs w:val="20"/>
              </w:rPr>
              <w:t>The application for leave to appeal from the judgment of the Court of Appeal for British Columbia (Vancouver), Number CA039398, 2012 BCCA 287, dated June 27, 2012, and all ancillary motions are dismissed without costs.</w:t>
            </w:r>
          </w:p>
          <w:p w:rsidR="00C46290" w:rsidRPr="003C7D2B" w:rsidRDefault="00C46290" w:rsidP="00C46290">
            <w:pPr>
              <w:pStyle w:val="SCCShortJudgment"/>
              <w:ind w:firstLine="0"/>
              <w:rPr>
                <w:szCs w:val="20"/>
              </w:rPr>
            </w:pPr>
          </w:p>
          <w:p w:rsidR="00C46290" w:rsidRPr="003C7D2B" w:rsidRDefault="00C46290" w:rsidP="00C46290">
            <w:pPr>
              <w:pStyle w:val="SCCShortJudgment"/>
              <w:rPr>
                <w:szCs w:val="20"/>
                <w:lang w:val="fr-CA"/>
              </w:rPr>
            </w:pPr>
            <w:r w:rsidRPr="003C7D2B">
              <w:rPr>
                <w:szCs w:val="20"/>
                <w:lang w:val="fr-CA"/>
              </w:rPr>
              <w:t xml:space="preserve">La demande d’autorisation d’appel de l’arrêt de la Cour d’appel de la Colombie-Britannique (Vancouver), numéro CA039398, 2012 BCCA 287, daté du 27 juin 2012, </w:t>
            </w:r>
            <w:r w:rsidR="00FB7CFF">
              <w:rPr>
                <w:szCs w:val="20"/>
                <w:lang w:val="fr-CA"/>
              </w:rPr>
              <w:t xml:space="preserve">et toutes requêtes accessoires </w:t>
            </w:r>
            <w:r w:rsidRPr="003C7D2B">
              <w:rPr>
                <w:szCs w:val="20"/>
                <w:lang w:val="fr-CA"/>
              </w:rPr>
              <w:t>sont rejetées sans dépens.</w:t>
            </w:r>
          </w:p>
        </w:tc>
      </w:tr>
    </w:tbl>
    <w:p w:rsidR="00A740D1" w:rsidRPr="00C46290" w:rsidRDefault="00A740D1" w:rsidP="00A740D1">
      <w:pPr>
        <w:rPr>
          <w:sz w:val="20"/>
          <w:szCs w:val="20"/>
          <w:lang w:val="fr-CA"/>
        </w:rPr>
      </w:pPr>
    </w:p>
    <w:p w:rsidR="00A740D1" w:rsidRPr="001B157C" w:rsidRDefault="00A740D1" w:rsidP="00A740D1">
      <w:pPr>
        <w:rPr>
          <w:sz w:val="20"/>
          <w:szCs w:val="20"/>
          <w:u w:val="single"/>
        </w:rPr>
      </w:pPr>
      <w:r w:rsidRPr="001B157C">
        <w:rPr>
          <w:sz w:val="20"/>
          <w:szCs w:val="20"/>
          <w:u w:val="single"/>
        </w:rPr>
        <w:t>CASE SUMMARY</w:t>
      </w:r>
    </w:p>
    <w:p w:rsidR="00A740D1" w:rsidRDefault="00A740D1" w:rsidP="00A740D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66993" w:rsidRPr="00201A3F" w:rsidTr="00B803D5">
        <w:tc>
          <w:tcPr>
            <w:tcW w:w="5000" w:type="pct"/>
            <w:gridSpan w:val="3"/>
          </w:tcPr>
          <w:p w:rsidR="00C66993" w:rsidRPr="00201A3F" w:rsidRDefault="00C66993" w:rsidP="00B803D5">
            <w:pPr>
              <w:jc w:val="both"/>
              <w:rPr>
                <w:rFonts w:eastAsia="Calibri"/>
                <w:sz w:val="20"/>
              </w:rPr>
            </w:pPr>
            <w:r w:rsidRPr="00201A3F">
              <w:rPr>
                <w:rFonts w:eastAsia="Calibri"/>
                <w:sz w:val="20"/>
              </w:rPr>
              <w:t>Extradition — Accused, alone and with co-accused, stole identities, which he used to obtain cash, credit and property in U.S. — U.S. sought surrender of accused for 68 counts of bank and other fraud and false statements on loan application — Minister of Justice of Canada authorized Attorney General to seek accused’s committal for fraud and identity theft — Authority to proceed referenced Canadian offences that corresponded to offences in U.S. for which U.S. authorities wished to prosecute accused — Minister later signed surrender order — Whether surrender order was reasonable —</w:t>
            </w:r>
            <w:r w:rsidRPr="00201A3F">
              <w:rPr>
                <w:rFonts w:eastAsia="Calibri"/>
                <w:i/>
                <w:sz w:val="20"/>
              </w:rPr>
              <w:t xml:space="preserve"> Extradition Act</w:t>
            </w:r>
            <w:r w:rsidRPr="00201A3F">
              <w:rPr>
                <w:rFonts w:eastAsia="Calibri"/>
                <w:sz w:val="20"/>
              </w:rPr>
              <w:t>, S.C. 1999, c. 18.</w:t>
            </w:r>
          </w:p>
        </w:tc>
      </w:tr>
      <w:tr w:rsidR="00C66993" w:rsidRPr="00201A3F" w:rsidTr="00B803D5">
        <w:trPr>
          <w:trHeight w:val="198"/>
        </w:trPr>
        <w:tc>
          <w:tcPr>
            <w:tcW w:w="5000" w:type="pct"/>
            <w:gridSpan w:val="3"/>
          </w:tcPr>
          <w:p w:rsidR="00C66993" w:rsidRPr="00201A3F" w:rsidRDefault="00C66993" w:rsidP="00B803D5">
            <w:pPr>
              <w:jc w:val="both"/>
              <w:rPr>
                <w:rFonts w:eastAsia="Calibri"/>
                <w:sz w:val="20"/>
              </w:rPr>
            </w:pPr>
          </w:p>
        </w:tc>
      </w:tr>
      <w:tr w:rsidR="00C66993" w:rsidRPr="00201A3F" w:rsidTr="00B803D5">
        <w:tc>
          <w:tcPr>
            <w:tcW w:w="5000" w:type="pct"/>
            <w:gridSpan w:val="3"/>
          </w:tcPr>
          <w:p w:rsidR="00C66993" w:rsidRPr="00201A3F" w:rsidRDefault="00C66993" w:rsidP="00B803D5">
            <w:pPr>
              <w:jc w:val="both"/>
              <w:rPr>
                <w:rFonts w:eastAsia="Calibri"/>
                <w:sz w:val="20"/>
              </w:rPr>
            </w:pPr>
            <w:r w:rsidRPr="00201A3F">
              <w:rPr>
                <w:rFonts w:eastAsia="Calibri"/>
                <w:sz w:val="20"/>
              </w:rPr>
              <w:t xml:space="preserve">The U.S. alleged that Mr. Buencamino, alone and with co-accused, stole identities, which he used to obtain cash, credit and property.  The U.S. sought Mr. Buencamino’s surrender for 68 counts of bank and other fraud and false statements on loan application.  The Minister of Justice of Canada authorized an arrest warrant and issued an authority to proceed with Mr. Buencamino’s committal for fraud and identity theft. An extradition judge then ordered Mr. Buencamino’s committal to await extradition, which Mr. Buencamino did not appeal. The Minister later ordered Mr. Buencamino’s surrender.  Mr. Buencamino sought judicial review of the surrender order on the basis that the Minister erred in drafting the authority to proceed to list only the Canadian offences of fraud and identify theft, while the U.S. sought his extradition for a large number of felony offences.  The surrender order listed the U.S. offences.  </w:t>
            </w:r>
            <w:r w:rsidRPr="00201A3F">
              <w:rPr>
                <w:rFonts w:eastAsia="Calibri"/>
                <w:sz w:val="20"/>
              </w:rPr>
              <w:lastRenderedPageBreak/>
              <w:t>The Court of Appeal held that the authority to proceed correctly referenced the Canadian offences that corresponded to the U.S. offences.  The Court of Appeal further held that the Minister is not required to match the offences listed in the surrender order with those listed in the authority to proceed.  Mr. Buencamino then applied to re-open the review on the basis that he had withdrawn instructions to his counsel and that he expected the hearing would be adjourned as a result.  The Court of Appeal dismissed the application being satisfied that counsel who argued the case was properly instructed by Mr. Buencamino at the time.</w:t>
            </w:r>
          </w:p>
          <w:p w:rsidR="00C66993" w:rsidRPr="00201A3F" w:rsidRDefault="00C66993" w:rsidP="00B803D5">
            <w:pPr>
              <w:jc w:val="both"/>
              <w:rPr>
                <w:rFonts w:eastAsia="Calibri"/>
                <w:sz w:val="20"/>
              </w:rPr>
            </w:pPr>
          </w:p>
        </w:tc>
      </w:tr>
      <w:tr w:rsidR="00C66993" w:rsidRPr="00201A3F" w:rsidTr="00B803D5">
        <w:tc>
          <w:tcPr>
            <w:tcW w:w="2427" w:type="pct"/>
          </w:tcPr>
          <w:p w:rsidR="00C66993" w:rsidRPr="00201A3F" w:rsidRDefault="00C66993" w:rsidP="00B803D5">
            <w:pPr>
              <w:jc w:val="both"/>
              <w:rPr>
                <w:rFonts w:eastAsia="Calibri"/>
                <w:sz w:val="20"/>
              </w:rPr>
            </w:pPr>
            <w:r w:rsidRPr="00201A3F">
              <w:rPr>
                <w:rFonts w:eastAsia="Calibri"/>
                <w:sz w:val="20"/>
              </w:rPr>
              <w:lastRenderedPageBreak/>
              <w:t>September 13, 2011</w:t>
            </w:r>
          </w:p>
          <w:p w:rsidR="00C66993" w:rsidRPr="00201A3F" w:rsidRDefault="00C66993" w:rsidP="00B803D5">
            <w:pPr>
              <w:jc w:val="both"/>
              <w:rPr>
                <w:rFonts w:eastAsia="Calibri"/>
                <w:sz w:val="20"/>
              </w:rPr>
            </w:pPr>
            <w:r w:rsidRPr="00201A3F">
              <w:rPr>
                <w:rFonts w:eastAsia="Calibri"/>
                <w:sz w:val="20"/>
              </w:rPr>
              <w:t>Minister of Justice of Canada</w:t>
            </w:r>
          </w:p>
          <w:p w:rsidR="00C66993" w:rsidRPr="00201A3F" w:rsidRDefault="00C66993" w:rsidP="00B803D5">
            <w:pPr>
              <w:jc w:val="both"/>
              <w:rPr>
                <w:rFonts w:eastAsia="Calibri"/>
                <w:sz w:val="20"/>
              </w:rPr>
            </w:pPr>
          </w:p>
        </w:tc>
        <w:tc>
          <w:tcPr>
            <w:tcW w:w="243" w:type="pct"/>
          </w:tcPr>
          <w:p w:rsidR="00C66993" w:rsidRPr="00201A3F" w:rsidRDefault="00C66993" w:rsidP="00B803D5">
            <w:pPr>
              <w:jc w:val="both"/>
              <w:rPr>
                <w:rFonts w:eastAsia="Calibri"/>
                <w:sz w:val="20"/>
              </w:rPr>
            </w:pPr>
          </w:p>
        </w:tc>
        <w:tc>
          <w:tcPr>
            <w:tcW w:w="2330" w:type="pct"/>
          </w:tcPr>
          <w:p w:rsidR="00C66993" w:rsidRPr="00201A3F" w:rsidRDefault="00C66993" w:rsidP="00B803D5">
            <w:pPr>
              <w:jc w:val="both"/>
              <w:rPr>
                <w:rFonts w:eastAsia="Calibri"/>
                <w:sz w:val="20"/>
              </w:rPr>
            </w:pPr>
            <w:r w:rsidRPr="00201A3F">
              <w:rPr>
                <w:rFonts w:eastAsia="Calibri"/>
                <w:sz w:val="20"/>
              </w:rPr>
              <w:t>Surrender order issued.</w:t>
            </w:r>
          </w:p>
          <w:p w:rsidR="00C66993" w:rsidRPr="00201A3F" w:rsidRDefault="00C66993" w:rsidP="00B803D5">
            <w:pPr>
              <w:jc w:val="both"/>
              <w:rPr>
                <w:rFonts w:eastAsia="Calibri"/>
                <w:sz w:val="20"/>
              </w:rPr>
            </w:pPr>
          </w:p>
        </w:tc>
      </w:tr>
      <w:tr w:rsidR="00C66993" w:rsidRPr="00201A3F" w:rsidTr="00B803D5">
        <w:tc>
          <w:tcPr>
            <w:tcW w:w="2427" w:type="pct"/>
          </w:tcPr>
          <w:p w:rsidR="00C66993" w:rsidRPr="00201A3F" w:rsidRDefault="00C66993" w:rsidP="00B803D5">
            <w:pPr>
              <w:jc w:val="both"/>
              <w:rPr>
                <w:rFonts w:eastAsia="Calibri"/>
                <w:sz w:val="20"/>
              </w:rPr>
            </w:pPr>
            <w:r w:rsidRPr="00201A3F">
              <w:rPr>
                <w:rFonts w:eastAsia="Calibri"/>
                <w:sz w:val="20"/>
              </w:rPr>
              <w:t>May 10, 2012</w:t>
            </w:r>
          </w:p>
          <w:p w:rsidR="00C66993" w:rsidRPr="00201A3F" w:rsidRDefault="00C66993" w:rsidP="00B803D5">
            <w:pPr>
              <w:jc w:val="both"/>
              <w:rPr>
                <w:rFonts w:eastAsia="Calibri"/>
                <w:sz w:val="20"/>
              </w:rPr>
            </w:pPr>
            <w:r w:rsidRPr="00201A3F">
              <w:rPr>
                <w:rFonts w:eastAsia="Calibri"/>
                <w:sz w:val="20"/>
              </w:rPr>
              <w:t xml:space="preserve">Court of Appeal for British Columbia </w:t>
            </w:r>
          </w:p>
          <w:p w:rsidR="00C66993" w:rsidRPr="00201A3F" w:rsidRDefault="00C66993" w:rsidP="00B803D5">
            <w:pPr>
              <w:jc w:val="both"/>
              <w:rPr>
                <w:rFonts w:eastAsia="Calibri"/>
                <w:sz w:val="20"/>
              </w:rPr>
            </w:pPr>
            <w:r w:rsidRPr="00201A3F">
              <w:rPr>
                <w:rFonts w:eastAsia="Calibri"/>
                <w:sz w:val="20"/>
              </w:rPr>
              <w:t>(Vancouver)</w:t>
            </w:r>
          </w:p>
          <w:p w:rsidR="00C66993" w:rsidRPr="00201A3F" w:rsidRDefault="00C66993" w:rsidP="00B803D5">
            <w:pPr>
              <w:jc w:val="both"/>
              <w:rPr>
                <w:rFonts w:eastAsia="Calibri"/>
                <w:sz w:val="20"/>
              </w:rPr>
            </w:pPr>
            <w:r w:rsidRPr="00201A3F">
              <w:rPr>
                <w:rFonts w:eastAsia="Calibri"/>
                <w:sz w:val="20"/>
              </w:rPr>
              <w:t>(Newbury, Low and Groberman JJ.A.)</w:t>
            </w:r>
          </w:p>
          <w:p w:rsidR="00C66993" w:rsidRPr="00201A3F" w:rsidRDefault="00C66993" w:rsidP="00B803D5">
            <w:pPr>
              <w:jc w:val="both"/>
              <w:rPr>
                <w:rFonts w:eastAsia="Calibri"/>
                <w:sz w:val="20"/>
              </w:rPr>
            </w:pPr>
            <w:r w:rsidRPr="00201A3F">
              <w:rPr>
                <w:rFonts w:eastAsia="Calibri"/>
                <w:sz w:val="20"/>
              </w:rPr>
              <w:t>2012 BCCA 212</w:t>
            </w:r>
          </w:p>
          <w:p w:rsidR="00C66993" w:rsidRPr="00201A3F" w:rsidRDefault="00C66993" w:rsidP="00B803D5">
            <w:pPr>
              <w:jc w:val="both"/>
              <w:rPr>
                <w:rFonts w:eastAsia="Calibri"/>
                <w:sz w:val="20"/>
              </w:rPr>
            </w:pPr>
          </w:p>
        </w:tc>
        <w:tc>
          <w:tcPr>
            <w:tcW w:w="243" w:type="pct"/>
          </w:tcPr>
          <w:p w:rsidR="00C66993" w:rsidRPr="00201A3F" w:rsidRDefault="00C66993" w:rsidP="00B803D5">
            <w:pPr>
              <w:jc w:val="both"/>
              <w:rPr>
                <w:rFonts w:eastAsia="Calibri"/>
                <w:sz w:val="20"/>
              </w:rPr>
            </w:pPr>
          </w:p>
        </w:tc>
        <w:tc>
          <w:tcPr>
            <w:tcW w:w="2330" w:type="pct"/>
          </w:tcPr>
          <w:p w:rsidR="00C66993" w:rsidRPr="00201A3F" w:rsidRDefault="00C66993" w:rsidP="00B803D5">
            <w:pPr>
              <w:jc w:val="both"/>
              <w:rPr>
                <w:rFonts w:eastAsia="Calibri"/>
                <w:sz w:val="20"/>
              </w:rPr>
            </w:pPr>
            <w:r w:rsidRPr="00201A3F">
              <w:rPr>
                <w:rFonts w:eastAsia="Calibri"/>
                <w:sz w:val="20"/>
              </w:rPr>
              <w:t>Judicial review of surrender order dismissed.</w:t>
            </w:r>
          </w:p>
          <w:p w:rsidR="00C66993" w:rsidRPr="00201A3F" w:rsidRDefault="00C66993" w:rsidP="00B803D5">
            <w:pPr>
              <w:jc w:val="both"/>
              <w:rPr>
                <w:rFonts w:eastAsia="Calibri"/>
                <w:sz w:val="20"/>
              </w:rPr>
            </w:pPr>
          </w:p>
        </w:tc>
      </w:tr>
      <w:tr w:rsidR="00C66993" w:rsidRPr="00201A3F" w:rsidTr="00B803D5">
        <w:tc>
          <w:tcPr>
            <w:tcW w:w="2427" w:type="pct"/>
          </w:tcPr>
          <w:p w:rsidR="00C66993" w:rsidRPr="00201A3F" w:rsidRDefault="00C66993" w:rsidP="00B803D5">
            <w:pPr>
              <w:jc w:val="both"/>
              <w:rPr>
                <w:rFonts w:eastAsia="Calibri"/>
                <w:sz w:val="20"/>
              </w:rPr>
            </w:pPr>
            <w:r w:rsidRPr="00201A3F">
              <w:rPr>
                <w:rFonts w:eastAsia="Calibri"/>
                <w:sz w:val="20"/>
              </w:rPr>
              <w:t>June 27, 2012</w:t>
            </w:r>
          </w:p>
          <w:p w:rsidR="00C66993" w:rsidRPr="00201A3F" w:rsidRDefault="00C66993" w:rsidP="00B803D5">
            <w:pPr>
              <w:jc w:val="both"/>
              <w:rPr>
                <w:rFonts w:eastAsia="Calibri"/>
                <w:sz w:val="20"/>
              </w:rPr>
            </w:pPr>
            <w:r w:rsidRPr="00201A3F">
              <w:rPr>
                <w:rFonts w:eastAsia="Calibri"/>
                <w:sz w:val="20"/>
              </w:rPr>
              <w:t xml:space="preserve">Court of Appeal for British Columbia </w:t>
            </w:r>
          </w:p>
          <w:p w:rsidR="00C66993" w:rsidRPr="00201A3F" w:rsidRDefault="00C66993" w:rsidP="00B803D5">
            <w:pPr>
              <w:jc w:val="both"/>
              <w:rPr>
                <w:rFonts w:eastAsia="Calibri"/>
                <w:sz w:val="20"/>
              </w:rPr>
            </w:pPr>
            <w:r w:rsidRPr="00201A3F">
              <w:rPr>
                <w:rFonts w:eastAsia="Calibri"/>
                <w:sz w:val="20"/>
              </w:rPr>
              <w:t>(Vancouver)</w:t>
            </w:r>
          </w:p>
          <w:p w:rsidR="00C66993" w:rsidRPr="00201A3F" w:rsidRDefault="00C66993" w:rsidP="00B803D5">
            <w:pPr>
              <w:jc w:val="both"/>
              <w:rPr>
                <w:rFonts w:eastAsia="Calibri"/>
                <w:sz w:val="20"/>
              </w:rPr>
            </w:pPr>
            <w:r w:rsidRPr="00201A3F">
              <w:rPr>
                <w:rFonts w:eastAsia="Calibri"/>
                <w:sz w:val="20"/>
              </w:rPr>
              <w:t>(Newbury, Low and Groberman JJ.A.)</w:t>
            </w:r>
          </w:p>
          <w:p w:rsidR="00C66993" w:rsidRPr="00201A3F" w:rsidRDefault="00C66993" w:rsidP="00B803D5">
            <w:pPr>
              <w:jc w:val="both"/>
              <w:rPr>
                <w:rFonts w:eastAsia="Calibri"/>
                <w:sz w:val="20"/>
              </w:rPr>
            </w:pPr>
            <w:r w:rsidRPr="00201A3F">
              <w:rPr>
                <w:rFonts w:eastAsia="Calibri"/>
                <w:sz w:val="20"/>
              </w:rPr>
              <w:t>2012 BCCA 287</w:t>
            </w:r>
          </w:p>
          <w:p w:rsidR="00C66993" w:rsidRPr="00201A3F" w:rsidRDefault="00C66993" w:rsidP="00B803D5">
            <w:pPr>
              <w:jc w:val="both"/>
              <w:rPr>
                <w:rFonts w:eastAsia="Calibri"/>
                <w:sz w:val="20"/>
              </w:rPr>
            </w:pPr>
          </w:p>
        </w:tc>
        <w:tc>
          <w:tcPr>
            <w:tcW w:w="243" w:type="pct"/>
          </w:tcPr>
          <w:p w:rsidR="00C66993" w:rsidRPr="00201A3F" w:rsidRDefault="00C66993" w:rsidP="00B803D5">
            <w:pPr>
              <w:jc w:val="both"/>
              <w:rPr>
                <w:rFonts w:eastAsia="Calibri"/>
                <w:sz w:val="20"/>
              </w:rPr>
            </w:pPr>
          </w:p>
        </w:tc>
        <w:tc>
          <w:tcPr>
            <w:tcW w:w="2330" w:type="pct"/>
          </w:tcPr>
          <w:p w:rsidR="00C66993" w:rsidRPr="00201A3F" w:rsidRDefault="00C66993" w:rsidP="00B803D5">
            <w:pPr>
              <w:jc w:val="both"/>
              <w:rPr>
                <w:rFonts w:eastAsia="Calibri"/>
                <w:sz w:val="20"/>
              </w:rPr>
            </w:pPr>
            <w:r w:rsidRPr="00201A3F">
              <w:rPr>
                <w:rFonts w:eastAsia="Calibri"/>
                <w:sz w:val="20"/>
              </w:rPr>
              <w:t>Reconsideration denied.</w:t>
            </w:r>
          </w:p>
          <w:p w:rsidR="00C66993" w:rsidRPr="00201A3F" w:rsidRDefault="00C66993" w:rsidP="00B803D5">
            <w:pPr>
              <w:jc w:val="both"/>
              <w:rPr>
                <w:rFonts w:eastAsia="Calibri"/>
                <w:sz w:val="20"/>
              </w:rPr>
            </w:pPr>
          </w:p>
        </w:tc>
      </w:tr>
      <w:tr w:rsidR="00C66993" w:rsidRPr="00201A3F" w:rsidTr="00B803D5">
        <w:tc>
          <w:tcPr>
            <w:tcW w:w="2427" w:type="pct"/>
          </w:tcPr>
          <w:p w:rsidR="00C66993" w:rsidRPr="00201A3F" w:rsidRDefault="00C66993" w:rsidP="00B803D5">
            <w:pPr>
              <w:jc w:val="both"/>
              <w:rPr>
                <w:rFonts w:eastAsia="Calibri"/>
                <w:sz w:val="20"/>
              </w:rPr>
            </w:pPr>
            <w:r w:rsidRPr="00201A3F">
              <w:rPr>
                <w:rFonts w:eastAsia="Calibri"/>
                <w:sz w:val="20"/>
              </w:rPr>
              <w:t>July 30, 2012</w:t>
            </w:r>
          </w:p>
          <w:p w:rsidR="00C66993" w:rsidRPr="00201A3F" w:rsidRDefault="00C66993" w:rsidP="00B803D5">
            <w:pPr>
              <w:jc w:val="both"/>
              <w:rPr>
                <w:rFonts w:eastAsia="Calibri"/>
                <w:sz w:val="20"/>
              </w:rPr>
            </w:pPr>
            <w:r w:rsidRPr="00201A3F">
              <w:rPr>
                <w:rFonts w:eastAsia="Calibri"/>
                <w:sz w:val="20"/>
              </w:rPr>
              <w:t>Supreme Court of Canada</w:t>
            </w:r>
          </w:p>
        </w:tc>
        <w:tc>
          <w:tcPr>
            <w:tcW w:w="243" w:type="pct"/>
          </w:tcPr>
          <w:p w:rsidR="00C66993" w:rsidRPr="00201A3F" w:rsidRDefault="00C66993" w:rsidP="00B803D5">
            <w:pPr>
              <w:jc w:val="both"/>
              <w:rPr>
                <w:rFonts w:eastAsia="Calibri"/>
                <w:sz w:val="20"/>
              </w:rPr>
            </w:pPr>
          </w:p>
        </w:tc>
        <w:tc>
          <w:tcPr>
            <w:tcW w:w="2330" w:type="pct"/>
          </w:tcPr>
          <w:p w:rsidR="00C66993" w:rsidRPr="00201A3F" w:rsidRDefault="00C66993" w:rsidP="00B803D5">
            <w:pPr>
              <w:jc w:val="both"/>
              <w:rPr>
                <w:rFonts w:eastAsia="Calibri"/>
                <w:sz w:val="20"/>
              </w:rPr>
            </w:pPr>
            <w:r w:rsidRPr="00201A3F">
              <w:rPr>
                <w:rFonts w:eastAsia="Calibri"/>
                <w:sz w:val="20"/>
              </w:rPr>
              <w:t>Application for leave to appeal and multiple ancillary motions filed.</w:t>
            </w:r>
          </w:p>
        </w:tc>
      </w:tr>
    </w:tbl>
    <w:p w:rsidR="00A740D1" w:rsidRDefault="00A740D1" w:rsidP="00A740D1">
      <w:pPr>
        <w:rPr>
          <w:sz w:val="20"/>
          <w:szCs w:val="20"/>
        </w:rPr>
      </w:pPr>
    </w:p>
    <w:p w:rsidR="00A740D1" w:rsidRPr="00C50A5C" w:rsidRDefault="00BF3B03" w:rsidP="00A740D1">
      <w:pPr>
        <w:rPr>
          <w:sz w:val="20"/>
          <w:szCs w:val="20"/>
        </w:rPr>
      </w:pPr>
      <w:r w:rsidRPr="00BF3B03">
        <w:rPr>
          <w:sz w:val="20"/>
          <w:szCs w:val="20"/>
          <w:lang w:val="fr-CA"/>
        </w:rPr>
        <w:pict>
          <v:rect id="_x0000_i1056" style="width:2in;height:1pt" o:hrpct="0" o:hralign="center" o:hrstd="t" o:hrnoshade="t" o:hr="t" fillcolor="black [3213]" stroked="f"/>
        </w:pict>
      </w:r>
    </w:p>
    <w:p w:rsidR="00A740D1" w:rsidRDefault="00A740D1" w:rsidP="00A740D1">
      <w:pPr>
        <w:rPr>
          <w:sz w:val="20"/>
          <w:szCs w:val="20"/>
        </w:rPr>
      </w:pPr>
    </w:p>
    <w:p w:rsidR="00A740D1" w:rsidRPr="001B157C" w:rsidRDefault="00A740D1" w:rsidP="00A740D1">
      <w:pPr>
        <w:rPr>
          <w:sz w:val="20"/>
          <w:szCs w:val="20"/>
          <w:u w:val="single"/>
          <w:lang w:val="fr-CA"/>
        </w:rPr>
      </w:pPr>
      <w:r w:rsidRPr="001B157C">
        <w:rPr>
          <w:sz w:val="20"/>
          <w:szCs w:val="20"/>
          <w:u w:val="single"/>
          <w:lang w:val="fr-CA"/>
        </w:rPr>
        <w:t>RÉSUMÉ DE L’AFFAIRE</w:t>
      </w:r>
    </w:p>
    <w:p w:rsidR="00A740D1" w:rsidRDefault="00A740D1" w:rsidP="00A740D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66993" w:rsidRPr="00DC2D1F" w:rsidTr="00B803D5">
        <w:tc>
          <w:tcPr>
            <w:tcW w:w="5000" w:type="pct"/>
            <w:gridSpan w:val="3"/>
          </w:tcPr>
          <w:p w:rsidR="00C66993" w:rsidRPr="00201A3F" w:rsidRDefault="00C66993" w:rsidP="00B803D5">
            <w:pPr>
              <w:jc w:val="both"/>
              <w:rPr>
                <w:rFonts w:eastAsia="Calibri"/>
                <w:sz w:val="20"/>
                <w:lang w:val="fr-FR"/>
              </w:rPr>
            </w:pPr>
            <w:r w:rsidRPr="00201A3F">
              <w:rPr>
                <w:rFonts w:eastAsia="Calibri"/>
                <w:sz w:val="20"/>
                <w:lang w:val="fr-FR"/>
              </w:rPr>
              <w:t>Extradition — Accusé, seul et avec un coaccusé, a volé des identités dont il s’est servi pour obtenir de l’argent comptant, du crédit et des biens aux É.</w:t>
            </w:r>
            <w:r w:rsidRPr="00201A3F">
              <w:rPr>
                <w:rFonts w:eastAsia="Calibri"/>
                <w:sz w:val="20"/>
                <w:lang w:val="fr-FR"/>
              </w:rPr>
              <w:noBreakHyphen/>
              <w:t>U. — Les É.</w:t>
            </w:r>
            <w:r w:rsidRPr="00201A3F">
              <w:rPr>
                <w:rFonts w:eastAsia="Calibri"/>
                <w:sz w:val="20"/>
                <w:lang w:val="fr-FR"/>
              </w:rPr>
              <w:noBreakHyphen/>
              <w:t>U. ont présenté une demande de remise de l’accusé pour 68 chefs de fraude bancaire et autres ainsi que de fausses déclarations dans des demandes de prêts — Le ministre de la Justice du Canada a autorisé le procureur général à demander l’incarcération de l’accusé en raison de la fraude et du vol d’identité — Prise d’un arrêté introductif d’instance qui faisait référence aux infractions canadiennes qui correspondent aux infractions des É.</w:t>
            </w:r>
            <w:r w:rsidRPr="00201A3F">
              <w:rPr>
                <w:rFonts w:eastAsia="Calibri"/>
                <w:sz w:val="20"/>
                <w:lang w:val="fr-FR"/>
              </w:rPr>
              <w:noBreakHyphen/>
              <w:t>U. pour lesquelles les autorités américaines souhaitaient poursuivre l’accusé — Ministre a signé l’ordonnance de remise ultérieurement — L’ordonnance de remise était</w:t>
            </w:r>
            <w:r w:rsidRPr="00201A3F">
              <w:rPr>
                <w:rFonts w:eastAsia="Calibri"/>
                <w:sz w:val="20"/>
                <w:lang w:val="fr-FR"/>
              </w:rPr>
              <w:noBreakHyphen/>
              <w:t xml:space="preserve">elle raisonnable ? — </w:t>
            </w:r>
            <w:r w:rsidRPr="00201A3F">
              <w:rPr>
                <w:rFonts w:eastAsia="Calibri"/>
                <w:i/>
                <w:sz w:val="20"/>
                <w:lang w:val="fr-FR"/>
              </w:rPr>
              <w:t>Loi sur l’extradition</w:t>
            </w:r>
            <w:r w:rsidRPr="00201A3F">
              <w:rPr>
                <w:rFonts w:eastAsia="Calibri"/>
                <w:sz w:val="20"/>
                <w:lang w:val="fr-FR"/>
              </w:rPr>
              <w:t>, L.C. 1999, ch. 18.</w:t>
            </w:r>
          </w:p>
          <w:p w:rsidR="00C66993" w:rsidRPr="00201A3F" w:rsidRDefault="00C66993" w:rsidP="00B803D5">
            <w:pPr>
              <w:jc w:val="both"/>
              <w:rPr>
                <w:rFonts w:eastAsia="Calibri"/>
                <w:sz w:val="20"/>
                <w:lang w:val="fr-FR"/>
              </w:rPr>
            </w:pPr>
          </w:p>
          <w:p w:rsidR="00C66993" w:rsidRPr="00201A3F" w:rsidRDefault="00C66993" w:rsidP="00B803D5">
            <w:pPr>
              <w:jc w:val="both"/>
              <w:rPr>
                <w:rFonts w:eastAsia="Calibri"/>
                <w:sz w:val="20"/>
                <w:lang w:val="fr-FR"/>
              </w:rPr>
            </w:pPr>
            <w:r w:rsidRPr="00201A3F">
              <w:rPr>
                <w:rFonts w:eastAsia="Calibri"/>
                <w:sz w:val="20"/>
                <w:lang w:val="fr-FR"/>
              </w:rPr>
              <w:t>Selon les É.</w:t>
            </w:r>
            <w:r w:rsidRPr="00201A3F">
              <w:rPr>
                <w:rFonts w:eastAsia="Calibri"/>
                <w:sz w:val="20"/>
                <w:lang w:val="fr-FR"/>
              </w:rPr>
              <w:noBreakHyphen/>
              <w:t>U., M. Buencamino, seul et avec des coaccusés, a volé des identités, dont il s’est servies pour obtenir de l’argent comptant, du crédit et des biens.  Les É.</w:t>
            </w:r>
            <w:r w:rsidRPr="00201A3F">
              <w:rPr>
                <w:rFonts w:eastAsia="Calibri"/>
                <w:sz w:val="20"/>
                <w:lang w:val="fr-FR"/>
              </w:rPr>
              <w:noBreakHyphen/>
              <w:t>U. ont demandé la remise de l’accusé pour 68 chefs de fraude bancaire et autres ainsi que de fausses déclarations dans des demandes de prêts.  Le ministre de la Justice du Canada a autorisé l’émission d’un mandat d’arrestation et pris un arrêté introductif d’instance en vue de l’incarcération de M. Buencamino relativement à des infractions de fraude et de vol d’identité.  Un juge d’extradition a ensuite ordonné l’incarcération de M. Buencamino en attendant son extradition, ordonnance dont ce dernier n’a pas fait appel.  Ultérieurement, le ministre a ordonné la remise de M. Buencamino qui a demandé le contrôle judiciaire de cette décision en faisant valoir que le ministre avait commis une erreur en rédigeant l’arrêté introductif d’instance puisqu’il n’y a dressé la liste que des infractions canadiennes de fraude et de vol d’identité même si les É.</w:t>
            </w:r>
            <w:r w:rsidRPr="00201A3F">
              <w:rPr>
                <w:rFonts w:eastAsia="Calibri"/>
                <w:sz w:val="20"/>
                <w:lang w:val="fr-FR"/>
              </w:rPr>
              <w:noBreakHyphen/>
              <w:t xml:space="preserve">U. sollicitaient son extradition pour un grand nombre d’infractions graves.  L’ordonnance de remise dressait pour sa part la liste des infractions américaines.  La Cour d’appel a jugé que l’arrêté introductif d’instance faisait correctement référence aux infractions canadiennes qui correspondaient aux infractions américaines.  Elle a aussi conclu que le ministre n’est pas tenu d’établir une adéquation entre les infractions qui figurent dans l’ordonnance de remise et celles dont il est fait mention dans l’arrêté introductif d’instance.  M. Buencamino a ensuite présenté une demande de réouverture du </w:t>
            </w:r>
            <w:r w:rsidRPr="00201A3F">
              <w:rPr>
                <w:rFonts w:eastAsia="Calibri"/>
                <w:sz w:val="20"/>
                <w:lang w:val="fr-FR"/>
              </w:rPr>
              <w:lastRenderedPageBreak/>
              <w:t>contrôle faisant valoir qu’il avait révoqué les directives données à son avocat et qu’il s’attendait en conséquence à un ajournement de l’audience.  La Cour d’appel a rejeté la demande; elle était convaincue que l’avocat qui avait plaidé avait bel et bien à ce moment</w:t>
            </w:r>
            <w:r w:rsidRPr="00201A3F">
              <w:rPr>
                <w:rFonts w:eastAsia="Calibri"/>
                <w:sz w:val="20"/>
                <w:lang w:val="fr-FR"/>
              </w:rPr>
              <w:noBreakHyphen/>
              <w:t>là un mandat clair de M. Buencamino.</w:t>
            </w:r>
          </w:p>
          <w:p w:rsidR="00C66993" w:rsidRPr="00201A3F" w:rsidRDefault="00C66993" w:rsidP="00B803D5">
            <w:pPr>
              <w:jc w:val="both"/>
              <w:rPr>
                <w:rFonts w:eastAsia="Calibri"/>
                <w:sz w:val="20"/>
                <w:lang w:val="fr-FR"/>
              </w:rPr>
            </w:pPr>
          </w:p>
        </w:tc>
      </w:tr>
      <w:tr w:rsidR="00C66993" w:rsidRPr="00201A3F" w:rsidTr="00B803D5">
        <w:tc>
          <w:tcPr>
            <w:tcW w:w="2427" w:type="pct"/>
          </w:tcPr>
          <w:p w:rsidR="00C66993" w:rsidRPr="00314EC0" w:rsidRDefault="00C66993" w:rsidP="00B803D5">
            <w:pPr>
              <w:jc w:val="both"/>
              <w:rPr>
                <w:rFonts w:eastAsia="Calibri"/>
                <w:sz w:val="20"/>
                <w:lang w:val="fr-CA"/>
              </w:rPr>
            </w:pPr>
            <w:r w:rsidRPr="00314EC0">
              <w:rPr>
                <w:rFonts w:eastAsia="Calibri"/>
                <w:sz w:val="20"/>
                <w:lang w:val="fr-CA"/>
              </w:rPr>
              <w:lastRenderedPageBreak/>
              <w:t>13 septembre 2011</w:t>
            </w:r>
          </w:p>
          <w:p w:rsidR="00C66993" w:rsidRPr="00314EC0" w:rsidRDefault="00C66993" w:rsidP="00B803D5">
            <w:pPr>
              <w:jc w:val="both"/>
              <w:rPr>
                <w:rFonts w:eastAsia="Calibri"/>
                <w:sz w:val="20"/>
                <w:lang w:val="fr-CA"/>
              </w:rPr>
            </w:pPr>
            <w:r w:rsidRPr="00314EC0">
              <w:rPr>
                <w:rFonts w:eastAsia="Calibri"/>
                <w:sz w:val="20"/>
                <w:lang w:val="fr-CA"/>
              </w:rPr>
              <w:t>Ministre de la Justice du Canada</w:t>
            </w:r>
          </w:p>
          <w:p w:rsidR="00C66993" w:rsidRPr="00314EC0" w:rsidRDefault="00C66993" w:rsidP="00B803D5">
            <w:pPr>
              <w:jc w:val="both"/>
              <w:rPr>
                <w:rFonts w:eastAsia="Calibri"/>
                <w:sz w:val="20"/>
                <w:lang w:val="fr-CA"/>
              </w:rPr>
            </w:pPr>
          </w:p>
        </w:tc>
        <w:tc>
          <w:tcPr>
            <w:tcW w:w="243" w:type="pct"/>
          </w:tcPr>
          <w:p w:rsidR="00C66993" w:rsidRPr="00314EC0" w:rsidRDefault="00C66993" w:rsidP="00B803D5">
            <w:pPr>
              <w:jc w:val="both"/>
              <w:rPr>
                <w:rFonts w:eastAsia="Calibri"/>
                <w:sz w:val="20"/>
                <w:lang w:val="fr-CA"/>
              </w:rPr>
            </w:pPr>
          </w:p>
        </w:tc>
        <w:tc>
          <w:tcPr>
            <w:tcW w:w="2330" w:type="pct"/>
          </w:tcPr>
          <w:p w:rsidR="00C66993" w:rsidRPr="00314EC0" w:rsidRDefault="00C66993" w:rsidP="00B803D5">
            <w:pPr>
              <w:jc w:val="both"/>
              <w:rPr>
                <w:rFonts w:eastAsia="Calibri"/>
                <w:sz w:val="20"/>
                <w:lang w:val="fr-CA"/>
              </w:rPr>
            </w:pPr>
            <w:r w:rsidRPr="00314EC0">
              <w:rPr>
                <w:rFonts w:eastAsia="Calibri"/>
                <w:sz w:val="20"/>
                <w:lang w:val="fr-CA"/>
              </w:rPr>
              <w:t>Ordonnance de remise prononcée</w:t>
            </w:r>
          </w:p>
          <w:p w:rsidR="00C66993" w:rsidRPr="00314EC0" w:rsidRDefault="00C66993" w:rsidP="00B803D5">
            <w:pPr>
              <w:jc w:val="both"/>
              <w:rPr>
                <w:rFonts w:eastAsia="Calibri"/>
                <w:sz w:val="20"/>
                <w:lang w:val="fr-CA"/>
              </w:rPr>
            </w:pPr>
          </w:p>
        </w:tc>
      </w:tr>
      <w:tr w:rsidR="00C66993" w:rsidRPr="00DC2D1F" w:rsidTr="00B803D5">
        <w:tc>
          <w:tcPr>
            <w:tcW w:w="2427" w:type="pct"/>
          </w:tcPr>
          <w:p w:rsidR="00C66993" w:rsidRPr="00314EC0" w:rsidRDefault="00C66993" w:rsidP="00B803D5">
            <w:pPr>
              <w:jc w:val="both"/>
              <w:rPr>
                <w:rFonts w:eastAsia="Calibri"/>
                <w:sz w:val="20"/>
                <w:lang w:val="fr-CA"/>
              </w:rPr>
            </w:pPr>
            <w:r w:rsidRPr="00314EC0">
              <w:rPr>
                <w:rFonts w:eastAsia="Calibri"/>
                <w:sz w:val="20"/>
                <w:lang w:val="fr-CA"/>
              </w:rPr>
              <w:t>10 mai 2012</w:t>
            </w:r>
          </w:p>
          <w:p w:rsidR="00C66993" w:rsidRPr="00314EC0" w:rsidRDefault="00C66993" w:rsidP="00B803D5">
            <w:pPr>
              <w:jc w:val="both"/>
              <w:rPr>
                <w:rFonts w:eastAsia="Calibri"/>
                <w:sz w:val="20"/>
                <w:lang w:val="fr-CA"/>
              </w:rPr>
            </w:pPr>
            <w:r w:rsidRPr="00314EC0">
              <w:rPr>
                <w:rFonts w:eastAsia="Calibri"/>
                <w:sz w:val="20"/>
                <w:lang w:val="fr-CA"/>
              </w:rPr>
              <w:t>Cour d’appel de la Colombie</w:t>
            </w:r>
            <w:r w:rsidRPr="00314EC0">
              <w:rPr>
                <w:rFonts w:eastAsia="Calibri"/>
                <w:sz w:val="20"/>
                <w:lang w:val="fr-CA"/>
              </w:rPr>
              <w:noBreakHyphen/>
              <w:t xml:space="preserve">Britannique </w:t>
            </w:r>
          </w:p>
          <w:p w:rsidR="00C66993" w:rsidRPr="00314EC0" w:rsidRDefault="00C66993" w:rsidP="00B803D5">
            <w:pPr>
              <w:jc w:val="both"/>
              <w:rPr>
                <w:rFonts w:eastAsia="Calibri"/>
                <w:sz w:val="20"/>
                <w:lang w:val="fr-CA"/>
              </w:rPr>
            </w:pPr>
            <w:r w:rsidRPr="00314EC0">
              <w:rPr>
                <w:rFonts w:eastAsia="Calibri"/>
                <w:sz w:val="20"/>
                <w:lang w:val="fr-CA"/>
              </w:rPr>
              <w:t>(Vancouver)</w:t>
            </w:r>
          </w:p>
          <w:p w:rsidR="00C66993" w:rsidRPr="00314EC0" w:rsidRDefault="00C66993" w:rsidP="00B803D5">
            <w:pPr>
              <w:jc w:val="both"/>
              <w:rPr>
                <w:rFonts w:eastAsia="Calibri"/>
                <w:sz w:val="20"/>
                <w:lang w:val="fr-CA"/>
              </w:rPr>
            </w:pPr>
            <w:r w:rsidRPr="00314EC0">
              <w:rPr>
                <w:rFonts w:eastAsia="Calibri"/>
                <w:sz w:val="20"/>
                <w:lang w:val="fr-CA"/>
              </w:rPr>
              <w:t>(Juges Newbury, Low et Groberman)</w:t>
            </w:r>
          </w:p>
          <w:p w:rsidR="00C66993" w:rsidRPr="00314EC0" w:rsidRDefault="00C66993" w:rsidP="00B803D5">
            <w:pPr>
              <w:jc w:val="both"/>
              <w:rPr>
                <w:rFonts w:eastAsia="Calibri"/>
                <w:sz w:val="20"/>
                <w:lang w:val="fr-CA"/>
              </w:rPr>
            </w:pPr>
            <w:r w:rsidRPr="00314EC0">
              <w:rPr>
                <w:rFonts w:eastAsia="Calibri"/>
                <w:sz w:val="20"/>
                <w:lang w:val="fr-CA"/>
              </w:rPr>
              <w:t>2012 BCCA 212</w:t>
            </w:r>
          </w:p>
          <w:p w:rsidR="00C66993" w:rsidRPr="00314EC0" w:rsidRDefault="00C66993" w:rsidP="00B803D5">
            <w:pPr>
              <w:jc w:val="both"/>
              <w:rPr>
                <w:rFonts w:eastAsia="Calibri"/>
                <w:sz w:val="20"/>
                <w:lang w:val="fr-CA"/>
              </w:rPr>
            </w:pPr>
          </w:p>
        </w:tc>
        <w:tc>
          <w:tcPr>
            <w:tcW w:w="243" w:type="pct"/>
          </w:tcPr>
          <w:p w:rsidR="00C66993" w:rsidRPr="00314EC0" w:rsidRDefault="00C66993" w:rsidP="00B803D5">
            <w:pPr>
              <w:jc w:val="both"/>
              <w:rPr>
                <w:rFonts w:eastAsia="Calibri"/>
                <w:sz w:val="20"/>
                <w:lang w:val="fr-CA"/>
              </w:rPr>
            </w:pPr>
          </w:p>
        </w:tc>
        <w:tc>
          <w:tcPr>
            <w:tcW w:w="2330" w:type="pct"/>
          </w:tcPr>
          <w:p w:rsidR="00C66993" w:rsidRPr="00314EC0" w:rsidRDefault="00C66993" w:rsidP="00B803D5">
            <w:pPr>
              <w:jc w:val="both"/>
              <w:rPr>
                <w:rFonts w:eastAsia="Calibri"/>
                <w:sz w:val="20"/>
                <w:lang w:val="fr-CA"/>
              </w:rPr>
            </w:pPr>
            <w:r w:rsidRPr="00314EC0">
              <w:rPr>
                <w:rFonts w:eastAsia="Calibri"/>
                <w:sz w:val="20"/>
                <w:lang w:val="fr-CA"/>
              </w:rPr>
              <w:t>Contrôle judiciaire de l’ordonnance de remise rejeté</w:t>
            </w:r>
          </w:p>
          <w:p w:rsidR="00C66993" w:rsidRPr="00314EC0" w:rsidRDefault="00C66993" w:rsidP="00B803D5">
            <w:pPr>
              <w:jc w:val="both"/>
              <w:rPr>
                <w:rFonts w:eastAsia="Calibri"/>
                <w:sz w:val="20"/>
                <w:lang w:val="fr-CA"/>
              </w:rPr>
            </w:pPr>
          </w:p>
        </w:tc>
      </w:tr>
      <w:tr w:rsidR="00C66993" w:rsidRPr="00201A3F" w:rsidTr="00B803D5">
        <w:tc>
          <w:tcPr>
            <w:tcW w:w="2427" w:type="pct"/>
          </w:tcPr>
          <w:p w:rsidR="00C66993" w:rsidRPr="00314EC0" w:rsidRDefault="00C66993" w:rsidP="00B803D5">
            <w:pPr>
              <w:jc w:val="both"/>
              <w:rPr>
                <w:rFonts w:eastAsia="Calibri"/>
                <w:sz w:val="20"/>
                <w:lang w:val="fr-CA"/>
              </w:rPr>
            </w:pPr>
            <w:r w:rsidRPr="00314EC0">
              <w:rPr>
                <w:rFonts w:eastAsia="Calibri"/>
                <w:sz w:val="20"/>
                <w:lang w:val="fr-CA"/>
              </w:rPr>
              <w:t>27 juin 2012</w:t>
            </w:r>
          </w:p>
          <w:p w:rsidR="00C66993" w:rsidRPr="00314EC0" w:rsidRDefault="00C66993" w:rsidP="00B803D5">
            <w:pPr>
              <w:jc w:val="both"/>
              <w:rPr>
                <w:rFonts w:eastAsia="Calibri"/>
                <w:sz w:val="20"/>
                <w:lang w:val="fr-CA"/>
              </w:rPr>
            </w:pPr>
            <w:r w:rsidRPr="00314EC0">
              <w:rPr>
                <w:rFonts w:eastAsia="Calibri"/>
                <w:sz w:val="20"/>
                <w:lang w:val="fr-CA"/>
              </w:rPr>
              <w:t>Cour d’appel de la Colombie</w:t>
            </w:r>
            <w:r w:rsidRPr="00314EC0">
              <w:rPr>
                <w:rFonts w:eastAsia="Calibri"/>
                <w:sz w:val="20"/>
                <w:lang w:val="fr-CA"/>
              </w:rPr>
              <w:noBreakHyphen/>
              <w:t xml:space="preserve">Britannique </w:t>
            </w:r>
          </w:p>
          <w:p w:rsidR="00C66993" w:rsidRPr="00314EC0" w:rsidRDefault="00C66993" w:rsidP="00B803D5">
            <w:pPr>
              <w:jc w:val="both"/>
              <w:rPr>
                <w:rFonts w:eastAsia="Calibri"/>
                <w:sz w:val="20"/>
                <w:lang w:val="fr-CA"/>
              </w:rPr>
            </w:pPr>
            <w:r w:rsidRPr="00314EC0">
              <w:rPr>
                <w:rFonts w:eastAsia="Calibri"/>
                <w:sz w:val="20"/>
                <w:lang w:val="fr-CA"/>
              </w:rPr>
              <w:t>(Vancouver)</w:t>
            </w:r>
          </w:p>
          <w:p w:rsidR="00C66993" w:rsidRPr="00314EC0" w:rsidRDefault="00C66993" w:rsidP="00B803D5">
            <w:pPr>
              <w:jc w:val="both"/>
              <w:rPr>
                <w:rFonts w:eastAsia="Calibri"/>
                <w:sz w:val="20"/>
                <w:lang w:val="fr-CA"/>
              </w:rPr>
            </w:pPr>
            <w:r w:rsidRPr="00314EC0">
              <w:rPr>
                <w:rFonts w:eastAsia="Calibri"/>
                <w:sz w:val="20"/>
                <w:lang w:val="fr-CA"/>
              </w:rPr>
              <w:t>(Juges Newbury, Low et Groberman)</w:t>
            </w:r>
          </w:p>
          <w:p w:rsidR="00C66993" w:rsidRPr="00314EC0" w:rsidRDefault="00C66993" w:rsidP="00B803D5">
            <w:pPr>
              <w:jc w:val="both"/>
              <w:rPr>
                <w:rFonts w:eastAsia="Calibri"/>
                <w:sz w:val="20"/>
                <w:lang w:val="fr-CA"/>
              </w:rPr>
            </w:pPr>
            <w:r w:rsidRPr="00314EC0">
              <w:rPr>
                <w:rFonts w:eastAsia="Calibri"/>
                <w:sz w:val="20"/>
                <w:lang w:val="fr-CA"/>
              </w:rPr>
              <w:t>2012 BCCA 287</w:t>
            </w:r>
          </w:p>
          <w:p w:rsidR="00C66993" w:rsidRPr="00314EC0" w:rsidRDefault="00C66993" w:rsidP="00B803D5">
            <w:pPr>
              <w:jc w:val="both"/>
              <w:rPr>
                <w:rFonts w:eastAsia="Calibri"/>
                <w:sz w:val="20"/>
                <w:lang w:val="fr-CA"/>
              </w:rPr>
            </w:pPr>
          </w:p>
        </w:tc>
        <w:tc>
          <w:tcPr>
            <w:tcW w:w="243" w:type="pct"/>
          </w:tcPr>
          <w:p w:rsidR="00C66993" w:rsidRPr="00314EC0" w:rsidRDefault="00C66993" w:rsidP="00B803D5">
            <w:pPr>
              <w:jc w:val="both"/>
              <w:rPr>
                <w:rFonts w:eastAsia="Calibri"/>
                <w:sz w:val="20"/>
                <w:lang w:val="fr-CA"/>
              </w:rPr>
            </w:pPr>
          </w:p>
        </w:tc>
        <w:tc>
          <w:tcPr>
            <w:tcW w:w="2330" w:type="pct"/>
          </w:tcPr>
          <w:p w:rsidR="00C66993" w:rsidRPr="00314EC0" w:rsidRDefault="00C66993" w:rsidP="00B803D5">
            <w:pPr>
              <w:jc w:val="both"/>
              <w:rPr>
                <w:rFonts w:eastAsia="Calibri"/>
                <w:sz w:val="20"/>
                <w:lang w:val="fr-CA"/>
              </w:rPr>
            </w:pPr>
            <w:r w:rsidRPr="00314EC0">
              <w:rPr>
                <w:rFonts w:eastAsia="Calibri"/>
                <w:sz w:val="20"/>
                <w:lang w:val="fr-CA"/>
              </w:rPr>
              <w:t>Réexamen refusé</w:t>
            </w:r>
          </w:p>
          <w:p w:rsidR="00C66993" w:rsidRPr="00314EC0" w:rsidRDefault="00C66993" w:rsidP="00B803D5">
            <w:pPr>
              <w:jc w:val="both"/>
              <w:rPr>
                <w:rFonts w:eastAsia="Calibri"/>
                <w:sz w:val="20"/>
                <w:lang w:val="fr-CA"/>
              </w:rPr>
            </w:pPr>
          </w:p>
        </w:tc>
      </w:tr>
      <w:tr w:rsidR="00C66993" w:rsidRPr="00DC2D1F" w:rsidTr="00B803D5">
        <w:tc>
          <w:tcPr>
            <w:tcW w:w="2427" w:type="pct"/>
          </w:tcPr>
          <w:p w:rsidR="00C66993" w:rsidRPr="00201A3F" w:rsidRDefault="00C66993" w:rsidP="00B803D5">
            <w:pPr>
              <w:jc w:val="both"/>
              <w:rPr>
                <w:rFonts w:eastAsia="Calibri"/>
                <w:sz w:val="20"/>
                <w:lang w:val="fr-FR"/>
              </w:rPr>
            </w:pPr>
            <w:r w:rsidRPr="00201A3F">
              <w:rPr>
                <w:rFonts w:eastAsia="Calibri"/>
                <w:sz w:val="20"/>
                <w:lang w:val="fr-FR"/>
              </w:rPr>
              <w:t>30 juillet 2012</w:t>
            </w:r>
          </w:p>
          <w:p w:rsidR="00C66993" w:rsidRPr="00201A3F" w:rsidRDefault="00C66993" w:rsidP="00B803D5">
            <w:pPr>
              <w:jc w:val="both"/>
              <w:rPr>
                <w:rFonts w:eastAsia="Calibri"/>
                <w:sz w:val="20"/>
                <w:lang w:val="fr-FR"/>
              </w:rPr>
            </w:pPr>
            <w:r w:rsidRPr="00201A3F">
              <w:rPr>
                <w:rFonts w:eastAsia="Calibri"/>
                <w:sz w:val="20"/>
                <w:lang w:val="fr-FR"/>
              </w:rPr>
              <w:t>Cour suprême du Canada</w:t>
            </w:r>
          </w:p>
        </w:tc>
        <w:tc>
          <w:tcPr>
            <w:tcW w:w="243" w:type="pct"/>
          </w:tcPr>
          <w:p w:rsidR="00C66993" w:rsidRPr="00201A3F" w:rsidRDefault="00C66993" w:rsidP="00B803D5">
            <w:pPr>
              <w:jc w:val="both"/>
              <w:rPr>
                <w:rFonts w:eastAsia="Calibri"/>
                <w:sz w:val="20"/>
                <w:lang w:val="fr-FR"/>
              </w:rPr>
            </w:pPr>
          </w:p>
        </w:tc>
        <w:tc>
          <w:tcPr>
            <w:tcW w:w="2330" w:type="pct"/>
          </w:tcPr>
          <w:p w:rsidR="00C66993" w:rsidRPr="00201A3F" w:rsidRDefault="00C66993" w:rsidP="00B803D5">
            <w:pPr>
              <w:jc w:val="both"/>
              <w:rPr>
                <w:rFonts w:eastAsia="Calibri"/>
                <w:sz w:val="20"/>
                <w:lang w:val="fr-FR"/>
              </w:rPr>
            </w:pPr>
            <w:r w:rsidRPr="00201A3F">
              <w:rPr>
                <w:rFonts w:eastAsia="Calibri"/>
                <w:sz w:val="20"/>
                <w:lang w:val="fr-FR"/>
              </w:rPr>
              <w:t>Demande d’autorisation d’appel et nombreuses requêtes accessoires déposées</w:t>
            </w:r>
          </w:p>
        </w:tc>
      </w:tr>
    </w:tbl>
    <w:p w:rsidR="00A740D1" w:rsidRPr="00C66993" w:rsidRDefault="00A740D1" w:rsidP="00A740D1">
      <w:pPr>
        <w:rPr>
          <w:sz w:val="20"/>
          <w:szCs w:val="20"/>
          <w:lang w:val="fr-CA"/>
        </w:rPr>
      </w:pPr>
    </w:p>
    <w:p w:rsidR="00A740D1" w:rsidRDefault="00BF3B03" w:rsidP="00A740D1">
      <w:pPr>
        <w:rPr>
          <w:sz w:val="20"/>
          <w:szCs w:val="20"/>
        </w:rPr>
      </w:pPr>
      <w:r w:rsidRPr="00BF3B03">
        <w:rPr>
          <w:sz w:val="20"/>
          <w:szCs w:val="20"/>
          <w:lang w:val="fr-CA"/>
        </w:rPr>
        <w:pict>
          <v:rect id="_x0000_i1057" style="width:2in;height:1pt" o:hrpct="0" o:hralign="center" o:hrstd="t" o:hrnoshade="t" o:hr="t" fillcolor="black [3213]" stroked="f"/>
        </w:pict>
      </w:r>
    </w:p>
    <w:p w:rsidR="00A740D1" w:rsidRDefault="00A740D1" w:rsidP="00A740D1">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46290" w:rsidRPr="003C7D2B" w:rsidTr="00C46290">
        <w:trPr>
          <w:cantSplit/>
        </w:trPr>
        <w:tc>
          <w:tcPr>
            <w:tcW w:w="1458" w:type="dxa"/>
          </w:tcPr>
          <w:p w:rsidR="00C46290" w:rsidRPr="003C7D2B" w:rsidRDefault="00C46290" w:rsidP="00C46290">
            <w:pPr>
              <w:rPr>
                <w:sz w:val="20"/>
                <w:szCs w:val="20"/>
              </w:rPr>
            </w:pPr>
            <w:r w:rsidRPr="003C7D2B">
              <w:rPr>
                <w:rStyle w:val="SCCFileNumberChar"/>
                <w:sz w:val="20"/>
                <w:szCs w:val="20"/>
              </w:rPr>
              <w:t>34896</w:t>
            </w:r>
          </w:p>
          <w:p w:rsidR="00C46290" w:rsidRPr="003C7D2B" w:rsidRDefault="00C46290" w:rsidP="00C46290">
            <w:pPr>
              <w:rPr>
                <w:b/>
                <w:sz w:val="20"/>
                <w:szCs w:val="20"/>
                <w:lang w:val="fr-CA"/>
              </w:rPr>
            </w:pPr>
          </w:p>
        </w:tc>
        <w:tc>
          <w:tcPr>
            <w:tcW w:w="8118" w:type="dxa"/>
          </w:tcPr>
          <w:p w:rsidR="00C46290" w:rsidRPr="003C7D2B" w:rsidRDefault="00C46290" w:rsidP="00C46290">
            <w:pPr>
              <w:rPr>
                <w:sz w:val="20"/>
                <w:szCs w:val="20"/>
              </w:rPr>
            </w:pPr>
            <w:r w:rsidRPr="00C46290">
              <w:rPr>
                <w:rStyle w:val="SCCLsocChar"/>
                <w:sz w:val="20"/>
                <w:szCs w:val="20"/>
                <w:lang w:val="en-CA"/>
              </w:rPr>
              <w:t>Norman Bourdeau v. L.H. Gray &amp; Son Limited</w:t>
            </w:r>
            <w:r w:rsidRPr="003C7D2B">
              <w:rPr>
                <w:sz w:val="20"/>
                <w:szCs w:val="20"/>
              </w:rPr>
              <w:t xml:space="preserve"> (Ont.) (Civil) (By Leave)</w:t>
            </w:r>
          </w:p>
          <w:p w:rsidR="00C46290" w:rsidRPr="003C7D2B" w:rsidRDefault="00C46290" w:rsidP="00C46290">
            <w:pPr>
              <w:rPr>
                <w:sz w:val="20"/>
                <w:szCs w:val="20"/>
              </w:rPr>
            </w:pPr>
          </w:p>
        </w:tc>
      </w:tr>
      <w:tr w:rsidR="00C46290" w:rsidRPr="003C7D2B" w:rsidTr="00C46290">
        <w:trPr>
          <w:cantSplit/>
        </w:trPr>
        <w:tc>
          <w:tcPr>
            <w:tcW w:w="1458" w:type="dxa"/>
          </w:tcPr>
          <w:p w:rsidR="00C46290" w:rsidRPr="003C7D2B" w:rsidRDefault="00C46290" w:rsidP="00C46290">
            <w:pPr>
              <w:rPr>
                <w:sz w:val="20"/>
                <w:szCs w:val="20"/>
              </w:rPr>
            </w:pPr>
            <w:r w:rsidRPr="003C7D2B">
              <w:rPr>
                <w:sz w:val="20"/>
                <w:szCs w:val="20"/>
              </w:rPr>
              <w:t>Coram :</w:t>
            </w:r>
          </w:p>
        </w:tc>
        <w:tc>
          <w:tcPr>
            <w:tcW w:w="8118" w:type="dxa"/>
          </w:tcPr>
          <w:p w:rsidR="00C46290" w:rsidRPr="003C7D2B" w:rsidRDefault="00C46290" w:rsidP="00C46290">
            <w:pPr>
              <w:rPr>
                <w:sz w:val="20"/>
                <w:szCs w:val="20"/>
              </w:rPr>
            </w:pPr>
            <w:r w:rsidRPr="00C46290">
              <w:rPr>
                <w:rStyle w:val="SCCCoramChar"/>
                <w:sz w:val="20"/>
                <w:szCs w:val="20"/>
                <w:lang w:val="en-CA"/>
              </w:rPr>
              <w:t>McLachlin C.J. and Rothstein and Moldaver JJ.</w:t>
            </w:r>
          </w:p>
          <w:p w:rsidR="00C46290" w:rsidRPr="003C7D2B" w:rsidRDefault="00C46290" w:rsidP="00C46290">
            <w:pPr>
              <w:rPr>
                <w:sz w:val="20"/>
                <w:szCs w:val="20"/>
                <w:u w:val="single"/>
              </w:rPr>
            </w:pPr>
          </w:p>
        </w:tc>
      </w:tr>
      <w:tr w:rsidR="00C46290" w:rsidRPr="00DC2D1F" w:rsidTr="00C46290">
        <w:trPr>
          <w:cantSplit/>
        </w:trPr>
        <w:tc>
          <w:tcPr>
            <w:tcW w:w="9576" w:type="dxa"/>
            <w:gridSpan w:val="2"/>
          </w:tcPr>
          <w:p w:rsidR="00C46290" w:rsidRPr="003C7D2B" w:rsidRDefault="00C46290" w:rsidP="00C46290">
            <w:pPr>
              <w:pStyle w:val="SCCShortJudgment"/>
              <w:rPr>
                <w:szCs w:val="20"/>
              </w:rPr>
            </w:pPr>
            <w:r w:rsidRPr="003C7D2B">
              <w:rPr>
                <w:szCs w:val="20"/>
              </w:rPr>
              <w:t>The application for leave to appeal from the judgment of the Court of Appeal for Ontario, Number C54138, 2012 ONCA 337, dated April 30, 2012, is dismissed with costs.</w:t>
            </w:r>
          </w:p>
          <w:p w:rsidR="00C46290" w:rsidRPr="003C7D2B" w:rsidRDefault="00C46290" w:rsidP="00C46290">
            <w:pPr>
              <w:pStyle w:val="SCCShortJudgment"/>
              <w:ind w:firstLine="0"/>
              <w:rPr>
                <w:szCs w:val="20"/>
              </w:rPr>
            </w:pPr>
          </w:p>
          <w:p w:rsidR="00C46290" w:rsidRPr="003C7D2B" w:rsidRDefault="00C46290" w:rsidP="00C46290">
            <w:pPr>
              <w:pStyle w:val="SCCShortJudgment"/>
              <w:rPr>
                <w:szCs w:val="20"/>
                <w:lang w:val="fr-CA"/>
              </w:rPr>
            </w:pPr>
            <w:r w:rsidRPr="003C7D2B">
              <w:rPr>
                <w:szCs w:val="20"/>
                <w:lang w:val="fr-CA"/>
              </w:rPr>
              <w:t>La demande d’autorisation d’appel de l’arrêt de la Cour d’appel de l’Ontario, numéro C54138, 2012 ONCA 337, daté du 30 avril 2012, est rejetée avec dépens.</w:t>
            </w:r>
          </w:p>
        </w:tc>
      </w:tr>
    </w:tbl>
    <w:p w:rsidR="00A740D1" w:rsidRPr="00C46290" w:rsidRDefault="00A740D1" w:rsidP="00A740D1">
      <w:pPr>
        <w:rPr>
          <w:sz w:val="20"/>
          <w:szCs w:val="20"/>
          <w:lang w:val="fr-CA"/>
        </w:rPr>
      </w:pPr>
    </w:p>
    <w:p w:rsidR="00A740D1" w:rsidRPr="001B157C" w:rsidRDefault="00A740D1" w:rsidP="00A740D1">
      <w:pPr>
        <w:rPr>
          <w:sz w:val="20"/>
          <w:szCs w:val="20"/>
          <w:u w:val="single"/>
        </w:rPr>
      </w:pPr>
      <w:r w:rsidRPr="001B157C">
        <w:rPr>
          <w:sz w:val="20"/>
          <w:szCs w:val="20"/>
          <w:u w:val="single"/>
        </w:rPr>
        <w:t>CASE SUMMARY</w:t>
      </w:r>
    </w:p>
    <w:p w:rsidR="00A740D1" w:rsidRDefault="00A740D1" w:rsidP="00A740D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66993" w:rsidRPr="00201A3F" w:rsidTr="00B803D5">
        <w:tc>
          <w:tcPr>
            <w:tcW w:w="5000" w:type="pct"/>
            <w:gridSpan w:val="3"/>
          </w:tcPr>
          <w:p w:rsidR="00C66993" w:rsidRPr="00201A3F" w:rsidRDefault="00C66993" w:rsidP="00B803D5">
            <w:pPr>
              <w:jc w:val="both"/>
              <w:rPr>
                <w:rFonts w:eastAsia="Calibri"/>
                <w:sz w:val="20"/>
              </w:rPr>
            </w:pPr>
            <w:r w:rsidRPr="00201A3F">
              <w:rPr>
                <w:rFonts w:eastAsia="Calibri"/>
                <w:sz w:val="20"/>
              </w:rPr>
              <w:t xml:space="preserve">Civil Procedure — Contempt of court — Whether there should be a finding in contempt when the context of the Court Order clearly demonstrates a purpose not clearly defined or vague in the Order — Whether there should be a finding of contempt when, prior to the contempt hearing, the order is set aside and the alleged contemnor is in full compliance — Whether Rule 30.10 of the </w:t>
            </w:r>
            <w:r w:rsidRPr="00201A3F">
              <w:rPr>
                <w:rFonts w:eastAsia="Calibri"/>
                <w:i/>
                <w:sz w:val="20"/>
              </w:rPr>
              <w:t>Rules of Civil Procedure</w:t>
            </w:r>
            <w:r w:rsidRPr="00201A3F">
              <w:rPr>
                <w:rFonts w:eastAsia="Calibri"/>
                <w:sz w:val="20"/>
              </w:rPr>
              <w:t xml:space="preserve"> can deprive the non-party of copies of material in his or her possession, control or power, but is not the owner — Whether there should be a finding of contempt when the plain reading of an order does not strictly prohibit an action in the order?</w:t>
            </w:r>
          </w:p>
        </w:tc>
      </w:tr>
      <w:tr w:rsidR="00C66993" w:rsidRPr="00201A3F" w:rsidTr="00B803D5">
        <w:tc>
          <w:tcPr>
            <w:tcW w:w="5000" w:type="pct"/>
            <w:gridSpan w:val="3"/>
          </w:tcPr>
          <w:p w:rsidR="00C66993" w:rsidRPr="00201A3F" w:rsidRDefault="00C66993" w:rsidP="00B803D5">
            <w:pPr>
              <w:jc w:val="both"/>
              <w:rPr>
                <w:rFonts w:eastAsia="Calibri"/>
                <w:sz w:val="20"/>
              </w:rPr>
            </w:pPr>
          </w:p>
        </w:tc>
      </w:tr>
      <w:tr w:rsidR="00C66993" w:rsidRPr="00201A3F" w:rsidTr="00B803D5">
        <w:tc>
          <w:tcPr>
            <w:tcW w:w="5000" w:type="pct"/>
            <w:gridSpan w:val="3"/>
          </w:tcPr>
          <w:p w:rsidR="00C66993" w:rsidRPr="00201A3F" w:rsidRDefault="00C66993" w:rsidP="00B803D5">
            <w:pPr>
              <w:jc w:val="both"/>
              <w:rPr>
                <w:rFonts w:eastAsia="Calibri"/>
                <w:sz w:val="20"/>
              </w:rPr>
            </w:pPr>
            <w:r w:rsidRPr="00201A3F">
              <w:rPr>
                <w:rFonts w:eastAsia="Calibri"/>
                <w:sz w:val="20"/>
              </w:rPr>
              <w:t xml:space="preserve">In the midst of litigation between L.H. Gray &amp; Son Limited (“Gray”) and Norman Bourdeau, Gray moved for an order declaring Mr. Bourdeau to be in contempt of court for breaching an order of Corkery J.  It provided, in part, that “Norm Bourdeau shall produce any and all other evidence or documents in his possession with respect to business, computer and electronic records of L.H. Gray &amp; Son Limited and transfer this material to the said supervising solicitor”. Although he made attempts to comply with the order and issued assurances that he had complied with the order, he retained copies of at least some of the material.  By the time the contempt motion was heard, Mr. Bourdeau </w:t>
            </w:r>
            <w:r w:rsidRPr="00201A3F">
              <w:rPr>
                <w:rFonts w:eastAsia="Calibri"/>
                <w:sz w:val="20"/>
              </w:rPr>
              <w:lastRenderedPageBreak/>
              <w:t>had complied with the order, but Gray still wished to pursue the motion on the basis that he had been in contempt of the order.</w:t>
            </w:r>
          </w:p>
          <w:p w:rsidR="00C66993" w:rsidRPr="00201A3F" w:rsidRDefault="00C66993" w:rsidP="00B803D5">
            <w:pPr>
              <w:jc w:val="both"/>
              <w:rPr>
                <w:rFonts w:eastAsia="Calibri"/>
                <w:sz w:val="20"/>
              </w:rPr>
            </w:pPr>
          </w:p>
          <w:p w:rsidR="00C66993" w:rsidRPr="00201A3F" w:rsidRDefault="00C66993" w:rsidP="00B803D5">
            <w:pPr>
              <w:jc w:val="both"/>
              <w:rPr>
                <w:rFonts w:eastAsia="Calibri"/>
                <w:sz w:val="20"/>
              </w:rPr>
            </w:pPr>
            <w:r w:rsidRPr="00201A3F">
              <w:rPr>
                <w:rFonts w:eastAsia="Calibri"/>
                <w:sz w:val="20"/>
              </w:rPr>
              <w:t>Lauwers J. found that Mr. Bourdeau was in contempt of the order and that he had not purged his contempt.  When the matter was brought back, Mr. Bourdeau was fined $5,000, with 60 days to pay, failing which a sentence of 10 days incarceration would be imposed.  The financial penalty could be further mitigated if Mr. Bourdeau appeared to purge his contempt.  The order was stayed pending appeal of the underlying finding of contempt. The appeal was dismissed.</w:t>
            </w:r>
          </w:p>
          <w:p w:rsidR="00C66993" w:rsidRPr="00201A3F" w:rsidRDefault="00C66993" w:rsidP="00B803D5">
            <w:pPr>
              <w:jc w:val="both"/>
              <w:rPr>
                <w:rFonts w:eastAsia="Calibri"/>
                <w:sz w:val="20"/>
              </w:rPr>
            </w:pPr>
          </w:p>
        </w:tc>
      </w:tr>
      <w:tr w:rsidR="00C66993" w:rsidRPr="00201A3F" w:rsidTr="00B803D5">
        <w:tc>
          <w:tcPr>
            <w:tcW w:w="2427" w:type="pct"/>
          </w:tcPr>
          <w:p w:rsidR="00C66993" w:rsidRPr="00201A3F" w:rsidRDefault="00C66993" w:rsidP="00B803D5">
            <w:pPr>
              <w:jc w:val="both"/>
              <w:rPr>
                <w:rFonts w:eastAsia="Calibri"/>
                <w:sz w:val="20"/>
              </w:rPr>
            </w:pPr>
            <w:r w:rsidRPr="00201A3F">
              <w:rPr>
                <w:rFonts w:eastAsia="Calibri"/>
                <w:sz w:val="20"/>
              </w:rPr>
              <w:lastRenderedPageBreak/>
              <w:t>July 28, 2011</w:t>
            </w:r>
          </w:p>
          <w:p w:rsidR="00C66993" w:rsidRPr="00201A3F" w:rsidRDefault="00C66993" w:rsidP="00B803D5">
            <w:pPr>
              <w:jc w:val="both"/>
              <w:rPr>
                <w:rFonts w:eastAsia="Calibri"/>
                <w:sz w:val="20"/>
              </w:rPr>
            </w:pPr>
            <w:r w:rsidRPr="00201A3F">
              <w:rPr>
                <w:rFonts w:eastAsia="Calibri"/>
                <w:sz w:val="20"/>
              </w:rPr>
              <w:t>Ontario Superior Court of Justice</w:t>
            </w:r>
          </w:p>
          <w:p w:rsidR="00C66993" w:rsidRPr="00201A3F" w:rsidRDefault="00C66993" w:rsidP="00B803D5">
            <w:pPr>
              <w:jc w:val="both"/>
              <w:rPr>
                <w:rFonts w:eastAsia="Calibri"/>
                <w:sz w:val="20"/>
              </w:rPr>
            </w:pPr>
            <w:r w:rsidRPr="00201A3F">
              <w:rPr>
                <w:rFonts w:eastAsia="Calibri"/>
                <w:sz w:val="20"/>
              </w:rPr>
              <w:t>(Lauwers J.)</w:t>
            </w:r>
          </w:p>
          <w:p w:rsidR="00C66993" w:rsidRPr="00201A3F" w:rsidRDefault="00C66993" w:rsidP="00B803D5">
            <w:pPr>
              <w:jc w:val="both"/>
              <w:rPr>
                <w:rFonts w:eastAsia="Calibri"/>
                <w:sz w:val="20"/>
              </w:rPr>
            </w:pPr>
            <w:r w:rsidRPr="00201A3F">
              <w:rPr>
                <w:rFonts w:eastAsia="Calibri"/>
                <w:sz w:val="20"/>
              </w:rPr>
              <w:t>2011 ONSC 3650</w:t>
            </w:r>
          </w:p>
          <w:p w:rsidR="00C66993" w:rsidRPr="00201A3F" w:rsidRDefault="00C66993" w:rsidP="00B803D5">
            <w:pPr>
              <w:jc w:val="both"/>
              <w:rPr>
                <w:rFonts w:eastAsia="Calibri"/>
                <w:sz w:val="20"/>
              </w:rPr>
            </w:pPr>
          </w:p>
        </w:tc>
        <w:tc>
          <w:tcPr>
            <w:tcW w:w="243" w:type="pct"/>
          </w:tcPr>
          <w:p w:rsidR="00C66993" w:rsidRPr="00201A3F" w:rsidRDefault="00C66993" w:rsidP="00B803D5">
            <w:pPr>
              <w:jc w:val="both"/>
              <w:rPr>
                <w:rFonts w:eastAsia="Calibri"/>
                <w:sz w:val="20"/>
              </w:rPr>
            </w:pPr>
          </w:p>
        </w:tc>
        <w:tc>
          <w:tcPr>
            <w:tcW w:w="2330" w:type="pct"/>
          </w:tcPr>
          <w:p w:rsidR="00C66993" w:rsidRPr="00201A3F" w:rsidRDefault="00C66993" w:rsidP="00B803D5">
            <w:pPr>
              <w:jc w:val="both"/>
              <w:rPr>
                <w:rFonts w:eastAsia="Calibri"/>
                <w:sz w:val="20"/>
              </w:rPr>
            </w:pPr>
            <w:r w:rsidRPr="00201A3F">
              <w:rPr>
                <w:rFonts w:eastAsia="Calibri"/>
                <w:sz w:val="20"/>
              </w:rPr>
              <w:t>Applicant found to be in contempt of a court order</w:t>
            </w:r>
          </w:p>
          <w:p w:rsidR="00C66993" w:rsidRPr="00201A3F" w:rsidRDefault="00C66993" w:rsidP="00B803D5">
            <w:pPr>
              <w:jc w:val="both"/>
              <w:rPr>
                <w:rFonts w:eastAsia="Calibri"/>
                <w:sz w:val="20"/>
              </w:rPr>
            </w:pPr>
          </w:p>
        </w:tc>
      </w:tr>
      <w:tr w:rsidR="00C66993" w:rsidRPr="00201A3F" w:rsidTr="00B803D5">
        <w:tc>
          <w:tcPr>
            <w:tcW w:w="2427" w:type="pct"/>
          </w:tcPr>
          <w:p w:rsidR="00C66993" w:rsidRPr="00201A3F" w:rsidRDefault="00C66993" w:rsidP="00B803D5">
            <w:pPr>
              <w:jc w:val="both"/>
              <w:rPr>
                <w:rFonts w:eastAsia="Calibri"/>
                <w:sz w:val="20"/>
              </w:rPr>
            </w:pPr>
            <w:r w:rsidRPr="00201A3F">
              <w:rPr>
                <w:rFonts w:eastAsia="Calibri"/>
                <w:sz w:val="20"/>
              </w:rPr>
              <w:t>April 16, 2012</w:t>
            </w:r>
          </w:p>
          <w:p w:rsidR="00C66993" w:rsidRPr="00201A3F" w:rsidRDefault="00C66993" w:rsidP="00B803D5">
            <w:pPr>
              <w:jc w:val="both"/>
              <w:rPr>
                <w:rFonts w:eastAsia="Calibri"/>
                <w:sz w:val="20"/>
              </w:rPr>
            </w:pPr>
            <w:r w:rsidRPr="00201A3F">
              <w:rPr>
                <w:rFonts w:eastAsia="Calibri"/>
                <w:sz w:val="20"/>
              </w:rPr>
              <w:t>Ontario Superior Court of Justice</w:t>
            </w:r>
          </w:p>
          <w:p w:rsidR="00C66993" w:rsidRPr="00201A3F" w:rsidRDefault="00C66993" w:rsidP="00B803D5">
            <w:pPr>
              <w:jc w:val="both"/>
              <w:rPr>
                <w:rFonts w:eastAsia="Calibri"/>
                <w:sz w:val="20"/>
              </w:rPr>
            </w:pPr>
            <w:r w:rsidRPr="00201A3F">
              <w:rPr>
                <w:rFonts w:eastAsia="Calibri"/>
                <w:sz w:val="20"/>
              </w:rPr>
              <w:t>(Lauwers J.)</w:t>
            </w:r>
          </w:p>
          <w:p w:rsidR="00C66993" w:rsidRPr="00201A3F" w:rsidRDefault="00C66993" w:rsidP="00B803D5">
            <w:pPr>
              <w:jc w:val="both"/>
              <w:rPr>
                <w:rFonts w:eastAsia="Calibri"/>
                <w:sz w:val="20"/>
              </w:rPr>
            </w:pPr>
            <w:r w:rsidRPr="00201A3F">
              <w:rPr>
                <w:rFonts w:eastAsia="Calibri"/>
                <w:sz w:val="20"/>
              </w:rPr>
              <w:t>202 ONSC 2240</w:t>
            </w:r>
          </w:p>
          <w:p w:rsidR="00C66993" w:rsidRPr="00201A3F" w:rsidRDefault="00C66993" w:rsidP="00B803D5">
            <w:pPr>
              <w:jc w:val="both"/>
              <w:rPr>
                <w:rFonts w:eastAsia="Calibri"/>
                <w:sz w:val="20"/>
              </w:rPr>
            </w:pPr>
          </w:p>
        </w:tc>
        <w:tc>
          <w:tcPr>
            <w:tcW w:w="243" w:type="pct"/>
          </w:tcPr>
          <w:p w:rsidR="00C66993" w:rsidRPr="00201A3F" w:rsidRDefault="00C66993" w:rsidP="00B803D5">
            <w:pPr>
              <w:jc w:val="both"/>
              <w:rPr>
                <w:rFonts w:eastAsia="Calibri"/>
                <w:sz w:val="20"/>
              </w:rPr>
            </w:pPr>
          </w:p>
        </w:tc>
        <w:tc>
          <w:tcPr>
            <w:tcW w:w="2330" w:type="pct"/>
          </w:tcPr>
          <w:p w:rsidR="00C66993" w:rsidRPr="00201A3F" w:rsidRDefault="00C66993" w:rsidP="00B803D5">
            <w:pPr>
              <w:jc w:val="both"/>
              <w:rPr>
                <w:rFonts w:eastAsia="Calibri"/>
                <w:sz w:val="20"/>
              </w:rPr>
            </w:pPr>
            <w:r w:rsidRPr="00201A3F">
              <w:rPr>
                <w:rFonts w:eastAsia="Calibri"/>
                <w:sz w:val="20"/>
              </w:rPr>
              <w:t>Applicant fined $5,000, which could be mitigated if the Applicant appeared before the court to purge his contempt; costs assessed on a full indemnity basis</w:t>
            </w:r>
          </w:p>
          <w:p w:rsidR="00C66993" w:rsidRPr="00201A3F" w:rsidRDefault="00C66993" w:rsidP="00B803D5">
            <w:pPr>
              <w:jc w:val="both"/>
              <w:rPr>
                <w:rFonts w:eastAsia="Calibri"/>
                <w:sz w:val="20"/>
              </w:rPr>
            </w:pPr>
          </w:p>
        </w:tc>
      </w:tr>
      <w:tr w:rsidR="00C66993" w:rsidRPr="00201A3F" w:rsidTr="00B803D5">
        <w:tc>
          <w:tcPr>
            <w:tcW w:w="2427" w:type="pct"/>
          </w:tcPr>
          <w:p w:rsidR="00C66993" w:rsidRPr="00201A3F" w:rsidRDefault="00C66993" w:rsidP="00B803D5">
            <w:pPr>
              <w:jc w:val="both"/>
              <w:rPr>
                <w:rFonts w:eastAsia="Calibri"/>
                <w:sz w:val="20"/>
              </w:rPr>
            </w:pPr>
            <w:r w:rsidRPr="00201A3F">
              <w:rPr>
                <w:rFonts w:eastAsia="Calibri"/>
                <w:sz w:val="20"/>
              </w:rPr>
              <w:t>April 30, 2012</w:t>
            </w:r>
          </w:p>
          <w:p w:rsidR="00C66993" w:rsidRPr="00201A3F" w:rsidRDefault="00C66993" w:rsidP="00B803D5">
            <w:pPr>
              <w:jc w:val="both"/>
              <w:rPr>
                <w:rFonts w:eastAsia="Calibri"/>
                <w:sz w:val="20"/>
              </w:rPr>
            </w:pPr>
            <w:r w:rsidRPr="00201A3F">
              <w:rPr>
                <w:rFonts w:eastAsia="Calibri"/>
                <w:sz w:val="20"/>
              </w:rPr>
              <w:t>Court of Appeal for Ontario</w:t>
            </w:r>
          </w:p>
          <w:p w:rsidR="00C66993" w:rsidRPr="00201A3F" w:rsidRDefault="00C66993" w:rsidP="00B803D5">
            <w:pPr>
              <w:jc w:val="both"/>
              <w:rPr>
                <w:rFonts w:eastAsia="Calibri"/>
                <w:sz w:val="20"/>
              </w:rPr>
            </w:pPr>
            <w:r w:rsidRPr="00201A3F">
              <w:rPr>
                <w:rFonts w:eastAsia="Calibri"/>
                <w:sz w:val="20"/>
              </w:rPr>
              <w:t>(Simmons, Armstrong, and Pepall JJ.A.)</w:t>
            </w:r>
          </w:p>
          <w:p w:rsidR="00C66993" w:rsidRPr="00201A3F" w:rsidRDefault="00C66993" w:rsidP="00B803D5">
            <w:pPr>
              <w:jc w:val="both"/>
              <w:rPr>
                <w:rFonts w:eastAsia="Calibri"/>
                <w:sz w:val="20"/>
              </w:rPr>
            </w:pPr>
            <w:r w:rsidRPr="00201A3F">
              <w:rPr>
                <w:rFonts w:eastAsia="Calibri"/>
                <w:sz w:val="20"/>
              </w:rPr>
              <w:t>2012 ONCA 337</w:t>
            </w:r>
          </w:p>
          <w:p w:rsidR="00C66993" w:rsidRPr="00201A3F" w:rsidRDefault="00C66993" w:rsidP="00B803D5">
            <w:pPr>
              <w:jc w:val="both"/>
              <w:rPr>
                <w:rFonts w:eastAsia="Calibri"/>
                <w:sz w:val="20"/>
              </w:rPr>
            </w:pPr>
          </w:p>
        </w:tc>
        <w:tc>
          <w:tcPr>
            <w:tcW w:w="243" w:type="pct"/>
          </w:tcPr>
          <w:p w:rsidR="00C66993" w:rsidRPr="00201A3F" w:rsidRDefault="00C66993" w:rsidP="00B803D5">
            <w:pPr>
              <w:jc w:val="both"/>
              <w:rPr>
                <w:rFonts w:eastAsia="Calibri"/>
                <w:sz w:val="20"/>
              </w:rPr>
            </w:pPr>
          </w:p>
        </w:tc>
        <w:tc>
          <w:tcPr>
            <w:tcW w:w="2330" w:type="pct"/>
          </w:tcPr>
          <w:p w:rsidR="00C66993" w:rsidRPr="00201A3F" w:rsidRDefault="00C66993" w:rsidP="00B803D5">
            <w:pPr>
              <w:jc w:val="both"/>
              <w:rPr>
                <w:rFonts w:eastAsia="Calibri"/>
                <w:sz w:val="20"/>
              </w:rPr>
            </w:pPr>
            <w:r w:rsidRPr="00201A3F">
              <w:rPr>
                <w:rFonts w:eastAsia="Calibri"/>
                <w:sz w:val="20"/>
              </w:rPr>
              <w:t>Appeal dismissed</w:t>
            </w:r>
          </w:p>
        </w:tc>
      </w:tr>
      <w:tr w:rsidR="00C66993" w:rsidRPr="00201A3F" w:rsidTr="00B803D5">
        <w:tc>
          <w:tcPr>
            <w:tcW w:w="2427" w:type="pct"/>
          </w:tcPr>
          <w:p w:rsidR="00C66993" w:rsidRPr="00201A3F" w:rsidRDefault="00C66993" w:rsidP="00B803D5">
            <w:pPr>
              <w:jc w:val="both"/>
              <w:rPr>
                <w:rFonts w:eastAsia="Calibri"/>
                <w:sz w:val="20"/>
              </w:rPr>
            </w:pPr>
            <w:r w:rsidRPr="00201A3F">
              <w:rPr>
                <w:rFonts w:eastAsia="Calibri"/>
                <w:sz w:val="20"/>
              </w:rPr>
              <w:t>June 29, 2012</w:t>
            </w:r>
          </w:p>
          <w:p w:rsidR="00C66993" w:rsidRPr="00201A3F" w:rsidRDefault="00C66993" w:rsidP="00B803D5">
            <w:pPr>
              <w:jc w:val="both"/>
              <w:rPr>
                <w:rFonts w:eastAsia="Calibri"/>
                <w:sz w:val="20"/>
              </w:rPr>
            </w:pPr>
            <w:r w:rsidRPr="00201A3F">
              <w:rPr>
                <w:rFonts w:eastAsia="Calibri"/>
                <w:sz w:val="20"/>
              </w:rPr>
              <w:t>Supreme Court of Canada</w:t>
            </w:r>
          </w:p>
        </w:tc>
        <w:tc>
          <w:tcPr>
            <w:tcW w:w="243" w:type="pct"/>
          </w:tcPr>
          <w:p w:rsidR="00C66993" w:rsidRPr="00201A3F" w:rsidRDefault="00C66993" w:rsidP="00B803D5">
            <w:pPr>
              <w:jc w:val="both"/>
              <w:rPr>
                <w:rFonts w:eastAsia="Calibri"/>
                <w:sz w:val="20"/>
              </w:rPr>
            </w:pPr>
          </w:p>
        </w:tc>
        <w:tc>
          <w:tcPr>
            <w:tcW w:w="2330" w:type="pct"/>
          </w:tcPr>
          <w:p w:rsidR="00C66993" w:rsidRPr="00201A3F" w:rsidRDefault="00C66993" w:rsidP="00B803D5">
            <w:pPr>
              <w:jc w:val="both"/>
              <w:rPr>
                <w:rFonts w:eastAsia="Calibri"/>
                <w:sz w:val="20"/>
              </w:rPr>
            </w:pPr>
            <w:r w:rsidRPr="00201A3F">
              <w:rPr>
                <w:rFonts w:eastAsia="Calibri"/>
                <w:sz w:val="20"/>
              </w:rPr>
              <w:t>Application for leave to appeal filed</w:t>
            </w:r>
          </w:p>
        </w:tc>
      </w:tr>
    </w:tbl>
    <w:p w:rsidR="00A740D1" w:rsidRDefault="00A740D1" w:rsidP="00A740D1">
      <w:pPr>
        <w:rPr>
          <w:sz w:val="20"/>
          <w:szCs w:val="20"/>
        </w:rPr>
      </w:pPr>
    </w:p>
    <w:p w:rsidR="00A740D1" w:rsidRPr="00C50A5C" w:rsidRDefault="00BF3B03" w:rsidP="00A740D1">
      <w:pPr>
        <w:rPr>
          <w:sz w:val="20"/>
          <w:szCs w:val="20"/>
        </w:rPr>
      </w:pPr>
      <w:r w:rsidRPr="00BF3B03">
        <w:rPr>
          <w:sz w:val="20"/>
          <w:szCs w:val="20"/>
          <w:lang w:val="fr-CA"/>
        </w:rPr>
        <w:pict>
          <v:rect id="_x0000_i1058" style="width:2in;height:1pt" o:hrpct="0" o:hralign="center" o:hrstd="t" o:hrnoshade="t" o:hr="t" fillcolor="black [3213]" stroked="f"/>
        </w:pict>
      </w:r>
    </w:p>
    <w:p w:rsidR="00A740D1" w:rsidRDefault="00A740D1" w:rsidP="00A740D1">
      <w:pPr>
        <w:rPr>
          <w:sz w:val="20"/>
          <w:szCs w:val="20"/>
        </w:rPr>
      </w:pPr>
    </w:p>
    <w:p w:rsidR="00A740D1" w:rsidRPr="001B157C" w:rsidRDefault="00A740D1" w:rsidP="00A740D1">
      <w:pPr>
        <w:rPr>
          <w:sz w:val="20"/>
          <w:szCs w:val="20"/>
          <w:u w:val="single"/>
          <w:lang w:val="fr-CA"/>
        </w:rPr>
      </w:pPr>
      <w:r w:rsidRPr="001B157C">
        <w:rPr>
          <w:sz w:val="20"/>
          <w:szCs w:val="20"/>
          <w:u w:val="single"/>
          <w:lang w:val="fr-CA"/>
        </w:rPr>
        <w:t>RÉSUMÉ DE L’AFFAIRE</w:t>
      </w:r>
    </w:p>
    <w:p w:rsidR="00A740D1" w:rsidRDefault="00A740D1" w:rsidP="00A740D1">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C66993" w:rsidRPr="00DC2D1F" w:rsidTr="00B803D5">
        <w:tc>
          <w:tcPr>
            <w:tcW w:w="5000" w:type="pct"/>
            <w:gridSpan w:val="3"/>
          </w:tcPr>
          <w:p w:rsidR="00C66993" w:rsidRPr="00201A3F" w:rsidRDefault="00C66993" w:rsidP="00B803D5">
            <w:pPr>
              <w:jc w:val="both"/>
              <w:rPr>
                <w:rFonts w:eastAsia="Calibri"/>
                <w:sz w:val="20"/>
                <w:lang w:val="fr-CA"/>
              </w:rPr>
            </w:pPr>
            <w:r w:rsidRPr="00201A3F">
              <w:rPr>
                <w:rFonts w:eastAsia="Calibri"/>
                <w:sz w:val="20"/>
                <w:lang w:val="fr-CA"/>
              </w:rPr>
              <w:t>Procédure civile — Outrage au tribunal — Devrait-il y avoir une condamnation pour outrage au tribunal lorsque que le contexte de l'ordonnance de la Cour démontre clairement une fin mal définie ou vague? — Devrait-il y avoir une condamnation pour outrage au tribunal lorsque, avant l'audience pour outrage, l'ordonnance est annulée et que l'auteur présumé de l'outrage s’y est entièrement conformé? — La règle 30.10 des</w:t>
            </w:r>
            <w:r w:rsidRPr="00201A3F">
              <w:rPr>
                <w:rFonts w:eastAsia="Calibri"/>
                <w:i/>
                <w:sz w:val="20"/>
                <w:lang w:val="fr-CA"/>
              </w:rPr>
              <w:t xml:space="preserve"> Règles de procédure civile</w:t>
            </w:r>
            <w:r w:rsidRPr="00201A3F">
              <w:rPr>
                <w:rFonts w:eastAsia="Calibri"/>
                <w:sz w:val="20"/>
                <w:lang w:val="fr-CA"/>
              </w:rPr>
              <w:t xml:space="preserve"> peut-elle avoir pour effet de priver le tiers de copies de documents en sa possession, sous son contrôle ou sous sa garde mais dont il n'est pas le propriétaire — Devrait-il y avoir une condamnation pour outrage au tribunal lorsque le sens ordinaire d'une ordonnance n'interdit pas strictement un acte qui y est mentionné?</w:t>
            </w:r>
          </w:p>
        </w:tc>
      </w:tr>
      <w:tr w:rsidR="00C66993" w:rsidRPr="00DC2D1F" w:rsidTr="00B803D5">
        <w:tc>
          <w:tcPr>
            <w:tcW w:w="5000" w:type="pct"/>
            <w:gridSpan w:val="3"/>
          </w:tcPr>
          <w:p w:rsidR="00C66993" w:rsidRPr="00201A3F" w:rsidRDefault="00C66993" w:rsidP="00B803D5">
            <w:pPr>
              <w:jc w:val="both"/>
              <w:rPr>
                <w:rFonts w:eastAsia="Calibri"/>
                <w:sz w:val="20"/>
                <w:lang w:val="fr-CA"/>
              </w:rPr>
            </w:pPr>
          </w:p>
        </w:tc>
      </w:tr>
      <w:tr w:rsidR="00C66993" w:rsidRPr="00201A3F" w:rsidTr="00B803D5">
        <w:tc>
          <w:tcPr>
            <w:tcW w:w="5000" w:type="pct"/>
            <w:gridSpan w:val="3"/>
          </w:tcPr>
          <w:p w:rsidR="00C66993" w:rsidRPr="00201A3F" w:rsidRDefault="00C66993" w:rsidP="00B803D5">
            <w:pPr>
              <w:jc w:val="both"/>
              <w:rPr>
                <w:rFonts w:eastAsia="Calibri"/>
                <w:sz w:val="20"/>
                <w:lang w:val="fr-CA"/>
              </w:rPr>
            </w:pPr>
            <w:r w:rsidRPr="00201A3F">
              <w:rPr>
                <w:rFonts w:eastAsia="Calibri"/>
                <w:sz w:val="20"/>
                <w:lang w:val="fr-CA"/>
              </w:rPr>
              <w:t>Au cours d'un litige opposant L.H. Gray &amp; Son Limited (« Gray ») et Norman Bourdeau, Gray a demandé par motion que M. Bourdeau soit déclaré coupable d'outrage au tribunal pour avoir violé une ordonnance rendue par le juge Corkery.  Cette ordonnance enjoignait notamment à [</w:t>
            </w:r>
            <w:r w:rsidRPr="00201A3F">
              <w:rPr>
                <w:rFonts w:eastAsia="Calibri"/>
                <w:smallCaps/>
                <w:sz w:val="20"/>
                <w:lang w:val="fr-CA"/>
              </w:rPr>
              <w:t>traduction</w:t>
            </w:r>
            <w:r w:rsidRPr="00201A3F">
              <w:rPr>
                <w:rFonts w:eastAsia="Calibri"/>
                <w:sz w:val="20"/>
                <w:lang w:val="fr-CA"/>
              </w:rPr>
              <w:t>] « Norm Bourdeau de produire tout autre preuve ou document en sa possession relativement aux documents commerciaux, informatiques et électroniques de L.H. Gray &amp; Son Limited et de remettre ces documents à l’avocat surveillant ».  Même s'il a fait des tentatives pour se conformer à l'ordonnance et a donné des assurances comme quoi il s'y était conformé, il a conservé des copies de certains documents. Lorsque la motion en outrage a été entendue, M. Bourdeau s'était conformé à l'ordonnance, mais Gray voulait quand-même que la motion suive son cours, alléguant que M. Bourdeau avait commis un outrage relativement à l'ordonnance.</w:t>
            </w:r>
          </w:p>
          <w:p w:rsidR="00C66993" w:rsidRPr="00201A3F" w:rsidRDefault="00C66993" w:rsidP="00B803D5">
            <w:pPr>
              <w:jc w:val="both"/>
              <w:rPr>
                <w:rFonts w:eastAsia="Calibri"/>
                <w:sz w:val="20"/>
                <w:lang w:val="fr-CA"/>
              </w:rPr>
            </w:pPr>
          </w:p>
          <w:p w:rsidR="00C66993" w:rsidRPr="00201A3F" w:rsidRDefault="00C66993" w:rsidP="00B803D5">
            <w:pPr>
              <w:jc w:val="both"/>
              <w:rPr>
                <w:rFonts w:eastAsia="Calibri"/>
                <w:sz w:val="20"/>
                <w:lang w:val="fr-CA"/>
              </w:rPr>
            </w:pPr>
            <w:r w:rsidRPr="00201A3F">
              <w:rPr>
                <w:rFonts w:eastAsia="Calibri"/>
                <w:sz w:val="20"/>
                <w:lang w:val="fr-CA"/>
              </w:rPr>
              <w:t xml:space="preserve">Le juge Lauwers a conclu que M. Bourdeau avait commis un outrage relativement à l'ordonnance et qu'il ne l'avait pas réparé. Au terme de l'audience, M. Bourdeau s'est vu imposer une amende de 5 000 $ payable dans un délai de 60 jours à défaut de quoi une peine de détention de dix jours allait être imposée. L'amende pouvait être réduite si </w:t>
            </w:r>
            <w:r w:rsidRPr="00201A3F">
              <w:rPr>
                <w:rFonts w:eastAsia="Calibri"/>
                <w:sz w:val="20"/>
                <w:lang w:val="fr-CA"/>
              </w:rPr>
              <w:lastRenderedPageBreak/>
              <w:t>M. Bourdeau comparaissait pour réparer son outrage.  L'ordonnance a été suspendue en attendant l'appel de la condamnation sous-jacente pour outrage au tribunal.  L'appel a été rejeté.</w:t>
            </w:r>
          </w:p>
          <w:p w:rsidR="00C66993" w:rsidRPr="00201A3F" w:rsidRDefault="00C66993" w:rsidP="00B803D5">
            <w:pPr>
              <w:jc w:val="both"/>
              <w:rPr>
                <w:rFonts w:eastAsia="Calibri"/>
                <w:sz w:val="20"/>
                <w:lang w:val="fr-CA"/>
              </w:rPr>
            </w:pPr>
          </w:p>
        </w:tc>
      </w:tr>
      <w:tr w:rsidR="00C66993" w:rsidRPr="00DC2D1F" w:rsidTr="00B803D5">
        <w:tc>
          <w:tcPr>
            <w:tcW w:w="2427" w:type="pct"/>
          </w:tcPr>
          <w:p w:rsidR="00C66993" w:rsidRPr="00201A3F" w:rsidRDefault="00C66993" w:rsidP="00B803D5">
            <w:pPr>
              <w:jc w:val="both"/>
              <w:rPr>
                <w:rFonts w:eastAsia="Calibri"/>
                <w:sz w:val="20"/>
                <w:lang w:val="fr-CA"/>
              </w:rPr>
            </w:pPr>
            <w:r w:rsidRPr="00201A3F">
              <w:rPr>
                <w:rFonts w:eastAsia="Calibri"/>
                <w:sz w:val="20"/>
                <w:lang w:val="fr-CA"/>
              </w:rPr>
              <w:lastRenderedPageBreak/>
              <w:t>28 juillet 2011</w:t>
            </w:r>
          </w:p>
          <w:p w:rsidR="00C66993" w:rsidRPr="00201A3F" w:rsidRDefault="00C66993" w:rsidP="00B803D5">
            <w:pPr>
              <w:jc w:val="both"/>
              <w:rPr>
                <w:rFonts w:eastAsia="Calibri"/>
                <w:sz w:val="20"/>
                <w:lang w:val="fr-CA"/>
              </w:rPr>
            </w:pPr>
            <w:r w:rsidRPr="00201A3F">
              <w:rPr>
                <w:rFonts w:eastAsia="Calibri"/>
                <w:sz w:val="20"/>
                <w:lang w:val="fr-CA"/>
              </w:rPr>
              <w:t>Cour supérieure de justice de l'Ontario</w:t>
            </w:r>
          </w:p>
          <w:p w:rsidR="00C66993" w:rsidRPr="00201A3F" w:rsidRDefault="00C66993" w:rsidP="00B803D5">
            <w:pPr>
              <w:jc w:val="both"/>
              <w:rPr>
                <w:rFonts w:eastAsia="Calibri"/>
                <w:sz w:val="20"/>
                <w:lang w:val="fr-CA"/>
              </w:rPr>
            </w:pPr>
            <w:r w:rsidRPr="00201A3F">
              <w:rPr>
                <w:rFonts w:eastAsia="Calibri"/>
                <w:sz w:val="20"/>
                <w:lang w:val="fr-CA"/>
              </w:rPr>
              <w:t>(Juge Lauwers)</w:t>
            </w:r>
          </w:p>
          <w:p w:rsidR="00C66993" w:rsidRPr="00201A3F" w:rsidRDefault="00C66993" w:rsidP="00B803D5">
            <w:pPr>
              <w:jc w:val="both"/>
              <w:rPr>
                <w:rFonts w:eastAsia="Calibri"/>
                <w:sz w:val="20"/>
                <w:lang w:val="fr-CA"/>
              </w:rPr>
            </w:pPr>
            <w:r w:rsidRPr="00201A3F">
              <w:rPr>
                <w:rFonts w:eastAsia="Calibri"/>
                <w:sz w:val="20"/>
                <w:lang w:val="fr-CA"/>
              </w:rPr>
              <w:t>2011 ONSC 3650</w:t>
            </w:r>
          </w:p>
          <w:p w:rsidR="00C66993" w:rsidRPr="00201A3F" w:rsidRDefault="00C66993" w:rsidP="00B803D5">
            <w:pPr>
              <w:jc w:val="both"/>
              <w:rPr>
                <w:rFonts w:eastAsia="Calibri"/>
                <w:sz w:val="20"/>
                <w:lang w:val="fr-CA"/>
              </w:rPr>
            </w:pPr>
          </w:p>
        </w:tc>
        <w:tc>
          <w:tcPr>
            <w:tcW w:w="243" w:type="pct"/>
          </w:tcPr>
          <w:p w:rsidR="00C66993" w:rsidRPr="00201A3F" w:rsidRDefault="00C66993" w:rsidP="00B803D5">
            <w:pPr>
              <w:jc w:val="both"/>
              <w:rPr>
                <w:rFonts w:eastAsia="Calibri"/>
                <w:sz w:val="20"/>
                <w:lang w:val="fr-CA"/>
              </w:rPr>
            </w:pPr>
          </w:p>
        </w:tc>
        <w:tc>
          <w:tcPr>
            <w:tcW w:w="2330" w:type="pct"/>
          </w:tcPr>
          <w:p w:rsidR="00C66993" w:rsidRPr="00201A3F" w:rsidRDefault="00C66993" w:rsidP="00B803D5">
            <w:pPr>
              <w:jc w:val="both"/>
              <w:rPr>
                <w:rFonts w:eastAsia="Calibri"/>
                <w:sz w:val="20"/>
                <w:lang w:val="fr-CA"/>
              </w:rPr>
            </w:pPr>
            <w:r w:rsidRPr="00201A3F">
              <w:rPr>
                <w:rFonts w:eastAsia="Calibri"/>
                <w:sz w:val="20"/>
                <w:lang w:val="fr-CA"/>
              </w:rPr>
              <w:t>Demandeur condamné pour outrage au tribunal</w:t>
            </w:r>
          </w:p>
          <w:p w:rsidR="00C66993" w:rsidRPr="00201A3F" w:rsidRDefault="00C66993" w:rsidP="00B803D5">
            <w:pPr>
              <w:jc w:val="both"/>
              <w:rPr>
                <w:rFonts w:eastAsia="Calibri"/>
                <w:sz w:val="20"/>
                <w:lang w:val="fr-CA"/>
              </w:rPr>
            </w:pPr>
          </w:p>
        </w:tc>
      </w:tr>
      <w:tr w:rsidR="00C66993" w:rsidRPr="00DC2D1F" w:rsidTr="00B803D5">
        <w:tc>
          <w:tcPr>
            <w:tcW w:w="2427" w:type="pct"/>
          </w:tcPr>
          <w:p w:rsidR="00C66993" w:rsidRPr="00201A3F" w:rsidRDefault="00C66993" w:rsidP="00B803D5">
            <w:pPr>
              <w:jc w:val="both"/>
              <w:rPr>
                <w:rFonts w:eastAsia="Calibri"/>
                <w:sz w:val="20"/>
                <w:lang w:val="fr-CA"/>
              </w:rPr>
            </w:pPr>
            <w:r w:rsidRPr="00201A3F">
              <w:rPr>
                <w:rFonts w:eastAsia="Calibri"/>
                <w:sz w:val="20"/>
                <w:lang w:val="fr-CA"/>
              </w:rPr>
              <w:t>16 avril 2012</w:t>
            </w:r>
          </w:p>
          <w:p w:rsidR="00C66993" w:rsidRPr="00201A3F" w:rsidRDefault="00C66993" w:rsidP="00B803D5">
            <w:pPr>
              <w:jc w:val="both"/>
              <w:rPr>
                <w:rFonts w:eastAsia="Calibri"/>
                <w:sz w:val="20"/>
                <w:lang w:val="fr-CA"/>
              </w:rPr>
            </w:pPr>
            <w:r w:rsidRPr="00201A3F">
              <w:rPr>
                <w:rFonts w:eastAsia="Calibri"/>
                <w:sz w:val="20"/>
                <w:lang w:val="fr-CA"/>
              </w:rPr>
              <w:t>Cour supérieure de justice de l'Ontario</w:t>
            </w:r>
          </w:p>
          <w:p w:rsidR="00C66993" w:rsidRPr="00201A3F" w:rsidRDefault="00C66993" w:rsidP="00B803D5">
            <w:pPr>
              <w:jc w:val="both"/>
              <w:rPr>
                <w:rFonts w:eastAsia="Calibri"/>
                <w:sz w:val="20"/>
                <w:lang w:val="fr-CA"/>
              </w:rPr>
            </w:pPr>
            <w:r w:rsidRPr="00201A3F">
              <w:rPr>
                <w:rFonts w:eastAsia="Calibri"/>
                <w:sz w:val="20"/>
                <w:lang w:val="fr-CA"/>
              </w:rPr>
              <w:t>(Juge Lauwers)</w:t>
            </w:r>
          </w:p>
          <w:p w:rsidR="00C66993" w:rsidRPr="00201A3F" w:rsidRDefault="00C66993" w:rsidP="00B803D5">
            <w:pPr>
              <w:jc w:val="both"/>
              <w:rPr>
                <w:rFonts w:eastAsia="Calibri"/>
                <w:sz w:val="20"/>
                <w:lang w:val="fr-CA"/>
              </w:rPr>
            </w:pPr>
            <w:r w:rsidRPr="00201A3F">
              <w:rPr>
                <w:rFonts w:eastAsia="Calibri"/>
                <w:sz w:val="20"/>
                <w:lang w:val="fr-CA"/>
              </w:rPr>
              <w:t>202 ONSC 2240</w:t>
            </w:r>
          </w:p>
          <w:p w:rsidR="00C66993" w:rsidRPr="00201A3F" w:rsidRDefault="00C66993" w:rsidP="00B803D5">
            <w:pPr>
              <w:jc w:val="both"/>
              <w:rPr>
                <w:rFonts w:eastAsia="Calibri"/>
                <w:sz w:val="20"/>
                <w:lang w:val="fr-CA"/>
              </w:rPr>
            </w:pPr>
          </w:p>
        </w:tc>
        <w:tc>
          <w:tcPr>
            <w:tcW w:w="243" w:type="pct"/>
          </w:tcPr>
          <w:p w:rsidR="00C66993" w:rsidRPr="00201A3F" w:rsidRDefault="00C66993" w:rsidP="00B803D5">
            <w:pPr>
              <w:jc w:val="both"/>
              <w:rPr>
                <w:rFonts w:eastAsia="Calibri"/>
                <w:sz w:val="20"/>
                <w:lang w:val="fr-CA"/>
              </w:rPr>
            </w:pPr>
          </w:p>
        </w:tc>
        <w:tc>
          <w:tcPr>
            <w:tcW w:w="2330" w:type="pct"/>
          </w:tcPr>
          <w:p w:rsidR="00C66993" w:rsidRPr="00201A3F" w:rsidRDefault="00C66993" w:rsidP="00B803D5">
            <w:pPr>
              <w:jc w:val="both"/>
              <w:rPr>
                <w:rFonts w:eastAsia="Calibri"/>
                <w:sz w:val="20"/>
                <w:lang w:val="fr-CA"/>
              </w:rPr>
            </w:pPr>
            <w:r w:rsidRPr="00201A3F">
              <w:rPr>
                <w:rFonts w:eastAsia="Calibri"/>
                <w:sz w:val="20"/>
                <w:lang w:val="fr-CA"/>
              </w:rPr>
              <w:t>Le demandeur se voit imposer une amende de 5 000 $ qui peut être réduite si le demandeur comparaît devant le tribunal pour réparer son outrage; dépens liquidés sur la base d'une indemnisation totale</w:t>
            </w:r>
          </w:p>
          <w:p w:rsidR="00C66993" w:rsidRPr="00201A3F" w:rsidRDefault="00C66993" w:rsidP="00B803D5">
            <w:pPr>
              <w:jc w:val="both"/>
              <w:rPr>
                <w:rFonts w:eastAsia="Calibri"/>
                <w:sz w:val="20"/>
                <w:lang w:val="fr-CA"/>
              </w:rPr>
            </w:pPr>
          </w:p>
        </w:tc>
      </w:tr>
      <w:tr w:rsidR="00C66993" w:rsidRPr="00201A3F" w:rsidTr="00B803D5">
        <w:tc>
          <w:tcPr>
            <w:tcW w:w="2427" w:type="pct"/>
          </w:tcPr>
          <w:p w:rsidR="00C66993" w:rsidRPr="00201A3F" w:rsidRDefault="00C66993" w:rsidP="00B803D5">
            <w:pPr>
              <w:jc w:val="both"/>
              <w:rPr>
                <w:rFonts w:eastAsia="Calibri"/>
                <w:sz w:val="20"/>
                <w:lang w:val="fr-CA"/>
              </w:rPr>
            </w:pPr>
            <w:r w:rsidRPr="00201A3F">
              <w:rPr>
                <w:rFonts w:eastAsia="Calibri"/>
                <w:sz w:val="20"/>
                <w:lang w:val="fr-CA"/>
              </w:rPr>
              <w:t>30 avril 2012</w:t>
            </w:r>
          </w:p>
          <w:p w:rsidR="00C66993" w:rsidRPr="00201A3F" w:rsidRDefault="00C66993" w:rsidP="00B803D5">
            <w:pPr>
              <w:jc w:val="both"/>
              <w:rPr>
                <w:rFonts w:eastAsia="Calibri"/>
                <w:sz w:val="20"/>
                <w:lang w:val="fr-CA"/>
              </w:rPr>
            </w:pPr>
            <w:r w:rsidRPr="00201A3F">
              <w:rPr>
                <w:rFonts w:eastAsia="Calibri"/>
                <w:sz w:val="20"/>
                <w:lang w:val="fr-CA"/>
              </w:rPr>
              <w:t xml:space="preserve">Cour d'appel de l'Ontario </w:t>
            </w:r>
          </w:p>
          <w:p w:rsidR="00C66993" w:rsidRPr="00201A3F" w:rsidRDefault="00C66993" w:rsidP="00B803D5">
            <w:pPr>
              <w:jc w:val="both"/>
              <w:rPr>
                <w:rFonts w:eastAsia="Calibri"/>
                <w:sz w:val="20"/>
                <w:lang w:val="fr-CA"/>
              </w:rPr>
            </w:pPr>
            <w:r w:rsidRPr="00201A3F">
              <w:rPr>
                <w:rFonts w:eastAsia="Calibri"/>
                <w:sz w:val="20"/>
                <w:lang w:val="fr-CA"/>
              </w:rPr>
              <w:t>(Juges Simmons, Armstrong et Pepall)</w:t>
            </w:r>
          </w:p>
          <w:p w:rsidR="00C66993" w:rsidRPr="00201A3F" w:rsidRDefault="00C66993" w:rsidP="00B803D5">
            <w:pPr>
              <w:jc w:val="both"/>
              <w:rPr>
                <w:rFonts w:eastAsia="Calibri"/>
                <w:sz w:val="20"/>
                <w:lang w:val="fr-CA"/>
              </w:rPr>
            </w:pPr>
            <w:r w:rsidRPr="00201A3F">
              <w:rPr>
                <w:rFonts w:eastAsia="Calibri"/>
                <w:sz w:val="20"/>
                <w:lang w:val="fr-CA"/>
              </w:rPr>
              <w:t>2012 ONCA 337</w:t>
            </w:r>
          </w:p>
          <w:p w:rsidR="00C66993" w:rsidRPr="00201A3F" w:rsidRDefault="00C66993" w:rsidP="00B803D5">
            <w:pPr>
              <w:jc w:val="both"/>
              <w:rPr>
                <w:rFonts w:eastAsia="Calibri"/>
                <w:sz w:val="20"/>
                <w:lang w:val="fr-CA"/>
              </w:rPr>
            </w:pPr>
          </w:p>
        </w:tc>
        <w:tc>
          <w:tcPr>
            <w:tcW w:w="243" w:type="pct"/>
          </w:tcPr>
          <w:p w:rsidR="00C66993" w:rsidRPr="00201A3F" w:rsidRDefault="00C66993" w:rsidP="00B803D5">
            <w:pPr>
              <w:jc w:val="both"/>
              <w:rPr>
                <w:rFonts w:eastAsia="Calibri"/>
                <w:sz w:val="20"/>
                <w:lang w:val="fr-CA"/>
              </w:rPr>
            </w:pPr>
          </w:p>
        </w:tc>
        <w:tc>
          <w:tcPr>
            <w:tcW w:w="2330" w:type="pct"/>
          </w:tcPr>
          <w:p w:rsidR="00C66993" w:rsidRPr="00201A3F" w:rsidRDefault="00C66993" w:rsidP="00B803D5">
            <w:pPr>
              <w:jc w:val="both"/>
              <w:rPr>
                <w:rFonts w:eastAsia="Calibri"/>
                <w:sz w:val="20"/>
                <w:lang w:val="fr-CA"/>
              </w:rPr>
            </w:pPr>
            <w:r w:rsidRPr="00201A3F">
              <w:rPr>
                <w:rFonts w:eastAsia="Calibri"/>
                <w:sz w:val="20"/>
                <w:lang w:val="fr-CA"/>
              </w:rPr>
              <w:t>Appel rejeté</w:t>
            </w:r>
          </w:p>
        </w:tc>
      </w:tr>
      <w:tr w:rsidR="00C66993" w:rsidRPr="00201A3F" w:rsidTr="00B803D5">
        <w:tc>
          <w:tcPr>
            <w:tcW w:w="2427" w:type="pct"/>
          </w:tcPr>
          <w:p w:rsidR="00C66993" w:rsidRPr="00201A3F" w:rsidRDefault="00C66993" w:rsidP="00B803D5">
            <w:pPr>
              <w:jc w:val="both"/>
              <w:rPr>
                <w:rFonts w:eastAsia="Calibri"/>
                <w:sz w:val="20"/>
                <w:lang w:val="fr-CA"/>
              </w:rPr>
            </w:pPr>
            <w:r w:rsidRPr="00201A3F">
              <w:rPr>
                <w:rFonts w:eastAsia="Calibri"/>
                <w:sz w:val="20"/>
                <w:lang w:val="fr-CA"/>
              </w:rPr>
              <w:t>29 juin 2012</w:t>
            </w:r>
          </w:p>
          <w:p w:rsidR="00C66993" w:rsidRPr="00201A3F" w:rsidRDefault="00C66993" w:rsidP="00B803D5">
            <w:pPr>
              <w:jc w:val="both"/>
              <w:rPr>
                <w:rFonts w:eastAsia="Calibri"/>
                <w:sz w:val="20"/>
                <w:lang w:val="fr-CA"/>
              </w:rPr>
            </w:pPr>
            <w:r w:rsidRPr="00201A3F">
              <w:rPr>
                <w:rFonts w:eastAsia="Calibri"/>
                <w:sz w:val="20"/>
                <w:lang w:val="fr-CA"/>
              </w:rPr>
              <w:t>Cour suprême du Canada</w:t>
            </w:r>
          </w:p>
        </w:tc>
        <w:tc>
          <w:tcPr>
            <w:tcW w:w="243" w:type="pct"/>
          </w:tcPr>
          <w:p w:rsidR="00C66993" w:rsidRPr="00201A3F" w:rsidRDefault="00C66993" w:rsidP="00B803D5">
            <w:pPr>
              <w:jc w:val="both"/>
              <w:rPr>
                <w:rFonts w:eastAsia="Calibri"/>
                <w:sz w:val="20"/>
                <w:lang w:val="fr-CA"/>
              </w:rPr>
            </w:pPr>
          </w:p>
        </w:tc>
        <w:tc>
          <w:tcPr>
            <w:tcW w:w="2330" w:type="pct"/>
          </w:tcPr>
          <w:p w:rsidR="00C66993" w:rsidRPr="00201A3F" w:rsidRDefault="00C66993" w:rsidP="00B803D5">
            <w:pPr>
              <w:jc w:val="both"/>
              <w:rPr>
                <w:rFonts w:eastAsia="Calibri"/>
                <w:sz w:val="20"/>
                <w:lang w:val="fr-CA"/>
              </w:rPr>
            </w:pPr>
            <w:r w:rsidRPr="00201A3F">
              <w:rPr>
                <w:rFonts w:eastAsia="Calibri"/>
                <w:sz w:val="20"/>
                <w:lang w:val="fr-CA"/>
              </w:rPr>
              <w:t>Demande d'autorisation d'appel, déposée</w:t>
            </w:r>
          </w:p>
        </w:tc>
      </w:tr>
    </w:tbl>
    <w:p w:rsidR="00A740D1" w:rsidRDefault="00A740D1" w:rsidP="00A740D1">
      <w:pPr>
        <w:rPr>
          <w:sz w:val="20"/>
          <w:szCs w:val="20"/>
        </w:rPr>
      </w:pPr>
    </w:p>
    <w:p w:rsidR="00A740D1" w:rsidRDefault="00BF3B03" w:rsidP="00A740D1">
      <w:pPr>
        <w:rPr>
          <w:sz w:val="20"/>
          <w:szCs w:val="20"/>
        </w:rPr>
      </w:pPr>
      <w:r w:rsidRPr="00BF3B03">
        <w:rPr>
          <w:sz w:val="20"/>
          <w:szCs w:val="20"/>
          <w:lang w:val="fr-CA"/>
        </w:rPr>
        <w:pict>
          <v:rect id="_x0000_i1059" style="width:2in;height:1pt" o:hrpct="0" o:hralign="center" o:hrstd="t" o:hrnoshade="t" o:hr="t" fillcolor="black [3213]" stroked="f"/>
        </w:pict>
      </w:r>
    </w:p>
    <w:p w:rsidR="00A740D1" w:rsidRDefault="00A740D1" w:rsidP="00A740D1">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65D14" w:rsidRPr="00982FF3" w:rsidTr="00565D14">
        <w:trPr>
          <w:cantSplit/>
        </w:trPr>
        <w:tc>
          <w:tcPr>
            <w:tcW w:w="1458" w:type="dxa"/>
          </w:tcPr>
          <w:p w:rsidR="00565D14" w:rsidRPr="00982FF3" w:rsidRDefault="00565D14" w:rsidP="00565D14">
            <w:pPr>
              <w:rPr>
                <w:sz w:val="20"/>
                <w:szCs w:val="20"/>
              </w:rPr>
            </w:pPr>
            <w:r w:rsidRPr="00982FF3">
              <w:rPr>
                <w:rStyle w:val="SCCFileNumberChar"/>
                <w:sz w:val="20"/>
                <w:szCs w:val="20"/>
              </w:rPr>
              <w:t>34897</w:t>
            </w:r>
          </w:p>
          <w:p w:rsidR="00565D14" w:rsidRPr="00982FF3" w:rsidRDefault="00565D14" w:rsidP="00565D14">
            <w:pPr>
              <w:rPr>
                <w:b/>
                <w:sz w:val="20"/>
                <w:szCs w:val="20"/>
                <w:lang w:val="fr-CA"/>
              </w:rPr>
            </w:pPr>
          </w:p>
        </w:tc>
        <w:tc>
          <w:tcPr>
            <w:tcW w:w="8118" w:type="dxa"/>
          </w:tcPr>
          <w:p w:rsidR="00565D14" w:rsidRPr="00982FF3" w:rsidRDefault="00565D14" w:rsidP="00565D14">
            <w:pPr>
              <w:rPr>
                <w:sz w:val="20"/>
                <w:szCs w:val="20"/>
              </w:rPr>
            </w:pPr>
            <w:r w:rsidRPr="00565D14">
              <w:rPr>
                <w:rStyle w:val="SCCLsocChar"/>
                <w:sz w:val="20"/>
                <w:szCs w:val="20"/>
                <w:lang w:val="en-CA"/>
              </w:rPr>
              <w:t>Hoang Anh Pham v. Her Majesty the Queen</w:t>
            </w:r>
            <w:r w:rsidRPr="00982FF3">
              <w:rPr>
                <w:sz w:val="20"/>
                <w:szCs w:val="20"/>
              </w:rPr>
              <w:t xml:space="preserve"> (Alta.) (Criminal) (By Leave)</w:t>
            </w:r>
          </w:p>
          <w:p w:rsidR="00565D14" w:rsidRPr="00982FF3" w:rsidRDefault="00565D14" w:rsidP="00565D14">
            <w:pPr>
              <w:rPr>
                <w:sz w:val="20"/>
                <w:szCs w:val="20"/>
              </w:rPr>
            </w:pPr>
          </w:p>
        </w:tc>
      </w:tr>
      <w:tr w:rsidR="00565D14" w:rsidRPr="00982FF3" w:rsidTr="00565D14">
        <w:trPr>
          <w:cantSplit/>
        </w:trPr>
        <w:tc>
          <w:tcPr>
            <w:tcW w:w="1458" w:type="dxa"/>
          </w:tcPr>
          <w:p w:rsidR="00565D14" w:rsidRPr="00982FF3" w:rsidRDefault="00565D14" w:rsidP="00565D14">
            <w:pPr>
              <w:rPr>
                <w:sz w:val="20"/>
                <w:szCs w:val="20"/>
              </w:rPr>
            </w:pPr>
            <w:r w:rsidRPr="00982FF3">
              <w:rPr>
                <w:sz w:val="20"/>
                <w:szCs w:val="20"/>
              </w:rPr>
              <w:t>Coram :</w:t>
            </w:r>
          </w:p>
        </w:tc>
        <w:tc>
          <w:tcPr>
            <w:tcW w:w="8118" w:type="dxa"/>
          </w:tcPr>
          <w:p w:rsidR="00565D14" w:rsidRPr="00982FF3" w:rsidRDefault="00565D14" w:rsidP="00565D14">
            <w:pPr>
              <w:rPr>
                <w:sz w:val="20"/>
                <w:szCs w:val="20"/>
              </w:rPr>
            </w:pPr>
            <w:r w:rsidRPr="00565D14">
              <w:rPr>
                <w:rStyle w:val="SCCCoramChar"/>
                <w:sz w:val="20"/>
                <w:szCs w:val="20"/>
                <w:lang w:val="en-CA"/>
              </w:rPr>
              <w:t>McLachlin C.J. and Rothstein and Moldaver JJ.</w:t>
            </w:r>
          </w:p>
          <w:p w:rsidR="00565D14" w:rsidRPr="00982FF3" w:rsidRDefault="00565D14" w:rsidP="00565D14">
            <w:pPr>
              <w:rPr>
                <w:sz w:val="20"/>
                <w:szCs w:val="20"/>
                <w:u w:val="single"/>
              </w:rPr>
            </w:pPr>
          </w:p>
        </w:tc>
      </w:tr>
      <w:tr w:rsidR="00565D14" w:rsidRPr="00DC2D1F" w:rsidTr="00565D14">
        <w:trPr>
          <w:cantSplit/>
        </w:trPr>
        <w:tc>
          <w:tcPr>
            <w:tcW w:w="9576" w:type="dxa"/>
            <w:gridSpan w:val="2"/>
          </w:tcPr>
          <w:p w:rsidR="00565D14" w:rsidRPr="00982FF3" w:rsidRDefault="00565D14" w:rsidP="00565D14">
            <w:pPr>
              <w:pStyle w:val="SCCShortJudgment"/>
              <w:rPr>
                <w:szCs w:val="20"/>
              </w:rPr>
            </w:pPr>
            <w:r w:rsidRPr="00982FF3">
              <w:rPr>
                <w:szCs w:val="20"/>
              </w:rPr>
              <w:t xml:space="preserve">The application for leave to appeal from the judgment of the Court of Appeal of Alberta (Calgary), Number 1101-0206-A, </w:t>
            </w:r>
            <w:proofErr w:type="gramStart"/>
            <w:r w:rsidRPr="00982FF3">
              <w:rPr>
                <w:szCs w:val="20"/>
              </w:rPr>
              <w:t>2012</w:t>
            </w:r>
            <w:proofErr w:type="gramEnd"/>
            <w:r w:rsidRPr="00982FF3">
              <w:rPr>
                <w:szCs w:val="20"/>
              </w:rPr>
              <w:t xml:space="preserve"> ABCA 203, dated June 28, 2012, is granted without costs. The date of the hearing of the appeal is to be expedited.  The schedule for serving and filing material will be set by the Registrar.</w:t>
            </w:r>
          </w:p>
          <w:p w:rsidR="00565D14" w:rsidRPr="00D41C9D" w:rsidRDefault="00565D14" w:rsidP="00565D14">
            <w:pPr>
              <w:pStyle w:val="SCCShortJudgment"/>
              <w:rPr>
                <w:szCs w:val="20"/>
              </w:rPr>
            </w:pPr>
          </w:p>
          <w:p w:rsidR="00565D14" w:rsidRPr="00982FF3" w:rsidRDefault="00565D14" w:rsidP="00565D14">
            <w:pPr>
              <w:pStyle w:val="SCCShortJudgment"/>
              <w:rPr>
                <w:szCs w:val="20"/>
                <w:lang w:val="fr-CA"/>
              </w:rPr>
            </w:pPr>
            <w:r w:rsidRPr="00982FF3">
              <w:rPr>
                <w:szCs w:val="20"/>
                <w:lang w:val="fr-CA"/>
              </w:rPr>
              <w:t>La demande d’autorisation d’appel de l’arrêt de la Cour d'appel de l’Alberta (Calgary), numéro 1101-0206-A, 2012 ABCA 203, daté du 28 juin 2012, est accueillie sans dépens. La date de l’audience sera accélérée.  L’échéancier pour le dépôt et la signification des documents sera fixé par le Registraire.</w:t>
            </w:r>
          </w:p>
        </w:tc>
      </w:tr>
    </w:tbl>
    <w:p w:rsidR="00565D14" w:rsidRPr="00565D14" w:rsidRDefault="00565D14" w:rsidP="00A740D1">
      <w:pPr>
        <w:rPr>
          <w:sz w:val="20"/>
          <w:szCs w:val="20"/>
          <w:lang w:val="fr-CA"/>
        </w:rPr>
      </w:pPr>
    </w:p>
    <w:p w:rsidR="00565D14" w:rsidRPr="001B157C" w:rsidRDefault="00565D14" w:rsidP="00565D14">
      <w:pPr>
        <w:rPr>
          <w:sz w:val="20"/>
          <w:szCs w:val="20"/>
          <w:u w:val="single"/>
        </w:rPr>
      </w:pPr>
      <w:r w:rsidRPr="001B157C">
        <w:rPr>
          <w:sz w:val="20"/>
          <w:szCs w:val="20"/>
          <w:u w:val="single"/>
        </w:rPr>
        <w:t>CASE SUMMARY</w:t>
      </w:r>
    </w:p>
    <w:p w:rsidR="00565D14" w:rsidRDefault="00565D14" w:rsidP="00565D1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72FDB" w:rsidRPr="002412E8" w:rsidTr="00BA37D8">
        <w:tc>
          <w:tcPr>
            <w:tcW w:w="5000" w:type="pct"/>
            <w:gridSpan w:val="3"/>
          </w:tcPr>
          <w:p w:rsidR="00D72FDB" w:rsidRPr="002412E8" w:rsidRDefault="00D72FDB" w:rsidP="00D72FDB">
            <w:pPr>
              <w:jc w:val="both"/>
              <w:rPr>
                <w:sz w:val="20"/>
                <w:szCs w:val="20"/>
              </w:rPr>
            </w:pPr>
            <w:r w:rsidRPr="002412E8">
              <w:rPr>
                <w:sz w:val="20"/>
                <w:szCs w:val="20"/>
              </w:rPr>
              <w:t xml:space="preserve">Criminal law — Sentencing — Considerations — </w:t>
            </w:r>
            <w:r w:rsidRPr="002412E8">
              <w:rPr>
                <w:i/>
                <w:sz w:val="20"/>
                <w:szCs w:val="20"/>
              </w:rPr>
              <w:t>Immigration and Refugee Protection Act</w:t>
            </w:r>
            <w:r w:rsidRPr="002412E8">
              <w:rPr>
                <w:sz w:val="20"/>
                <w:szCs w:val="20"/>
              </w:rPr>
              <w:t xml:space="preserve">, S.C. 2001, c. 27, s. 64 — When and to what extent can a sentencing or appellate court consider the “unintended” or “collateral” consequences of a sentence — Whether the applicant’s sentence should have been varied in order to preserve his right to appeal a removal order. </w:t>
            </w:r>
          </w:p>
        </w:tc>
      </w:tr>
      <w:tr w:rsidR="00D72FDB" w:rsidRPr="002412E8" w:rsidTr="00BA37D8">
        <w:tc>
          <w:tcPr>
            <w:tcW w:w="5000" w:type="pct"/>
            <w:gridSpan w:val="3"/>
          </w:tcPr>
          <w:p w:rsidR="00D72FDB" w:rsidRPr="002412E8" w:rsidRDefault="00D72FDB" w:rsidP="00BA37D8">
            <w:pPr>
              <w:rPr>
                <w:sz w:val="20"/>
                <w:szCs w:val="20"/>
              </w:rPr>
            </w:pPr>
          </w:p>
        </w:tc>
      </w:tr>
      <w:tr w:rsidR="00D72FDB" w:rsidRPr="002412E8" w:rsidTr="00BA37D8">
        <w:tc>
          <w:tcPr>
            <w:tcW w:w="5000" w:type="pct"/>
            <w:gridSpan w:val="3"/>
          </w:tcPr>
          <w:p w:rsidR="00D72FDB" w:rsidRPr="002412E8" w:rsidRDefault="00D72FDB" w:rsidP="00D72FDB">
            <w:pPr>
              <w:jc w:val="both"/>
              <w:rPr>
                <w:sz w:val="20"/>
                <w:szCs w:val="20"/>
              </w:rPr>
            </w:pPr>
            <w:r w:rsidRPr="002412E8">
              <w:rPr>
                <w:sz w:val="20"/>
                <w:szCs w:val="20"/>
              </w:rPr>
              <w:t xml:space="preserve">Under s. 64 of the </w:t>
            </w:r>
            <w:r w:rsidRPr="002412E8">
              <w:rPr>
                <w:i/>
                <w:sz w:val="20"/>
                <w:szCs w:val="20"/>
              </w:rPr>
              <w:t xml:space="preserve">Immigration and Refugee Protection Act </w:t>
            </w:r>
            <w:r w:rsidRPr="002412E8">
              <w:rPr>
                <w:sz w:val="20"/>
                <w:szCs w:val="20"/>
              </w:rPr>
              <w:t>(“</w:t>
            </w:r>
            <w:r w:rsidRPr="002412E8">
              <w:rPr>
                <w:i/>
                <w:sz w:val="20"/>
                <w:szCs w:val="20"/>
              </w:rPr>
              <w:t>IRPA</w:t>
            </w:r>
            <w:r w:rsidRPr="002412E8">
              <w:rPr>
                <w:sz w:val="20"/>
                <w:szCs w:val="20"/>
              </w:rPr>
              <w:t>”), a non</w:t>
            </w:r>
            <w:r w:rsidRPr="002412E8">
              <w:rPr>
                <w:sz w:val="20"/>
                <w:szCs w:val="20"/>
              </w:rPr>
              <w:noBreakHyphen/>
              <w:t xml:space="preserve">citizen loses his right to appeal a removal order if he has been, among other things, convicted of a crime for which he has been sentenced to a term of imprisonment of at least two years.  The applicant is a Vietnamese citizen who came to Canada under the sponsorship of his father.  He was convicted of producing and possessing marihuana for the purposes of trafficking.  Pursuant to a joint submission on sentence, he was sentenced to 2 years’ imprisonment.  Despite the joint submission, the applicant appealed, arguing that the consequences of the sentence with respect to the </w:t>
            </w:r>
            <w:r w:rsidRPr="002412E8">
              <w:rPr>
                <w:i/>
                <w:sz w:val="20"/>
                <w:szCs w:val="20"/>
              </w:rPr>
              <w:t xml:space="preserve">IRPA </w:t>
            </w:r>
            <w:r w:rsidRPr="002412E8">
              <w:rPr>
                <w:sz w:val="20"/>
                <w:szCs w:val="20"/>
              </w:rPr>
              <w:t xml:space="preserve">ought to have triggered a reduced sentence.  The Crown consented to the reduction. The majority of the Court of Appeal dismissed the appeal.  In its </w:t>
            </w:r>
            <w:r w:rsidRPr="002412E8">
              <w:rPr>
                <w:sz w:val="20"/>
                <w:szCs w:val="20"/>
              </w:rPr>
              <w:lastRenderedPageBreak/>
              <w:t xml:space="preserve">view, the particular circumstances of this case, and in particular, the applicant’s prior convictions, did not warrant varying the sentence or undermining the provisions of the </w:t>
            </w:r>
            <w:r w:rsidRPr="002412E8">
              <w:rPr>
                <w:i/>
                <w:sz w:val="20"/>
                <w:szCs w:val="20"/>
              </w:rPr>
              <w:t>IRPA</w:t>
            </w:r>
            <w:r w:rsidRPr="002412E8">
              <w:rPr>
                <w:sz w:val="20"/>
                <w:szCs w:val="20"/>
              </w:rPr>
              <w:t>.  Martin J.A. would have allowed the appeal solely on the basis of the Crown’s consent which, in his view, was given on the assumption that the sentencing judge would have agreed to the reduction had counsel been aware of the collateral consequence flowing from a two</w:t>
            </w:r>
            <w:r w:rsidRPr="002412E8">
              <w:rPr>
                <w:sz w:val="20"/>
                <w:szCs w:val="20"/>
              </w:rPr>
              <w:noBreakHyphen/>
              <w:t>year sentence.  He cautioned, however, that this relief is not automatic and that had it not been for the Crown’s concession based on fairness, the applicant would not have qualified for such relief.</w:t>
            </w:r>
          </w:p>
          <w:p w:rsidR="00D72FDB" w:rsidRPr="002412E8" w:rsidRDefault="00D72FDB" w:rsidP="00BA37D8">
            <w:pPr>
              <w:rPr>
                <w:sz w:val="20"/>
                <w:szCs w:val="20"/>
              </w:rPr>
            </w:pPr>
          </w:p>
        </w:tc>
      </w:tr>
      <w:tr w:rsidR="00D72FDB" w:rsidRPr="002412E8" w:rsidTr="00BA37D8">
        <w:tc>
          <w:tcPr>
            <w:tcW w:w="2427" w:type="pct"/>
          </w:tcPr>
          <w:p w:rsidR="00D72FDB" w:rsidRPr="002412E8" w:rsidRDefault="00D72FDB" w:rsidP="00BA37D8">
            <w:pPr>
              <w:rPr>
                <w:sz w:val="20"/>
                <w:szCs w:val="20"/>
              </w:rPr>
            </w:pPr>
            <w:r w:rsidRPr="002412E8">
              <w:rPr>
                <w:sz w:val="20"/>
                <w:szCs w:val="20"/>
              </w:rPr>
              <w:lastRenderedPageBreak/>
              <w:t>March 8, 2011</w:t>
            </w:r>
          </w:p>
          <w:p w:rsidR="00D72FDB" w:rsidRPr="002412E8" w:rsidRDefault="00D72FDB" w:rsidP="00BA37D8">
            <w:pPr>
              <w:rPr>
                <w:sz w:val="20"/>
                <w:szCs w:val="20"/>
              </w:rPr>
            </w:pPr>
            <w:r w:rsidRPr="002412E8">
              <w:rPr>
                <w:sz w:val="20"/>
                <w:szCs w:val="20"/>
              </w:rPr>
              <w:t>Provincial Court of Alberta</w:t>
            </w:r>
          </w:p>
          <w:p w:rsidR="00D72FDB" w:rsidRPr="002412E8" w:rsidRDefault="00D72FDB" w:rsidP="00BA37D8">
            <w:pPr>
              <w:rPr>
                <w:sz w:val="20"/>
                <w:szCs w:val="20"/>
              </w:rPr>
            </w:pPr>
            <w:r w:rsidRPr="002412E8">
              <w:rPr>
                <w:sz w:val="20"/>
                <w:szCs w:val="20"/>
              </w:rPr>
              <w:t>(Barley J.)</w:t>
            </w:r>
          </w:p>
          <w:p w:rsidR="00D72FDB" w:rsidRPr="002412E8" w:rsidRDefault="00D72FDB" w:rsidP="00BA37D8">
            <w:pPr>
              <w:rPr>
                <w:sz w:val="20"/>
                <w:szCs w:val="20"/>
              </w:rPr>
            </w:pPr>
          </w:p>
        </w:tc>
        <w:tc>
          <w:tcPr>
            <w:tcW w:w="243" w:type="pct"/>
          </w:tcPr>
          <w:p w:rsidR="00D72FDB" w:rsidRPr="002412E8" w:rsidRDefault="00D72FDB" w:rsidP="00BA37D8">
            <w:pPr>
              <w:rPr>
                <w:sz w:val="20"/>
                <w:szCs w:val="20"/>
              </w:rPr>
            </w:pPr>
          </w:p>
        </w:tc>
        <w:tc>
          <w:tcPr>
            <w:tcW w:w="2330" w:type="pct"/>
          </w:tcPr>
          <w:p w:rsidR="00D72FDB" w:rsidRPr="002412E8" w:rsidRDefault="00D72FDB" w:rsidP="00D72FDB">
            <w:pPr>
              <w:jc w:val="both"/>
              <w:rPr>
                <w:sz w:val="20"/>
                <w:szCs w:val="20"/>
              </w:rPr>
            </w:pPr>
            <w:r w:rsidRPr="002412E8">
              <w:rPr>
                <w:sz w:val="20"/>
                <w:szCs w:val="20"/>
              </w:rPr>
              <w:t>Applicant convicted of production and possession of marihuana for purposes of trafficking</w:t>
            </w:r>
          </w:p>
          <w:p w:rsidR="00D72FDB" w:rsidRPr="002412E8" w:rsidRDefault="00D72FDB" w:rsidP="00BA37D8">
            <w:pPr>
              <w:rPr>
                <w:sz w:val="20"/>
                <w:szCs w:val="20"/>
              </w:rPr>
            </w:pPr>
          </w:p>
        </w:tc>
      </w:tr>
      <w:tr w:rsidR="00D72FDB" w:rsidRPr="002412E8" w:rsidTr="00BA37D8">
        <w:tc>
          <w:tcPr>
            <w:tcW w:w="2427" w:type="pct"/>
          </w:tcPr>
          <w:p w:rsidR="00D72FDB" w:rsidRPr="002412E8" w:rsidRDefault="00D72FDB" w:rsidP="00BA37D8">
            <w:pPr>
              <w:rPr>
                <w:sz w:val="20"/>
                <w:szCs w:val="20"/>
              </w:rPr>
            </w:pPr>
            <w:r w:rsidRPr="002412E8">
              <w:rPr>
                <w:sz w:val="20"/>
                <w:szCs w:val="20"/>
              </w:rPr>
              <w:t>March 8, 2011</w:t>
            </w:r>
          </w:p>
          <w:p w:rsidR="00D72FDB" w:rsidRPr="002412E8" w:rsidRDefault="00D72FDB" w:rsidP="00BA37D8">
            <w:pPr>
              <w:rPr>
                <w:sz w:val="20"/>
                <w:szCs w:val="20"/>
              </w:rPr>
            </w:pPr>
            <w:r w:rsidRPr="002412E8">
              <w:rPr>
                <w:sz w:val="20"/>
                <w:szCs w:val="20"/>
              </w:rPr>
              <w:t>Provincial Court of Alberta</w:t>
            </w:r>
          </w:p>
          <w:p w:rsidR="00D72FDB" w:rsidRPr="002412E8" w:rsidRDefault="00D72FDB" w:rsidP="00BA37D8">
            <w:pPr>
              <w:rPr>
                <w:sz w:val="20"/>
                <w:szCs w:val="20"/>
              </w:rPr>
            </w:pPr>
            <w:r w:rsidRPr="002412E8">
              <w:rPr>
                <w:sz w:val="20"/>
                <w:szCs w:val="20"/>
              </w:rPr>
              <w:t>(Barley J.)</w:t>
            </w:r>
          </w:p>
          <w:p w:rsidR="00D72FDB" w:rsidRPr="002412E8" w:rsidRDefault="00D72FDB" w:rsidP="00BA37D8">
            <w:pPr>
              <w:rPr>
                <w:sz w:val="20"/>
                <w:szCs w:val="20"/>
              </w:rPr>
            </w:pPr>
          </w:p>
        </w:tc>
        <w:tc>
          <w:tcPr>
            <w:tcW w:w="243" w:type="pct"/>
          </w:tcPr>
          <w:p w:rsidR="00D72FDB" w:rsidRPr="002412E8" w:rsidRDefault="00D72FDB" w:rsidP="00BA37D8">
            <w:pPr>
              <w:rPr>
                <w:sz w:val="20"/>
                <w:szCs w:val="20"/>
              </w:rPr>
            </w:pPr>
          </w:p>
        </w:tc>
        <w:tc>
          <w:tcPr>
            <w:tcW w:w="2330" w:type="pct"/>
          </w:tcPr>
          <w:p w:rsidR="00D72FDB" w:rsidRPr="002412E8" w:rsidRDefault="00D72FDB" w:rsidP="00BA37D8">
            <w:pPr>
              <w:rPr>
                <w:sz w:val="20"/>
                <w:szCs w:val="20"/>
              </w:rPr>
            </w:pPr>
            <w:r w:rsidRPr="002412E8">
              <w:rPr>
                <w:sz w:val="20"/>
                <w:szCs w:val="20"/>
              </w:rPr>
              <w:t>Applicant sentenced to 24 months’ incarceration</w:t>
            </w:r>
          </w:p>
          <w:p w:rsidR="00D72FDB" w:rsidRPr="002412E8" w:rsidRDefault="00D72FDB" w:rsidP="00BA37D8">
            <w:pPr>
              <w:rPr>
                <w:sz w:val="20"/>
                <w:szCs w:val="20"/>
              </w:rPr>
            </w:pPr>
          </w:p>
        </w:tc>
      </w:tr>
      <w:tr w:rsidR="00D72FDB" w:rsidRPr="002412E8" w:rsidTr="00BA37D8">
        <w:tc>
          <w:tcPr>
            <w:tcW w:w="2427" w:type="pct"/>
          </w:tcPr>
          <w:p w:rsidR="00D72FDB" w:rsidRPr="002412E8" w:rsidRDefault="00D72FDB" w:rsidP="00BA37D8">
            <w:pPr>
              <w:rPr>
                <w:sz w:val="20"/>
                <w:szCs w:val="20"/>
              </w:rPr>
            </w:pPr>
            <w:r w:rsidRPr="002412E8">
              <w:rPr>
                <w:sz w:val="20"/>
                <w:szCs w:val="20"/>
              </w:rPr>
              <w:t>June 28, 2012</w:t>
            </w:r>
          </w:p>
          <w:p w:rsidR="00D72FDB" w:rsidRPr="002412E8" w:rsidRDefault="00D72FDB" w:rsidP="00BA37D8">
            <w:pPr>
              <w:rPr>
                <w:sz w:val="20"/>
                <w:szCs w:val="20"/>
              </w:rPr>
            </w:pPr>
            <w:r w:rsidRPr="002412E8">
              <w:rPr>
                <w:sz w:val="20"/>
                <w:szCs w:val="20"/>
              </w:rPr>
              <w:t>Court of Appeal of Alberta (Calgary)</w:t>
            </w:r>
          </w:p>
          <w:p w:rsidR="00D72FDB" w:rsidRPr="002412E8" w:rsidRDefault="00D72FDB" w:rsidP="00BA37D8">
            <w:pPr>
              <w:rPr>
                <w:sz w:val="20"/>
                <w:szCs w:val="20"/>
              </w:rPr>
            </w:pPr>
            <w:r w:rsidRPr="002412E8">
              <w:rPr>
                <w:sz w:val="20"/>
                <w:szCs w:val="20"/>
              </w:rPr>
              <w:t>(Martin [dissenting], Watson and McDonald JJ.A.)</w:t>
            </w:r>
          </w:p>
          <w:p w:rsidR="00D72FDB" w:rsidRPr="002412E8" w:rsidRDefault="00D72FDB" w:rsidP="00BA37D8">
            <w:pPr>
              <w:rPr>
                <w:sz w:val="20"/>
                <w:szCs w:val="20"/>
              </w:rPr>
            </w:pPr>
            <w:r w:rsidRPr="002412E8">
              <w:rPr>
                <w:sz w:val="20"/>
                <w:szCs w:val="20"/>
              </w:rPr>
              <w:t>2012 ABCA 203</w:t>
            </w:r>
          </w:p>
          <w:p w:rsidR="00D72FDB" w:rsidRPr="002412E8" w:rsidRDefault="00D72FDB" w:rsidP="00BA37D8">
            <w:pPr>
              <w:rPr>
                <w:sz w:val="20"/>
                <w:szCs w:val="20"/>
              </w:rPr>
            </w:pPr>
          </w:p>
        </w:tc>
        <w:tc>
          <w:tcPr>
            <w:tcW w:w="243" w:type="pct"/>
          </w:tcPr>
          <w:p w:rsidR="00D72FDB" w:rsidRPr="002412E8" w:rsidRDefault="00D72FDB" w:rsidP="00BA37D8">
            <w:pPr>
              <w:rPr>
                <w:sz w:val="20"/>
                <w:szCs w:val="20"/>
              </w:rPr>
            </w:pPr>
          </w:p>
        </w:tc>
        <w:tc>
          <w:tcPr>
            <w:tcW w:w="2330" w:type="pct"/>
          </w:tcPr>
          <w:p w:rsidR="00D72FDB" w:rsidRPr="002412E8" w:rsidRDefault="00D72FDB" w:rsidP="00BA37D8">
            <w:pPr>
              <w:rPr>
                <w:sz w:val="20"/>
                <w:szCs w:val="20"/>
              </w:rPr>
            </w:pPr>
            <w:r w:rsidRPr="002412E8">
              <w:rPr>
                <w:sz w:val="20"/>
                <w:szCs w:val="20"/>
              </w:rPr>
              <w:t>Appeal dismissed</w:t>
            </w:r>
          </w:p>
          <w:p w:rsidR="00D72FDB" w:rsidRPr="002412E8" w:rsidRDefault="00D72FDB" w:rsidP="00BA37D8">
            <w:pPr>
              <w:rPr>
                <w:sz w:val="20"/>
                <w:szCs w:val="20"/>
              </w:rPr>
            </w:pPr>
          </w:p>
        </w:tc>
      </w:tr>
      <w:tr w:rsidR="00D72FDB" w:rsidRPr="002412E8" w:rsidTr="00BA37D8">
        <w:tc>
          <w:tcPr>
            <w:tcW w:w="2427" w:type="pct"/>
          </w:tcPr>
          <w:p w:rsidR="00D72FDB" w:rsidRPr="002412E8" w:rsidRDefault="00D72FDB" w:rsidP="00BA37D8">
            <w:pPr>
              <w:rPr>
                <w:sz w:val="20"/>
                <w:szCs w:val="20"/>
              </w:rPr>
            </w:pPr>
            <w:r w:rsidRPr="002412E8">
              <w:rPr>
                <w:sz w:val="20"/>
                <w:szCs w:val="20"/>
              </w:rPr>
              <w:t>August 21, 2012</w:t>
            </w:r>
          </w:p>
          <w:p w:rsidR="00D72FDB" w:rsidRPr="002412E8" w:rsidRDefault="00D72FDB" w:rsidP="00BA37D8">
            <w:pPr>
              <w:rPr>
                <w:sz w:val="20"/>
                <w:szCs w:val="20"/>
              </w:rPr>
            </w:pPr>
            <w:r w:rsidRPr="002412E8">
              <w:rPr>
                <w:sz w:val="20"/>
                <w:szCs w:val="20"/>
              </w:rPr>
              <w:t>Supreme Court of Canada</w:t>
            </w:r>
          </w:p>
        </w:tc>
        <w:tc>
          <w:tcPr>
            <w:tcW w:w="243" w:type="pct"/>
          </w:tcPr>
          <w:p w:rsidR="00D72FDB" w:rsidRPr="002412E8" w:rsidRDefault="00D72FDB" w:rsidP="00BA37D8">
            <w:pPr>
              <w:rPr>
                <w:sz w:val="20"/>
                <w:szCs w:val="20"/>
              </w:rPr>
            </w:pPr>
          </w:p>
        </w:tc>
        <w:tc>
          <w:tcPr>
            <w:tcW w:w="2330" w:type="pct"/>
          </w:tcPr>
          <w:p w:rsidR="00D72FDB" w:rsidRPr="002412E8" w:rsidRDefault="00D72FDB" w:rsidP="00BA37D8">
            <w:pPr>
              <w:rPr>
                <w:sz w:val="20"/>
                <w:szCs w:val="20"/>
              </w:rPr>
            </w:pPr>
            <w:r w:rsidRPr="002412E8">
              <w:rPr>
                <w:sz w:val="20"/>
                <w:szCs w:val="20"/>
              </w:rPr>
              <w:t>Application for leave to appeal filed</w:t>
            </w:r>
          </w:p>
          <w:p w:rsidR="00D72FDB" w:rsidRPr="002412E8" w:rsidRDefault="00D72FDB" w:rsidP="00BA37D8">
            <w:pPr>
              <w:rPr>
                <w:sz w:val="20"/>
                <w:szCs w:val="20"/>
              </w:rPr>
            </w:pPr>
          </w:p>
        </w:tc>
      </w:tr>
    </w:tbl>
    <w:p w:rsidR="00565D14" w:rsidRDefault="00565D14" w:rsidP="00565D14">
      <w:pPr>
        <w:rPr>
          <w:sz w:val="20"/>
          <w:szCs w:val="20"/>
        </w:rPr>
      </w:pPr>
    </w:p>
    <w:p w:rsidR="00565D14" w:rsidRPr="00C50A5C" w:rsidRDefault="00BF3B03" w:rsidP="00565D14">
      <w:pPr>
        <w:rPr>
          <w:sz w:val="20"/>
          <w:szCs w:val="20"/>
        </w:rPr>
      </w:pPr>
      <w:r w:rsidRPr="00BF3B03">
        <w:rPr>
          <w:sz w:val="20"/>
          <w:szCs w:val="20"/>
          <w:lang w:val="fr-CA"/>
        </w:rPr>
        <w:pict>
          <v:rect id="_x0000_i1060" style="width:2in;height:1pt" o:hrpct="0" o:hralign="center" o:hrstd="t" o:hrnoshade="t" o:hr="t" fillcolor="black [3213]" stroked="f"/>
        </w:pict>
      </w:r>
    </w:p>
    <w:p w:rsidR="00565D14" w:rsidRDefault="00565D14" w:rsidP="00565D14">
      <w:pPr>
        <w:rPr>
          <w:sz w:val="20"/>
          <w:szCs w:val="20"/>
        </w:rPr>
      </w:pPr>
    </w:p>
    <w:p w:rsidR="00565D14" w:rsidRPr="001B157C" w:rsidRDefault="00565D14" w:rsidP="00565D14">
      <w:pPr>
        <w:rPr>
          <w:sz w:val="20"/>
          <w:szCs w:val="20"/>
          <w:u w:val="single"/>
          <w:lang w:val="fr-CA"/>
        </w:rPr>
      </w:pPr>
      <w:r w:rsidRPr="001B157C">
        <w:rPr>
          <w:sz w:val="20"/>
          <w:szCs w:val="20"/>
          <w:u w:val="single"/>
          <w:lang w:val="fr-CA"/>
        </w:rPr>
        <w:t>RÉSUMÉ DE L’AFFAIRE</w:t>
      </w:r>
    </w:p>
    <w:p w:rsidR="00565D14" w:rsidRDefault="00565D14" w:rsidP="00A740D1">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D72FDB" w:rsidRPr="00DC2D1F" w:rsidTr="00D72FDB">
        <w:tc>
          <w:tcPr>
            <w:tcW w:w="5000" w:type="pct"/>
            <w:gridSpan w:val="3"/>
          </w:tcPr>
          <w:p w:rsidR="00D72FDB" w:rsidRPr="00C450B0" w:rsidRDefault="00D72FDB" w:rsidP="00D72FDB">
            <w:pPr>
              <w:jc w:val="both"/>
              <w:rPr>
                <w:sz w:val="20"/>
                <w:szCs w:val="20"/>
                <w:lang w:val="fr-CA"/>
              </w:rPr>
            </w:pPr>
            <w:r w:rsidRPr="00C450B0">
              <w:rPr>
                <w:sz w:val="20"/>
                <w:szCs w:val="20"/>
                <w:lang w:val="fr-CA"/>
              </w:rPr>
              <w:t>Droit criminel — Détermination de la peine — Considérations —</w:t>
            </w:r>
            <w:r w:rsidRPr="00C450B0">
              <w:rPr>
                <w:i/>
                <w:sz w:val="20"/>
                <w:szCs w:val="20"/>
                <w:lang w:val="fr-CA"/>
              </w:rPr>
              <w:t xml:space="preserve"> Loi sur l'immigration et la protection des réfugiés</w:t>
            </w:r>
            <w:r w:rsidRPr="00C450B0">
              <w:rPr>
                <w:sz w:val="20"/>
                <w:szCs w:val="20"/>
                <w:lang w:val="fr-CA"/>
              </w:rPr>
              <w:t>, L.C. 2001, ch. 27, art. 64 — Quand et dans quelle mesure le tribunal qui détermine la peine ou le tribunal d'appel peut</w:t>
            </w:r>
            <w:r w:rsidRPr="00C450B0">
              <w:rPr>
                <w:sz w:val="20"/>
                <w:szCs w:val="20"/>
                <w:lang w:val="fr-CA"/>
              </w:rPr>
              <w:noBreakHyphen/>
              <w:t>il prendre en compte les conséquences « non voulues » ou « accessoires » d'une peine? — La peine du demandeur aurait</w:t>
            </w:r>
            <w:r w:rsidRPr="00C450B0">
              <w:rPr>
                <w:sz w:val="20"/>
                <w:szCs w:val="20"/>
                <w:lang w:val="fr-CA"/>
              </w:rPr>
              <w:noBreakHyphen/>
              <w:t xml:space="preserve">elle dû être modifiée afin de maintenir son droit d'appel d'une mesure de renvoi? </w:t>
            </w:r>
          </w:p>
        </w:tc>
      </w:tr>
      <w:tr w:rsidR="00D72FDB" w:rsidRPr="00DC2D1F" w:rsidTr="00D72FDB">
        <w:tc>
          <w:tcPr>
            <w:tcW w:w="5000" w:type="pct"/>
            <w:gridSpan w:val="3"/>
          </w:tcPr>
          <w:p w:rsidR="00D72FDB" w:rsidRPr="00C450B0" w:rsidRDefault="00D72FDB" w:rsidP="00BA37D8">
            <w:pPr>
              <w:rPr>
                <w:sz w:val="20"/>
                <w:szCs w:val="20"/>
                <w:lang w:val="fr-CA"/>
              </w:rPr>
            </w:pPr>
          </w:p>
        </w:tc>
      </w:tr>
      <w:tr w:rsidR="00D72FDB" w:rsidRPr="00DC2D1F" w:rsidTr="00D72FDB">
        <w:tc>
          <w:tcPr>
            <w:tcW w:w="5000" w:type="pct"/>
            <w:gridSpan w:val="3"/>
          </w:tcPr>
          <w:p w:rsidR="00D72FDB" w:rsidRPr="00C450B0" w:rsidRDefault="00D72FDB" w:rsidP="00D72FDB">
            <w:pPr>
              <w:jc w:val="both"/>
              <w:rPr>
                <w:sz w:val="20"/>
                <w:szCs w:val="20"/>
                <w:lang w:val="fr-CA"/>
              </w:rPr>
            </w:pPr>
            <w:r w:rsidRPr="00C450B0">
              <w:rPr>
                <w:sz w:val="20"/>
                <w:szCs w:val="20"/>
                <w:lang w:val="fr-CA"/>
              </w:rPr>
              <w:t xml:space="preserve">En vertu de l'art. 64 de la </w:t>
            </w:r>
            <w:r w:rsidRPr="00C450B0">
              <w:rPr>
                <w:i/>
                <w:sz w:val="20"/>
                <w:szCs w:val="20"/>
                <w:lang w:val="fr-CA"/>
              </w:rPr>
              <w:t>Loi sur l'immigration et la protection des réfugiés</w:t>
            </w:r>
            <w:r w:rsidRPr="00C450B0">
              <w:rPr>
                <w:sz w:val="20"/>
                <w:szCs w:val="20"/>
                <w:lang w:val="fr-CA"/>
              </w:rPr>
              <w:t xml:space="preserve"> (« </w:t>
            </w:r>
            <w:r w:rsidRPr="00C450B0">
              <w:rPr>
                <w:i/>
                <w:sz w:val="20"/>
                <w:szCs w:val="20"/>
                <w:lang w:val="fr-CA"/>
              </w:rPr>
              <w:t>LIPR </w:t>
            </w:r>
            <w:r w:rsidRPr="00C450B0">
              <w:rPr>
                <w:sz w:val="20"/>
                <w:szCs w:val="20"/>
                <w:lang w:val="fr-CA"/>
              </w:rPr>
              <w:t>»), un non</w:t>
            </w:r>
            <w:r w:rsidRPr="00C450B0">
              <w:rPr>
                <w:sz w:val="20"/>
                <w:szCs w:val="20"/>
                <w:lang w:val="fr-CA"/>
              </w:rPr>
              <w:noBreakHyphen/>
              <w:t xml:space="preserve">citoyen perd son droit d'appel d'une mesure de renvoi s'il a été, entre autres, déclaré coupable d'un crime pour lequel il a été condamné à une peine d'emprisonnement d'au moins deux ans.  Le demandeur, un citoyen vietnamien, est arrivé au Canada sous le parrainage de son père.  Il a été déclaré coupable de production et de possession de marijuana aux fins d’en faire le trafic.  À la suite d’observations conjointes au sujet de la peine, il a été condamné à une peine d'emprisonnement de deux ans.  Malgré les observations conjointes, le demandeur a interjeté appel, plaidant que les conséquences de la peine aux termes de la </w:t>
            </w:r>
            <w:r w:rsidRPr="00C450B0">
              <w:rPr>
                <w:i/>
                <w:sz w:val="20"/>
                <w:szCs w:val="20"/>
                <w:lang w:val="fr-CA"/>
              </w:rPr>
              <w:t>LIPR</w:t>
            </w:r>
            <w:r w:rsidRPr="00C450B0">
              <w:rPr>
                <w:sz w:val="20"/>
                <w:szCs w:val="20"/>
                <w:lang w:val="fr-CA"/>
              </w:rPr>
              <w:t xml:space="preserve"> auraient dû donner lieu à une peine réduite.  Le ministère public a consenti à la réduction.  Les juges majoritaires de la Cour d'appel ont rejeté l'appel.  À leur avis, les faits en l'espèce, notamment les condamnations antérieures du demandeur, ne justifiaient pas une modification de la peine ou le sapement des dispositions de la </w:t>
            </w:r>
            <w:r w:rsidRPr="00C450B0">
              <w:rPr>
                <w:i/>
                <w:sz w:val="20"/>
                <w:szCs w:val="20"/>
                <w:lang w:val="fr-CA"/>
              </w:rPr>
              <w:t>LIPR</w:t>
            </w:r>
            <w:r w:rsidRPr="00C450B0">
              <w:rPr>
                <w:sz w:val="20"/>
                <w:szCs w:val="20"/>
                <w:lang w:val="fr-CA"/>
              </w:rPr>
              <w:t>.  Le juge Martin aurait accueilli l'appel sur le seul fondement du consentement du ministère public qui, à son avis, a été donné en présumant que le juge qui a déterminé la peine aurait accepté la réduction si les avocats avaient été conscients de la conséquence accessoire d'une peine de deux ans.  Toutefois, il a précisé que ce redressement n'était pas automatique et que n'eût été de la concession du ministère public sur le fondement de l'équité, le demandeur n’aurait pas eu droit à ce redressement.</w:t>
            </w:r>
          </w:p>
          <w:p w:rsidR="00D72FDB" w:rsidRPr="00C450B0" w:rsidRDefault="00D72FDB" w:rsidP="00BA37D8">
            <w:pPr>
              <w:rPr>
                <w:sz w:val="20"/>
                <w:szCs w:val="20"/>
                <w:lang w:val="fr-CA"/>
              </w:rPr>
            </w:pPr>
          </w:p>
        </w:tc>
      </w:tr>
      <w:tr w:rsidR="00D72FDB" w:rsidRPr="00DC2D1F" w:rsidTr="00D72FDB">
        <w:trPr>
          <w:cantSplit/>
        </w:trPr>
        <w:tc>
          <w:tcPr>
            <w:tcW w:w="2427" w:type="pct"/>
          </w:tcPr>
          <w:p w:rsidR="00D72FDB" w:rsidRPr="00C450B0" w:rsidRDefault="00D72FDB" w:rsidP="00BA37D8">
            <w:pPr>
              <w:rPr>
                <w:sz w:val="20"/>
                <w:szCs w:val="20"/>
                <w:lang w:val="fr-CA"/>
              </w:rPr>
            </w:pPr>
            <w:r w:rsidRPr="00C450B0">
              <w:rPr>
                <w:sz w:val="20"/>
                <w:szCs w:val="20"/>
                <w:lang w:val="fr-CA"/>
              </w:rPr>
              <w:lastRenderedPageBreak/>
              <w:t>8 mars 2011</w:t>
            </w:r>
          </w:p>
          <w:p w:rsidR="00D72FDB" w:rsidRPr="00C450B0" w:rsidRDefault="00D72FDB" w:rsidP="00BA37D8">
            <w:pPr>
              <w:rPr>
                <w:sz w:val="20"/>
                <w:szCs w:val="20"/>
                <w:lang w:val="fr-CA"/>
              </w:rPr>
            </w:pPr>
            <w:r w:rsidRPr="00C450B0">
              <w:rPr>
                <w:sz w:val="20"/>
                <w:szCs w:val="20"/>
                <w:lang w:val="fr-CA"/>
              </w:rPr>
              <w:t>Cour provinciale de l’Alberta</w:t>
            </w:r>
          </w:p>
          <w:p w:rsidR="00D72FDB" w:rsidRPr="00C450B0" w:rsidRDefault="00D72FDB" w:rsidP="00BA37D8">
            <w:pPr>
              <w:rPr>
                <w:sz w:val="20"/>
                <w:szCs w:val="20"/>
                <w:lang w:val="fr-CA"/>
              </w:rPr>
            </w:pPr>
            <w:r w:rsidRPr="00C450B0">
              <w:rPr>
                <w:sz w:val="20"/>
                <w:szCs w:val="20"/>
                <w:lang w:val="fr-CA"/>
              </w:rPr>
              <w:t>(Juge Barley)</w:t>
            </w:r>
          </w:p>
          <w:p w:rsidR="00D72FDB" w:rsidRPr="00C450B0" w:rsidRDefault="00D72FDB" w:rsidP="00BA37D8">
            <w:pPr>
              <w:rPr>
                <w:sz w:val="20"/>
                <w:szCs w:val="20"/>
                <w:lang w:val="fr-CA"/>
              </w:rPr>
            </w:pPr>
          </w:p>
        </w:tc>
        <w:tc>
          <w:tcPr>
            <w:tcW w:w="243" w:type="pct"/>
          </w:tcPr>
          <w:p w:rsidR="00D72FDB" w:rsidRPr="00C450B0" w:rsidRDefault="00D72FDB" w:rsidP="00BA37D8">
            <w:pPr>
              <w:rPr>
                <w:sz w:val="20"/>
                <w:szCs w:val="20"/>
                <w:lang w:val="fr-CA"/>
              </w:rPr>
            </w:pPr>
          </w:p>
        </w:tc>
        <w:tc>
          <w:tcPr>
            <w:tcW w:w="2330" w:type="pct"/>
          </w:tcPr>
          <w:p w:rsidR="00D72FDB" w:rsidRPr="00C450B0" w:rsidRDefault="00D72FDB" w:rsidP="00D72FDB">
            <w:pPr>
              <w:jc w:val="both"/>
              <w:rPr>
                <w:sz w:val="20"/>
                <w:szCs w:val="20"/>
                <w:lang w:val="fr-CA"/>
              </w:rPr>
            </w:pPr>
            <w:r w:rsidRPr="00C450B0">
              <w:rPr>
                <w:sz w:val="20"/>
                <w:szCs w:val="20"/>
                <w:lang w:val="fr-CA"/>
              </w:rPr>
              <w:t>Demandeur déclaré coupable de production et de possession de marijuana aux fins d'en faire le trafic</w:t>
            </w:r>
          </w:p>
          <w:p w:rsidR="00D72FDB" w:rsidRPr="00C450B0" w:rsidRDefault="00D72FDB" w:rsidP="00BA37D8">
            <w:pPr>
              <w:rPr>
                <w:sz w:val="20"/>
                <w:szCs w:val="20"/>
                <w:lang w:val="fr-CA"/>
              </w:rPr>
            </w:pPr>
          </w:p>
        </w:tc>
      </w:tr>
      <w:tr w:rsidR="00D72FDB" w:rsidRPr="00DC2D1F" w:rsidTr="00D72FDB">
        <w:trPr>
          <w:cantSplit/>
        </w:trPr>
        <w:tc>
          <w:tcPr>
            <w:tcW w:w="2427" w:type="pct"/>
          </w:tcPr>
          <w:p w:rsidR="00D72FDB" w:rsidRPr="00C450B0" w:rsidRDefault="00D72FDB" w:rsidP="00BA37D8">
            <w:pPr>
              <w:rPr>
                <w:sz w:val="20"/>
                <w:szCs w:val="20"/>
                <w:lang w:val="fr-CA"/>
              </w:rPr>
            </w:pPr>
            <w:r w:rsidRPr="00C450B0">
              <w:rPr>
                <w:sz w:val="20"/>
                <w:szCs w:val="20"/>
                <w:lang w:val="fr-CA"/>
              </w:rPr>
              <w:t>8 mars 2011</w:t>
            </w:r>
          </w:p>
          <w:p w:rsidR="00D72FDB" w:rsidRPr="00C450B0" w:rsidRDefault="00D72FDB" w:rsidP="00BA37D8">
            <w:pPr>
              <w:rPr>
                <w:sz w:val="20"/>
                <w:szCs w:val="20"/>
                <w:lang w:val="fr-CA"/>
              </w:rPr>
            </w:pPr>
            <w:r w:rsidRPr="00C450B0">
              <w:rPr>
                <w:sz w:val="20"/>
                <w:szCs w:val="20"/>
                <w:lang w:val="fr-CA"/>
              </w:rPr>
              <w:t xml:space="preserve">Cour provinciale de l'Alberta </w:t>
            </w:r>
          </w:p>
          <w:p w:rsidR="00D72FDB" w:rsidRPr="00C450B0" w:rsidRDefault="00D72FDB" w:rsidP="00BA37D8">
            <w:pPr>
              <w:rPr>
                <w:sz w:val="20"/>
                <w:szCs w:val="20"/>
                <w:lang w:val="fr-CA"/>
              </w:rPr>
            </w:pPr>
            <w:r w:rsidRPr="00C450B0">
              <w:rPr>
                <w:sz w:val="20"/>
                <w:szCs w:val="20"/>
                <w:lang w:val="fr-CA"/>
              </w:rPr>
              <w:t>(Juge Barley)</w:t>
            </w:r>
          </w:p>
          <w:p w:rsidR="00D72FDB" w:rsidRPr="00C450B0" w:rsidRDefault="00D72FDB" w:rsidP="00BA37D8">
            <w:pPr>
              <w:rPr>
                <w:sz w:val="20"/>
                <w:szCs w:val="20"/>
                <w:lang w:val="fr-CA"/>
              </w:rPr>
            </w:pPr>
          </w:p>
        </w:tc>
        <w:tc>
          <w:tcPr>
            <w:tcW w:w="243" w:type="pct"/>
          </w:tcPr>
          <w:p w:rsidR="00D72FDB" w:rsidRPr="00C450B0" w:rsidRDefault="00D72FDB" w:rsidP="00BA37D8">
            <w:pPr>
              <w:rPr>
                <w:sz w:val="20"/>
                <w:szCs w:val="20"/>
                <w:lang w:val="fr-CA"/>
              </w:rPr>
            </w:pPr>
          </w:p>
        </w:tc>
        <w:tc>
          <w:tcPr>
            <w:tcW w:w="2330" w:type="pct"/>
          </w:tcPr>
          <w:p w:rsidR="00D72FDB" w:rsidRPr="00C450B0" w:rsidRDefault="00D72FDB" w:rsidP="00D72FDB">
            <w:pPr>
              <w:jc w:val="both"/>
              <w:rPr>
                <w:sz w:val="20"/>
                <w:szCs w:val="20"/>
                <w:lang w:val="fr-CA"/>
              </w:rPr>
            </w:pPr>
            <w:r w:rsidRPr="00C450B0">
              <w:rPr>
                <w:sz w:val="20"/>
                <w:szCs w:val="20"/>
                <w:lang w:val="fr-CA"/>
              </w:rPr>
              <w:t>Demandeur condamné à une peine d'emprisonnement de 24 mois</w:t>
            </w:r>
          </w:p>
          <w:p w:rsidR="00D72FDB" w:rsidRPr="00C450B0" w:rsidRDefault="00D72FDB" w:rsidP="00BA37D8">
            <w:pPr>
              <w:rPr>
                <w:sz w:val="20"/>
                <w:szCs w:val="20"/>
                <w:lang w:val="fr-CA"/>
              </w:rPr>
            </w:pPr>
          </w:p>
        </w:tc>
      </w:tr>
      <w:tr w:rsidR="00D72FDB" w:rsidRPr="00C450B0" w:rsidTr="00D72FDB">
        <w:trPr>
          <w:cantSplit/>
        </w:trPr>
        <w:tc>
          <w:tcPr>
            <w:tcW w:w="2427" w:type="pct"/>
          </w:tcPr>
          <w:p w:rsidR="00D72FDB" w:rsidRPr="00C450B0" w:rsidRDefault="00D72FDB" w:rsidP="00BA37D8">
            <w:pPr>
              <w:rPr>
                <w:sz w:val="20"/>
                <w:szCs w:val="20"/>
                <w:lang w:val="fr-CA"/>
              </w:rPr>
            </w:pPr>
            <w:r w:rsidRPr="00C450B0">
              <w:rPr>
                <w:sz w:val="20"/>
                <w:szCs w:val="20"/>
                <w:lang w:val="fr-CA"/>
              </w:rPr>
              <w:t>28 juin 2012</w:t>
            </w:r>
          </w:p>
          <w:p w:rsidR="00D72FDB" w:rsidRPr="00C450B0" w:rsidRDefault="00D72FDB" w:rsidP="00BA37D8">
            <w:pPr>
              <w:rPr>
                <w:sz w:val="20"/>
                <w:szCs w:val="20"/>
                <w:lang w:val="fr-CA"/>
              </w:rPr>
            </w:pPr>
            <w:r w:rsidRPr="00C450B0">
              <w:rPr>
                <w:sz w:val="20"/>
                <w:szCs w:val="20"/>
                <w:lang w:val="fr-CA"/>
              </w:rPr>
              <w:t>Cour d'appel de l'Alberta (Calgary)</w:t>
            </w:r>
          </w:p>
          <w:p w:rsidR="00D72FDB" w:rsidRPr="00C450B0" w:rsidRDefault="00D72FDB" w:rsidP="00BA37D8">
            <w:pPr>
              <w:rPr>
                <w:sz w:val="20"/>
                <w:szCs w:val="20"/>
                <w:lang w:val="fr-CA"/>
              </w:rPr>
            </w:pPr>
            <w:r w:rsidRPr="00C450B0">
              <w:rPr>
                <w:sz w:val="20"/>
                <w:szCs w:val="20"/>
                <w:lang w:val="fr-CA"/>
              </w:rPr>
              <w:t>(Juges Martin [dissident], Watson et McDonald)</w:t>
            </w:r>
          </w:p>
          <w:p w:rsidR="00D72FDB" w:rsidRPr="00C450B0" w:rsidRDefault="00D72FDB" w:rsidP="00BA37D8">
            <w:pPr>
              <w:rPr>
                <w:sz w:val="20"/>
                <w:szCs w:val="20"/>
                <w:lang w:val="fr-CA"/>
              </w:rPr>
            </w:pPr>
            <w:r w:rsidRPr="00C450B0">
              <w:rPr>
                <w:sz w:val="20"/>
                <w:szCs w:val="20"/>
                <w:lang w:val="fr-CA"/>
              </w:rPr>
              <w:t>2012 ABCA 203</w:t>
            </w:r>
          </w:p>
          <w:p w:rsidR="00D72FDB" w:rsidRPr="00C450B0" w:rsidRDefault="00D72FDB" w:rsidP="00BA37D8">
            <w:pPr>
              <w:rPr>
                <w:sz w:val="20"/>
                <w:szCs w:val="20"/>
                <w:lang w:val="fr-CA"/>
              </w:rPr>
            </w:pPr>
          </w:p>
        </w:tc>
        <w:tc>
          <w:tcPr>
            <w:tcW w:w="243" w:type="pct"/>
          </w:tcPr>
          <w:p w:rsidR="00D72FDB" w:rsidRPr="00C450B0" w:rsidRDefault="00D72FDB" w:rsidP="00BA37D8">
            <w:pPr>
              <w:rPr>
                <w:sz w:val="20"/>
                <w:szCs w:val="20"/>
                <w:lang w:val="fr-CA"/>
              </w:rPr>
            </w:pPr>
          </w:p>
        </w:tc>
        <w:tc>
          <w:tcPr>
            <w:tcW w:w="2330" w:type="pct"/>
          </w:tcPr>
          <w:p w:rsidR="00D72FDB" w:rsidRPr="00C450B0" w:rsidRDefault="00D72FDB" w:rsidP="00BA37D8">
            <w:pPr>
              <w:rPr>
                <w:sz w:val="20"/>
                <w:szCs w:val="20"/>
                <w:lang w:val="fr-CA"/>
              </w:rPr>
            </w:pPr>
            <w:r w:rsidRPr="00C450B0">
              <w:rPr>
                <w:sz w:val="20"/>
                <w:szCs w:val="20"/>
                <w:lang w:val="fr-CA"/>
              </w:rPr>
              <w:t>Appel rejeté</w:t>
            </w:r>
          </w:p>
          <w:p w:rsidR="00D72FDB" w:rsidRPr="00C450B0" w:rsidRDefault="00D72FDB" w:rsidP="00BA37D8">
            <w:pPr>
              <w:rPr>
                <w:sz w:val="20"/>
                <w:szCs w:val="20"/>
                <w:lang w:val="fr-CA"/>
              </w:rPr>
            </w:pPr>
          </w:p>
        </w:tc>
      </w:tr>
      <w:tr w:rsidR="00D72FDB" w:rsidRPr="00C450B0" w:rsidTr="00D72FDB">
        <w:trPr>
          <w:cantSplit/>
        </w:trPr>
        <w:tc>
          <w:tcPr>
            <w:tcW w:w="2427" w:type="pct"/>
          </w:tcPr>
          <w:p w:rsidR="00D72FDB" w:rsidRPr="00C450B0" w:rsidRDefault="00D72FDB" w:rsidP="00BA37D8">
            <w:pPr>
              <w:rPr>
                <w:sz w:val="20"/>
                <w:szCs w:val="20"/>
                <w:lang w:val="fr-CA"/>
              </w:rPr>
            </w:pPr>
            <w:r w:rsidRPr="00C450B0">
              <w:rPr>
                <w:sz w:val="20"/>
                <w:szCs w:val="20"/>
                <w:lang w:val="fr-CA"/>
              </w:rPr>
              <w:t>21 août 2012</w:t>
            </w:r>
          </w:p>
          <w:p w:rsidR="00D72FDB" w:rsidRPr="00C450B0" w:rsidRDefault="00D72FDB" w:rsidP="00BA37D8">
            <w:pPr>
              <w:rPr>
                <w:sz w:val="20"/>
                <w:szCs w:val="20"/>
                <w:lang w:val="fr-CA"/>
              </w:rPr>
            </w:pPr>
            <w:r w:rsidRPr="00C450B0">
              <w:rPr>
                <w:sz w:val="20"/>
                <w:szCs w:val="20"/>
                <w:lang w:val="fr-CA"/>
              </w:rPr>
              <w:t>Cour suprême du Canada</w:t>
            </w:r>
          </w:p>
        </w:tc>
        <w:tc>
          <w:tcPr>
            <w:tcW w:w="243" w:type="pct"/>
          </w:tcPr>
          <w:p w:rsidR="00D72FDB" w:rsidRPr="00C450B0" w:rsidRDefault="00D72FDB" w:rsidP="00BA37D8">
            <w:pPr>
              <w:rPr>
                <w:sz w:val="20"/>
                <w:szCs w:val="20"/>
                <w:lang w:val="fr-CA"/>
              </w:rPr>
            </w:pPr>
          </w:p>
        </w:tc>
        <w:tc>
          <w:tcPr>
            <w:tcW w:w="2330" w:type="pct"/>
          </w:tcPr>
          <w:p w:rsidR="00D72FDB" w:rsidRPr="00C450B0" w:rsidRDefault="00D72FDB" w:rsidP="00BA37D8">
            <w:pPr>
              <w:rPr>
                <w:sz w:val="20"/>
                <w:szCs w:val="20"/>
                <w:lang w:val="fr-CA"/>
              </w:rPr>
            </w:pPr>
            <w:r w:rsidRPr="00C450B0">
              <w:rPr>
                <w:sz w:val="20"/>
                <w:szCs w:val="20"/>
                <w:lang w:val="fr-CA"/>
              </w:rPr>
              <w:t>Demande d'autorisation d'appel, déposée</w:t>
            </w:r>
          </w:p>
          <w:p w:rsidR="00D72FDB" w:rsidRPr="00C450B0" w:rsidRDefault="00D72FDB" w:rsidP="00BA37D8">
            <w:pPr>
              <w:rPr>
                <w:sz w:val="20"/>
                <w:szCs w:val="20"/>
                <w:lang w:val="fr-CA"/>
              </w:rPr>
            </w:pPr>
          </w:p>
        </w:tc>
      </w:tr>
    </w:tbl>
    <w:p w:rsidR="00565D14" w:rsidRDefault="00565D14" w:rsidP="00A740D1">
      <w:pPr>
        <w:rPr>
          <w:sz w:val="20"/>
          <w:szCs w:val="20"/>
        </w:rPr>
      </w:pPr>
    </w:p>
    <w:p w:rsidR="00565D14" w:rsidRDefault="00BF3B03" w:rsidP="00A740D1">
      <w:pPr>
        <w:rPr>
          <w:sz w:val="20"/>
          <w:szCs w:val="20"/>
        </w:rPr>
      </w:pPr>
      <w:r w:rsidRPr="00BF3B03">
        <w:rPr>
          <w:sz w:val="20"/>
          <w:szCs w:val="20"/>
          <w:lang w:val="fr-CA"/>
        </w:rPr>
        <w:pict>
          <v:rect id="_x0000_i1061" style="width:2in;height:1pt" o:hrpct="0" o:hralign="center" o:hrstd="t" o:hrnoshade="t" o:hr="t" fillcolor="black [3213]" stroked="f"/>
        </w:pict>
      </w:r>
    </w:p>
    <w:p w:rsidR="00565D14" w:rsidRDefault="00565D14" w:rsidP="00A740D1">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72FDB" w:rsidRPr="00D72FDB" w:rsidTr="00BA37D8">
        <w:trPr>
          <w:cantSplit/>
        </w:trPr>
        <w:tc>
          <w:tcPr>
            <w:tcW w:w="1458" w:type="dxa"/>
          </w:tcPr>
          <w:p w:rsidR="00D72FDB" w:rsidRPr="00D72FDB" w:rsidRDefault="00D72FDB" w:rsidP="00BA37D8">
            <w:pPr>
              <w:rPr>
                <w:sz w:val="20"/>
                <w:szCs w:val="20"/>
              </w:rPr>
            </w:pPr>
            <w:r w:rsidRPr="00D72FDB">
              <w:rPr>
                <w:rStyle w:val="SCCFileNumberChar"/>
                <w:sz w:val="20"/>
                <w:szCs w:val="20"/>
              </w:rPr>
              <w:t>34900</w:t>
            </w:r>
          </w:p>
          <w:p w:rsidR="00D72FDB" w:rsidRPr="00D72FDB" w:rsidRDefault="00D72FDB" w:rsidP="00BA37D8">
            <w:pPr>
              <w:rPr>
                <w:b/>
                <w:sz w:val="20"/>
                <w:szCs w:val="20"/>
                <w:lang w:val="fr-CA"/>
              </w:rPr>
            </w:pPr>
          </w:p>
        </w:tc>
        <w:tc>
          <w:tcPr>
            <w:tcW w:w="8118" w:type="dxa"/>
          </w:tcPr>
          <w:p w:rsidR="00D72FDB" w:rsidRPr="00D72FDB" w:rsidRDefault="00D72FDB" w:rsidP="00BA37D8">
            <w:pPr>
              <w:rPr>
                <w:sz w:val="20"/>
                <w:szCs w:val="20"/>
              </w:rPr>
            </w:pPr>
            <w:r w:rsidRPr="00D72FDB">
              <w:rPr>
                <w:rStyle w:val="SCCLsocChar"/>
                <w:sz w:val="20"/>
                <w:szCs w:val="20"/>
              </w:rPr>
              <w:t>Thelma Angela Vassel aka Linda Lee v. Paul Dagenais</w:t>
            </w:r>
            <w:r w:rsidRPr="00D72FDB">
              <w:rPr>
                <w:sz w:val="20"/>
                <w:szCs w:val="20"/>
                <w:lang w:val="fr-CA"/>
              </w:rPr>
              <w:t xml:space="preserve"> (Ont.) </w:t>
            </w:r>
            <w:r w:rsidRPr="00D72FDB">
              <w:rPr>
                <w:sz w:val="20"/>
                <w:szCs w:val="20"/>
              </w:rPr>
              <w:t>(Civil) (By Leave)</w:t>
            </w:r>
          </w:p>
          <w:p w:rsidR="00D72FDB" w:rsidRPr="00D72FDB" w:rsidRDefault="00D72FDB" w:rsidP="00BA37D8">
            <w:pPr>
              <w:rPr>
                <w:sz w:val="20"/>
                <w:szCs w:val="20"/>
              </w:rPr>
            </w:pPr>
          </w:p>
        </w:tc>
      </w:tr>
      <w:tr w:rsidR="00D72FDB" w:rsidRPr="00D72FDB" w:rsidTr="00BA37D8">
        <w:trPr>
          <w:cantSplit/>
        </w:trPr>
        <w:tc>
          <w:tcPr>
            <w:tcW w:w="1458" w:type="dxa"/>
          </w:tcPr>
          <w:p w:rsidR="00D72FDB" w:rsidRPr="00D72FDB" w:rsidRDefault="00D72FDB" w:rsidP="00BA37D8">
            <w:pPr>
              <w:rPr>
                <w:sz w:val="20"/>
                <w:szCs w:val="20"/>
              </w:rPr>
            </w:pPr>
            <w:r w:rsidRPr="00D72FDB">
              <w:rPr>
                <w:sz w:val="20"/>
                <w:szCs w:val="20"/>
              </w:rPr>
              <w:t>Coram :</w:t>
            </w:r>
          </w:p>
        </w:tc>
        <w:tc>
          <w:tcPr>
            <w:tcW w:w="8118" w:type="dxa"/>
          </w:tcPr>
          <w:p w:rsidR="00D72FDB" w:rsidRPr="00D72FDB" w:rsidRDefault="00D72FDB" w:rsidP="00BA37D8">
            <w:pPr>
              <w:rPr>
                <w:sz w:val="20"/>
                <w:szCs w:val="20"/>
              </w:rPr>
            </w:pPr>
            <w:r w:rsidRPr="00D72FDB">
              <w:rPr>
                <w:rStyle w:val="SCCCoramChar"/>
                <w:sz w:val="20"/>
                <w:szCs w:val="20"/>
                <w:lang w:val="en-CA"/>
              </w:rPr>
              <w:t>McLachlin C.J. and Rothstein and Moldaver JJ.</w:t>
            </w:r>
          </w:p>
          <w:p w:rsidR="00D72FDB" w:rsidRPr="00D72FDB" w:rsidRDefault="00D72FDB" w:rsidP="00BA37D8">
            <w:pPr>
              <w:rPr>
                <w:sz w:val="20"/>
                <w:szCs w:val="20"/>
                <w:u w:val="single"/>
              </w:rPr>
            </w:pPr>
          </w:p>
        </w:tc>
      </w:tr>
      <w:tr w:rsidR="00D72FDB" w:rsidRPr="00DC2D1F" w:rsidTr="00BA37D8">
        <w:trPr>
          <w:cantSplit/>
        </w:trPr>
        <w:tc>
          <w:tcPr>
            <w:tcW w:w="9576" w:type="dxa"/>
            <w:gridSpan w:val="2"/>
          </w:tcPr>
          <w:p w:rsidR="00D72FDB" w:rsidRPr="00D72FDB" w:rsidRDefault="00D72FDB" w:rsidP="00BA37D8">
            <w:pPr>
              <w:pStyle w:val="SCCShortJudgment"/>
              <w:rPr>
                <w:szCs w:val="20"/>
              </w:rPr>
            </w:pPr>
            <w:r w:rsidRPr="00D72FDB">
              <w:rPr>
                <w:szCs w:val="20"/>
              </w:rPr>
              <w:t>The application for leave to appeal from the judgment of the Court of Appeal for Ontario, Number C54401, 2012 ONCA 424, dated June 13, 2012, is dismissed with costs.</w:t>
            </w:r>
          </w:p>
          <w:p w:rsidR="00D72FDB" w:rsidRPr="00D72FDB" w:rsidRDefault="00D72FDB" w:rsidP="00BA37D8">
            <w:pPr>
              <w:pStyle w:val="SCCShortJudgment"/>
              <w:ind w:firstLine="0"/>
              <w:rPr>
                <w:szCs w:val="20"/>
              </w:rPr>
            </w:pPr>
          </w:p>
          <w:p w:rsidR="00D72FDB" w:rsidRPr="00D72FDB" w:rsidRDefault="00D72FDB" w:rsidP="00BA37D8">
            <w:pPr>
              <w:pStyle w:val="SCCShortJudgment"/>
              <w:rPr>
                <w:szCs w:val="20"/>
                <w:lang w:val="fr-CA"/>
              </w:rPr>
            </w:pPr>
            <w:r w:rsidRPr="00D72FDB">
              <w:rPr>
                <w:szCs w:val="20"/>
                <w:lang w:val="fr-CA"/>
              </w:rPr>
              <w:t>La demande d’autorisation d’appel de l’arrêt de la Cour d’appel de l’Ontario, numéro C54401, 2012 ONCA 424, daté du 13 juin 2012, est rejetée avec dépens.</w:t>
            </w:r>
          </w:p>
        </w:tc>
      </w:tr>
    </w:tbl>
    <w:p w:rsidR="00A740D1" w:rsidRPr="00D72FDB" w:rsidRDefault="00A740D1" w:rsidP="00A740D1">
      <w:pPr>
        <w:rPr>
          <w:sz w:val="20"/>
          <w:szCs w:val="20"/>
          <w:lang w:val="fr-CA"/>
        </w:rPr>
      </w:pPr>
    </w:p>
    <w:p w:rsidR="00A740D1" w:rsidRPr="001B157C" w:rsidRDefault="00A740D1" w:rsidP="00A740D1">
      <w:pPr>
        <w:rPr>
          <w:sz w:val="20"/>
          <w:szCs w:val="20"/>
          <w:u w:val="single"/>
        </w:rPr>
      </w:pPr>
      <w:r w:rsidRPr="001B157C">
        <w:rPr>
          <w:sz w:val="20"/>
          <w:szCs w:val="20"/>
          <w:u w:val="single"/>
        </w:rPr>
        <w:t>CASE SUMMARY</w:t>
      </w:r>
    </w:p>
    <w:p w:rsidR="00A740D1" w:rsidRDefault="00A740D1" w:rsidP="00A740D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803D5" w:rsidRPr="00201A3F" w:rsidTr="00B803D5">
        <w:tc>
          <w:tcPr>
            <w:tcW w:w="5000" w:type="pct"/>
            <w:gridSpan w:val="3"/>
          </w:tcPr>
          <w:p w:rsidR="00B803D5" w:rsidRPr="00201A3F" w:rsidRDefault="00B803D5" w:rsidP="00B803D5">
            <w:pPr>
              <w:jc w:val="both"/>
              <w:rPr>
                <w:rFonts w:eastAsia="Calibri"/>
                <w:sz w:val="20"/>
              </w:rPr>
            </w:pPr>
            <w:r w:rsidRPr="00201A3F">
              <w:rPr>
                <w:rFonts w:eastAsia="Calibri"/>
                <w:sz w:val="20"/>
              </w:rPr>
              <w:t>Evidence — Whether the trial judge erred in evaluating the credibility, reliability and sufficiency of the evidence — Whether the Court of Appeal erred in endorsing the findings of the trial judge — Whether gender and race played a decisive role in the erroneous judgment.</w:t>
            </w:r>
          </w:p>
        </w:tc>
      </w:tr>
      <w:tr w:rsidR="00B803D5" w:rsidRPr="00201A3F" w:rsidTr="00B803D5">
        <w:tc>
          <w:tcPr>
            <w:tcW w:w="5000" w:type="pct"/>
            <w:gridSpan w:val="3"/>
          </w:tcPr>
          <w:p w:rsidR="00B803D5" w:rsidRPr="00201A3F" w:rsidRDefault="00B803D5" w:rsidP="00B803D5">
            <w:pPr>
              <w:jc w:val="both"/>
              <w:rPr>
                <w:rFonts w:eastAsia="Calibri"/>
                <w:sz w:val="20"/>
              </w:rPr>
            </w:pPr>
          </w:p>
          <w:p w:rsidR="00B803D5" w:rsidRPr="00201A3F" w:rsidRDefault="00B803D5" w:rsidP="00B803D5">
            <w:pPr>
              <w:jc w:val="both"/>
              <w:rPr>
                <w:rFonts w:eastAsia="Calibri"/>
                <w:sz w:val="20"/>
              </w:rPr>
            </w:pPr>
            <w:r w:rsidRPr="00201A3F">
              <w:rPr>
                <w:rFonts w:eastAsia="Calibri"/>
                <w:sz w:val="20"/>
              </w:rPr>
              <w:t>The respondent, Mr. Dagenais was a 61 year old retiree and life-long bachelor.  During the period of July 2009 to January 2010, he withdrew a total of $132,845 in cash from three bank accounts.  According to Mr. Dagenais, he had loaned the money to the applicant, Ms. Vassel, an exotic dancer who worked at a strip club frequented by Mr. Dagenais.  There was no promissory note or other written acknowledgement of any loans by Mr. Dagenais to Ms. Vassel.  Ms. Vassel denied that Mr. Dagenais lent her any money.  She acknowledged receiving money from Mr. Dagenais on a fee for service basis, both at the club and outside the club, but claimed that the total amounts received where nowhere near $130,000.  Ms. Vassel estimated receiving a few thousand dollars, perhaps $5,000 over the years she knew Mr. Dagenais, for dances in the private VIP area of the club and a further amount totalling approximately $5,000 for dates outside the club.  In January 2010, Mr. Dagenais asked Ms. Vassel to sign a statement prepared on the back of an envelope, acknowledging that she owed him $151,000.  According to Mr. Dagenais, she signed the statement three separate times, but each time crossed out her signature.  Mr. Dagenais commenced an action to recover the amounts that he claimed that he lent to Ms. Vassel.  At trial, $125,245 was awarded to Mr. Dagenais.  Ms. Vassel’s appeal was dismissed.</w:t>
            </w:r>
          </w:p>
          <w:p w:rsidR="00B803D5" w:rsidRPr="00201A3F" w:rsidRDefault="00B803D5" w:rsidP="00B803D5">
            <w:pPr>
              <w:jc w:val="both"/>
              <w:rPr>
                <w:rFonts w:eastAsia="Calibri"/>
                <w:sz w:val="20"/>
              </w:rPr>
            </w:pPr>
          </w:p>
        </w:tc>
      </w:tr>
      <w:tr w:rsidR="00B803D5" w:rsidRPr="00201A3F" w:rsidTr="00D72FDB">
        <w:trPr>
          <w:cantSplit/>
        </w:trPr>
        <w:tc>
          <w:tcPr>
            <w:tcW w:w="2427" w:type="pct"/>
          </w:tcPr>
          <w:p w:rsidR="00B803D5" w:rsidRPr="00201A3F" w:rsidRDefault="00B803D5" w:rsidP="00B803D5">
            <w:pPr>
              <w:jc w:val="both"/>
              <w:rPr>
                <w:rFonts w:eastAsia="Calibri"/>
                <w:sz w:val="20"/>
              </w:rPr>
            </w:pPr>
            <w:r w:rsidRPr="00201A3F">
              <w:rPr>
                <w:rFonts w:eastAsia="Calibri"/>
                <w:sz w:val="20"/>
              </w:rPr>
              <w:lastRenderedPageBreak/>
              <w:t>August 30, 2011</w:t>
            </w:r>
          </w:p>
          <w:p w:rsidR="00B803D5" w:rsidRPr="00201A3F" w:rsidRDefault="00B803D5" w:rsidP="00B803D5">
            <w:pPr>
              <w:jc w:val="both"/>
              <w:rPr>
                <w:rFonts w:eastAsia="Calibri"/>
                <w:sz w:val="20"/>
              </w:rPr>
            </w:pPr>
            <w:r w:rsidRPr="00201A3F">
              <w:rPr>
                <w:rFonts w:eastAsia="Calibri"/>
                <w:sz w:val="20"/>
              </w:rPr>
              <w:t>Ontario Superior Court of Justice</w:t>
            </w:r>
          </w:p>
          <w:p w:rsidR="00B803D5" w:rsidRPr="00201A3F" w:rsidRDefault="00B803D5" w:rsidP="00B803D5">
            <w:pPr>
              <w:jc w:val="both"/>
              <w:rPr>
                <w:rFonts w:eastAsia="Calibri"/>
                <w:sz w:val="20"/>
              </w:rPr>
            </w:pPr>
            <w:r w:rsidRPr="00201A3F">
              <w:rPr>
                <w:rFonts w:eastAsia="Calibri"/>
                <w:sz w:val="20"/>
              </w:rPr>
              <w:t>(Lococo J.)</w:t>
            </w:r>
          </w:p>
          <w:p w:rsidR="00B803D5" w:rsidRPr="00201A3F" w:rsidRDefault="00B803D5" w:rsidP="00B803D5">
            <w:pPr>
              <w:jc w:val="both"/>
              <w:rPr>
                <w:rFonts w:eastAsia="Calibri"/>
                <w:sz w:val="20"/>
              </w:rPr>
            </w:pPr>
          </w:p>
        </w:tc>
        <w:tc>
          <w:tcPr>
            <w:tcW w:w="243" w:type="pct"/>
          </w:tcPr>
          <w:p w:rsidR="00B803D5" w:rsidRPr="00201A3F" w:rsidRDefault="00B803D5" w:rsidP="00B803D5">
            <w:pPr>
              <w:jc w:val="both"/>
              <w:rPr>
                <w:rFonts w:eastAsia="Calibri"/>
                <w:sz w:val="20"/>
              </w:rPr>
            </w:pPr>
          </w:p>
        </w:tc>
        <w:tc>
          <w:tcPr>
            <w:tcW w:w="2330" w:type="pct"/>
          </w:tcPr>
          <w:p w:rsidR="00B803D5" w:rsidRPr="00201A3F" w:rsidRDefault="00B803D5" w:rsidP="00B803D5">
            <w:pPr>
              <w:jc w:val="both"/>
              <w:rPr>
                <w:rFonts w:eastAsia="Calibri"/>
                <w:sz w:val="20"/>
              </w:rPr>
            </w:pPr>
            <w:r w:rsidRPr="00201A3F">
              <w:rPr>
                <w:rFonts w:eastAsia="Calibri"/>
                <w:sz w:val="20"/>
              </w:rPr>
              <w:t>Action for repayment of loan granted</w:t>
            </w:r>
          </w:p>
          <w:p w:rsidR="00B803D5" w:rsidRPr="00201A3F" w:rsidRDefault="00B803D5" w:rsidP="00B803D5">
            <w:pPr>
              <w:jc w:val="both"/>
              <w:rPr>
                <w:rFonts w:eastAsia="Calibri"/>
                <w:sz w:val="20"/>
              </w:rPr>
            </w:pPr>
          </w:p>
        </w:tc>
      </w:tr>
      <w:tr w:rsidR="00B803D5" w:rsidRPr="00201A3F" w:rsidTr="00D72FDB">
        <w:trPr>
          <w:cantSplit/>
        </w:trPr>
        <w:tc>
          <w:tcPr>
            <w:tcW w:w="2427" w:type="pct"/>
          </w:tcPr>
          <w:p w:rsidR="00B803D5" w:rsidRPr="00201A3F" w:rsidRDefault="00B803D5" w:rsidP="00B803D5">
            <w:pPr>
              <w:jc w:val="both"/>
              <w:rPr>
                <w:rFonts w:eastAsia="Calibri"/>
                <w:sz w:val="20"/>
              </w:rPr>
            </w:pPr>
            <w:r w:rsidRPr="00201A3F">
              <w:rPr>
                <w:rFonts w:eastAsia="Calibri"/>
                <w:sz w:val="20"/>
              </w:rPr>
              <w:t>June 20, 2012</w:t>
            </w:r>
          </w:p>
          <w:p w:rsidR="00B803D5" w:rsidRPr="00201A3F" w:rsidRDefault="00B803D5" w:rsidP="00B803D5">
            <w:pPr>
              <w:jc w:val="both"/>
              <w:rPr>
                <w:rFonts w:eastAsia="Calibri"/>
                <w:sz w:val="20"/>
              </w:rPr>
            </w:pPr>
            <w:r w:rsidRPr="00201A3F">
              <w:rPr>
                <w:rFonts w:eastAsia="Calibri"/>
                <w:sz w:val="20"/>
              </w:rPr>
              <w:t>Court of Appeal for Ontario</w:t>
            </w:r>
          </w:p>
          <w:p w:rsidR="00B803D5" w:rsidRPr="00201A3F" w:rsidRDefault="00B803D5" w:rsidP="00B803D5">
            <w:pPr>
              <w:jc w:val="both"/>
              <w:rPr>
                <w:rFonts w:eastAsia="Calibri"/>
                <w:sz w:val="20"/>
              </w:rPr>
            </w:pPr>
            <w:r w:rsidRPr="00201A3F">
              <w:rPr>
                <w:rFonts w:eastAsia="Calibri"/>
                <w:sz w:val="20"/>
              </w:rPr>
              <w:t>(Doherty, Juriansz and Ducharme JJ.A.)</w:t>
            </w:r>
          </w:p>
          <w:p w:rsidR="00B803D5" w:rsidRPr="00201A3F" w:rsidRDefault="00B803D5" w:rsidP="00B803D5">
            <w:pPr>
              <w:jc w:val="both"/>
              <w:rPr>
                <w:rFonts w:eastAsia="Calibri"/>
                <w:sz w:val="20"/>
              </w:rPr>
            </w:pPr>
            <w:r w:rsidRPr="00201A3F">
              <w:rPr>
                <w:rFonts w:eastAsia="Calibri"/>
                <w:sz w:val="20"/>
              </w:rPr>
              <w:t>2012 ONCA 424; C54401</w:t>
            </w:r>
          </w:p>
          <w:p w:rsidR="00B803D5" w:rsidRPr="00201A3F" w:rsidRDefault="00B803D5" w:rsidP="00B803D5">
            <w:pPr>
              <w:jc w:val="both"/>
              <w:rPr>
                <w:rFonts w:eastAsia="Calibri"/>
                <w:sz w:val="20"/>
              </w:rPr>
            </w:pPr>
          </w:p>
        </w:tc>
        <w:tc>
          <w:tcPr>
            <w:tcW w:w="243" w:type="pct"/>
          </w:tcPr>
          <w:p w:rsidR="00B803D5" w:rsidRPr="00201A3F" w:rsidRDefault="00B803D5" w:rsidP="00B803D5">
            <w:pPr>
              <w:jc w:val="both"/>
              <w:rPr>
                <w:rFonts w:eastAsia="Calibri"/>
                <w:sz w:val="20"/>
              </w:rPr>
            </w:pPr>
          </w:p>
        </w:tc>
        <w:tc>
          <w:tcPr>
            <w:tcW w:w="2330" w:type="pct"/>
          </w:tcPr>
          <w:p w:rsidR="00B803D5" w:rsidRPr="00201A3F" w:rsidRDefault="00B803D5" w:rsidP="00B803D5">
            <w:pPr>
              <w:jc w:val="both"/>
              <w:rPr>
                <w:rFonts w:eastAsia="Calibri"/>
                <w:sz w:val="20"/>
              </w:rPr>
            </w:pPr>
            <w:r w:rsidRPr="00201A3F">
              <w:rPr>
                <w:rFonts w:eastAsia="Calibri"/>
                <w:sz w:val="20"/>
              </w:rPr>
              <w:t>Appeal dismissed</w:t>
            </w:r>
          </w:p>
          <w:p w:rsidR="00B803D5" w:rsidRPr="00201A3F" w:rsidRDefault="00B803D5" w:rsidP="00B803D5">
            <w:pPr>
              <w:jc w:val="both"/>
              <w:rPr>
                <w:rFonts w:eastAsia="Calibri"/>
                <w:sz w:val="20"/>
              </w:rPr>
            </w:pPr>
          </w:p>
        </w:tc>
      </w:tr>
      <w:tr w:rsidR="00B803D5" w:rsidRPr="00201A3F" w:rsidTr="00D72FDB">
        <w:trPr>
          <w:cantSplit/>
        </w:trPr>
        <w:tc>
          <w:tcPr>
            <w:tcW w:w="2427" w:type="pct"/>
          </w:tcPr>
          <w:p w:rsidR="00B803D5" w:rsidRPr="00201A3F" w:rsidRDefault="00B803D5" w:rsidP="00B803D5">
            <w:pPr>
              <w:jc w:val="both"/>
              <w:rPr>
                <w:rFonts w:eastAsia="Calibri"/>
                <w:sz w:val="20"/>
              </w:rPr>
            </w:pPr>
            <w:r w:rsidRPr="00201A3F">
              <w:rPr>
                <w:rFonts w:eastAsia="Calibri"/>
                <w:sz w:val="20"/>
              </w:rPr>
              <w:t>July 11, 2012</w:t>
            </w:r>
          </w:p>
          <w:p w:rsidR="00B803D5" w:rsidRPr="00201A3F" w:rsidRDefault="00B803D5" w:rsidP="00B803D5">
            <w:pPr>
              <w:jc w:val="both"/>
              <w:rPr>
                <w:rFonts w:eastAsia="Calibri"/>
                <w:sz w:val="20"/>
              </w:rPr>
            </w:pPr>
            <w:r w:rsidRPr="00201A3F">
              <w:rPr>
                <w:rFonts w:eastAsia="Calibri"/>
                <w:sz w:val="20"/>
              </w:rPr>
              <w:t>Supreme Court of Canada</w:t>
            </w:r>
          </w:p>
        </w:tc>
        <w:tc>
          <w:tcPr>
            <w:tcW w:w="243" w:type="pct"/>
          </w:tcPr>
          <w:p w:rsidR="00B803D5" w:rsidRPr="00201A3F" w:rsidRDefault="00B803D5" w:rsidP="00B803D5">
            <w:pPr>
              <w:jc w:val="both"/>
              <w:rPr>
                <w:rFonts w:eastAsia="Calibri"/>
                <w:sz w:val="20"/>
              </w:rPr>
            </w:pPr>
          </w:p>
        </w:tc>
        <w:tc>
          <w:tcPr>
            <w:tcW w:w="2330" w:type="pct"/>
          </w:tcPr>
          <w:p w:rsidR="00B803D5" w:rsidRPr="00201A3F" w:rsidRDefault="00B803D5" w:rsidP="00B803D5">
            <w:pPr>
              <w:jc w:val="both"/>
              <w:rPr>
                <w:rFonts w:eastAsia="Calibri"/>
                <w:sz w:val="20"/>
              </w:rPr>
            </w:pPr>
            <w:r w:rsidRPr="00201A3F">
              <w:rPr>
                <w:rFonts w:eastAsia="Calibri"/>
                <w:sz w:val="20"/>
              </w:rPr>
              <w:t>Application for leave to appeal filed</w:t>
            </w:r>
          </w:p>
          <w:p w:rsidR="00B803D5" w:rsidRPr="00201A3F" w:rsidRDefault="00B803D5" w:rsidP="00B803D5">
            <w:pPr>
              <w:jc w:val="both"/>
              <w:rPr>
                <w:rFonts w:eastAsia="Calibri"/>
                <w:sz w:val="20"/>
              </w:rPr>
            </w:pPr>
          </w:p>
        </w:tc>
      </w:tr>
    </w:tbl>
    <w:p w:rsidR="00A740D1" w:rsidRDefault="00A740D1" w:rsidP="00A740D1">
      <w:pPr>
        <w:rPr>
          <w:sz w:val="20"/>
          <w:szCs w:val="20"/>
        </w:rPr>
      </w:pPr>
    </w:p>
    <w:p w:rsidR="00A740D1" w:rsidRPr="00C50A5C" w:rsidRDefault="00BF3B03" w:rsidP="00A740D1">
      <w:pPr>
        <w:rPr>
          <w:sz w:val="20"/>
          <w:szCs w:val="20"/>
        </w:rPr>
      </w:pPr>
      <w:r w:rsidRPr="00BF3B03">
        <w:rPr>
          <w:sz w:val="20"/>
          <w:szCs w:val="20"/>
          <w:lang w:val="fr-CA"/>
        </w:rPr>
        <w:pict>
          <v:rect id="_x0000_i1062" style="width:2in;height:1pt" o:hrpct="0" o:hralign="center" o:hrstd="t" o:hrnoshade="t" o:hr="t" fillcolor="black [3213]" stroked="f"/>
        </w:pict>
      </w:r>
    </w:p>
    <w:p w:rsidR="00A740D1" w:rsidRDefault="00A740D1" w:rsidP="00A740D1">
      <w:pPr>
        <w:rPr>
          <w:sz w:val="20"/>
          <w:szCs w:val="20"/>
        </w:rPr>
      </w:pPr>
    </w:p>
    <w:p w:rsidR="00A740D1" w:rsidRPr="001B157C" w:rsidRDefault="00A740D1" w:rsidP="00A740D1">
      <w:pPr>
        <w:rPr>
          <w:sz w:val="20"/>
          <w:szCs w:val="20"/>
          <w:u w:val="single"/>
          <w:lang w:val="fr-CA"/>
        </w:rPr>
      </w:pPr>
      <w:r w:rsidRPr="001B157C">
        <w:rPr>
          <w:sz w:val="20"/>
          <w:szCs w:val="20"/>
          <w:u w:val="single"/>
          <w:lang w:val="fr-CA"/>
        </w:rPr>
        <w:t>RÉSUMÉ DE L’AFFAIRE</w:t>
      </w:r>
    </w:p>
    <w:p w:rsidR="00A740D1" w:rsidRDefault="00A740D1" w:rsidP="00A740D1">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B803D5" w:rsidRPr="00DC2D1F" w:rsidTr="00B803D5">
        <w:tc>
          <w:tcPr>
            <w:tcW w:w="5000" w:type="pct"/>
            <w:gridSpan w:val="3"/>
          </w:tcPr>
          <w:p w:rsidR="00B803D5" w:rsidRPr="00201A3F" w:rsidRDefault="00B803D5" w:rsidP="00B803D5">
            <w:pPr>
              <w:jc w:val="both"/>
              <w:rPr>
                <w:rFonts w:eastAsia="Calibri"/>
                <w:sz w:val="20"/>
                <w:lang w:val="fr-CA"/>
              </w:rPr>
            </w:pPr>
            <w:r w:rsidRPr="00201A3F">
              <w:rPr>
                <w:rFonts w:eastAsia="Calibri"/>
                <w:sz w:val="20"/>
                <w:lang w:val="fr-CA"/>
              </w:rPr>
              <w:t>Preuve — Le juge de première instance s'est</w:t>
            </w:r>
            <w:r w:rsidRPr="00201A3F">
              <w:rPr>
                <w:rFonts w:eastAsia="Calibri"/>
                <w:sz w:val="20"/>
                <w:lang w:val="fr-CA"/>
              </w:rPr>
              <w:noBreakHyphen/>
              <w:t>il trompé dans son évaluation de la crédibilité, de la fiabilité et de la suffisance de la preuve? — La Cour d’appel a</w:t>
            </w:r>
            <w:r w:rsidRPr="00201A3F">
              <w:rPr>
                <w:rFonts w:eastAsia="Calibri"/>
                <w:sz w:val="20"/>
                <w:lang w:val="fr-CA"/>
              </w:rPr>
              <w:noBreakHyphen/>
              <w:t>t</w:t>
            </w:r>
            <w:r w:rsidRPr="00201A3F">
              <w:rPr>
                <w:rFonts w:eastAsia="Calibri"/>
                <w:sz w:val="20"/>
                <w:lang w:val="fr-CA"/>
              </w:rPr>
              <w:noBreakHyphen/>
              <w:t>elle eu tort de confirmer les conclusions du juge de première instance? — Le sexe et la race ont</w:t>
            </w:r>
            <w:r w:rsidRPr="00201A3F">
              <w:rPr>
                <w:rFonts w:eastAsia="Calibri"/>
                <w:sz w:val="20"/>
                <w:lang w:val="fr-CA"/>
              </w:rPr>
              <w:noBreakHyphen/>
              <w:t>ils joué un rôle décisif dans le jugement erroné?</w:t>
            </w:r>
          </w:p>
        </w:tc>
      </w:tr>
      <w:tr w:rsidR="00B803D5" w:rsidRPr="00DC2D1F" w:rsidTr="00B803D5">
        <w:tc>
          <w:tcPr>
            <w:tcW w:w="5000" w:type="pct"/>
            <w:gridSpan w:val="3"/>
          </w:tcPr>
          <w:p w:rsidR="00B803D5" w:rsidRPr="00201A3F" w:rsidRDefault="00B803D5" w:rsidP="00B803D5">
            <w:pPr>
              <w:jc w:val="both"/>
              <w:rPr>
                <w:rFonts w:eastAsia="Calibri"/>
                <w:sz w:val="20"/>
                <w:lang w:val="fr-CA"/>
              </w:rPr>
            </w:pPr>
          </w:p>
        </w:tc>
      </w:tr>
      <w:tr w:rsidR="00B803D5" w:rsidRPr="00201A3F" w:rsidTr="00B803D5">
        <w:tc>
          <w:tcPr>
            <w:tcW w:w="5000" w:type="pct"/>
            <w:gridSpan w:val="3"/>
          </w:tcPr>
          <w:p w:rsidR="00B803D5" w:rsidRPr="00201A3F" w:rsidRDefault="00B803D5" w:rsidP="00B803D5">
            <w:pPr>
              <w:jc w:val="both"/>
              <w:rPr>
                <w:rFonts w:eastAsia="Calibri"/>
                <w:sz w:val="20"/>
                <w:lang w:val="fr-CA"/>
              </w:rPr>
            </w:pPr>
            <w:r w:rsidRPr="00201A3F">
              <w:rPr>
                <w:rFonts w:eastAsia="Calibri"/>
                <w:sz w:val="20"/>
                <w:lang w:val="fr-CA"/>
              </w:rPr>
              <w:t>L’intimé, M. Dagenais était un retraité âgé de 61 ans qui avait été célibataire toute sa vie.  De juillet 2009 à janvier 2010, il a retiré au total la somme de 132 845 $ en argent comptant de trois comptes bancaires.  Selon M. Dagenais, il avait prêté l'argent à la demanderesse, Mme Vassel, une danseuse exotique qui travaillait dans un club de danseuses nues fréquenté par M. Dagenais. Il n’y avait aucun billet à ordre ou autre reconnaissance écrite de prêt de M. Dagenais à Mme Vassel.  Madame Vassel a nié que M. Dagenais lui avait prêté de l'argent.  Elle a reconnu avoir reçu de l'argent de M. Dagenais à titre de rémunération pour services rendus, au club et à l'extérieur du club, mais selon elle, le total des montants reçus était bien loin de la somme de 130 000 $.  D’après l'estimation de Mme Vassel, elle aurait reçu quelques milliers de dollars, peut</w:t>
            </w:r>
            <w:r w:rsidRPr="00201A3F">
              <w:rPr>
                <w:rFonts w:eastAsia="Calibri"/>
                <w:sz w:val="20"/>
                <w:lang w:val="fr-CA"/>
              </w:rPr>
              <w:noBreakHyphen/>
              <w:t>être 5000 $ au cours des années où elle connaissait M. Dagenais, pour des danses dans la partie « VIP » privée du club et un autre montant d'environ 5000 $ pour des sorties à l'extérieur du club.  En janvier 2010, M. Dagenais a demandé à Mme Vassel de signer une déclaration rédigée à l'endos d'une enveloppe reconnaissant qu’elle lui devait la somme de 151 000 $.  Selon M. Dagenais, elle aurait signé la déclaration à trois reprises, mais aurait rayé sa signature à chaque fois.  Monsieur Dagenais a intenté une action pour recouvrer les montants qu'il prétend avoir prêtés à Mme Vassel.  Au procès, la somme de 125 245 $ a été accordée à M. Dagenais. L'appel de Mme Vassel a été rejeté.</w:t>
            </w:r>
          </w:p>
          <w:p w:rsidR="00B803D5" w:rsidRPr="00201A3F" w:rsidRDefault="00B803D5" w:rsidP="00B803D5">
            <w:pPr>
              <w:jc w:val="both"/>
              <w:rPr>
                <w:rFonts w:eastAsia="Calibri"/>
                <w:sz w:val="20"/>
                <w:lang w:val="fr-CA"/>
              </w:rPr>
            </w:pPr>
          </w:p>
        </w:tc>
      </w:tr>
      <w:tr w:rsidR="00B803D5" w:rsidRPr="00DC2D1F" w:rsidTr="00B803D5">
        <w:tc>
          <w:tcPr>
            <w:tcW w:w="2427" w:type="pct"/>
          </w:tcPr>
          <w:p w:rsidR="00B803D5" w:rsidRPr="00201A3F" w:rsidRDefault="00B803D5" w:rsidP="00B803D5">
            <w:pPr>
              <w:jc w:val="both"/>
              <w:rPr>
                <w:rFonts w:eastAsia="Calibri"/>
                <w:sz w:val="20"/>
                <w:lang w:val="fr-CA"/>
              </w:rPr>
            </w:pPr>
            <w:r w:rsidRPr="00201A3F">
              <w:rPr>
                <w:rFonts w:eastAsia="Calibri"/>
                <w:sz w:val="20"/>
                <w:lang w:val="fr-CA"/>
              </w:rPr>
              <w:t>30 août 2011</w:t>
            </w:r>
          </w:p>
          <w:p w:rsidR="00B803D5" w:rsidRPr="00201A3F" w:rsidRDefault="00B803D5" w:rsidP="00B803D5">
            <w:pPr>
              <w:jc w:val="both"/>
              <w:rPr>
                <w:rFonts w:eastAsia="Calibri"/>
                <w:sz w:val="20"/>
                <w:lang w:val="fr-CA"/>
              </w:rPr>
            </w:pPr>
            <w:r w:rsidRPr="00201A3F">
              <w:rPr>
                <w:rFonts w:eastAsia="Calibri"/>
                <w:sz w:val="20"/>
                <w:lang w:val="fr-CA"/>
              </w:rPr>
              <w:t xml:space="preserve">Cour supérieure de justice de l'Ontario </w:t>
            </w:r>
          </w:p>
          <w:p w:rsidR="00B803D5" w:rsidRPr="00201A3F" w:rsidRDefault="00B803D5" w:rsidP="00B803D5">
            <w:pPr>
              <w:jc w:val="both"/>
              <w:rPr>
                <w:rFonts w:eastAsia="Calibri"/>
                <w:sz w:val="20"/>
                <w:lang w:val="fr-CA"/>
              </w:rPr>
            </w:pPr>
            <w:r w:rsidRPr="00201A3F">
              <w:rPr>
                <w:rFonts w:eastAsia="Calibri"/>
                <w:sz w:val="20"/>
                <w:lang w:val="fr-CA"/>
              </w:rPr>
              <w:t>(Juge Lococo)</w:t>
            </w:r>
          </w:p>
          <w:p w:rsidR="00B803D5" w:rsidRPr="00201A3F" w:rsidRDefault="00B803D5" w:rsidP="00B803D5">
            <w:pPr>
              <w:jc w:val="both"/>
              <w:rPr>
                <w:rFonts w:eastAsia="Calibri"/>
                <w:sz w:val="20"/>
                <w:lang w:val="fr-CA"/>
              </w:rPr>
            </w:pPr>
          </w:p>
        </w:tc>
        <w:tc>
          <w:tcPr>
            <w:tcW w:w="243" w:type="pct"/>
          </w:tcPr>
          <w:p w:rsidR="00B803D5" w:rsidRPr="00201A3F" w:rsidRDefault="00B803D5" w:rsidP="00B803D5">
            <w:pPr>
              <w:jc w:val="both"/>
              <w:rPr>
                <w:rFonts w:eastAsia="Calibri"/>
                <w:sz w:val="20"/>
                <w:lang w:val="fr-CA"/>
              </w:rPr>
            </w:pPr>
          </w:p>
        </w:tc>
        <w:tc>
          <w:tcPr>
            <w:tcW w:w="2330" w:type="pct"/>
          </w:tcPr>
          <w:p w:rsidR="00B803D5" w:rsidRPr="00201A3F" w:rsidRDefault="00B803D5" w:rsidP="00B803D5">
            <w:pPr>
              <w:jc w:val="both"/>
              <w:rPr>
                <w:rFonts w:eastAsia="Calibri"/>
                <w:sz w:val="20"/>
                <w:lang w:val="fr-CA"/>
              </w:rPr>
            </w:pPr>
            <w:r w:rsidRPr="00201A3F">
              <w:rPr>
                <w:rFonts w:eastAsia="Calibri"/>
                <w:sz w:val="20"/>
                <w:lang w:val="fr-CA"/>
              </w:rPr>
              <w:t>Action en remboursement de prêt, accueillie</w:t>
            </w:r>
          </w:p>
          <w:p w:rsidR="00B803D5" w:rsidRPr="00201A3F" w:rsidRDefault="00B803D5" w:rsidP="00B803D5">
            <w:pPr>
              <w:jc w:val="both"/>
              <w:rPr>
                <w:rFonts w:eastAsia="Calibri"/>
                <w:sz w:val="20"/>
                <w:lang w:val="fr-CA"/>
              </w:rPr>
            </w:pPr>
          </w:p>
        </w:tc>
      </w:tr>
      <w:tr w:rsidR="00B803D5" w:rsidRPr="00201A3F" w:rsidTr="00B803D5">
        <w:tc>
          <w:tcPr>
            <w:tcW w:w="2427" w:type="pct"/>
          </w:tcPr>
          <w:p w:rsidR="00B803D5" w:rsidRPr="00201A3F" w:rsidRDefault="00B803D5" w:rsidP="00B803D5">
            <w:pPr>
              <w:jc w:val="both"/>
              <w:rPr>
                <w:rFonts w:eastAsia="Calibri"/>
                <w:sz w:val="20"/>
                <w:lang w:val="fr-CA"/>
              </w:rPr>
            </w:pPr>
            <w:r w:rsidRPr="00201A3F">
              <w:rPr>
                <w:rFonts w:eastAsia="Calibri"/>
                <w:sz w:val="20"/>
                <w:lang w:val="fr-CA"/>
              </w:rPr>
              <w:t>20 juin 2012</w:t>
            </w:r>
          </w:p>
          <w:p w:rsidR="00B803D5" w:rsidRPr="00201A3F" w:rsidRDefault="00B803D5" w:rsidP="00B803D5">
            <w:pPr>
              <w:jc w:val="both"/>
              <w:rPr>
                <w:rFonts w:eastAsia="Calibri"/>
                <w:sz w:val="20"/>
                <w:lang w:val="fr-CA"/>
              </w:rPr>
            </w:pPr>
            <w:r w:rsidRPr="00201A3F">
              <w:rPr>
                <w:rFonts w:eastAsia="Calibri"/>
                <w:sz w:val="20"/>
                <w:lang w:val="fr-CA"/>
              </w:rPr>
              <w:t>Cour d'appel de l'Ontario</w:t>
            </w:r>
          </w:p>
          <w:p w:rsidR="00B803D5" w:rsidRPr="00201A3F" w:rsidRDefault="00B803D5" w:rsidP="00B803D5">
            <w:pPr>
              <w:jc w:val="both"/>
              <w:rPr>
                <w:rFonts w:eastAsia="Calibri"/>
                <w:sz w:val="20"/>
                <w:lang w:val="fr-CA"/>
              </w:rPr>
            </w:pPr>
            <w:r w:rsidRPr="00201A3F">
              <w:rPr>
                <w:rFonts w:eastAsia="Calibri"/>
                <w:sz w:val="20"/>
                <w:lang w:val="fr-CA"/>
              </w:rPr>
              <w:t>(Juges Doherty, Juriansz et Ducharme)</w:t>
            </w:r>
          </w:p>
          <w:p w:rsidR="00B803D5" w:rsidRPr="00201A3F" w:rsidRDefault="00B803D5" w:rsidP="00B803D5">
            <w:pPr>
              <w:jc w:val="both"/>
              <w:rPr>
                <w:rFonts w:eastAsia="Calibri"/>
                <w:sz w:val="20"/>
                <w:lang w:val="fr-CA"/>
              </w:rPr>
            </w:pPr>
            <w:r w:rsidRPr="00201A3F">
              <w:rPr>
                <w:rFonts w:eastAsia="Calibri"/>
                <w:sz w:val="20"/>
                <w:lang w:val="fr-CA"/>
              </w:rPr>
              <w:t>2012 ONCA 424; C54401</w:t>
            </w:r>
          </w:p>
          <w:p w:rsidR="00B803D5" w:rsidRPr="00201A3F" w:rsidRDefault="00B803D5" w:rsidP="00B803D5">
            <w:pPr>
              <w:jc w:val="both"/>
              <w:rPr>
                <w:rFonts w:eastAsia="Calibri"/>
                <w:sz w:val="20"/>
                <w:lang w:val="fr-CA"/>
              </w:rPr>
            </w:pPr>
          </w:p>
        </w:tc>
        <w:tc>
          <w:tcPr>
            <w:tcW w:w="243" w:type="pct"/>
          </w:tcPr>
          <w:p w:rsidR="00B803D5" w:rsidRPr="00201A3F" w:rsidRDefault="00B803D5" w:rsidP="00B803D5">
            <w:pPr>
              <w:jc w:val="both"/>
              <w:rPr>
                <w:rFonts w:eastAsia="Calibri"/>
                <w:sz w:val="20"/>
                <w:lang w:val="fr-CA"/>
              </w:rPr>
            </w:pPr>
          </w:p>
        </w:tc>
        <w:tc>
          <w:tcPr>
            <w:tcW w:w="2330" w:type="pct"/>
          </w:tcPr>
          <w:p w:rsidR="00B803D5" w:rsidRPr="00201A3F" w:rsidRDefault="00B803D5" w:rsidP="00B803D5">
            <w:pPr>
              <w:jc w:val="both"/>
              <w:rPr>
                <w:rFonts w:eastAsia="Calibri"/>
                <w:sz w:val="20"/>
                <w:lang w:val="fr-CA"/>
              </w:rPr>
            </w:pPr>
            <w:r w:rsidRPr="00201A3F">
              <w:rPr>
                <w:rFonts w:eastAsia="Calibri"/>
                <w:sz w:val="20"/>
                <w:lang w:val="fr-CA"/>
              </w:rPr>
              <w:t>Appel rejeté</w:t>
            </w:r>
          </w:p>
          <w:p w:rsidR="00B803D5" w:rsidRPr="00201A3F" w:rsidRDefault="00B803D5" w:rsidP="00B803D5">
            <w:pPr>
              <w:jc w:val="both"/>
              <w:rPr>
                <w:rFonts w:eastAsia="Calibri"/>
                <w:sz w:val="20"/>
                <w:lang w:val="fr-CA"/>
              </w:rPr>
            </w:pPr>
          </w:p>
        </w:tc>
      </w:tr>
      <w:tr w:rsidR="00B803D5" w:rsidRPr="00201A3F" w:rsidTr="00B803D5">
        <w:tc>
          <w:tcPr>
            <w:tcW w:w="2427" w:type="pct"/>
          </w:tcPr>
          <w:p w:rsidR="00B803D5" w:rsidRPr="00201A3F" w:rsidRDefault="00B803D5" w:rsidP="00B803D5">
            <w:pPr>
              <w:jc w:val="both"/>
              <w:rPr>
                <w:rFonts w:eastAsia="Calibri"/>
                <w:sz w:val="20"/>
                <w:lang w:val="fr-CA"/>
              </w:rPr>
            </w:pPr>
            <w:r w:rsidRPr="00201A3F">
              <w:rPr>
                <w:rFonts w:eastAsia="Calibri"/>
                <w:sz w:val="20"/>
                <w:lang w:val="fr-CA"/>
              </w:rPr>
              <w:t>11 juillet 2012</w:t>
            </w:r>
          </w:p>
          <w:p w:rsidR="00B803D5" w:rsidRPr="00201A3F" w:rsidRDefault="00B803D5" w:rsidP="00B803D5">
            <w:pPr>
              <w:jc w:val="both"/>
              <w:rPr>
                <w:rFonts w:eastAsia="Calibri"/>
                <w:sz w:val="20"/>
                <w:lang w:val="fr-CA"/>
              </w:rPr>
            </w:pPr>
            <w:r w:rsidRPr="00201A3F">
              <w:rPr>
                <w:rFonts w:eastAsia="Calibri"/>
                <w:sz w:val="20"/>
                <w:lang w:val="fr-CA"/>
              </w:rPr>
              <w:t>Cour suprême du Canada</w:t>
            </w:r>
          </w:p>
        </w:tc>
        <w:tc>
          <w:tcPr>
            <w:tcW w:w="243" w:type="pct"/>
          </w:tcPr>
          <w:p w:rsidR="00B803D5" w:rsidRPr="00201A3F" w:rsidRDefault="00B803D5" w:rsidP="00B803D5">
            <w:pPr>
              <w:jc w:val="both"/>
              <w:rPr>
                <w:rFonts w:eastAsia="Calibri"/>
                <w:sz w:val="20"/>
                <w:lang w:val="fr-CA"/>
              </w:rPr>
            </w:pPr>
          </w:p>
        </w:tc>
        <w:tc>
          <w:tcPr>
            <w:tcW w:w="2330" w:type="pct"/>
          </w:tcPr>
          <w:p w:rsidR="00B803D5" w:rsidRPr="00201A3F" w:rsidRDefault="00B803D5" w:rsidP="00B803D5">
            <w:pPr>
              <w:jc w:val="both"/>
              <w:rPr>
                <w:rFonts w:eastAsia="Calibri"/>
                <w:sz w:val="20"/>
                <w:lang w:val="fr-CA"/>
              </w:rPr>
            </w:pPr>
            <w:r w:rsidRPr="00201A3F">
              <w:rPr>
                <w:rFonts w:eastAsia="Calibri"/>
                <w:sz w:val="20"/>
                <w:lang w:val="fr-CA"/>
              </w:rPr>
              <w:t>Demande d'autorisation d'appel, déposée</w:t>
            </w:r>
          </w:p>
          <w:p w:rsidR="00B803D5" w:rsidRPr="00201A3F" w:rsidRDefault="00B803D5" w:rsidP="00B803D5">
            <w:pPr>
              <w:jc w:val="both"/>
              <w:rPr>
                <w:rFonts w:eastAsia="Calibri"/>
                <w:sz w:val="20"/>
                <w:lang w:val="fr-CA"/>
              </w:rPr>
            </w:pPr>
          </w:p>
        </w:tc>
      </w:tr>
    </w:tbl>
    <w:p w:rsidR="00A740D1" w:rsidRDefault="00A740D1" w:rsidP="00A740D1">
      <w:pPr>
        <w:rPr>
          <w:sz w:val="20"/>
          <w:szCs w:val="20"/>
        </w:rPr>
      </w:pPr>
    </w:p>
    <w:p w:rsidR="00A740D1" w:rsidRDefault="00BF3B03" w:rsidP="00A740D1">
      <w:pPr>
        <w:rPr>
          <w:sz w:val="20"/>
          <w:szCs w:val="20"/>
        </w:rPr>
      </w:pPr>
      <w:r w:rsidRPr="00BF3B03">
        <w:rPr>
          <w:sz w:val="20"/>
          <w:szCs w:val="20"/>
          <w:lang w:val="fr-CA"/>
        </w:rPr>
        <w:pict>
          <v:rect id="_x0000_i1063" style="width:2in;height:1pt" o:hrpct="0" o:hralign="center" o:hrstd="t" o:hrnoshade="t" o:hr="t" fillcolor="black [3213]" stroked="f"/>
        </w:pict>
      </w:r>
    </w:p>
    <w:p w:rsidR="00A740D1" w:rsidRDefault="00A740D1" w:rsidP="00A740D1">
      <w:pPr>
        <w:rPr>
          <w:sz w:val="20"/>
          <w:szCs w:val="20"/>
        </w:rPr>
      </w:pPr>
    </w:p>
    <w:p w:rsidR="00D72FDB" w:rsidRDefault="00D72FDB">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65563" w:rsidRPr="00D65563" w:rsidTr="00BA37D8">
        <w:trPr>
          <w:cantSplit/>
        </w:trPr>
        <w:tc>
          <w:tcPr>
            <w:tcW w:w="1458" w:type="dxa"/>
          </w:tcPr>
          <w:p w:rsidR="00D65563" w:rsidRPr="00D65563" w:rsidRDefault="00D65563" w:rsidP="00BA37D8">
            <w:pPr>
              <w:rPr>
                <w:sz w:val="20"/>
                <w:szCs w:val="20"/>
              </w:rPr>
            </w:pPr>
            <w:r w:rsidRPr="00D65563">
              <w:rPr>
                <w:rStyle w:val="SCCFileNumberChar"/>
                <w:sz w:val="20"/>
                <w:szCs w:val="20"/>
              </w:rPr>
              <w:lastRenderedPageBreak/>
              <w:t>34902</w:t>
            </w:r>
          </w:p>
          <w:p w:rsidR="00D65563" w:rsidRPr="00D65563" w:rsidRDefault="00D65563" w:rsidP="00BA37D8">
            <w:pPr>
              <w:rPr>
                <w:b/>
                <w:sz w:val="20"/>
                <w:szCs w:val="20"/>
                <w:lang w:val="fr-CA"/>
              </w:rPr>
            </w:pPr>
          </w:p>
        </w:tc>
        <w:tc>
          <w:tcPr>
            <w:tcW w:w="8118" w:type="dxa"/>
          </w:tcPr>
          <w:p w:rsidR="00D65563" w:rsidRPr="00D65563" w:rsidRDefault="00D65563" w:rsidP="00BA37D8">
            <w:pPr>
              <w:rPr>
                <w:sz w:val="20"/>
                <w:szCs w:val="20"/>
              </w:rPr>
            </w:pPr>
            <w:r w:rsidRPr="00D65563">
              <w:rPr>
                <w:rStyle w:val="SCCLsocChar"/>
                <w:sz w:val="20"/>
                <w:szCs w:val="20"/>
                <w:lang w:val="en-CA"/>
              </w:rPr>
              <w:t>David Black v. Her Majesty the Queen</w:t>
            </w:r>
            <w:r w:rsidRPr="00D65563">
              <w:rPr>
                <w:sz w:val="20"/>
                <w:szCs w:val="20"/>
              </w:rPr>
              <w:t xml:space="preserve"> (N.B.) (Criminal) (By Leave)</w:t>
            </w:r>
          </w:p>
          <w:p w:rsidR="00D65563" w:rsidRPr="00D65563" w:rsidRDefault="00D65563" w:rsidP="00BA37D8">
            <w:pPr>
              <w:rPr>
                <w:sz w:val="20"/>
                <w:szCs w:val="20"/>
              </w:rPr>
            </w:pPr>
          </w:p>
        </w:tc>
      </w:tr>
      <w:tr w:rsidR="00D65563" w:rsidRPr="00D65563" w:rsidTr="00BA37D8">
        <w:trPr>
          <w:cantSplit/>
        </w:trPr>
        <w:tc>
          <w:tcPr>
            <w:tcW w:w="1458" w:type="dxa"/>
          </w:tcPr>
          <w:p w:rsidR="00D65563" w:rsidRPr="00D65563" w:rsidRDefault="00D65563" w:rsidP="00BA37D8">
            <w:pPr>
              <w:rPr>
                <w:sz w:val="20"/>
                <w:szCs w:val="20"/>
              </w:rPr>
            </w:pPr>
            <w:r w:rsidRPr="00D65563">
              <w:rPr>
                <w:sz w:val="20"/>
                <w:szCs w:val="20"/>
              </w:rPr>
              <w:t>Coram :</w:t>
            </w:r>
          </w:p>
        </w:tc>
        <w:tc>
          <w:tcPr>
            <w:tcW w:w="8118" w:type="dxa"/>
          </w:tcPr>
          <w:p w:rsidR="00D65563" w:rsidRPr="00D65563" w:rsidRDefault="00D65563" w:rsidP="00BA37D8">
            <w:pPr>
              <w:rPr>
                <w:sz w:val="20"/>
                <w:szCs w:val="20"/>
              </w:rPr>
            </w:pPr>
            <w:r w:rsidRPr="00D65563">
              <w:rPr>
                <w:rStyle w:val="SCCCoramChar"/>
                <w:sz w:val="20"/>
                <w:szCs w:val="20"/>
                <w:lang w:val="en-CA"/>
              </w:rPr>
              <w:t>McLachlin C.J. and Rothstein and Moldaver JJ.</w:t>
            </w:r>
          </w:p>
          <w:p w:rsidR="00D65563" w:rsidRPr="00D65563" w:rsidRDefault="00D65563" w:rsidP="00BA37D8">
            <w:pPr>
              <w:rPr>
                <w:sz w:val="20"/>
                <w:szCs w:val="20"/>
                <w:u w:val="single"/>
              </w:rPr>
            </w:pPr>
          </w:p>
        </w:tc>
      </w:tr>
      <w:tr w:rsidR="00D65563" w:rsidRPr="00DC2D1F" w:rsidTr="00BA37D8">
        <w:trPr>
          <w:cantSplit/>
        </w:trPr>
        <w:tc>
          <w:tcPr>
            <w:tcW w:w="9576" w:type="dxa"/>
            <w:gridSpan w:val="2"/>
          </w:tcPr>
          <w:p w:rsidR="00D65563" w:rsidRPr="00D65563" w:rsidRDefault="00D65563" w:rsidP="00BA37D8">
            <w:pPr>
              <w:pStyle w:val="SCCShortJudgment"/>
              <w:rPr>
                <w:szCs w:val="20"/>
              </w:rPr>
            </w:pPr>
            <w:r w:rsidRPr="00D65563">
              <w:rPr>
                <w:szCs w:val="20"/>
              </w:rPr>
              <w:t>The application for leave to appeal from the judgment of the Court of Appeal of New Brunswick, Number 14-11-CA, dated February 27, 2012, is dismissed without costs.</w:t>
            </w:r>
          </w:p>
          <w:p w:rsidR="00D65563" w:rsidRPr="00D65563" w:rsidRDefault="00D65563" w:rsidP="00BA37D8">
            <w:pPr>
              <w:pStyle w:val="SCCShortJudgment"/>
              <w:ind w:firstLine="0"/>
              <w:rPr>
                <w:szCs w:val="20"/>
              </w:rPr>
            </w:pPr>
          </w:p>
          <w:p w:rsidR="00D65563" w:rsidRPr="00D65563" w:rsidRDefault="00D65563" w:rsidP="00BA37D8">
            <w:pPr>
              <w:pStyle w:val="SCCShortJudgment"/>
              <w:rPr>
                <w:szCs w:val="20"/>
                <w:lang w:val="fr-CA"/>
              </w:rPr>
            </w:pPr>
            <w:r w:rsidRPr="00D65563">
              <w:rPr>
                <w:szCs w:val="20"/>
                <w:lang w:val="fr-CA"/>
              </w:rPr>
              <w:t>La demande d’autorisation d’appel de l’arrêt de la Cour d’appel du Nouveau-Brunswick, numéro 14-11-CA, daté du 27 février 2012, est rejetée sans dépens.</w:t>
            </w:r>
          </w:p>
        </w:tc>
      </w:tr>
    </w:tbl>
    <w:p w:rsidR="00A740D1" w:rsidRPr="00D65563" w:rsidRDefault="00A740D1" w:rsidP="00A740D1">
      <w:pPr>
        <w:rPr>
          <w:sz w:val="20"/>
          <w:szCs w:val="20"/>
          <w:lang w:val="fr-CA"/>
        </w:rPr>
      </w:pPr>
    </w:p>
    <w:p w:rsidR="00A740D1" w:rsidRPr="001B157C" w:rsidRDefault="00A740D1" w:rsidP="00A740D1">
      <w:pPr>
        <w:rPr>
          <w:sz w:val="20"/>
          <w:szCs w:val="20"/>
          <w:u w:val="single"/>
        </w:rPr>
      </w:pPr>
      <w:r w:rsidRPr="001B157C">
        <w:rPr>
          <w:sz w:val="20"/>
          <w:szCs w:val="20"/>
          <w:u w:val="single"/>
        </w:rPr>
        <w:t>CASE SUMMARY</w:t>
      </w:r>
    </w:p>
    <w:p w:rsidR="00A740D1" w:rsidRDefault="00A740D1" w:rsidP="00A740D1">
      <w:pPr>
        <w:rPr>
          <w:sz w:val="20"/>
          <w:szCs w:val="20"/>
        </w:rPr>
      </w:pPr>
    </w:p>
    <w:tbl>
      <w:tblPr>
        <w:tblW w:w="4952" w:type="pct"/>
        <w:tblLayout w:type="fixed"/>
        <w:tblCellMar>
          <w:left w:w="0" w:type="dxa"/>
          <w:bottom w:w="99" w:type="dxa"/>
          <w:right w:w="0" w:type="dxa"/>
        </w:tblCellMar>
        <w:tblLook w:val="04A0"/>
      </w:tblPr>
      <w:tblGrid>
        <w:gridCol w:w="4554"/>
        <w:gridCol w:w="516"/>
        <w:gridCol w:w="4457"/>
      </w:tblGrid>
      <w:tr w:rsidR="008111C9" w:rsidRPr="00201A3F" w:rsidTr="005B1F40">
        <w:tc>
          <w:tcPr>
            <w:tcW w:w="5000" w:type="pct"/>
            <w:gridSpan w:val="3"/>
          </w:tcPr>
          <w:p w:rsidR="008111C9" w:rsidRPr="00201A3F" w:rsidRDefault="008111C9" w:rsidP="005B1F40">
            <w:pPr>
              <w:jc w:val="both"/>
              <w:rPr>
                <w:rFonts w:eastAsia="Calibri"/>
                <w:sz w:val="20"/>
              </w:rPr>
            </w:pPr>
            <w:r w:rsidRPr="00201A3F">
              <w:rPr>
                <w:rFonts w:eastAsia="Calibri"/>
                <w:sz w:val="20"/>
              </w:rPr>
              <w:t xml:space="preserve">Courts — Jurisdiction — Judicial Review — Whether application for judicial review of a special search warrant and restraint order should have been struck for not following a civil procedure — Whether special search warrant and restraint order were issued without complying with the mandatory provisions of the </w:t>
            </w:r>
            <w:r w:rsidRPr="00201A3F">
              <w:rPr>
                <w:rFonts w:eastAsia="Calibri"/>
                <w:i/>
                <w:sz w:val="20"/>
              </w:rPr>
              <w:t>Criminal Code</w:t>
            </w:r>
            <w:r w:rsidRPr="00201A3F">
              <w:rPr>
                <w:rFonts w:eastAsia="Calibri"/>
                <w:sz w:val="20"/>
              </w:rPr>
              <w:t>, R.S.C. 1985, c. C</w:t>
            </w:r>
            <w:r w:rsidRPr="00201A3F">
              <w:rPr>
                <w:rFonts w:eastAsia="Calibri"/>
                <w:sz w:val="20"/>
              </w:rPr>
              <w:noBreakHyphen/>
              <w:t>46 — Whether Crown counsel failed to act in good faith and unlawfully held applicant’s property — Whether Court of Appeal dismissed appeal without a fair hearing — Whether Crown counsel has failed to provide transcript of hearing.</w:t>
            </w:r>
          </w:p>
        </w:tc>
      </w:tr>
      <w:tr w:rsidR="008111C9" w:rsidRPr="00201A3F" w:rsidTr="005B1F40">
        <w:tc>
          <w:tcPr>
            <w:tcW w:w="5000" w:type="pct"/>
            <w:gridSpan w:val="3"/>
          </w:tcPr>
          <w:p w:rsidR="008111C9" w:rsidRPr="00201A3F" w:rsidRDefault="008111C9" w:rsidP="005B1F40">
            <w:pPr>
              <w:jc w:val="both"/>
              <w:rPr>
                <w:rFonts w:eastAsia="Calibri"/>
                <w:sz w:val="20"/>
              </w:rPr>
            </w:pPr>
          </w:p>
        </w:tc>
      </w:tr>
      <w:tr w:rsidR="008111C9" w:rsidRPr="00201A3F" w:rsidTr="005B1F40">
        <w:tc>
          <w:tcPr>
            <w:tcW w:w="5000" w:type="pct"/>
            <w:gridSpan w:val="3"/>
          </w:tcPr>
          <w:p w:rsidR="008111C9" w:rsidRPr="00201A3F" w:rsidRDefault="008111C9" w:rsidP="005B1F40">
            <w:pPr>
              <w:jc w:val="both"/>
              <w:rPr>
                <w:rFonts w:eastAsia="Calibri"/>
                <w:sz w:val="20"/>
              </w:rPr>
            </w:pPr>
            <w:r w:rsidRPr="00201A3F">
              <w:rPr>
                <w:rFonts w:eastAsia="Calibri"/>
                <w:sz w:val="20"/>
              </w:rPr>
              <w:t>The applicant’s property was seized and held pursuant to a special search warrant and a restraint order. After he was convicted of offences, the property was held to be proceeds of crime and ordered forfeited.  The applicant applied to have aspects of the criminal proceeding judicially reviewed through a civil proceeding.  He argued in part that the special search warrant and restraint order were never reviewed judicially and that all of the seized property was purchased years before the offences for which he was convicted therefore it could not have been proceeds of those crimes.</w:t>
            </w:r>
          </w:p>
          <w:p w:rsidR="008111C9" w:rsidRPr="00201A3F" w:rsidRDefault="008111C9" w:rsidP="005B1F40">
            <w:pPr>
              <w:jc w:val="both"/>
              <w:rPr>
                <w:rFonts w:eastAsia="Calibri"/>
                <w:sz w:val="20"/>
              </w:rPr>
            </w:pPr>
          </w:p>
        </w:tc>
      </w:tr>
      <w:tr w:rsidR="008111C9" w:rsidRPr="00201A3F" w:rsidTr="005B1F40">
        <w:tblPrEx>
          <w:tblCellMar>
            <w:bottom w:w="0" w:type="dxa"/>
          </w:tblCellMar>
        </w:tblPrEx>
        <w:tc>
          <w:tcPr>
            <w:tcW w:w="2390" w:type="pct"/>
          </w:tcPr>
          <w:p w:rsidR="008111C9" w:rsidRPr="00201A3F" w:rsidRDefault="008111C9" w:rsidP="005B1F40">
            <w:pPr>
              <w:jc w:val="both"/>
              <w:rPr>
                <w:rFonts w:eastAsia="Calibri"/>
                <w:sz w:val="20"/>
              </w:rPr>
            </w:pPr>
            <w:r w:rsidRPr="00201A3F">
              <w:rPr>
                <w:rFonts w:eastAsia="Calibri"/>
                <w:sz w:val="20"/>
              </w:rPr>
              <w:t>January 7, 2011</w:t>
            </w:r>
          </w:p>
          <w:p w:rsidR="008111C9" w:rsidRPr="00201A3F" w:rsidRDefault="008111C9" w:rsidP="005B1F40">
            <w:pPr>
              <w:jc w:val="both"/>
              <w:rPr>
                <w:rFonts w:eastAsia="Calibri"/>
                <w:sz w:val="20"/>
              </w:rPr>
            </w:pPr>
            <w:r w:rsidRPr="00201A3F">
              <w:rPr>
                <w:rFonts w:eastAsia="Calibri"/>
                <w:sz w:val="20"/>
              </w:rPr>
              <w:t xml:space="preserve">Court of Queen’s Bench </w:t>
            </w:r>
          </w:p>
          <w:p w:rsidR="008111C9" w:rsidRPr="00201A3F" w:rsidRDefault="008111C9" w:rsidP="005B1F40">
            <w:pPr>
              <w:jc w:val="both"/>
              <w:rPr>
                <w:rFonts w:eastAsia="Calibri"/>
                <w:sz w:val="20"/>
              </w:rPr>
            </w:pPr>
            <w:r w:rsidRPr="00201A3F">
              <w:rPr>
                <w:rFonts w:eastAsia="Calibri"/>
                <w:sz w:val="20"/>
              </w:rPr>
              <w:t>(Smith C.J.)</w:t>
            </w:r>
          </w:p>
          <w:p w:rsidR="008111C9" w:rsidRPr="00201A3F" w:rsidRDefault="008111C9" w:rsidP="005B1F40">
            <w:pPr>
              <w:jc w:val="both"/>
              <w:rPr>
                <w:rFonts w:eastAsia="Calibri"/>
                <w:sz w:val="20"/>
              </w:rPr>
            </w:pPr>
          </w:p>
        </w:tc>
        <w:tc>
          <w:tcPr>
            <w:tcW w:w="271" w:type="pct"/>
          </w:tcPr>
          <w:p w:rsidR="008111C9" w:rsidRPr="00201A3F" w:rsidRDefault="008111C9" w:rsidP="005B1F40">
            <w:pPr>
              <w:jc w:val="both"/>
              <w:rPr>
                <w:rFonts w:eastAsia="Calibri"/>
                <w:sz w:val="20"/>
              </w:rPr>
            </w:pPr>
          </w:p>
        </w:tc>
        <w:tc>
          <w:tcPr>
            <w:tcW w:w="2339" w:type="pct"/>
          </w:tcPr>
          <w:p w:rsidR="008111C9" w:rsidRPr="00201A3F" w:rsidRDefault="008111C9" w:rsidP="005B1F40">
            <w:pPr>
              <w:jc w:val="both"/>
              <w:rPr>
                <w:rFonts w:eastAsia="Calibri"/>
                <w:sz w:val="20"/>
              </w:rPr>
            </w:pPr>
            <w:r w:rsidRPr="00201A3F">
              <w:rPr>
                <w:rFonts w:eastAsia="Calibri"/>
                <w:sz w:val="20"/>
              </w:rPr>
              <w:t>Application dismissed</w:t>
            </w:r>
          </w:p>
          <w:p w:rsidR="008111C9" w:rsidRPr="00201A3F" w:rsidRDefault="008111C9" w:rsidP="005B1F40">
            <w:pPr>
              <w:jc w:val="both"/>
              <w:rPr>
                <w:rFonts w:eastAsia="Calibri"/>
                <w:sz w:val="20"/>
              </w:rPr>
            </w:pPr>
          </w:p>
        </w:tc>
      </w:tr>
      <w:tr w:rsidR="008111C9" w:rsidRPr="00201A3F" w:rsidTr="005B1F40">
        <w:tblPrEx>
          <w:tblCellMar>
            <w:bottom w:w="0" w:type="dxa"/>
          </w:tblCellMar>
        </w:tblPrEx>
        <w:tc>
          <w:tcPr>
            <w:tcW w:w="2390" w:type="pct"/>
          </w:tcPr>
          <w:p w:rsidR="008111C9" w:rsidRPr="00201A3F" w:rsidRDefault="008111C9" w:rsidP="005B1F40">
            <w:pPr>
              <w:jc w:val="both"/>
              <w:rPr>
                <w:rFonts w:eastAsia="Calibri"/>
                <w:sz w:val="20"/>
              </w:rPr>
            </w:pPr>
            <w:r w:rsidRPr="00201A3F">
              <w:rPr>
                <w:rFonts w:eastAsia="Calibri"/>
                <w:sz w:val="20"/>
              </w:rPr>
              <w:t>December 6, 2011</w:t>
            </w:r>
          </w:p>
          <w:p w:rsidR="008111C9" w:rsidRPr="00201A3F" w:rsidRDefault="008111C9" w:rsidP="005B1F40">
            <w:pPr>
              <w:jc w:val="both"/>
              <w:rPr>
                <w:rFonts w:eastAsia="Calibri"/>
                <w:sz w:val="20"/>
              </w:rPr>
            </w:pPr>
            <w:r w:rsidRPr="00201A3F">
              <w:rPr>
                <w:rFonts w:eastAsia="Calibri"/>
                <w:sz w:val="20"/>
              </w:rPr>
              <w:t>Court of Appeal of New Brunswick</w:t>
            </w:r>
          </w:p>
          <w:p w:rsidR="008111C9" w:rsidRPr="00201A3F" w:rsidRDefault="008111C9" w:rsidP="005B1F40">
            <w:pPr>
              <w:jc w:val="both"/>
              <w:rPr>
                <w:rFonts w:eastAsia="Calibri"/>
                <w:sz w:val="20"/>
              </w:rPr>
            </w:pPr>
            <w:r w:rsidRPr="00201A3F">
              <w:rPr>
                <w:rFonts w:eastAsia="Calibri"/>
                <w:sz w:val="20"/>
              </w:rPr>
              <w:t>(Richard J.A.)</w:t>
            </w:r>
          </w:p>
          <w:p w:rsidR="008111C9" w:rsidRPr="00201A3F" w:rsidRDefault="008111C9" w:rsidP="005B1F40">
            <w:pPr>
              <w:jc w:val="both"/>
              <w:rPr>
                <w:rFonts w:eastAsia="Calibri"/>
                <w:sz w:val="20"/>
              </w:rPr>
            </w:pPr>
            <w:r w:rsidRPr="00201A3F">
              <w:rPr>
                <w:rFonts w:eastAsia="Calibri"/>
                <w:sz w:val="20"/>
              </w:rPr>
              <w:t>2011 N.B.J. no 442</w:t>
            </w:r>
          </w:p>
          <w:p w:rsidR="008111C9" w:rsidRPr="00201A3F" w:rsidRDefault="008111C9" w:rsidP="005B1F40">
            <w:pPr>
              <w:jc w:val="both"/>
              <w:rPr>
                <w:rFonts w:eastAsia="Calibri"/>
                <w:sz w:val="20"/>
              </w:rPr>
            </w:pPr>
          </w:p>
        </w:tc>
        <w:tc>
          <w:tcPr>
            <w:tcW w:w="271" w:type="pct"/>
          </w:tcPr>
          <w:p w:rsidR="008111C9" w:rsidRPr="00201A3F" w:rsidRDefault="008111C9" w:rsidP="005B1F40">
            <w:pPr>
              <w:jc w:val="both"/>
              <w:rPr>
                <w:rFonts w:eastAsia="Calibri"/>
                <w:sz w:val="20"/>
              </w:rPr>
            </w:pPr>
          </w:p>
        </w:tc>
        <w:tc>
          <w:tcPr>
            <w:tcW w:w="2339" w:type="pct"/>
          </w:tcPr>
          <w:p w:rsidR="008111C9" w:rsidRPr="00201A3F" w:rsidRDefault="008111C9" w:rsidP="005B1F40">
            <w:pPr>
              <w:jc w:val="both"/>
              <w:rPr>
                <w:rFonts w:eastAsia="Calibri"/>
                <w:sz w:val="20"/>
              </w:rPr>
            </w:pPr>
            <w:r w:rsidRPr="00201A3F">
              <w:rPr>
                <w:rFonts w:eastAsia="Calibri"/>
                <w:sz w:val="20"/>
              </w:rPr>
              <w:t>Order that appeal shall be perfected by February 24, 2012 or dismissed for delay</w:t>
            </w:r>
          </w:p>
          <w:p w:rsidR="008111C9" w:rsidRPr="00201A3F" w:rsidRDefault="008111C9" w:rsidP="005B1F40">
            <w:pPr>
              <w:jc w:val="both"/>
              <w:rPr>
                <w:rFonts w:eastAsia="Calibri"/>
                <w:sz w:val="20"/>
              </w:rPr>
            </w:pPr>
          </w:p>
        </w:tc>
      </w:tr>
      <w:tr w:rsidR="008111C9" w:rsidRPr="00201A3F" w:rsidTr="005B1F40">
        <w:tblPrEx>
          <w:tblCellMar>
            <w:bottom w:w="0" w:type="dxa"/>
          </w:tblCellMar>
        </w:tblPrEx>
        <w:tc>
          <w:tcPr>
            <w:tcW w:w="2390" w:type="pct"/>
          </w:tcPr>
          <w:p w:rsidR="008111C9" w:rsidRPr="00201A3F" w:rsidRDefault="008111C9" w:rsidP="005B1F40">
            <w:pPr>
              <w:jc w:val="both"/>
              <w:rPr>
                <w:rFonts w:eastAsia="Calibri"/>
                <w:sz w:val="20"/>
              </w:rPr>
            </w:pPr>
            <w:r w:rsidRPr="00201A3F">
              <w:rPr>
                <w:rFonts w:eastAsia="Calibri"/>
                <w:sz w:val="20"/>
              </w:rPr>
              <w:t>February 27, 2012</w:t>
            </w:r>
          </w:p>
          <w:p w:rsidR="008111C9" w:rsidRPr="00201A3F" w:rsidRDefault="008111C9" w:rsidP="005B1F40">
            <w:pPr>
              <w:jc w:val="both"/>
              <w:rPr>
                <w:rFonts w:eastAsia="Calibri"/>
                <w:sz w:val="20"/>
              </w:rPr>
            </w:pPr>
            <w:r w:rsidRPr="00201A3F">
              <w:rPr>
                <w:rFonts w:eastAsia="Calibri"/>
                <w:sz w:val="20"/>
              </w:rPr>
              <w:t>Court of Appeal of New Brunswick</w:t>
            </w:r>
          </w:p>
          <w:p w:rsidR="008111C9" w:rsidRPr="00201A3F" w:rsidRDefault="008111C9" w:rsidP="005B1F40">
            <w:pPr>
              <w:jc w:val="both"/>
              <w:rPr>
                <w:rFonts w:eastAsia="Calibri"/>
                <w:sz w:val="20"/>
              </w:rPr>
            </w:pPr>
            <w:r w:rsidRPr="00201A3F">
              <w:rPr>
                <w:rFonts w:eastAsia="Calibri"/>
                <w:sz w:val="20"/>
              </w:rPr>
              <w:t>(Registrar)</w:t>
            </w:r>
          </w:p>
          <w:p w:rsidR="008111C9" w:rsidRPr="00201A3F" w:rsidRDefault="008111C9" w:rsidP="005B1F40">
            <w:pPr>
              <w:jc w:val="both"/>
              <w:rPr>
                <w:rFonts w:eastAsia="Calibri"/>
                <w:sz w:val="20"/>
              </w:rPr>
            </w:pPr>
          </w:p>
        </w:tc>
        <w:tc>
          <w:tcPr>
            <w:tcW w:w="271" w:type="pct"/>
          </w:tcPr>
          <w:p w:rsidR="008111C9" w:rsidRPr="00201A3F" w:rsidRDefault="008111C9" w:rsidP="005B1F40">
            <w:pPr>
              <w:jc w:val="both"/>
              <w:rPr>
                <w:rFonts w:eastAsia="Calibri"/>
                <w:sz w:val="20"/>
              </w:rPr>
            </w:pPr>
          </w:p>
        </w:tc>
        <w:tc>
          <w:tcPr>
            <w:tcW w:w="2339" w:type="pct"/>
          </w:tcPr>
          <w:p w:rsidR="008111C9" w:rsidRPr="00201A3F" w:rsidRDefault="008111C9" w:rsidP="005B1F40">
            <w:pPr>
              <w:jc w:val="both"/>
              <w:rPr>
                <w:rFonts w:eastAsia="Calibri"/>
                <w:sz w:val="20"/>
              </w:rPr>
            </w:pPr>
            <w:r w:rsidRPr="00201A3F">
              <w:rPr>
                <w:rFonts w:eastAsia="Calibri"/>
                <w:sz w:val="20"/>
              </w:rPr>
              <w:t>Appeal dismissed for delay</w:t>
            </w:r>
          </w:p>
          <w:p w:rsidR="008111C9" w:rsidRPr="00201A3F" w:rsidRDefault="008111C9" w:rsidP="005B1F40">
            <w:pPr>
              <w:jc w:val="both"/>
              <w:rPr>
                <w:rFonts w:eastAsia="Calibri"/>
                <w:sz w:val="20"/>
              </w:rPr>
            </w:pPr>
          </w:p>
        </w:tc>
      </w:tr>
      <w:tr w:rsidR="008111C9" w:rsidRPr="00201A3F" w:rsidTr="005B1F40">
        <w:tblPrEx>
          <w:tblCellMar>
            <w:bottom w:w="0" w:type="dxa"/>
          </w:tblCellMar>
        </w:tblPrEx>
        <w:tc>
          <w:tcPr>
            <w:tcW w:w="2390" w:type="pct"/>
          </w:tcPr>
          <w:p w:rsidR="008111C9" w:rsidRPr="00201A3F" w:rsidRDefault="008111C9" w:rsidP="005B1F40">
            <w:pPr>
              <w:jc w:val="both"/>
              <w:rPr>
                <w:rFonts w:eastAsia="Calibri"/>
                <w:sz w:val="20"/>
              </w:rPr>
            </w:pPr>
            <w:r w:rsidRPr="00201A3F">
              <w:rPr>
                <w:rFonts w:eastAsia="Calibri"/>
                <w:sz w:val="20"/>
              </w:rPr>
              <w:t>July 13, 2012</w:t>
            </w:r>
          </w:p>
          <w:p w:rsidR="008111C9" w:rsidRPr="00201A3F" w:rsidRDefault="008111C9" w:rsidP="008111C9">
            <w:pPr>
              <w:jc w:val="both"/>
              <w:rPr>
                <w:rFonts w:eastAsia="Calibri"/>
                <w:sz w:val="20"/>
              </w:rPr>
            </w:pPr>
            <w:r w:rsidRPr="00201A3F">
              <w:rPr>
                <w:rFonts w:eastAsia="Calibri"/>
                <w:sz w:val="20"/>
              </w:rPr>
              <w:t>Supreme Court of Canada</w:t>
            </w:r>
          </w:p>
        </w:tc>
        <w:tc>
          <w:tcPr>
            <w:tcW w:w="271" w:type="pct"/>
          </w:tcPr>
          <w:p w:rsidR="008111C9" w:rsidRPr="00201A3F" w:rsidRDefault="008111C9" w:rsidP="005B1F40">
            <w:pPr>
              <w:jc w:val="both"/>
              <w:rPr>
                <w:rFonts w:eastAsia="Calibri"/>
                <w:sz w:val="20"/>
              </w:rPr>
            </w:pPr>
          </w:p>
        </w:tc>
        <w:tc>
          <w:tcPr>
            <w:tcW w:w="2339" w:type="pct"/>
          </w:tcPr>
          <w:p w:rsidR="008111C9" w:rsidRPr="00201A3F" w:rsidRDefault="008111C9" w:rsidP="005B1F40">
            <w:pPr>
              <w:jc w:val="both"/>
              <w:rPr>
                <w:rFonts w:eastAsia="Calibri"/>
                <w:sz w:val="20"/>
              </w:rPr>
            </w:pPr>
            <w:r w:rsidRPr="00201A3F">
              <w:rPr>
                <w:rFonts w:eastAsia="Calibri"/>
                <w:sz w:val="20"/>
              </w:rPr>
              <w:t>Application for leave to appeal filed</w:t>
            </w:r>
          </w:p>
          <w:p w:rsidR="008111C9" w:rsidRPr="00201A3F" w:rsidRDefault="008111C9" w:rsidP="005B1F40">
            <w:pPr>
              <w:jc w:val="both"/>
              <w:rPr>
                <w:rFonts w:eastAsia="Calibri"/>
                <w:sz w:val="20"/>
              </w:rPr>
            </w:pPr>
          </w:p>
        </w:tc>
      </w:tr>
    </w:tbl>
    <w:p w:rsidR="00A740D1" w:rsidRDefault="00A740D1" w:rsidP="00A740D1">
      <w:pPr>
        <w:rPr>
          <w:sz w:val="20"/>
          <w:szCs w:val="20"/>
        </w:rPr>
      </w:pPr>
    </w:p>
    <w:p w:rsidR="00A740D1" w:rsidRPr="00C50A5C" w:rsidRDefault="00BF3B03" w:rsidP="00A740D1">
      <w:pPr>
        <w:rPr>
          <w:sz w:val="20"/>
          <w:szCs w:val="20"/>
        </w:rPr>
      </w:pPr>
      <w:r w:rsidRPr="00BF3B03">
        <w:rPr>
          <w:sz w:val="20"/>
          <w:szCs w:val="20"/>
          <w:lang w:val="fr-CA"/>
        </w:rPr>
        <w:pict>
          <v:rect id="_x0000_i1064" style="width:2in;height:1pt" o:hrpct="0" o:hralign="center" o:hrstd="t" o:hrnoshade="t" o:hr="t" fillcolor="black [3213]" stroked="f"/>
        </w:pict>
      </w:r>
    </w:p>
    <w:p w:rsidR="00A740D1" w:rsidRDefault="00A740D1" w:rsidP="00A740D1">
      <w:pPr>
        <w:rPr>
          <w:sz w:val="20"/>
          <w:szCs w:val="20"/>
        </w:rPr>
      </w:pPr>
    </w:p>
    <w:p w:rsidR="00A740D1" w:rsidRPr="001B157C" w:rsidRDefault="00A740D1" w:rsidP="00A740D1">
      <w:pPr>
        <w:rPr>
          <w:sz w:val="20"/>
          <w:szCs w:val="20"/>
          <w:u w:val="single"/>
          <w:lang w:val="fr-CA"/>
        </w:rPr>
      </w:pPr>
      <w:r w:rsidRPr="001B157C">
        <w:rPr>
          <w:sz w:val="20"/>
          <w:szCs w:val="20"/>
          <w:u w:val="single"/>
          <w:lang w:val="fr-CA"/>
        </w:rPr>
        <w:t>RÉSUMÉ DE L’AFFAIRE</w:t>
      </w:r>
    </w:p>
    <w:p w:rsidR="00A740D1" w:rsidRDefault="00A740D1" w:rsidP="00A740D1">
      <w:pPr>
        <w:rPr>
          <w:sz w:val="20"/>
          <w:szCs w:val="20"/>
        </w:rPr>
      </w:pPr>
    </w:p>
    <w:tbl>
      <w:tblPr>
        <w:tblW w:w="4952" w:type="pct"/>
        <w:tblLayout w:type="fixed"/>
        <w:tblCellMar>
          <w:left w:w="0" w:type="dxa"/>
          <w:bottom w:w="99" w:type="dxa"/>
          <w:right w:w="0" w:type="dxa"/>
        </w:tblCellMar>
        <w:tblLook w:val="00A0"/>
      </w:tblPr>
      <w:tblGrid>
        <w:gridCol w:w="4554"/>
        <w:gridCol w:w="514"/>
        <w:gridCol w:w="4459"/>
      </w:tblGrid>
      <w:tr w:rsidR="008111C9" w:rsidRPr="00DC2D1F" w:rsidTr="005B1F40">
        <w:tc>
          <w:tcPr>
            <w:tcW w:w="5000" w:type="pct"/>
            <w:gridSpan w:val="3"/>
          </w:tcPr>
          <w:p w:rsidR="008111C9" w:rsidRPr="00201A3F" w:rsidRDefault="008111C9" w:rsidP="005B1F40">
            <w:pPr>
              <w:jc w:val="both"/>
              <w:rPr>
                <w:rFonts w:eastAsia="Calibri"/>
                <w:sz w:val="20"/>
                <w:lang w:val="fr-CA"/>
              </w:rPr>
            </w:pPr>
            <w:r w:rsidRPr="00201A3F">
              <w:rPr>
                <w:rFonts w:eastAsia="Calibri"/>
                <w:sz w:val="20"/>
                <w:lang w:val="fr-CA"/>
              </w:rPr>
              <w:t>Tribunaux — Compétence — Contrôle judiciaire — La demande de contrôle judiciaire d'un mandat spécial de saisie et d'une ordonnance de blocage aurait</w:t>
            </w:r>
            <w:r w:rsidRPr="00201A3F">
              <w:rPr>
                <w:rFonts w:eastAsia="Calibri"/>
                <w:sz w:val="20"/>
                <w:lang w:val="fr-CA"/>
              </w:rPr>
              <w:noBreakHyphen/>
              <w:t>elle dû être radiée pour non</w:t>
            </w:r>
            <w:r w:rsidRPr="00201A3F">
              <w:rPr>
                <w:rFonts w:eastAsia="Calibri"/>
                <w:sz w:val="20"/>
                <w:lang w:val="fr-CA"/>
              </w:rPr>
              <w:noBreakHyphen/>
              <w:t>respect d'une procédure civile? — Le mandat spécial de saisie et l'ordonnance de blocage ont</w:t>
            </w:r>
            <w:r w:rsidRPr="00201A3F">
              <w:rPr>
                <w:rFonts w:eastAsia="Calibri"/>
                <w:sz w:val="20"/>
                <w:lang w:val="fr-CA"/>
              </w:rPr>
              <w:noBreakHyphen/>
              <w:t>ils été délivrés contrairement aux dispositions obligatoires du</w:t>
            </w:r>
            <w:r w:rsidRPr="00201A3F">
              <w:rPr>
                <w:rFonts w:eastAsia="Calibri"/>
                <w:i/>
                <w:sz w:val="20"/>
                <w:lang w:val="fr-CA"/>
              </w:rPr>
              <w:t xml:space="preserve"> Code criminel</w:t>
            </w:r>
            <w:r w:rsidRPr="00201A3F">
              <w:rPr>
                <w:rFonts w:eastAsia="Calibri"/>
                <w:sz w:val="20"/>
                <w:lang w:val="fr-CA"/>
              </w:rPr>
              <w:t>, L.R.C. 1985, ch. C</w:t>
            </w:r>
            <w:r w:rsidRPr="00201A3F">
              <w:rPr>
                <w:rFonts w:eastAsia="Calibri"/>
                <w:sz w:val="20"/>
                <w:lang w:val="fr-CA"/>
              </w:rPr>
              <w:noBreakHyphen/>
              <w:t>46? — L'avocat de la Couronne a</w:t>
            </w:r>
            <w:r w:rsidRPr="00201A3F">
              <w:rPr>
                <w:rFonts w:eastAsia="Calibri"/>
                <w:sz w:val="20"/>
                <w:lang w:val="fr-CA"/>
              </w:rPr>
              <w:noBreakHyphen/>
              <w:t>t</w:t>
            </w:r>
            <w:r w:rsidRPr="00201A3F">
              <w:rPr>
                <w:rFonts w:eastAsia="Calibri"/>
                <w:sz w:val="20"/>
                <w:lang w:val="fr-CA"/>
              </w:rPr>
              <w:noBreakHyphen/>
              <w:t>il omis d'agir de bonne foi et a</w:t>
            </w:r>
            <w:r w:rsidRPr="00201A3F">
              <w:rPr>
                <w:rFonts w:eastAsia="Calibri"/>
                <w:sz w:val="20"/>
                <w:lang w:val="fr-CA"/>
              </w:rPr>
              <w:noBreakHyphen/>
              <w:t>t</w:t>
            </w:r>
            <w:r w:rsidRPr="00201A3F">
              <w:rPr>
                <w:rFonts w:eastAsia="Calibri"/>
                <w:sz w:val="20"/>
                <w:lang w:val="fr-CA"/>
              </w:rPr>
              <w:noBreakHyphen/>
              <w:t>il illégalement détenu les biens du demandeur? — La Cour d'appel a</w:t>
            </w:r>
            <w:r w:rsidRPr="00201A3F">
              <w:rPr>
                <w:rFonts w:eastAsia="Calibri"/>
                <w:sz w:val="20"/>
                <w:lang w:val="fr-CA"/>
              </w:rPr>
              <w:noBreakHyphen/>
              <w:t>t</w:t>
            </w:r>
            <w:r w:rsidRPr="00201A3F">
              <w:rPr>
                <w:rFonts w:eastAsia="Calibri"/>
                <w:sz w:val="20"/>
                <w:lang w:val="fr-CA"/>
              </w:rPr>
              <w:noBreakHyphen/>
              <w:t xml:space="preserve">elle rejeté l'appel sans instance équitable? — L'avocat de la </w:t>
            </w:r>
            <w:r w:rsidRPr="00201A3F">
              <w:rPr>
                <w:rFonts w:eastAsia="Calibri"/>
                <w:sz w:val="20"/>
                <w:lang w:val="fr-CA"/>
              </w:rPr>
              <w:lastRenderedPageBreak/>
              <w:t>Couronne a</w:t>
            </w:r>
            <w:r w:rsidRPr="00201A3F">
              <w:rPr>
                <w:rFonts w:eastAsia="Calibri"/>
                <w:sz w:val="20"/>
                <w:lang w:val="fr-CA"/>
              </w:rPr>
              <w:noBreakHyphen/>
              <w:t>t</w:t>
            </w:r>
            <w:r w:rsidRPr="00201A3F">
              <w:rPr>
                <w:rFonts w:eastAsia="Calibri"/>
                <w:sz w:val="20"/>
                <w:lang w:val="fr-CA"/>
              </w:rPr>
              <w:noBreakHyphen/>
              <w:t>il omis de fournir une transcription de l'audience?</w:t>
            </w:r>
          </w:p>
        </w:tc>
      </w:tr>
      <w:tr w:rsidR="008111C9" w:rsidRPr="00DC2D1F" w:rsidTr="005B1F40">
        <w:tc>
          <w:tcPr>
            <w:tcW w:w="5000" w:type="pct"/>
            <w:gridSpan w:val="3"/>
          </w:tcPr>
          <w:p w:rsidR="008111C9" w:rsidRPr="00201A3F" w:rsidRDefault="008111C9" w:rsidP="005B1F40">
            <w:pPr>
              <w:jc w:val="both"/>
              <w:rPr>
                <w:rFonts w:eastAsia="Calibri"/>
                <w:sz w:val="20"/>
                <w:lang w:val="fr-CA"/>
              </w:rPr>
            </w:pPr>
          </w:p>
        </w:tc>
      </w:tr>
      <w:tr w:rsidR="008111C9" w:rsidRPr="00DC2D1F" w:rsidTr="005B1F40">
        <w:tc>
          <w:tcPr>
            <w:tcW w:w="5000" w:type="pct"/>
            <w:gridSpan w:val="3"/>
          </w:tcPr>
          <w:p w:rsidR="008111C9" w:rsidRPr="00201A3F" w:rsidRDefault="008111C9" w:rsidP="005B1F40">
            <w:pPr>
              <w:jc w:val="both"/>
              <w:rPr>
                <w:rFonts w:eastAsia="Calibri"/>
                <w:sz w:val="20"/>
                <w:lang w:val="fr-CA"/>
              </w:rPr>
            </w:pPr>
            <w:r w:rsidRPr="00201A3F">
              <w:rPr>
                <w:rFonts w:eastAsia="Calibri"/>
                <w:sz w:val="20"/>
                <w:lang w:val="fr-CA"/>
              </w:rPr>
              <w:t xml:space="preserve">Les biens du demandeur ont été saisis et détenus conformément à un mandat spécial de saisie et une ordonnance de blocage.  Après avoir déclaré le demandeur coupable d'infractions, le tribunal a statué que ses biens étaient des produits de la criminalité et a ordonné leur confiscation.  Le demandeur a demandé le contrôle judiciaire de certains aspects de la procédure criminelle par la voie d’une instance civile.  Il a notamment plaidé que le mandat spécial de saisie et l’ordonnance de blocage n’avaient jamais été l’objet d’un contrôle judiciaire et que tous les biens saisis avaient été achetés avant la perpétration des infractions dont il a été déclaré coupable, si bien qu’il ne pouvait s’agir des produits tirés de la criminalité en cause.   </w:t>
            </w:r>
          </w:p>
          <w:p w:rsidR="008111C9" w:rsidRPr="00201A3F" w:rsidRDefault="008111C9" w:rsidP="005B1F40">
            <w:pPr>
              <w:jc w:val="both"/>
              <w:rPr>
                <w:rFonts w:eastAsia="Calibri"/>
                <w:sz w:val="20"/>
                <w:lang w:val="fr-CA"/>
              </w:rPr>
            </w:pPr>
          </w:p>
        </w:tc>
      </w:tr>
      <w:tr w:rsidR="008111C9" w:rsidRPr="00201A3F" w:rsidTr="005B1F40">
        <w:tblPrEx>
          <w:tblCellMar>
            <w:bottom w:w="0" w:type="dxa"/>
          </w:tblCellMar>
        </w:tblPrEx>
        <w:tc>
          <w:tcPr>
            <w:tcW w:w="2390" w:type="pct"/>
          </w:tcPr>
          <w:p w:rsidR="008111C9" w:rsidRPr="00201A3F" w:rsidRDefault="008111C9" w:rsidP="005B1F40">
            <w:pPr>
              <w:jc w:val="both"/>
              <w:rPr>
                <w:rFonts w:eastAsia="Calibri"/>
                <w:sz w:val="20"/>
                <w:lang w:val="fr-CA"/>
              </w:rPr>
            </w:pPr>
            <w:r w:rsidRPr="00201A3F">
              <w:rPr>
                <w:rFonts w:eastAsia="Calibri"/>
                <w:sz w:val="20"/>
                <w:lang w:val="fr-CA"/>
              </w:rPr>
              <w:t>7 janvier 2011</w:t>
            </w:r>
          </w:p>
          <w:p w:rsidR="008111C9" w:rsidRPr="00201A3F" w:rsidRDefault="008111C9" w:rsidP="005B1F40">
            <w:pPr>
              <w:jc w:val="both"/>
              <w:rPr>
                <w:rFonts w:eastAsia="Calibri"/>
                <w:sz w:val="20"/>
                <w:lang w:val="fr-CA"/>
              </w:rPr>
            </w:pPr>
            <w:r w:rsidRPr="00201A3F">
              <w:rPr>
                <w:rFonts w:eastAsia="Calibri"/>
                <w:sz w:val="20"/>
                <w:lang w:val="fr-CA"/>
              </w:rPr>
              <w:t>Cour du Banc de la Reine</w:t>
            </w:r>
          </w:p>
          <w:p w:rsidR="008111C9" w:rsidRPr="00201A3F" w:rsidRDefault="008111C9" w:rsidP="005B1F40">
            <w:pPr>
              <w:jc w:val="both"/>
              <w:rPr>
                <w:rFonts w:eastAsia="Calibri"/>
                <w:sz w:val="20"/>
                <w:lang w:val="fr-CA"/>
              </w:rPr>
            </w:pPr>
            <w:r w:rsidRPr="00201A3F">
              <w:rPr>
                <w:rFonts w:eastAsia="Calibri"/>
                <w:sz w:val="20"/>
                <w:lang w:val="fr-CA"/>
              </w:rPr>
              <w:t>(Juge en chef Smith)</w:t>
            </w:r>
          </w:p>
          <w:p w:rsidR="008111C9" w:rsidRPr="00201A3F" w:rsidRDefault="008111C9" w:rsidP="005B1F40">
            <w:pPr>
              <w:jc w:val="both"/>
              <w:rPr>
                <w:rFonts w:eastAsia="Calibri"/>
                <w:sz w:val="20"/>
                <w:lang w:val="fr-CA"/>
              </w:rPr>
            </w:pPr>
            <w:r w:rsidRPr="00201A3F">
              <w:rPr>
                <w:rFonts w:eastAsia="Calibri"/>
                <w:sz w:val="20"/>
                <w:lang w:val="fr-CA"/>
              </w:rPr>
              <w:t xml:space="preserve"> </w:t>
            </w:r>
          </w:p>
        </w:tc>
        <w:tc>
          <w:tcPr>
            <w:tcW w:w="270" w:type="pct"/>
          </w:tcPr>
          <w:p w:rsidR="008111C9" w:rsidRPr="00201A3F" w:rsidRDefault="008111C9" w:rsidP="005B1F40">
            <w:pPr>
              <w:jc w:val="both"/>
              <w:rPr>
                <w:rFonts w:eastAsia="Calibri"/>
                <w:sz w:val="20"/>
                <w:lang w:val="fr-CA"/>
              </w:rPr>
            </w:pPr>
          </w:p>
        </w:tc>
        <w:tc>
          <w:tcPr>
            <w:tcW w:w="2340" w:type="pct"/>
          </w:tcPr>
          <w:p w:rsidR="008111C9" w:rsidRPr="00201A3F" w:rsidRDefault="008111C9" w:rsidP="005B1F40">
            <w:pPr>
              <w:jc w:val="both"/>
              <w:rPr>
                <w:rFonts w:eastAsia="Calibri"/>
                <w:sz w:val="20"/>
                <w:lang w:val="fr-CA"/>
              </w:rPr>
            </w:pPr>
            <w:r w:rsidRPr="00201A3F">
              <w:rPr>
                <w:rFonts w:eastAsia="Calibri"/>
                <w:sz w:val="20"/>
                <w:lang w:val="fr-CA"/>
              </w:rPr>
              <w:t>Demande rejetée</w:t>
            </w:r>
          </w:p>
          <w:p w:rsidR="008111C9" w:rsidRPr="00201A3F" w:rsidRDefault="008111C9" w:rsidP="005B1F40">
            <w:pPr>
              <w:jc w:val="both"/>
              <w:rPr>
                <w:rFonts w:eastAsia="Calibri"/>
                <w:sz w:val="20"/>
                <w:lang w:val="fr-CA"/>
              </w:rPr>
            </w:pPr>
          </w:p>
        </w:tc>
      </w:tr>
      <w:tr w:rsidR="008111C9" w:rsidRPr="00DC2D1F" w:rsidTr="005B1F40">
        <w:tblPrEx>
          <w:tblCellMar>
            <w:bottom w:w="0" w:type="dxa"/>
          </w:tblCellMar>
        </w:tblPrEx>
        <w:tc>
          <w:tcPr>
            <w:tcW w:w="2390" w:type="pct"/>
          </w:tcPr>
          <w:p w:rsidR="008111C9" w:rsidRPr="00201A3F" w:rsidRDefault="008111C9" w:rsidP="005B1F40">
            <w:pPr>
              <w:jc w:val="both"/>
              <w:rPr>
                <w:rFonts w:eastAsia="Calibri"/>
                <w:sz w:val="20"/>
                <w:lang w:val="fr-CA"/>
              </w:rPr>
            </w:pPr>
            <w:r w:rsidRPr="00201A3F">
              <w:rPr>
                <w:rFonts w:eastAsia="Calibri"/>
                <w:sz w:val="20"/>
                <w:lang w:val="fr-CA"/>
              </w:rPr>
              <w:t>6 décembre 2011</w:t>
            </w:r>
          </w:p>
          <w:p w:rsidR="008111C9" w:rsidRPr="00201A3F" w:rsidRDefault="008111C9" w:rsidP="005B1F40">
            <w:pPr>
              <w:jc w:val="both"/>
              <w:rPr>
                <w:rFonts w:eastAsia="Calibri"/>
                <w:sz w:val="20"/>
                <w:lang w:val="fr-CA"/>
              </w:rPr>
            </w:pPr>
            <w:r w:rsidRPr="00201A3F">
              <w:rPr>
                <w:rFonts w:eastAsia="Calibri"/>
                <w:sz w:val="20"/>
                <w:lang w:val="fr-CA"/>
              </w:rPr>
              <w:t>Cour d’appel du Nouveau</w:t>
            </w:r>
            <w:r w:rsidRPr="00201A3F">
              <w:rPr>
                <w:rFonts w:eastAsia="Calibri"/>
                <w:sz w:val="20"/>
                <w:lang w:val="fr-CA"/>
              </w:rPr>
              <w:noBreakHyphen/>
              <w:t>Brunswick</w:t>
            </w:r>
          </w:p>
          <w:p w:rsidR="008111C9" w:rsidRPr="00201A3F" w:rsidRDefault="008111C9" w:rsidP="005B1F40">
            <w:pPr>
              <w:jc w:val="both"/>
              <w:rPr>
                <w:rFonts w:eastAsia="Calibri"/>
                <w:sz w:val="20"/>
              </w:rPr>
            </w:pPr>
            <w:r w:rsidRPr="00201A3F">
              <w:rPr>
                <w:rFonts w:eastAsia="Calibri"/>
                <w:sz w:val="20"/>
              </w:rPr>
              <w:t>(Juge Richard)</w:t>
            </w:r>
          </w:p>
          <w:p w:rsidR="008111C9" w:rsidRPr="00201A3F" w:rsidRDefault="008111C9" w:rsidP="005B1F40">
            <w:pPr>
              <w:jc w:val="both"/>
              <w:rPr>
                <w:rFonts w:eastAsia="Calibri"/>
                <w:sz w:val="20"/>
              </w:rPr>
            </w:pPr>
            <w:r w:rsidRPr="00201A3F">
              <w:rPr>
                <w:rFonts w:eastAsia="Calibri"/>
                <w:sz w:val="20"/>
              </w:rPr>
              <w:t>2011 N.B.J. no 442</w:t>
            </w:r>
          </w:p>
          <w:p w:rsidR="008111C9" w:rsidRPr="00201A3F" w:rsidRDefault="008111C9" w:rsidP="005B1F40">
            <w:pPr>
              <w:jc w:val="both"/>
              <w:rPr>
                <w:rFonts w:eastAsia="Calibri"/>
                <w:sz w:val="20"/>
              </w:rPr>
            </w:pPr>
          </w:p>
        </w:tc>
        <w:tc>
          <w:tcPr>
            <w:tcW w:w="270" w:type="pct"/>
          </w:tcPr>
          <w:p w:rsidR="008111C9" w:rsidRPr="00201A3F" w:rsidRDefault="008111C9" w:rsidP="005B1F40">
            <w:pPr>
              <w:jc w:val="both"/>
              <w:rPr>
                <w:rFonts w:eastAsia="Calibri"/>
                <w:sz w:val="20"/>
              </w:rPr>
            </w:pPr>
          </w:p>
        </w:tc>
        <w:tc>
          <w:tcPr>
            <w:tcW w:w="2340" w:type="pct"/>
          </w:tcPr>
          <w:p w:rsidR="008111C9" w:rsidRPr="00201A3F" w:rsidRDefault="008111C9" w:rsidP="005B1F40">
            <w:pPr>
              <w:jc w:val="both"/>
              <w:rPr>
                <w:rFonts w:eastAsia="Calibri"/>
                <w:sz w:val="20"/>
                <w:lang w:val="fr-CA"/>
              </w:rPr>
            </w:pPr>
            <w:r w:rsidRPr="00201A3F">
              <w:rPr>
                <w:rFonts w:eastAsia="Calibri"/>
                <w:sz w:val="20"/>
                <w:lang w:val="fr-CA"/>
              </w:rPr>
              <w:t>Ordonnance portant que l’appel devait être mis en état au plus tard le 24 février 2012 ou rejeté pour cause de retard</w:t>
            </w:r>
          </w:p>
          <w:p w:rsidR="008111C9" w:rsidRPr="00201A3F" w:rsidRDefault="008111C9" w:rsidP="005B1F40">
            <w:pPr>
              <w:jc w:val="both"/>
              <w:rPr>
                <w:rFonts w:eastAsia="Calibri"/>
                <w:sz w:val="20"/>
                <w:lang w:val="fr-CA"/>
              </w:rPr>
            </w:pPr>
          </w:p>
        </w:tc>
      </w:tr>
      <w:tr w:rsidR="008111C9" w:rsidRPr="00DC2D1F" w:rsidTr="005B1F40">
        <w:tblPrEx>
          <w:tblCellMar>
            <w:bottom w:w="0" w:type="dxa"/>
          </w:tblCellMar>
        </w:tblPrEx>
        <w:tc>
          <w:tcPr>
            <w:tcW w:w="2390" w:type="pct"/>
          </w:tcPr>
          <w:p w:rsidR="008111C9" w:rsidRPr="00201A3F" w:rsidRDefault="008111C9" w:rsidP="005B1F40">
            <w:pPr>
              <w:jc w:val="both"/>
              <w:rPr>
                <w:rFonts w:eastAsia="Calibri"/>
                <w:sz w:val="20"/>
                <w:lang w:val="fr-CA"/>
              </w:rPr>
            </w:pPr>
            <w:r w:rsidRPr="00201A3F">
              <w:rPr>
                <w:rFonts w:eastAsia="Calibri"/>
                <w:sz w:val="20"/>
                <w:lang w:val="fr-CA"/>
              </w:rPr>
              <w:t>27 février 2012</w:t>
            </w:r>
          </w:p>
          <w:p w:rsidR="008111C9" w:rsidRPr="00201A3F" w:rsidRDefault="008111C9" w:rsidP="005B1F40">
            <w:pPr>
              <w:jc w:val="both"/>
              <w:rPr>
                <w:rFonts w:eastAsia="Calibri"/>
                <w:sz w:val="20"/>
                <w:lang w:val="fr-CA"/>
              </w:rPr>
            </w:pPr>
            <w:r w:rsidRPr="00201A3F">
              <w:rPr>
                <w:rFonts w:eastAsia="Calibri"/>
                <w:sz w:val="20"/>
                <w:lang w:val="fr-CA"/>
              </w:rPr>
              <w:t>Cour d’appel du Nouveau</w:t>
            </w:r>
            <w:r w:rsidRPr="00201A3F">
              <w:rPr>
                <w:rFonts w:eastAsia="Calibri"/>
                <w:sz w:val="20"/>
                <w:lang w:val="fr-CA"/>
              </w:rPr>
              <w:noBreakHyphen/>
              <w:t>Brunswick</w:t>
            </w:r>
          </w:p>
          <w:p w:rsidR="008111C9" w:rsidRPr="00201A3F" w:rsidRDefault="008111C9" w:rsidP="005B1F40">
            <w:pPr>
              <w:jc w:val="both"/>
              <w:rPr>
                <w:rFonts w:eastAsia="Calibri"/>
                <w:sz w:val="20"/>
                <w:lang w:val="fr-CA"/>
              </w:rPr>
            </w:pPr>
            <w:r w:rsidRPr="00201A3F">
              <w:rPr>
                <w:rFonts w:eastAsia="Calibri"/>
                <w:sz w:val="20"/>
                <w:lang w:val="fr-CA"/>
              </w:rPr>
              <w:t>(Greffier)</w:t>
            </w:r>
          </w:p>
          <w:p w:rsidR="008111C9" w:rsidRPr="00201A3F" w:rsidRDefault="008111C9" w:rsidP="005B1F40">
            <w:pPr>
              <w:jc w:val="both"/>
              <w:rPr>
                <w:rFonts w:eastAsia="Calibri"/>
                <w:sz w:val="20"/>
                <w:lang w:val="fr-CA"/>
              </w:rPr>
            </w:pPr>
          </w:p>
        </w:tc>
        <w:tc>
          <w:tcPr>
            <w:tcW w:w="270" w:type="pct"/>
          </w:tcPr>
          <w:p w:rsidR="008111C9" w:rsidRPr="00201A3F" w:rsidRDefault="008111C9" w:rsidP="005B1F40">
            <w:pPr>
              <w:jc w:val="both"/>
              <w:rPr>
                <w:rFonts w:eastAsia="Calibri"/>
                <w:sz w:val="20"/>
                <w:lang w:val="fr-CA"/>
              </w:rPr>
            </w:pPr>
          </w:p>
        </w:tc>
        <w:tc>
          <w:tcPr>
            <w:tcW w:w="2340" w:type="pct"/>
          </w:tcPr>
          <w:p w:rsidR="008111C9" w:rsidRPr="00201A3F" w:rsidRDefault="008111C9" w:rsidP="005B1F40">
            <w:pPr>
              <w:jc w:val="both"/>
              <w:rPr>
                <w:rFonts w:eastAsia="Calibri"/>
                <w:sz w:val="20"/>
                <w:lang w:val="fr-CA"/>
              </w:rPr>
            </w:pPr>
            <w:r w:rsidRPr="00201A3F">
              <w:rPr>
                <w:rFonts w:eastAsia="Calibri"/>
                <w:sz w:val="20"/>
                <w:lang w:val="fr-CA"/>
              </w:rPr>
              <w:t>Appel rejeté pour cause de retard</w:t>
            </w:r>
          </w:p>
          <w:p w:rsidR="008111C9" w:rsidRPr="00201A3F" w:rsidRDefault="008111C9" w:rsidP="005B1F40">
            <w:pPr>
              <w:jc w:val="both"/>
              <w:rPr>
                <w:rFonts w:eastAsia="Calibri"/>
                <w:sz w:val="20"/>
                <w:lang w:val="fr-CA"/>
              </w:rPr>
            </w:pPr>
          </w:p>
        </w:tc>
      </w:tr>
      <w:tr w:rsidR="008111C9" w:rsidRPr="00201A3F" w:rsidTr="005B1F40">
        <w:tblPrEx>
          <w:tblCellMar>
            <w:bottom w:w="0" w:type="dxa"/>
          </w:tblCellMar>
        </w:tblPrEx>
        <w:tc>
          <w:tcPr>
            <w:tcW w:w="2390" w:type="pct"/>
          </w:tcPr>
          <w:p w:rsidR="008111C9" w:rsidRPr="00201A3F" w:rsidRDefault="008111C9" w:rsidP="005B1F40">
            <w:pPr>
              <w:jc w:val="both"/>
              <w:rPr>
                <w:rFonts w:eastAsia="Calibri"/>
                <w:sz w:val="20"/>
                <w:lang w:val="fr-CA"/>
              </w:rPr>
            </w:pPr>
            <w:r w:rsidRPr="00201A3F">
              <w:rPr>
                <w:rFonts w:eastAsia="Calibri"/>
                <w:sz w:val="20"/>
                <w:lang w:val="fr-CA"/>
              </w:rPr>
              <w:t>13 juillet 2012</w:t>
            </w:r>
          </w:p>
          <w:p w:rsidR="008111C9" w:rsidRPr="00201A3F" w:rsidRDefault="008111C9" w:rsidP="005B1F40">
            <w:pPr>
              <w:jc w:val="both"/>
              <w:rPr>
                <w:rFonts w:eastAsia="Calibri"/>
                <w:sz w:val="20"/>
                <w:lang w:val="fr-CA"/>
              </w:rPr>
            </w:pPr>
            <w:r w:rsidRPr="00201A3F">
              <w:rPr>
                <w:rFonts w:eastAsia="Calibri"/>
                <w:sz w:val="20"/>
                <w:lang w:val="fr-CA"/>
              </w:rPr>
              <w:t>Cour suprême du Canada</w:t>
            </w:r>
          </w:p>
        </w:tc>
        <w:tc>
          <w:tcPr>
            <w:tcW w:w="270" w:type="pct"/>
          </w:tcPr>
          <w:p w:rsidR="008111C9" w:rsidRPr="00201A3F" w:rsidRDefault="008111C9" w:rsidP="005B1F40">
            <w:pPr>
              <w:jc w:val="both"/>
              <w:rPr>
                <w:rFonts w:eastAsia="Calibri"/>
                <w:sz w:val="20"/>
                <w:lang w:val="fr-CA"/>
              </w:rPr>
            </w:pPr>
          </w:p>
        </w:tc>
        <w:tc>
          <w:tcPr>
            <w:tcW w:w="2340" w:type="pct"/>
          </w:tcPr>
          <w:p w:rsidR="008111C9" w:rsidRPr="00201A3F" w:rsidRDefault="008111C9" w:rsidP="005B1F40">
            <w:pPr>
              <w:jc w:val="both"/>
              <w:rPr>
                <w:rFonts w:eastAsia="Calibri"/>
                <w:sz w:val="20"/>
                <w:lang w:val="fr-CA"/>
              </w:rPr>
            </w:pPr>
            <w:r w:rsidRPr="00201A3F">
              <w:rPr>
                <w:rFonts w:eastAsia="Calibri"/>
                <w:sz w:val="20"/>
                <w:lang w:val="fr-CA"/>
              </w:rPr>
              <w:t>Demande d’autorisation d’appel, déposée</w:t>
            </w:r>
          </w:p>
          <w:p w:rsidR="008111C9" w:rsidRPr="00201A3F" w:rsidRDefault="008111C9" w:rsidP="005B1F40">
            <w:pPr>
              <w:jc w:val="both"/>
              <w:rPr>
                <w:rFonts w:eastAsia="Calibri"/>
                <w:sz w:val="20"/>
                <w:lang w:val="fr-CA"/>
              </w:rPr>
            </w:pPr>
          </w:p>
        </w:tc>
      </w:tr>
    </w:tbl>
    <w:p w:rsidR="00A740D1" w:rsidRDefault="00A740D1" w:rsidP="00A740D1">
      <w:pPr>
        <w:rPr>
          <w:sz w:val="20"/>
          <w:szCs w:val="20"/>
        </w:rPr>
      </w:pPr>
    </w:p>
    <w:p w:rsidR="00A740D1" w:rsidRDefault="00BF3B03" w:rsidP="00A740D1">
      <w:pPr>
        <w:rPr>
          <w:sz w:val="20"/>
          <w:szCs w:val="20"/>
        </w:rPr>
      </w:pPr>
      <w:r w:rsidRPr="00BF3B03">
        <w:rPr>
          <w:sz w:val="20"/>
          <w:szCs w:val="20"/>
          <w:lang w:val="fr-CA"/>
        </w:rPr>
        <w:pict>
          <v:rect id="_x0000_i1065" style="width:2in;height:1pt" o:hrpct="0" o:hralign="center" o:hrstd="t" o:hrnoshade="t" o:hr="t" fillcolor="black [3213]" stroked="f"/>
        </w:pict>
      </w:r>
    </w:p>
    <w:p w:rsidR="00A740D1" w:rsidRDefault="00A740D1" w:rsidP="00A740D1">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A37D8" w:rsidRPr="00B9404B" w:rsidTr="00BA37D8">
        <w:trPr>
          <w:cantSplit/>
        </w:trPr>
        <w:tc>
          <w:tcPr>
            <w:tcW w:w="1458" w:type="dxa"/>
          </w:tcPr>
          <w:p w:rsidR="00BA37D8" w:rsidRPr="00B9404B" w:rsidRDefault="00BA37D8" w:rsidP="00BA37D8">
            <w:pPr>
              <w:rPr>
                <w:sz w:val="20"/>
                <w:szCs w:val="20"/>
              </w:rPr>
            </w:pPr>
            <w:r w:rsidRPr="00B9404B">
              <w:rPr>
                <w:rStyle w:val="SCCFileNumberChar"/>
                <w:sz w:val="20"/>
                <w:szCs w:val="20"/>
              </w:rPr>
              <w:t>34904</w:t>
            </w:r>
          </w:p>
          <w:p w:rsidR="00BA37D8" w:rsidRPr="00B9404B" w:rsidRDefault="00BA37D8" w:rsidP="00BA37D8">
            <w:pPr>
              <w:rPr>
                <w:b/>
                <w:sz w:val="20"/>
                <w:szCs w:val="20"/>
                <w:lang w:val="fr-CA"/>
              </w:rPr>
            </w:pPr>
          </w:p>
        </w:tc>
        <w:tc>
          <w:tcPr>
            <w:tcW w:w="8118" w:type="dxa"/>
          </w:tcPr>
          <w:p w:rsidR="00BA37D8" w:rsidRPr="00B9404B" w:rsidRDefault="00BA37D8" w:rsidP="00BA37D8">
            <w:pPr>
              <w:jc w:val="both"/>
              <w:rPr>
                <w:sz w:val="20"/>
                <w:szCs w:val="20"/>
              </w:rPr>
            </w:pPr>
            <w:r w:rsidRPr="00BA37D8">
              <w:rPr>
                <w:rStyle w:val="SCCLsocChar"/>
                <w:sz w:val="20"/>
                <w:szCs w:val="20"/>
                <w:lang w:val="en-CA"/>
              </w:rPr>
              <w:t>Mary Ann Bender v. Her Majesty the Queen AND BETWEEN Michael Custance v. Her Majesty the Queen</w:t>
            </w:r>
            <w:r w:rsidRPr="00B9404B">
              <w:rPr>
                <w:sz w:val="20"/>
                <w:szCs w:val="20"/>
              </w:rPr>
              <w:t xml:space="preserve"> (B.C.) (Civil) (By Leave)</w:t>
            </w:r>
          </w:p>
          <w:p w:rsidR="00BA37D8" w:rsidRPr="00B9404B" w:rsidRDefault="00BA37D8" w:rsidP="00BA37D8">
            <w:pPr>
              <w:rPr>
                <w:sz w:val="20"/>
                <w:szCs w:val="20"/>
              </w:rPr>
            </w:pPr>
          </w:p>
        </w:tc>
      </w:tr>
      <w:tr w:rsidR="00BA37D8" w:rsidRPr="00B9404B" w:rsidTr="00BA37D8">
        <w:trPr>
          <w:cantSplit/>
        </w:trPr>
        <w:tc>
          <w:tcPr>
            <w:tcW w:w="1458" w:type="dxa"/>
          </w:tcPr>
          <w:p w:rsidR="00BA37D8" w:rsidRPr="00B9404B" w:rsidRDefault="00BA37D8" w:rsidP="00BA37D8">
            <w:pPr>
              <w:rPr>
                <w:sz w:val="20"/>
                <w:szCs w:val="20"/>
              </w:rPr>
            </w:pPr>
            <w:r w:rsidRPr="00B9404B">
              <w:rPr>
                <w:sz w:val="20"/>
                <w:szCs w:val="20"/>
              </w:rPr>
              <w:t>Coram :</w:t>
            </w:r>
          </w:p>
        </w:tc>
        <w:tc>
          <w:tcPr>
            <w:tcW w:w="8118" w:type="dxa"/>
          </w:tcPr>
          <w:p w:rsidR="00BA37D8" w:rsidRPr="00B9404B" w:rsidRDefault="00BA37D8" w:rsidP="00BA37D8">
            <w:pPr>
              <w:rPr>
                <w:sz w:val="20"/>
                <w:szCs w:val="20"/>
              </w:rPr>
            </w:pPr>
            <w:r w:rsidRPr="00BA37D8">
              <w:rPr>
                <w:rStyle w:val="SCCCoramChar"/>
                <w:sz w:val="20"/>
                <w:szCs w:val="20"/>
                <w:lang w:val="en-CA"/>
              </w:rPr>
              <w:t>McLachlin C.J. and Rothstein and Moldaver JJ.</w:t>
            </w:r>
          </w:p>
          <w:p w:rsidR="00BA37D8" w:rsidRPr="00B9404B" w:rsidRDefault="00BA37D8" w:rsidP="00BA37D8">
            <w:pPr>
              <w:rPr>
                <w:sz w:val="20"/>
                <w:szCs w:val="20"/>
                <w:u w:val="single"/>
              </w:rPr>
            </w:pPr>
          </w:p>
        </w:tc>
      </w:tr>
      <w:tr w:rsidR="00BA37D8" w:rsidRPr="00DC2D1F" w:rsidTr="00BA37D8">
        <w:trPr>
          <w:cantSplit/>
        </w:trPr>
        <w:tc>
          <w:tcPr>
            <w:tcW w:w="9576" w:type="dxa"/>
            <w:gridSpan w:val="2"/>
          </w:tcPr>
          <w:p w:rsidR="00BA37D8" w:rsidRPr="00B9404B" w:rsidRDefault="00BA37D8" w:rsidP="00BA37D8">
            <w:pPr>
              <w:pStyle w:val="SCCShortJudgment"/>
              <w:rPr>
                <w:szCs w:val="20"/>
              </w:rPr>
            </w:pPr>
            <w:r w:rsidRPr="00B9404B">
              <w:rPr>
                <w:szCs w:val="20"/>
              </w:rPr>
              <w:t>The motion for an extension of time to serve and file the application for leave to appeal is granted.  The application for leave to appeal from the judgment of the Court of Appeal for British Columbia (Vancouver), Numbers CA039104 and CA039105, 2012 BCCA 93, dated March 1, 2012, is dismissed without costs.</w:t>
            </w:r>
          </w:p>
          <w:p w:rsidR="00BA37D8" w:rsidRPr="00B9404B" w:rsidRDefault="00BA37D8" w:rsidP="00BA37D8">
            <w:pPr>
              <w:pStyle w:val="SCCShortJudgment"/>
              <w:ind w:firstLine="0"/>
              <w:rPr>
                <w:szCs w:val="20"/>
              </w:rPr>
            </w:pPr>
          </w:p>
          <w:p w:rsidR="00BA37D8" w:rsidRPr="00B9404B" w:rsidRDefault="00BA37D8" w:rsidP="00BA37D8">
            <w:pPr>
              <w:pStyle w:val="SCCShortJudgment"/>
              <w:rPr>
                <w:szCs w:val="20"/>
                <w:lang w:val="fr-CA"/>
              </w:rPr>
            </w:pPr>
            <w:r w:rsidRPr="00B9404B">
              <w:rPr>
                <w:szCs w:val="20"/>
                <w:lang w:val="fr-CA"/>
              </w:rPr>
              <w:t>La requête en prorogation du délai de signification et de dépôt de la demande d’autorisation d’appel est accueillie.  La demande d’autorisation d’appel de l’arrêt de la Cour d’appel de la Colombie-Britannique (Vancouver), numéros CA039104 et CA39105, 2012 BCCA 93, daté du 1er  mars 2012, est rejetée sans dépens.</w:t>
            </w:r>
          </w:p>
        </w:tc>
      </w:tr>
    </w:tbl>
    <w:p w:rsidR="00A740D1" w:rsidRPr="00BA37D8" w:rsidRDefault="00A740D1" w:rsidP="00A740D1">
      <w:pPr>
        <w:rPr>
          <w:sz w:val="20"/>
          <w:szCs w:val="20"/>
          <w:lang w:val="fr-CA"/>
        </w:rPr>
      </w:pPr>
    </w:p>
    <w:p w:rsidR="00A740D1" w:rsidRPr="001B157C" w:rsidRDefault="00A740D1" w:rsidP="00A740D1">
      <w:pPr>
        <w:rPr>
          <w:sz w:val="20"/>
          <w:szCs w:val="20"/>
          <w:u w:val="single"/>
        </w:rPr>
      </w:pPr>
      <w:r w:rsidRPr="001B157C">
        <w:rPr>
          <w:sz w:val="20"/>
          <w:szCs w:val="20"/>
          <w:u w:val="single"/>
        </w:rPr>
        <w:t>CASE SUMMARY</w:t>
      </w:r>
    </w:p>
    <w:p w:rsidR="00A740D1" w:rsidRDefault="00A740D1" w:rsidP="00A740D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111C9" w:rsidRPr="00201A3F" w:rsidTr="005B1F40">
        <w:tc>
          <w:tcPr>
            <w:tcW w:w="5000" w:type="pct"/>
            <w:gridSpan w:val="3"/>
          </w:tcPr>
          <w:p w:rsidR="008111C9" w:rsidRPr="00201A3F" w:rsidRDefault="008111C9" w:rsidP="005B1F40">
            <w:pPr>
              <w:jc w:val="both"/>
              <w:rPr>
                <w:rFonts w:eastAsia="Calibri"/>
                <w:sz w:val="20"/>
              </w:rPr>
            </w:pPr>
            <w:r w:rsidRPr="00201A3F">
              <w:rPr>
                <w:rFonts w:eastAsia="Calibri"/>
                <w:i/>
                <w:sz w:val="20"/>
              </w:rPr>
              <w:t>Charter</w:t>
            </w:r>
            <w:r w:rsidRPr="00201A3F">
              <w:rPr>
                <w:rFonts w:eastAsia="Calibri"/>
                <w:sz w:val="20"/>
              </w:rPr>
              <w:t xml:space="preserve"> — Appeals — Leave to appeal — Whether the Court of Appeal for British Columbia erred in denying the applicants’ application for leave to appeal their summary convictions </w:t>
            </w:r>
            <w:r w:rsidRPr="00201A3F">
              <w:rPr>
                <w:rFonts w:eastAsia="Calibri"/>
                <w:smallCaps/>
                <w:sz w:val="20"/>
              </w:rPr>
              <w:t xml:space="preserve">— </w:t>
            </w:r>
            <w:r w:rsidRPr="00201A3F">
              <w:rPr>
                <w:rFonts w:eastAsia="Calibri"/>
                <w:sz w:val="20"/>
              </w:rPr>
              <w:t xml:space="preserve">Right to life, liberty and security of the person — Right to a fair trial — Whether the Applicants’ rights under sections 7 and 11(d) of the </w:t>
            </w:r>
            <w:r w:rsidRPr="00201A3F">
              <w:rPr>
                <w:rFonts w:eastAsia="Calibri"/>
                <w:i/>
                <w:sz w:val="20"/>
              </w:rPr>
              <w:t>Charter</w:t>
            </w:r>
            <w:r w:rsidRPr="00201A3F">
              <w:rPr>
                <w:rFonts w:eastAsia="Calibri"/>
                <w:sz w:val="20"/>
              </w:rPr>
              <w:t xml:space="preserve"> were infringed </w:t>
            </w:r>
            <w:r w:rsidRPr="00201A3F">
              <w:rPr>
                <w:rFonts w:eastAsia="Calibri"/>
                <w:smallCaps/>
                <w:sz w:val="20"/>
              </w:rPr>
              <w:t xml:space="preserve">— </w:t>
            </w:r>
            <w:r w:rsidRPr="00201A3F">
              <w:rPr>
                <w:rFonts w:eastAsia="Calibri"/>
                <w:sz w:val="20"/>
              </w:rPr>
              <w:t xml:space="preserve">Whether the Respondent acted in good faith during the audit and legal proceeding — Whether the Respondent made proper disclosure — Whether there is evidence of an abuse of process on the part of the Respondent — Whether the Respondent abused its powers of audit and prosecution — Whether the Respondent interfered with the Applicants’ right of appeal — </w:t>
            </w:r>
            <w:r w:rsidRPr="00201A3F">
              <w:rPr>
                <w:rFonts w:eastAsia="Calibri"/>
                <w:i/>
                <w:sz w:val="20"/>
              </w:rPr>
              <w:t>Charter of Rights and Freedoms</w:t>
            </w:r>
            <w:r w:rsidRPr="00201A3F">
              <w:rPr>
                <w:rFonts w:eastAsia="Calibri"/>
                <w:sz w:val="20"/>
              </w:rPr>
              <w:t>, ss. 7 and 11(</w:t>
            </w:r>
            <w:r w:rsidRPr="00201A3F">
              <w:rPr>
                <w:rFonts w:eastAsia="Calibri"/>
                <w:i/>
                <w:sz w:val="20"/>
              </w:rPr>
              <w:t>d</w:t>
            </w:r>
            <w:r w:rsidRPr="00201A3F">
              <w:rPr>
                <w:rFonts w:eastAsia="Calibri"/>
                <w:sz w:val="20"/>
              </w:rPr>
              <w:t>)</w:t>
            </w:r>
          </w:p>
          <w:p w:rsidR="008111C9" w:rsidRPr="00201A3F" w:rsidRDefault="008111C9" w:rsidP="005B1F40">
            <w:pPr>
              <w:jc w:val="both"/>
              <w:rPr>
                <w:rFonts w:eastAsia="Calibri"/>
                <w:sz w:val="20"/>
              </w:rPr>
            </w:pPr>
          </w:p>
          <w:p w:rsidR="008111C9" w:rsidRPr="00201A3F" w:rsidRDefault="008111C9" w:rsidP="005B1F40">
            <w:pPr>
              <w:jc w:val="both"/>
              <w:rPr>
                <w:rFonts w:eastAsia="Calibri"/>
                <w:sz w:val="20"/>
              </w:rPr>
            </w:pPr>
            <w:r w:rsidRPr="00201A3F">
              <w:rPr>
                <w:rFonts w:eastAsia="Calibri"/>
                <w:sz w:val="20"/>
              </w:rPr>
              <w:lastRenderedPageBreak/>
              <w:t xml:space="preserve">The applicant Custance was convicted of three counts of making false statements in goods and services tax (GST) returns and four counts of fraud under the </w:t>
            </w:r>
            <w:r w:rsidRPr="00201A3F">
              <w:rPr>
                <w:rFonts w:eastAsia="Calibri"/>
                <w:i/>
                <w:sz w:val="20"/>
              </w:rPr>
              <w:t>Excise Tax Act</w:t>
            </w:r>
            <w:r w:rsidRPr="00201A3F">
              <w:rPr>
                <w:rFonts w:eastAsia="Calibri"/>
                <w:sz w:val="20"/>
              </w:rPr>
              <w:t xml:space="preserve">.  The applicant Bender was convicted of one count of making false statements in GST returns and one count of fraud.  On appeal, a summary conviction appeal judge dismissed an appeal from those convictions.  Leave to appeal was sought before the Court of Appeal from British Columbia. Leave was denied. </w:t>
            </w:r>
          </w:p>
        </w:tc>
      </w:tr>
      <w:tr w:rsidR="008111C9" w:rsidRPr="00201A3F" w:rsidTr="005B1F40">
        <w:tc>
          <w:tcPr>
            <w:tcW w:w="5000" w:type="pct"/>
            <w:gridSpan w:val="3"/>
          </w:tcPr>
          <w:p w:rsidR="008111C9" w:rsidRPr="00201A3F" w:rsidRDefault="008111C9" w:rsidP="005B1F40">
            <w:pPr>
              <w:jc w:val="both"/>
              <w:rPr>
                <w:rFonts w:eastAsia="Calibri"/>
                <w:sz w:val="20"/>
              </w:rPr>
            </w:pPr>
          </w:p>
        </w:tc>
      </w:tr>
      <w:tr w:rsidR="008111C9" w:rsidRPr="00201A3F" w:rsidTr="005B1F40">
        <w:tc>
          <w:tcPr>
            <w:tcW w:w="2427" w:type="pct"/>
          </w:tcPr>
          <w:p w:rsidR="008111C9" w:rsidRPr="00201A3F" w:rsidRDefault="008111C9" w:rsidP="005B1F40">
            <w:pPr>
              <w:jc w:val="both"/>
              <w:rPr>
                <w:rFonts w:eastAsia="Calibri"/>
                <w:sz w:val="20"/>
              </w:rPr>
            </w:pPr>
            <w:r w:rsidRPr="00201A3F">
              <w:rPr>
                <w:rFonts w:eastAsia="Calibri"/>
                <w:sz w:val="20"/>
              </w:rPr>
              <w:t>April 3, 2009</w:t>
            </w:r>
          </w:p>
          <w:p w:rsidR="008111C9" w:rsidRPr="00201A3F" w:rsidRDefault="008111C9" w:rsidP="005B1F40">
            <w:pPr>
              <w:jc w:val="both"/>
              <w:rPr>
                <w:rFonts w:eastAsia="Calibri"/>
                <w:sz w:val="20"/>
              </w:rPr>
            </w:pPr>
            <w:r w:rsidRPr="00201A3F">
              <w:rPr>
                <w:rFonts w:eastAsia="Calibri"/>
                <w:sz w:val="20"/>
              </w:rPr>
              <w:t>Provincial Court of British Columbia</w:t>
            </w:r>
          </w:p>
          <w:p w:rsidR="008111C9" w:rsidRPr="00201A3F" w:rsidRDefault="008111C9" w:rsidP="005B1F40">
            <w:pPr>
              <w:jc w:val="both"/>
              <w:rPr>
                <w:rFonts w:eastAsia="Calibri"/>
                <w:sz w:val="20"/>
              </w:rPr>
            </w:pPr>
            <w:r w:rsidRPr="00201A3F">
              <w:rPr>
                <w:rFonts w:eastAsia="Calibri"/>
                <w:sz w:val="20"/>
              </w:rPr>
              <w:t>(Harrison J.)</w:t>
            </w:r>
          </w:p>
          <w:p w:rsidR="008111C9" w:rsidRPr="00201A3F" w:rsidRDefault="008111C9" w:rsidP="005B1F40">
            <w:pPr>
              <w:jc w:val="both"/>
              <w:rPr>
                <w:rFonts w:eastAsia="Calibri"/>
                <w:sz w:val="20"/>
              </w:rPr>
            </w:pPr>
          </w:p>
        </w:tc>
        <w:tc>
          <w:tcPr>
            <w:tcW w:w="243" w:type="pct"/>
          </w:tcPr>
          <w:p w:rsidR="008111C9" w:rsidRPr="00201A3F" w:rsidRDefault="008111C9" w:rsidP="005B1F40">
            <w:pPr>
              <w:jc w:val="both"/>
              <w:rPr>
                <w:rFonts w:eastAsia="Calibri"/>
                <w:sz w:val="20"/>
              </w:rPr>
            </w:pPr>
          </w:p>
        </w:tc>
        <w:tc>
          <w:tcPr>
            <w:tcW w:w="2330" w:type="pct"/>
          </w:tcPr>
          <w:p w:rsidR="008111C9" w:rsidRPr="00201A3F" w:rsidRDefault="008111C9" w:rsidP="005B1F40">
            <w:pPr>
              <w:jc w:val="both"/>
              <w:rPr>
                <w:rFonts w:eastAsia="Calibri"/>
                <w:sz w:val="20"/>
              </w:rPr>
            </w:pPr>
            <w:r w:rsidRPr="00201A3F">
              <w:rPr>
                <w:rFonts w:eastAsia="Calibri"/>
                <w:sz w:val="20"/>
              </w:rPr>
              <w:t xml:space="preserve">Applicants convicted of making false statements in GST returns and fraud </w:t>
            </w:r>
          </w:p>
        </w:tc>
      </w:tr>
      <w:tr w:rsidR="008111C9" w:rsidRPr="00201A3F" w:rsidTr="005B1F40">
        <w:tc>
          <w:tcPr>
            <w:tcW w:w="2427" w:type="pct"/>
          </w:tcPr>
          <w:p w:rsidR="008111C9" w:rsidRPr="00201A3F" w:rsidRDefault="008111C9" w:rsidP="005B1F40">
            <w:pPr>
              <w:jc w:val="both"/>
              <w:rPr>
                <w:rFonts w:eastAsia="Calibri"/>
                <w:sz w:val="20"/>
              </w:rPr>
            </w:pPr>
            <w:r w:rsidRPr="00201A3F">
              <w:rPr>
                <w:rFonts w:eastAsia="Calibri"/>
                <w:sz w:val="20"/>
              </w:rPr>
              <w:t>April 26, 2011</w:t>
            </w:r>
          </w:p>
          <w:p w:rsidR="008111C9" w:rsidRPr="00201A3F" w:rsidRDefault="008111C9" w:rsidP="005B1F40">
            <w:pPr>
              <w:jc w:val="both"/>
              <w:rPr>
                <w:rFonts w:eastAsia="Calibri"/>
                <w:sz w:val="20"/>
              </w:rPr>
            </w:pPr>
            <w:r w:rsidRPr="00201A3F">
              <w:rPr>
                <w:rFonts w:eastAsia="Calibri"/>
                <w:sz w:val="20"/>
              </w:rPr>
              <w:t>Supreme Court of British Columbia</w:t>
            </w:r>
          </w:p>
          <w:p w:rsidR="008111C9" w:rsidRPr="00201A3F" w:rsidRDefault="008111C9" w:rsidP="005B1F40">
            <w:pPr>
              <w:jc w:val="both"/>
              <w:rPr>
                <w:rFonts w:eastAsia="Calibri"/>
                <w:sz w:val="20"/>
              </w:rPr>
            </w:pPr>
            <w:r w:rsidRPr="00201A3F">
              <w:rPr>
                <w:rFonts w:eastAsia="Calibri"/>
                <w:sz w:val="20"/>
              </w:rPr>
              <w:t xml:space="preserve">(Burnyeat J.) </w:t>
            </w:r>
          </w:p>
          <w:p w:rsidR="008111C9" w:rsidRPr="00201A3F" w:rsidRDefault="008111C9" w:rsidP="005B1F40">
            <w:pPr>
              <w:jc w:val="both"/>
              <w:rPr>
                <w:rFonts w:eastAsia="Calibri"/>
                <w:sz w:val="20"/>
              </w:rPr>
            </w:pPr>
            <w:r w:rsidRPr="00201A3F">
              <w:rPr>
                <w:rFonts w:eastAsia="Calibri"/>
                <w:sz w:val="20"/>
              </w:rPr>
              <w:t>2011 BCSC 519</w:t>
            </w:r>
          </w:p>
          <w:p w:rsidR="008111C9" w:rsidRPr="00201A3F" w:rsidRDefault="008111C9" w:rsidP="005B1F40">
            <w:pPr>
              <w:jc w:val="both"/>
              <w:rPr>
                <w:rFonts w:eastAsia="Calibri"/>
                <w:sz w:val="20"/>
              </w:rPr>
            </w:pPr>
          </w:p>
        </w:tc>
        <w:tc>
          <w:tcPr>
            <w:tcW w:w="243" w:type="pct"/>
          </w:tcPr>
          <w:p w:rsidR="008111C9" w:rsidRPr="00201A3F" w:rsidRDefault="008111C9" w:rsidP="005B1F40">
            <w:pPr>
              <w:jc w:val="both"/>
              <w:rPr>
                <w:rFonts w:eastAsia="Calibri"/>
                <w:sz w:val="20"/>
              </w:rPr>
            </w:pPr>
          </w:p>
        </w:tc>
        <w:tc>
          <w:tcPr>
            <w:tcW w:w="2330" w:type="pct"/>
          </w:tcPr>
          <w:p w:rsidR="008111C9" w:rsidRPr="00201A3F" w:rsidRDefault="008111C9" w:rsidP="005B1F40">
            <w:pPr>
              <w:jc w:val="both"/>
              <w:rPr>
                <w:rFonts w:eastAsia="Calibri"/>
                <w:sz w:val="20"/>
              </w:rPr>
            </w:pPr>
            <w:r w:rsidRPr="00201A3F">
              <w:rPr>
                <w:rFonts w:eastAsia="Calibri"/>
                <w:sz w:val="20"/>
              </w:rPr>
              <w:t>Appeal of summary conviction dismissed</w:t>
            </w:r>
          </w:p>
        </w:tc>
      </w:tr>
      <w:tr w:rsidR="008111C9" w:rsidRPr="00201A3F" w:rsidTr="005B1F40">
        <w:tc>
          <w:tcPr>
            <w:tcW w:w="2427" w:type="pct"/>
          </w:tcPr>
          <w:p w:rsidR="008111C9" w:rsidRPr="00201A3F" w:rsidRDefault="008111C9" w:rsidP="005B1F40">
            <w:pPr>
              <w:jc w:val="both"/>
              <w:rPr>
                <w:rFonts w:eastAsia="Calibri"/>
                <w:sz w:val="20"/>
              </w:rPr>
            </w:pPr>
            <w:r w:rsidRPr="00201A3F">
              <w:rPr>
                <w:rFonts w:eastAsia="Calibri"/>
                <w:sz w:val="20"/>
              </w:rPr>
              <w:t>March 1, 2012</w:t>
            </w:r>
          </w:p>
          <w:p w:rsidR="008111C9" w:rsidRPr="00201A3F" w:rsidRDefault="008111C9" w:rsidP="005B1F40">
            <w:pPr>
              <w:jc w:val="both"/>
              <w:rPr>
                <w:rFonts w:eastAsia="Calibri"/>
                <w:sz w:val="20"/>
              </w:rPr>
            </w:pPr>
            <w:r w:rsidRPr="00201A3F">
              <w:rPr>
                <w:rFonts w:eastAsia="Calibri"/>
                <w:sz w:val="20"/>
              </w:rPr>
              <w:t xml:space="preserve">Court of Appeal for British Columbia </w:t>
            </w:r>
          </w:p>
          <w:p w:rsidR="008111C9" w:rsidRPr="00201A3F" w:rsidRDefault="008111C9" w:rsidP="005B1F40">
            <w:pPr>
              <w:jc w:val="both"/>
              <w:rPr>
                <w:rFonts w:eastAsia="Calibri"/>
                <w:sz w:val="20"/>
              </w:rPr>
            </w:pPr>
            <w:r w:rsidRPr="00201A3F">
              <w:rPr>
                <w:rFonts w:eastAsia="Calibri"/>
                <w:sz w:val="20"/>
              </w:rPr>
              <w:t>(Vancouver)</w:t>
            </w:r>
          </w:p>
          <w:p w:rsidR="008111C9" w:rsidRPr="00201A3F" w:rsidRDefault="008111C9" w:rsidP="005B1F40">
            <w:pPr>
              <w:jc w:val="both"/>
              <w:rPr>
                <w:rFonts w:eastAsia="Calibri"/>
                <w:sz w:val="20"/>
              </w:rPr>
            </w:pPr>
            <w:r w:rsidRPr="00201A3F">
              <w:rPr>
                <w:rFonts w:eastAsia="Calibri"/>
                <w:sz w:val="20"/>
              </w:rPr>
              <w:t>(Hinkson J.A.)</w:t>
            </w:r>
          </w:p>
          <w:p w:rsidR="008111C9" w:rsidRPr="00201A3F" w:rsidRDefault="008111C9" w:rsidP="005B1F40">
            <w:pPr>
              <w:jc w:val="both"/>
              <w:rPr>
                <w:rFonts w:eastAsia="Calibri"/>
                <w:sz w:val="20"/>
              </w:rPr>
            </w:pPr>
            <w:r w:rsidRPr="00201A3F">
              <w:rPr>
                <w:rFonts w:eastAsia="Calibri"/>
                <w:sz w:val="20"/>
              </w:rPr>
              <w:t>2012 BCCA 93</w:t>
            </w:r>
          </w:p>
          <w:p w:rsidR="008111C9" w:rsidRPr="00201A3F" w:rsidRDefault="008111C9" w:rsidP="005B1F40">
            <w:pPr>
              <w:jc w:val="both"/>
              <w:rPr>
                <w:rFonts w:eastAsia="Calibri"/>
                <w:sz w:val="20"/>
              </w:rPr>
            </w:pPr>
          </w:p>
        </w:tc>
        <w:tc>
          <w:tcPr>
            <w:tcW w:w="243" w:type="pct"/>
          </w:tcPr>
          <w:p w:rsidR="008111C9" w:rsidRPr="00201A3F" w:rsidRDefault="008111C9" w:rsidP="005B1F40">
            <w:pPr>
              <w:jc w:val="both"/>
              <w:rPr>
                <w:rFonts w:eastAsia="Calibri"/>
                <w:sz w:val="20"/>
              </w:rPr>
            </w:pPr>
          </w:p>
        </w:tc>
        <w:tc>
          <w:tcPr>
            <w:tcW w:w="2330" w:type="pct"/>
          </w:tcPr>
          <w:p w:rsidR="008111C9" w:rsidRPr="00201A3F" w:rsidRDefault="008111C9" w:rsidP="005B1F40">
            <w:pPr>
              <w:jc w:val="both"/>
              <w:rPr>
                <w:rFonts w:eastAsia="Calibri"/>
                <w:sz w:val="20"/>
              </w:rPr>
            </w:pPr>
            <w:r w:rsidRPr="00201A3F">
              <w:rPr>
                <w:rFonts w:eastAsia="Calibri"/>
                <w:sz w:val="20"/>
              </w:rPr>
              <w:t>Application for leave to appeal dismissed</w:t>
            </w:r>
          </w:p>
          <w:p w:rsidR="008111C9" w:rsidRPr="00201A3F" w:rsidRDefault="008111C9" w:rsidP="005B1F40">
            <w:pPr>
              <w:jc w:val="both"/>
              <w:rPr>
                <w:rFonts w:eastAsia="Calibri"/>
                <w:sz w:val="20"/>
              </w:rPr>
            </w:pPr>
          </w:p>
        </w:tc>
      </w:tr>
      <w:tr w:rsidR="008111C9" w:rsidRPr="00201A3F" w:rsidTr="005B1F40">
        <w:tc>
          <w:tcPr>
            <w:tcW w:w="2427" w:type="pct"/>
          </w:tcPr>
          <w:p w:rsidR="008111C9" w:rsidRPr="00201A3F" w:rsidRDefault="008111C9" w:rsidP="005B1F40">
            <w:pPr>
              <w:jc w:val="both"/>
              <w:rPr>
                <w:rFonts w:eastAsia="Calibri"/>
                <w:sz w:val="20"/>
              </w:rPr>
            </w:pPr>
            <w:r w:rsidRPr="00201A3F">
              <w:rPr>
                <w:rFonts w:eastAsia="Calibri"/>
                <w:sz w:val="20"/>
              </w:rPr>
              <w:t>May 3, 2012</w:t>
            </w:r>
          </w:p>
          <w:p w:rsidR="008111C9" w:rsidRPr="00201A3F" w:rsidRDefault="008111C9" w:rsidP="005B1F40">
            <w:pPr>
              <w:jc w:val="both"/>
              <w:rPr>
                <w:rFonts w:eastAsia="Calibri"/>
                <w:sz w:val="20"/>
              </w:rPr>
            </w:pPr>
            <w:r w:rsidRPr="00201A3F">
              <w:rPr>
                <w:rFonts w:eastAsia="Calibri"/>
                <w:sz w:val="20"/>
              </w:rPr>
              <w:t>Supreme Court of Canada</w:t>
            </w:r>
          </w:p>
          <w:p w:rsidR="008111C9" w:rsidRPr="00201A3F" w:rsidRDefault="008111C9" w:rsidP="005B1F40">
            <w:pPr>
              <w:jc w:val="both"/>
              <w:rPr>
                <w:rFonts w:eastAsia="Calibri"/>
                <w:sz w:val="20"/>
              </w:rPr>
            </w:pPr>
          </w:p>
        </w:tc>
        <w:tc>
          <w:tcPr>
            <w:tcW w:w="243" w:type="pct"/>
          </w:tcPr>
          <w:p w:rsidR="008111C9" w:rsidRPr="00201A3F" w:rsidRDefault="008111C9" w:rsidP="005B1F40">
            <w:pPr>
              <w:jc w:val="both"/>
              <w:rPr>
                <w:rFonts w:eastAsia="Calibri"/>
                <w:sz w:val="20"/>
              </w:rPr>
            </w:pPr>
          </w:p>
        </w:tc>
        <w:tc>
          <w:tcPr>
            <w:tcW w:w="2330" w:type="pct"/>
          </w:tcPr>
          <w:p w:rsidR="008111C9" w:rsidRPr="00201A3F" w:rsidRDefault="008111C9" w:rsidP="005B1F40">
            <w:pPr>
              <w:jc w:val="both"/>
              <w:rPr>
                <w:rFonts w:eastAsia="Calibri"/>
                <w:sz w:val="20"/>
              </w:rPr>
            </w:pPr>
            <w:r w:rsidRPr="00201A3F">
              <w:rPr>
                <w:rFonts w:eastAsia="Calibri"/>
                <w:sz w:val="20"/>
              </w:rPr>
              <w:t>Application for leave to appeal filed</w:t>
            </w:r>
          </w:p>
        </w:tc>
      </w:tr>
      <w:tr w:rsidR="008111C9" w:rsidRPr="00201A3F" w:rsidTr="005B1F40">
        <w:tc>
          <w:tcPr>
            <w:tcW w:w="2427" w:type="pct"/>
          </w:tcPr>
          <w:p w:rsidR="008111C9" w:rsidRPr="00201A3F" w:rsidRDefault="008111C9" w:rsidP="005B1F40">
            <w:pPr>
              <w:jc w:val="both"/>
              <w:rPr>
                <w:rFonts w:eastAsia="Calibri"/>
                <w:sz w:val="20"/>
              </w:rPr>
            </w:pPr>
            <w:r w:rsidRPr="00201A3F">
              <w:rPr>
                <w:rFonts w:eastAsia="Calibri"/>
                <w:sz w:val="20"/>
              </w:rPr>
              <w:t>July 26, 2012</w:t>
            </w:r>
          </w:p>
          <w:p w:rsidR="008111C9" w:rsidRPr="00201A3F" w:rsidRDefault="008111C9" w:rsidP="005B1F40">
            <w:pPr>
              <w:jc w:val="both"/>
              <w:rPr>
                <w:rFonts w:eastAsia="Calibri"/>
                <w:sz w:val="20"/>
              </w:rPr>
            </w:pPr>
            <w:r w:rsidRPr="00201A3F">
              <w:rPr>
                <w:rFonts w:eastAsia="Calibri"/>
                <w:sz w:val="20"/>
              </w:rPr>
              <w:t>Supreme Court of Canada</w:t>
            </w:r>
          </w:p>
        </w:tc>
        <w:tc>
          <w:tcPr>
            <w:tcW w:w="243" w:type="pct"/>
          </w:tcPr>
          <w:p w:rsidR="008111C9" w:rsidRPr="00201A3F" w:rsidRDefault="008111C9" w:rsidP="005B1F40">
            <w:pPr>
              <w:jc w:val="both"/>
              <w:rPr>
                <w:rFonts w:eastAsia="Calibri"/>
                <w:sz w:val="20"/>
              </w:rPr>
            </w:pPr>
          </w:p>
        </w:tc>
        <w:tc>
          <w:tcPr>
            <w:tcW w:w="2330" w:type="pct"/>
          </w:tcPr>
          <w:p w:rsidR="008111C9" w:rsidRPr="00201A3F" w:rsidRDefault="008111C9" w:rsidP="005B1F40">
            <w:pPr>
              <w:jc w:val="both"/>
              <w:rPr>
                <w:rFonts w:eastAsia="Calibri"/>
                <w:sz w:val="20"/>
              </w:rPr>
            </w:pPr>
            <w:r w:rsidRPr="00201A3F">
              <w:rPr>
                <w:rFonts w:eastAsia="Calibri"/>
                <w:sz w:val="20"/>
              </w:rPr>
              <w:t>Motion for an extension of time to file and serve the application for leave to appeal filed</w:t>
            </w:r>
          </w:p>
        </w:tc>
      </w:tr>
    </w:tbl>
    <w:p w:rsidR="00A740D1" w:rsidRDefault="00A740D1" w:rsidP="00A740D1">
      <w:pPr>
        <w:rPr>
          <w:sz w:val="20"/>
          <w:szCs w:val="20"/>
        </w:rPr>
      </w:pPr>
    </w:p>
    <w:p w:rsidR="00A740D1" w:rsidRPr="00C50A5C" w:rsidRDefault="00BF3B03" w:rsidP="00A740D1">
      <w:pPr>
        <w:rPr>
          <w:sz w:val="20"/>
          <w:szCs w:val="20"/>
        </w:rPr>
      </w:pPr>
      <w:r w:rsidRPr="00BF3B03">
        <w:rPr>
          <w:sz w:val="20"/>
          <w:szCs w:val="20"/>
          <w:lang w:val="fr-CA"/>
        </w:rPr>
        <w:pict>
          <v:rect id="_x0000_i1066" style="width:2in;height:1pt" o:hrpct="0" o:hralign="center" o:hrstd="t" o:hrnoshade="t" o:hr="t" fillcolor="black [3213]" stroked="f"/>
        </w:pict>
      </w:r>
    </w:p>
    <w:p w:rsidR="00A740D1" w:rsidRDefault="00A740D1" w:rsidP="00A740D1">
      <w:pPr>
        <w:rPr>
          <w:sz w:val="20"/>
          <w:szCs w:val="20"/>
        </w:rPr>
      </w:pPr>
    </w:p>
    <w:p w:rsidR="00A740D1" w:rsidRPr="001B157C" w:rsidRDefault="00A740D1" w:rsidP="00A740D1">
      <w:pPr>
        <w:rPr>
          <w:sz w:val="20"/>
          <w:szCs w:val="20"/>
          <w:u w:val="single"/>
          <w:lang w:val="fr-CA"/>
        </w:rPr>
      </w:pPr>
      <w:r w:rsidRPr="001B157C">
        <w:rPr>
          <w:sz w:val="20"/>
          <w:szCs w:val="20"/>
          <w:u w:val="single"/>
          <w:lang w:val="fr-CA"/>
        </w:rPr>
        <w:t>RÉSUMÉ DE L’AFFAIRE</w:t>
      </w:r>
    </w:p>
    <w:p w:rsidR="00A740D1" w:rsidRDefault="00A740D1" w:rsidP="00A740D1">
      <w:pPr>
        <w:rPr>
          <w:sz w:val="20"/>
          <w:szCs w:val="20"/>
        </w:rPr>
      </w:pPr>
    </w:p>
    <w:tbl>
      <w:tblPr>
        <w:tblW w:w="4952" w:type="pct"/>
        <w:tblLayout w:type="fixed"/>
        <w:tblCellMar>
          <w:left w:w="0" w:type="dxa"/>
          <w:bottom w:w="99" w:type="dxa"/>
          <w:right w:w="0" w:type="dxa"/>
        </w:tblCellMar>
        <w:tblLook w:val="00A0"/>
      </w:tblPr>
      <w:tblGrid>
        <w:gridCol w:w="4625"/>
        <w:gridCol w:w="278"/>
        <w:gridCol w:w="4624"/>
      </w:tblGrid>
      <w:tr w:rsidR="008111C9" w:rsidRPr="00201A3F" w:rsidTr="005B1F40">
        <w:tc>
          <w:tcPr>
            <w:tcW w:w="5000" w:type="pct"/>
            <w:gridSpan w:val="3"/>
          </w:tcPr>
          <w:p w:rsidR="008111C9" w:rsidRPr="00201A3F" w:rsidRDefault="008111C9" w:rsidP="005B1F40">
            <w:pPr>
              <w:jc w:val="both"/>
              <w:rPr>
                <w:rFonts w:eastAsia="Calibri"/>
                <w:sz w:val="20"/>
                <w:lang w:val="fr-CA"/>
              </w:rPr>
            </w:pPr>
            <w:r w:rsidRPr="00201A3F">
              <w:rPr>
                <w:rFonts w:eastAsia="Calibri"/>
                <w:i/>
                <w:sz w:val="20"/>
                <w:lang w:val="fr-CA"/>
              </w:rPr>
              <w:t>Charte</w:t>
            </w:r>
            <w:r w:rsidRPr="00201A3F">
              <w:rPr>
                <w:rFonts w:eastAsia="Calibri"/>
                <w:sz w:val="20"/>
                <w:lang w:val="fr-CA"/>
              </w:rPr>
              <w:t xml:space="preserve"> — Appels — Autorisation d'appel — La Cour d'appel de la Colombie</w:t>
            </w:r>
            <w:r w:rsidRPr="00201A3F">
              <w:rPr>
                <w:rFonts w:eastAsia="Calibri"/>
                <w:sz w:val="20"/>
                <w:lang w:val="fr-CA"/>
              </w:rPr>
              <w:noBreakHyphen/>
              <w:t>Britannique a</w:t>
            </w:r>
            <w:r w:rsidRPr="00201A3F">
              <w:rPr>
                <w:rFonts w:eastAsia="Calibri"/>
                <w:sz w:val="20"/>
                <w:lang w:val="fr-CA"/>
              </w:rPr>
              <w:noBreakHyphen/>
              <w:t>t</w:t>
            </w:r>
            <w:r w:rsidRPr="00201A3F">
              <w:rPr>
                <w:rFonts w:eastAsia="Calibri"/>
                <w:sz w:val="20"/>
                <w:lang w:val="fr-CA"/>
              </w:rPr>
              <w:noBreakHyphen/>
              <w:t xml:space="preserve">elle eu tort de rejeter la demande d'autorisation d'appel des demandeurs de leur déclaration de culpabilité par procédure sommaire? </w:t>
            </w:r>
            <w:r w:rsidRPr="00201A3F">
              <w:rPr>
                <w:rFonts w:eastAsia="Calibri"/>
                <w:i/>
                <w:sz w:val="20"/>
                <w:lang w:val="fr-CA"/>
              </w:rPr>
              <w:t>—</w:t>
            </w:r>
            <w:r w:rsidRPr="00201A3F">
              <w:rPr>
                <w:rFonts w:eastAsia="Calibri"/>
                <w:sz w:val="20"/>
                <w:lang w:val="fr-CA"/>
              </w:rPr>
              <w:t xml:space="preserve"> Droit à la vie, à la liberté et à la sécurité de la personne — Droit à un procès équitable — Y a</w:t>
            </w:r>
            <w:r w:rsidRPr="00201A3F">
              <w:rPr>
                <w:rFonts w:eastAsia="Calibri"/>
                <w:sz w:val="20"/>
                <w:lang w:val="fr-CA"/>
              </w:rPr>
              <w:noBreakHyphen/>
              <w:t>t</w:t>
            </w:r>
            <w:r w:rsidRPr="00201A3F">
              <w:rPr>
                <w:rFonts w:eastAsia="Calibri"/>
                <w:sz w:val="20"/>
                <w:lang w:val="fr-CA"/>
              </w:rPr>
              <w:noBreakHyphen/>
              <w:t xml:space="preserve">il eu atteinte aux droits des demandeurs garantis par </w:t>
            </w:r>
            <w:proofErr w:type="gramStart"/>
            <w:r w:rsidRPr="00201A3F">
              <w:rPr>
                <w:rFonts w:eastAsia="Calibri"/>
                <w:sz w:val="20"/>
                <w:lang w:val="fr-CA"/>
              </w:rPr>
              <w:t>les art</w:t>
            </w:r>
            <w:proofErr w:type="gramEnd"/>
            <w:r w:rsidRPr="00201A3F">
              <w:rPr>
                <w:rFonts w:eastAsia="Calibri"/>
                <w:sz w:val="20"/>
                <w:lang w:val="fr-CA"/>
              </w:rPr>
              <w:t>. 7 et 11</w:t>
            </w:r>
            <w:r w:rsidRPr="00201A3F">
              <w:rPr>
                <w:rFonts w:eastAsia="Calibri"/>
                <w:i/>
                <w:sz w:val="20"/>
                <w:lang w:val="fr-CA"/>
              </w:rPr>
              <w:t>d</w:t>
            </w:r>
            <w:r w:rsidRPr="00201A3F">
              <w:rPr>
                <w:rFonts w:eastAsia="Calibri"/>
                <w:sz w:val="20"/>
                <w:lang w:val="fr-CA"/>
              </w:rPr>
              <w:t xml:space="preserve">) de la </w:t>
            </w:r>
            <w:r w:rsidRPr="00201A3F">
              <w:rPr>
                <w:rFonts w:eastAsia="Calibri"/>
                <w:i/>
                <w:sz w:val="20"/>
                <w:lang w:val="fr-CA"/>
              </w:rPr>
              <w:t>Charte</w:t>
            </w:r>
            <w:r w:rsidRPr="00201A3F">
              <w:rPr>
                <w:rFonts w:eastAsia="Calibri"/>
                <w:sz w:val="20"/>
                <w:lang w:val="fr-CA"/>
              </w:rPr>
              <w:t xml:space="preserve">? </w:t>
            </w:r>
            <w:r w:rsidRPr="00201A3F">
              <w:rPr>
                <w:rFonts w:eastAsia="Calibri"/>
                <w:i/>
                <w:sz w:val="20"/>
                <w:lang w:val="fr-CA"/>
              </w:rPr>
              <w:t>—</w:t>
            </w:r>
            <w:r w:rsidRPr="00201A3F">
              <w:rPr>
                <w:rFonts w:eastAsia="Calibri"/>
                <w:sz w:val="20"/>
                <w:lang w:val="fr-CA"/>
              </w:rPr>
              <w:t xml:space="preserve"> L'intimée a</w:t>
            </w:r>
            <w:r w:rsidRPr="00201A3F">
              <w:rPr>
                <w:rFonts w:eastAsia="Calibri"/>
                <w:sz w:val="20"/>
                <w:lang w:val="fr-CA"/>
              </w:rPr>
              <w:noBreakHyphen/>
              <w:t>t</w:t>
            </w:r>
            <w:r w:rsidRPr="00201A3F">
              <w:rPr>
                <w:rFonts w:eastAsia="Calibri"/>
                <w:sz w:val="20"/>
                <w:lang w:val="fr-CA"/>
              </w:rPr>
              <w:noBreakHyphen/>
              <w:t>elle agi de bonne foi pendant les vérifications et l'instance judiciaire? — L'intimée a</w:t>
            </w:r>
            <w:r w:rsidRPr="00201A3F">
              <w:rPr>
                <w:rFonts w:eastAsia="Calibri"/>
                <w:sz w:val="20"/>
                <w:lang w:val="fr-CA"/>
              </w:rPr>
              <w:noBreakHyphen/>
              <w:t>t</w:t>
            </w:r>
            <w:r w:rsidRPr="00201A3F">
              <w:rPr>
                <w:rFonts w:eastAsia="Calibri"/>
                <w:sz w:val="20"/>
                <w:lang w:val="fr-CA"/>
              </w:rPr>
              <w:noBreakHyphen/>
              <w:t>elle fait une divulgation adéquate? — Y a</w:t>
            </w:r>
            <w:r w:rsidRPr="00201A3F">
              <w:rPr>
                <w:rFonts w:eastAsia="Calibri"/>
                <w:sz w:val="20"/>
                <w:lang w:val="fr-CA"/>
              </w:rPr>
              <w:noBreakHyphen/>
              <w:t>t</w:t>
            </w:r>
            <w:r w:rsidRPr="00201A3F">
              <w:rPr>
                <w:rFonts w:eastAsia="Calibri"/>
                <w:sz w:val="20"/>
                <w:lang w:val="fr-CA"/>
              </w:rPr>
              <w:noBreakHyphen/>
              <w:t>il une preuve d'abus de procédure de la part de l'intimée? — L'intimée a</w:t>
            </w:r>
            <w:r w:rsidRPr="00201A3F">
              <w:rPr>
                <w:rFonts w:eastAsia="Calibri"/>
                <w:sz w:val="20"/>
                <w:lang w:val="fr-CA"/>
              </w:rPr>
              <w:noBreakHyphen/>
              <w:t>t</w:t>
            </w:r>
            <w:r w:rsidRPr="00201A3F">
              <w:rPr>
                <w:rFonts w:eastAsia="Calibri"/>
                <w:sz w:val="20"/>
                <w:lang w:val="fr-CA"/>
              </w:rPr>
              <w:noBreakHyphen/>
              <w:t>elle abusé de ses pouvoirs de vérification et de poursuite? — L'intimé a</w:t>
            </w:r>
            <w:r w:rsidRPr="00201A3F">
              <w:rPr>
                <w:rFonts w:eastAsia="Calibri"/>
                <w:sz w:val="20"/>
                <w:lang w:val="fr-CA"/>
              </w:rPr>
              <w:noBreakHyphen/>
              <w:t>t</w:t>
            </w:r>
            <w:r w:rsidRPr="00201A3F">
              <w:rPr>
                <w:rFonts w:eastAsia="Calibri"/>
                <w:sz w:val="20"/>
                <w:lang w:val="fr-CA"/>
              </w:rPr>
              <w:noBreakHyphen/>
              <w:t>elle fait obstacle au droit d'appel des demandeurs? —</w:t>
            </w:r>
            <w:r w:rsidRPr="00201A3F">
              <w:rPr>
                <w:rFonts w:eastAsia="Calibri"/>
                <w:i/>
                <w:sz w:val="20"/>
                <w:lang w:val="fr-CA"/>
              </w:rPr>
              <w:t xml:space="preserve"> Charte des droits et libertés</w:t>
            </w:r>
            <w:r w:rsidRPr="00201A3F">
              <w:rPr>
                <w:rFonts w:eastAsia="Calibri"/>
                <w:sz w:val="20"/>
                <w:lang w:val="fr-CA"/>
              </w:rPr>
              <w:t>, art. 7 et 11</w:t>
            </w:r>
            <w:r w:rsidRPr="00201A3F">
              <w:rPr>
                <w:rFonts w:eastAsia="Calibri"/>
                <w:i/>
                <w:sz w:val="20"/>
                <w:lang w:val="fr-CA"/>
              </w:rPr>
              <w:t>d</w:t>
            </w:r>
            <w:r w:rsidRPr="00201A3F">
              <w:rPr>
                <w:rFonts w:eastAsia="Calibri"/>
                <w:sz w:val="20"/>
                <w:lang w:val="fr-CA"/>
              </w:rPr>
              <w:t>)</w:t>
            </w:r>
          </w:p>
          <w:p w:rsidR="008111C9" w:rsidRPr="00201A3F" w:rsidRDefault="008111C9" w:rsidP="005B1F40">
            <w:pPr>
              <w:jc w:val="both"/>
              <w:rPr>
                <w:rFonts w:eastAsia="Calibri"/>
                <w:sz w:val="20"/>
                <w:lang w:val="fr-CA"/>
              </w:rPr>
            </w:pPr>
          </w:p>
          <w:p w:rsidR="008111C9" w:rsidRPr="00201A3F" w:rsidRDefault="008111C9" w:rsidP="005B1F40">
            <w:pPr>
              <w:jc w:val="both"/>
              <w:rPr>
                <w:rFonts w:eastAsia="Calibri"/>
                <w:sz w:val="20"/>
                <w:lang w:val="fr-CA"/>
              </w:rPr>
            </w:pPr>
            <w:r w:rsidRPr="00201A3F">
              <w:rPr>
                <w:rFonts w:eastAsia="Calibri"/>
                <w:sz w:val="20"/>
                <w:lang w:val="fr-CA"/>
              </w:rPr>
              <w:t>Le demandeur, M. Custance a été déclaré coupable sous trois chefs de fausses déclarations de taxe sur les produits et services (TPS) et quatre chefs de fraude en vertu de la</w:t>
            </w:r>
            <w:r w:rsidRPr="00201A3F">
              <w:rPr>
                <w:rFonts w:eastAsia="Calibri"/>
                <w:i/>
                <w:sz w:val="20"/>
                <w:lang w:val="fr-CA"/>
              </w:rPr>
              <w:t xml:space="preserve"> Loi sur la taxe d'accise</w:t>
            </w:r>
            <w:r w:rsidRPr="00201A3F">
              <w:rPr>
                <w:rFonts w:eastAsia="Calibri"/>
                <w:sz w:val="20"/>
                <w:lang w:val="fr-CA"/>
              </w:rPr>
              <w:t xml:space="preserve">.  La demanderesse, Mme Bender a été déclarée coupable sous un chef de fausses déclarations de TPS et un chef de fraude.  Un juge d'appel en matière de poursuites sommaires a rejeté un appel de ces déclarations de culpabilité.  Une demande d'autorisation d'appel a été faite à la Cour d'appel de la Colombie Britannique.  L'autorisation a été refusée. </w:t>
            </w:r>
          </w:p>
        </w:tc>
      </w:tr>
      <w:tr w:rsidR="008111C9" w:rsidRPr="00201A3F" w:rsidTr="005B1F40">
        <w:tc>
          <w:tcPr>
            <w:tcW w:w="5000" w:type="pct"/>
            <w:gridSpan w:val="3"/>
          </w:tcPr>
          <w:p w:rsidR="008111C9" w:rsidRPr="00201A3F" w:rsidRDefault="008111C9" w:rsidP="005B1F40">
            <w:pPr>
              <w:jc w:val="both"/>
              <w:rPr>
                <w:rFonts w:eastAsia="Calibri"/>
                <w:sz w:val="20"/>
                <w:lang w:val="fr-CA"/>
              </w:rPr>
            </w:pPr>
          </w:p>
        </w:tc>
      </w:tr>
      <w:tr w:rsidR="008111C9" w:rsidRPr="00DC2D1F" w:rsidTr="005B1F40">
        <w:tc>
          <w:tcPr>
            <w:tcW w:w="2427" w:type="pct"/>
          </w:tcPr>
          <w:p w:rsidR="008111C9" w:rsidRPr="00201A3F" w:rsidRDefault="008111C9" w:rsidP="005B1F40">
            <w:pPr>
              <w:jc w:val="both"/>
              <w:rPr>
                <w:rFonts w:eastAsia="Calibri"/>
                <w:sz w:val="20"/>
                <w:lang w:val="fr-CA"/>
              </w:rPr>
            </w:pPr>
            <w:r w:rsidRPr="00201A3F">
              <w:rPr>
                <w:rFonts w:eastAsia="Calibri"/>
                <w:sz w:val="20"/>
                <w:lang w:val="fr-CA"/>
              </w:rPr>
              <w:t>3 avril 2009</w:t>
            </w:r>
          </w:p>
          <w:p w:rsidR="008111C9" w:rsidRPr="00201A3F" w:rsidRDefault="008111C9" w:rsidP="005B1F40">
            <w:pPr>
              <w:jc w:val="both"/>
              <w:rPr>
                <w:rFonts w:eastAsia="Calibri"/>
                <w:sz w:val="20"/>
                <w:lang w:val="fr-CA"/>
              </w:rPr>
            </w:pPr>
            <w:r w:rsidRPr="00201A3F">
              <w:rPr>
                <w:rFonts w:eastAsia="Calibri"/>
                <w:sz w:val="20"/>
                <w:lang w:val="fr-CA"/>
              </w:rPr>
              <w:t>Cour provinciale de la Colombie</w:t>
            </w:r>
            <w:r w:rsidRPr="00201A3F">
              <w:rPr>
                <w:rFonts w:eastAsia="Calibri"/>
                <w:sz w:val="20"/>
                <w:lang w:val="fr-CA"/>
              </w:rPr>
              <w:noBreakHyphen/>
              <w:t xml:space="preserve">Britannique </w:t>
            </w:r>
          </w:p>
          <w:p w:rsidR="008111C9" w:rsidRPr="00201A3F" w:rsidRDefault="008111C9" w:rsidP="005B1F40">
            <w:pPr>
              <w:jc w:val="both"/>
              <w:rPr>
                <w:rFonts w:eastAsia="Calibri"/>
                <w:sz w:val="20"/>
                <w:lang w:val="fr-CA"/>
              </w:rPr>
            </w:pPr>
            <w:r w:rsidRPr="00201A3F">
              <w:rPr>
                <w:rFonts w:eastAsia="Calibri"/>
                <w:sz w:val="20"/>
                <w:lang w:val="fr-CA"/>
              </w:rPr>
              <w:t>(Juge Harrison)</w:t>
            </w:r>
          </w:p>
          <w:p w:rsidR="008111C9" w:rsidRPr="00201A3F" w:rsidRDefault="008111C9" w:rsidP="005B1F40">
            <w:pPr>
              <w:jc w:val="both"/>
              <w:rPr>
                <w:rFonts w:eastAsia="Calibri"/>
                <w:sz w:val="20"/>
                <w:lang w:val="fr-CA"/>
              </w:rPr>
            </w:pPr>
          </w:p>
        </w:tc>
        <w:tc>
          <w:tcPr>
            <w:tcW w:w="146" w:type="pct"/>
          </w:tcPr>
          <w:p w:rsidR="008111C9" w:rsidRPr="00201A3F" w:rsidRDefault="008111C9" w:rsidP="005B1F40">
            <w:pPr>
              <w:jc w:val="both"/>
              <w:rPr>
                <w:rFonts w:eastAsia="Calibri"/>
                <w:sz w:val="20"/>
                <w:lang w:val="fr-CA"/>
              </w:rPr>
            </w:pPr>
          </w:p>
        </w:tc>
        <w:tc>
          <w:tcPr>
            <w:tcW w:w="2427" w:type="pct"/>
          </w:tcPr>
          <w:p w:rsidR="008111C9" w:rsidRPr="00201A3F" w:rsidRDefault="008111C9" w:rsidP="005B1F40">
            <w:pPr>
              <w:jc w:val="both"/>
              <w:rPr>
                <w:rFonts w:eastAsia="Calibri"/>
                <w:sz w:val="20"/>
                <w:lang w:val="fr-CA"/>
              </w:rPr>
            </w:pPr>
            <w:r w:rsidRPr="00201A3F">
              <w:rPr>
                <w:rFonts w:eastAsia="Calibri"/>
                <w:sz w:val="20"/>
                <w:lang w:val="fr-CA"/>
              </w:rPr>
              <w:t>Demandeurs déclarés coupables de fausses déclarations de TPS et de fraude</w:t>
            </w:r>
          </w:p>
        </w:tc>
      </w:tr>
      <w:tr w:rsidR="008111C9" w:rsidRPr="00DC2D1F" w:rsidTr="00BA37D8">
        <w:trPr>
          <w:cantSplit/>
        </w:trPr>
        <w:tc>
          <w:tcPr>
            <w:tcW w:w="2427" w:type="pct"/>
          </w:tcPr>
          <w:p w:rsidR="008111C9" w:rsidRPr="00201A3F" w:rsidRDefault="008111C9" w:rsidP="005B1F40">
            <w:pPr>
              <w:jc w:val="both"/>
              <w:rPr>
                <w:rFonts w:eastAsia="Calibri"/>
                <w:sz w:val="20"/>
                <w:lang w:val="fr-CA"/>
              </w:rPr>
            </w:pPr>
            <w:r w:rsidRPr="00201A3F">
              <w:rPr>
                <w:rFonts w:eastAsia="Calibri"/>
                <w:sz w:val="20"/>
                <w:lang w:val="fr-CA"/>
              </w:rPr>
              <w:lastRenderedPageBreak/>
              <w:t>26 avril 2011</w:t>
            </w:r>
          </w:p>
          <w:p w:rsidR="008111C9" w:rsidRPr="00201A3F" w:rsidRDefault="008111C9" w:rsidP="005B1F40">
            <w:pPr>
              <w:jc w:val="both"/>
              <w:rPr>
                <w:rFonts w:eastAsia="Calibri"/>
                <w:sz w:val="20"/>
                <w:lang w:val="fr-CA"/>
              </w:rPr>
            </w:pPr>
            <w:r w:rsidRPr="00201A3F">
              <w:rPr>
                <w:rFonts w:eastAsia="Calibri"/>
                <w:sz w:val="20"/>
                <w:lang w:val="fr-CA"/>
              </w:rPr>
              <w:t>Cour suprême de la Colombie</w:t>
            </w:r>
            <w:r w:rsidRPr="00201A3F">
              <w:rPr>
                <w:rFonts w:eastAsia="Calibri"/>
                <w:sz w:val="20"/>
                <w:lang w:val="fr-CA"/>
              </w:rPr>
              <w:noBreakHyphen/>
              <w:t xml:space="preserve">Britannique </w:t>
            </w:r>
          </w:p>
          <w:p w:rsidR="008111C9" w:rsidRPr="00201A3F" w:rsidRDefault="008111C9" w:rsidP="005B1F40">
            <w:pPr>
              <w:jc w:val="both"/>
              <w:rPr>
                <w:rFonts w:eastAsia="Calibri"/>
                <w:sz w:val="20"/>
                <w:lang w:val="fr-CA"/>
              </w:rPr>
            </w:pPr>
            <w:r w:rsidRPr="00201A3F">
              <w:rPr>
                <w:rFonts w:eastAsia="Calibri"/>
                <w:sz w:val="20"/>
                <w:lang w:val="fr-CA"/>
              </w:rPr>
              <w:t xml:space="preserve">(Juge Burnyeat) </w:t>
            </w:r>
          </w:p>
          <w:p w:rsidR="008111C9" w:rsidRPr="00201A3F" w:rsidRDefault="008111C9" w:rsidP="005B1F40">
            <w:pPr>
              <w:jc w:val="both"/>
              <w:rPr>
                <w:rFonts w:eastAsia="Calibri"/>
                <w:sz w:val="20"/>
                <w:lang w:val="fr-CA"/>
              </w:rPr>
            </w:pPr>
            <w:r w:rsidRPr="00201A3F">
              <w:rPr>
                <w:rFonts w:eastAsia="Calibri"/>
                <w:sz w:val="20"/>
                <w:lang w:val="fr-CA"/>
              </w:rPr>
              <w:t>2011 BCSC 519</w:t>
            </w:r>
          </w:p>
          <w:p w:rsidR="008111C9" w:rsidRPr="00201A3F" w:rsidRDefault="008111C9" w:rsidP="005B1F40">
            <w:pPr>
              <w:jc w:val="both"/>
              <w:rPr>
                <w:rFonts w:eastAsia="Calibri"/>
                <w:sz w:val="20"/>
                <w:lang w:val="fr-CA"/>
              </w:rPr>
            </w:pPr>
          </w:p>
        </w:tc>
        <w:tc>
          <w:tcPr>
            <w:tcW w:w="146" w:type="pct"/>
          </w:tcPr>
          <w:p w:rsidR="008111C9" w:rsidRPr="00201A3F" w:rsidRDefault="008111C9" w:rsidP="005B1F40">
            <w:pPr>
              <w:jc w:val="both"/>
              <w:rPr>
                <w:rFonts w:eastAsia="Calibri"/>
                <w:sz w:val="20"/>
                <w:lang w:val="fr-CA"/>
              </w:rPr>
            </w:pPr>
          </w:p>
        </w:tc>
        <w:tc>
          <w:tcPr>
            <w:tcW w:w="2427" w:type="pct"/>
          </w:tcPr>
          <w:p w:rsidR="008111C9" w:rsidRPr="00201A3F" w:rsidRDefault="008111C9" w:rsidP="005B1F40">
            <w:pPr>
              <w:jc w:val="both"/>
              <w:rPr>
                <w:rFonts w:eastAsia="Calibri"/>
                <w:sz w:val="20"/>
                <w:lang w:val="fr-CA"/>
              </w:rPr>
            </w:pPr>
            <w:r w:rsidRPr="00201A3F">
              <w:rPr>
                <w:rFonts w:eastAsia="Calibri"/>
                <w:sz w:val="20"/>
                <w:lang w:val="fr-CA"/>
              </w:rPr>
              <w:t>Appel de la déclaration de culpabilité par procédure sommaire, rejeté</w:t>
            </w:r>
          </w:p>
        </w:tc>
      </w:tr>
      <w:tr w:rsidR="008111C9" w:rsidRPr="00201A3F" w:rsidTr="00BA37D8">
        <w:trPr>
          <w:cantSplit/>
        </w:trPr>
        <w:tc>
          <w:tcPr>
            <w:tcW w:w="2427" w:type="pct"/>
          </w:tcPr>
          <w:p w:rsidR="008111C9" w:rsidRPr="00201A3F" w:rsidRDefault="008111C9" w:rsidP="005B1F40">
            <w:pPr>
              <w:jc w:val="both"/>
              <w:rPr>
                <w:rFonts w:eastAsia="Calibri"/>
                <w:sz w:val="20"/>
                <w:lang w:val="fr-CA"/>
              </w:rPr>
            </w:pPr>
            <w:r w:rsidRPr="00201A3F">
              <w:rPr>
                <w:rFonts w:eastAsia="Calibri"/>
                <w:sz w:val="20"/>
                <w:lang w:val="fr-CA"/>
              </w:rPr>
              <w:t>1</w:t>
            </w:r>
            <w:r w:rsidRPr="00201A3F">
              <w:rPr>
                <w:rFonts w:eastAsia="Calibri"/>
                <w:sz w:val="20"/>
                <w:vertAlign w:val="superscript"/>
                <w:lang w:val="fr-CA"/>
              </w:rPr>
              <w:t>er</w:t>
            </w:r>
            <w:r w:rsidRPr="00201A3F">
              <w:rPr>
                <w:rFonts w:eastAsia="Calibri"/>
                <w:sz w:val="20"/>
                <w:lang w:val="fr-CA"/>
              </w:rPr>
              <w:t xml:space="preserve"> mars 2012</w:t>
            </w:r>
          </w:p>
          <w:p w:rsidR="008111C9" w:rsidRPr="00201A3F" w:rsidRDefault="008111C9" w:rsidP="005B1F40">
            <w:pPr>
              <w:jc w:val="both"/>
              <w:rPr>
                <w:rFonts w:eastAsia="Calibri"/>
                <w:sz w:val="20"/>
                <w:lang w:val="fr-CA"/>
              </w:rPr>
            </w:pPr>
            <w:r w:rsidRPr="00201A3F">
              <w:rPr>
                <w:rFonts w:eastAsia="Calibri"/>
                <w:sz w:val="20"/>
                <w:lang w:val="fr-CA"/>
              </w:rPr>
              <w:t>Cour d'appel de la Colombie</w:t>
            </w:r>
            <w:r w:rsidRPr="00201A3F">
              <w:rPr>
                <w:rFonts w:eastAsia="Calibri"/>
                <w:sz w:val="20"/>
                <w:lang w:val="fr-CA"/>
              </w:rPr>
              <w:noBreakHyphen/>
              <w:t xml:space="preserve">Britannique </w:t>
            </w:r>
          </w:p>
          <w:p w:rsidR="008111C9" w:rsidRPr="00201A3F" w:rsidRDefault="008111C9" w:rsidP="005B1F40">
            <w:pPr>
              <w:jc w:val="both"/>
              <w:rPr>
                <w:rFonts w:eastAsia="Calibri"/>
                <w:sz w:val="20"/>
                <w:lang w:val="fr-CA"/>
              </w:rPr>
            </w:pPr>
            <w:r w:rsidRPr="00201A3F">
              <w:rPr>
                <w:rFonts w:eastAsia="Calibri"/>
                <w:sz w:val="20"/>
                <w:lang w:val="fr-CA"/>
              </w:rPr>
              <w:t>(Vancouver)</w:t>
            </w:r>
          </w:p>
          <w:p w:rsidR="008111C9" w:rsidRPr="00201A3F" w:rsidRDefault="008111C9" w:rsidP="005B1F40">
            <w:pPr>
              <w:jc w:val="both"/>
              <w:rPr>
                <w:rFonts w:eastAsia="Calibri"/>
                <w:sz w:val="20"/>
                <w:lang w:val="fr-CA"/>
              </w:rPr>
            </w:pPr>
            <w:r w:rsidRPr="00201A3F">
              <w:rPr>
                <w:rFonts w:eastAsia="Calibri"/>
                <w:sz w:val="20"/>
                <w:lang w:val="fr-CA"/>
              </w:rPr>
              <w:t>(Juge Hinkson)</w:t>
            </w:r>
          </w:p>
          <w:p w:rsidR="008111C9" w:rsidRPr="00201A3F" w:rsidRDefault="008111C9" w:rsidP="005B1F40">
            <w:pPr>
              <w:jc w:val="both"/>
              <w:rPr>
                <w:rFonts w:eastAsia="Calibri"/>
                <w:sz w:val="20"/>
                <w:lang w:val="fr-CA"/>
              </w:rPr>
            </w:pPr>
            <w:r w:rsidRPr="00201A3F">
              <w:rPr>
                <w:rFonts w:eastAsia="Calibri"/>
                <w:sz w:val="20"/>
                <w:lang w:val="fr-CA"/>
              </w:rPr>
              <w:t>2012 BCCA 93</w:t>
            </w:r>
          </w:p>
          <w:p w:rsidR="008111C9" w:rsidRPr="00201A3F" w:rsidRDefault="008111C9" w:rsidP="005B1F40">
            <w:pPr>
              <w:jc w:val="both"/>
              <w:rPr>
                <w:rFonts w:eastAsia="Calibri"/>
                <w:sz w:val="20"/>
                <w:lang w:val="fr-CA"/>
              </w:rPr>
            </w:pPr>
          </w:p>
        </w:tc>
        <w:tc>
          <w:tcPr>
            <w:tcW w:w="146" w:type="pct"/>
          </w:tcPr>
          <w:p w:rsidR="008111C9" w:rsidRPr="00201A3F" w:rsidRDefault="008111C9" w:rsidP="005B1F40">
            <w:pPr>
              <w:jc w:val="both"/>
              <w:rPr>
                <w:rFonts w:eastAsia="Calibri"/>
                <w:sz w:val="20"/>
                <w:lang w:val="fr-CA"/>
              </w:rPr>
            </w:pPr>
          </w:p>
        </w:tc>
        <w:tc>
          <w:tcPr>
            <w:tcW w:w="2427" w:type="pct"/>
          </w:tcPr>
          <w:p w:rsidR="008111C9" w:rsidRPr="00201A3F" w:rsidRDefault="008111C9" w:rsidP="005B1F40">
            <w:pPr>
              <w:jc w:val="both"/>
              <w:rPr>
                <w:rFonts w:eastAsia="Calibri"/>
                <w:sz w:val="20"/>
                <w:lang w:val="fr-CA"/>
              </w:rPr>
            </w:pPr>
            <w:r w:rsidRPr="00201A3F">
              <w:rPr>
                <w:rFonts w:eastAsia="Calibri"/>
                <w:sz w:val="20"/>
                <w:lang w:val="fr-CA"/>
              </w:rPr>
              <w:t>Demande d'autorisation d'appel, rejetée</w:t>
            </w:r>
          </w:p>
          <w:p w:rsidR="008111C9" w:rsidRPr="00201A3F" w:rsidRDefault="008111C9" w:rsidP="005B1F40">
            <w:pPr>
              <w:jc w:val="both"/>
              <w:rPr>
                <w:rFonts w:eastAsia="Calibri"/>
                <w:sz w:val="20"/>
                <w:lang w:val="fr-CA"/>
              </w:rPr>
            </w:pPr>
          </w:p>
        </w:tc>
      </w:tr>
      <w:tr w:rsidR="008111C9" w:rsidRPr="00201A3F" w:rsidTr="00BA37D8">
        <w:trPr>
          <w:cantSplit/>
        </w:trPr>
        <w:tc>
          <w:tcPr>
            <w:tcW w:w="2427" w:type="pct"/>
          </w:tcPr>
          <w:p w:rsidR="008111C9" w:rsidRPr="00201A3F" w:rsidRDefault="008111C9" w:rsidP="005B1F40">
            <w:pPr>
              <w:jc w:val="both"/>
              <w:rPr>
                <w:rFonts w:eastAsia="Calibri"/>
                <w:sz w:val="20"/>
                <w:lang w:val="fr-CA"/>
              </w:rPr>
            </w:pPr>
            <w:r w:rsidRPr="00201A3F">
              <w:rPr>
                <w:rFonts w:eastAsia="Calibri"/>
                <w:sz w:val="20"/>
                <w:lang w:val="fr-CA"/>
              </w:rPr>
              <w:t>3 mai 2012</w:t>
            </w:r>
          </w:p>
          <w:p w:rsidR="008111C9" w:rsidRPr="00201A3F" w:rsidRDefault="008111C9" w:rsidP="005B1F40">
            <w:pPr>
              <w:jc w:val="both"/>
              <w:rPr>
                <w:rFonts w:eastAsia="Calibri"/>
                <w:sz w:val="20"/>
                <w:lang w:val="fr-CA"/>
              </w:rPr>
            </w:pPr>
            <w:r w:rsidRPr="00201A3F">
              <w:rPr>
                <w:rFonts w:eastAsia="Calibri"/>
                <w:sz w:val="20"/>
                <w:lang w:val="fr-CA"/>
              </w:rPr>
              <w:t>Cour suprême du Canada</w:t>
            </w:r>
          </w:p>
          <w:p w:rsidR="008111C9" w:rsidRPr="00201A3F" w:rsidRDefault="008111C9" w:rsidP="005B1F40">
            <w:pPr>
              <w:jc w:val="both"/>
              <w:rPr>
                <w:rFonts w:eastAsia="Calibri"/>
                <w:sz w:val="20"/>
                <w:lang w:val="fr-CA"/>
              </w:rPr>
            </w:pPr>
          </w:p>
        </w:tc>
        <w:tc>
          <w:tcPr>
            <w:tcW w:w="146" w:type="pct"/>
          </w:tcPr>
          <w:p w:rsidR="008111C9" w:rsidRPr="00201A3F" w:rsidRDefault="008111C9" w:rsidP="005B1F40">
            <w:pPr>
              <w:jc w:val="both"/>
              <w:rPr>
                <w:rFonts w:eastAsia="Calibri"/>
                <w:sz w:val="20"/>
                <w:lang w:val="fr-CA"/>
              </w:rPr>
            </w:pPr>
          </w:p>
        </w:tc>
        <w:tc>
          <w:tcPr>
            <w:tcW w:w="2427" w:type="pct"/>
          </w:tcPr>
          <w:p w:rsidR="008111C9" w:rsidRPr="00201A3F" w:rsidRDefault="008111C9" w:rsidP="005B1F40">
            <w:pPr>
              <w:jc w:val="both"/>
              <w:rPr>
                <w:rFonts w:eastAsia="Calibri"/>
                <w:sz w:val="20"/>
                <w:lang w:val="fr-CA"/>
              </w:rPr>
            </w:pPr>
            <w:r w:rsidRPr="00201A3F">
              <w:rPr>
                <w:rFonts w:eastAsia="Calibri"/>
                <w:sz w:val="20"/>
                <w:lang w:val="fr-CA"/>
              </w:rPr>
              <w:t>Demande d'autorisation d'appel, déposée</w:t>
            </w:r>
          </w:p>
        </w:tc>
      </w:tr>
      <w:tr w:rsidR="008111C9" w:rsidRPr="00DC2D1F" w:rsidTr="00BA37D8">
        <w:trPr>
          <w:cantSplit/>
        </w:trPr>
        <w:tc>
          <w:tcPr>
            <w:tcW w:w="2427" w:type="pct"/>
          </w:tcPr>
          <w:p w:rsidR="008111C9" w:rsidRPr="00201A3F" w:rsidRDefault="008111C9" w:rsidP="005B1F40">
            <w:pPr>
              <w:jc w:val="both"/>
              <w:rPr>
                <w:rFonts w:eastAsia="Calibri"/>
                <w:sz w:val="20"/>
                <w:lang w:val="fr-CA"/>
              </w:rPr>
            </w:pPr>
            <w:r w:rsidRPr="00201A3F">
              <w:rPr>
                <w:rFonts w:eastAsia="Calibri"/>
                <w:sz w:val="20"/>
                <w:lang w:val="fr-CA"/>
              </w:rPr>
              <w:t>26 juillet 2012</w:t>
            </w:r>
          </w:p>
          <w:p w:rsidR="008111C9" w:rsidRPr="00201A3F" w:rsidRDefault="008111C9" w:rsidP="005B1F40">
            <w:pPr>
              <w:jc w:val="both"/>
              <w:rPr>
                <w:rFonts w:eastAsia="Calibri"/>
                <w:sz w:val="20"/>
                <w:lang w:val="fr-CA"/>
              </w:rPr>
            </w:pPr>
            <w:r w:rsidRPr="00201A3F">
              <w:rPr>
                <w:rFonts w:eastAsia="Calibri"/>
                <w:sz w:val="20"/>
                <w:lang w:val="fr-CA"/>
              </w:rPr>
              <w:t>Cour suprême du Canada</w:t>
            </w:r>
          </w:p>
        </w:tc>
        <w:tc>
          <w:tcPr>
            <w:tcW w:w="146" w:type="pct"/>
          </w:tcPr>
          <w:p w:rsidR="008111C9" w:rsidRPr="00201A3F" w:rsidRDefault="008111C9" w:rsidP="005B1F40">
            <w:pPr>
              <w:jc w:val="both"/>
              <w:rPr>
                <w:rFonts w:eastAsia="Calibri"/>
                <w:sz w:val="20"/>
                <w:lang w:val="fr-CA"/>
              </w:rPr>
            </w:pPr>
          </w:p>
        </w:tc>
        <w:tc>
          <w:tcPr>
            <w:tcW w:w="2427" w:type="pct"/>
          </w:tcPr>
          <w:p w:rsidR="008111C9" w:rsidRPr="00201A3F" w:rsidRDefault="008111C9" w:rsidP="005B1F40">
            <w:pPr>
              <w:jc w:val="both"/>
              <w:rPr>
                <w:rFonts w:eastAsia="Calibri"/>
                <w:sz w:val="20"/>
                <w:lang w:val="fr-CA"/>
              </w:rPr>
            </w:pPr>
            <w:r w:rsidRPr="00201A3F">
              <w:rPr>
                <w:rFonts w:eastAsia="Calibri"/>
                <w:sz w:val="20"/>
                <w:lang w:val="fr-CA"/>
              </w:rPr>
              <w:t>Requête en prorogation du délai de dépôt et de signification de la demande d'autorisation d'appel, déposée</w:t>
            </w:r>
          </w:p>
        </w:tc>
      </w:tr>
    </w:tbl>
    <w:p w:rsidR="00A740D1" w:rsidRPr="008111C9" w:rsidRDefault="00A740D1" w:rsidP="00A740D1">
      <w:pPr>
        <w:rPr>
          <w:sz w:val="20"/>
          <w:szCs w:val="20"/>
          <w:lang w:val="fr-CA"/>
        </w:rPr>
      </w:pPr>
    </w:p>
    <w:p w:rsidR="00A740D1" w:rsidRDefault="00BF3B03" w:rsidP="00A740D1">
      <w:pPr>
        <w:rPr>
          <w:sz w:val="20"/>
          <w:szCs w:val="20"/>
        </w:rPr>
      </w:pPr>
      <w:r w:rsidRPr="00BF3B03">
        <w:rPr>
          <w:sz w:val="20"/>
          <w:szCs w:val="20"/>
          <w:lang w:val="fr-CA"/>
        </w:rPr>
        <w:pict>
          <v:rect id="_x0000_i1067" style="width:2in;height:1pt" o:hrpct="0" o:hralign="center" o:hrstd="t" o:hrnoshade="t" o:hr="t" fillcolor="black [3213]" stroked="f"/>
        </w:pict>
      </w:r>
    </w:p>
    <w:p w:rsidR="00A740D1" w:rsidRDefault="00A740D1" w:rsidP="00A740D1">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A37D8" w:rsidRPr="00B9404B" w:rsidTr="00BA37D8">
        <w:trPr>
          <w:cantSplit/>
        </w:trPr>
        <w:tc>
          <w:tcPr>
            <w:tcW w:w="1458" w:type="dxa"/>
          </w:tcPr>
          <w:p w:rsidR="00BA37D8" w:rsidRPr="00B9404B" w:rsidRDefault="00BA37D8" w:rsidP="00BA37D8">
            <w:pPr>
              <w:rPr>
                <w:sz w:val="20"/>
                <w:szCs w:val="20"/>
              </w:rPr>
            </w:pPr>
            <w:r w:rsidRPr="00B9404B">
              <w:rPr>
                <w:rStyle w:val="SCCFileNumberChar"/>
                <w:sz w:val="20"/>
                <w:szCs w:val="20"/>
              </w:rPr>
              <w:t>34906</w:t>
            </w:r>
          </w:p>
          <w:p w:rsidR="00BA37D8" w:rsidRPr="00B9404B" w:rsidRDefault="00BA37D8" w:rsidP="00BA37D8">
            <w:pPr>
              <w:rPr>
                <w:b/>
                <w:sz w:val="20"/>
                <w:szCs w:val="20"/>
                <w:lang w:val="fr-CA"/>
              </w:rPr>
            </w:pPr>
          </w:p>
        </w:tc>
        <w:tc>
          <w:tcPr>
            <w:tcW w:w="8118" w:type="dxa"/>
          </w:tcPr>
          <w:p w:rsidR="00BA37D8" w:rsidRPr="00B9404B" w:rsidRDefault="00BA37D8" w:rsidP="00BA37D8">
            <w:pPr>
              <w:rPr>
                <w:sz w:val="20"/>
                <w:szCs w:val="20"/>
              </w:rPr>
            </w:pPr>
            <w:r w:rsidRPr="00BA37D8">
              <w:rPr>
                <w:rStyle w:val="SCCLsocChar"/>
                <w:sz w:val="20"/>
                <w:szCs w:val="20"/>
                <w:lang w:val="en-CA"/>
              </w:rPr>
              <w:t>Her Majesty the Queen v. Chay Brooks Gladue</w:t>
            </w:r>
            <w:r w:rsidRPr="00B9404B">
              <w:rPr>
                <w:sz w:val="20"/>
                <w:szCs w:val="20"/>
              </w:rPr>
              <w:t xml:space="preserve"> (Alta.) (Criminal) (By Leave)</w:t>
            </w:r>
          </w:p>
          <w:p w:rsidR="00BA37D8" w:rsidRPr="00B9404B" w:rsidRDefault="00BA37D8" w:rsidP="00BA37D8">
            <w:pPr>
              <w:rPr>
                <w:sz w:val="20"/>
                <w:szCs w:val="20"/>
              </w:rPr>
            </w:pPr>
          </w:p>
        </w:tc>
      </w:tr>
      <w:tr w:rsidR="00BA37D8" w:rsidRPr="00B9404B" w:rsidTr="00BA37D8">
        <w:trPr>
          <w:cantSplit/>
        </w:trPr>
        <w:tc>
          <w:tcPr>
            <w:tcW w:w="1458" w:type="dxa"/>
          </w:tcPr>
          <w:p w:rsidR="00BA37D8" w:rsidRPr="00B9404B" w:rsidRDefault="00BA37D8" w:rsidP="00BA37D8">
            <w:pPr>
              <w:rPr>
                <w:sz w:val="20"/>
                <w:szCs w:val="20"/>
              </w:rPr>
            </w:pPr>
            <w:r w:rsidRPr="00B9404B">
              <w:rPr>
                <w:sz w:val="20"/>
                <w:szCs w:val="20"/>
              </w:rPr>
              <w:t>Coram :</w:t>
            </w:r>
          </w:p>
        </w:tc>
        <w:tc>
          <w:tcPr>
            <w:tcW w:w="8118" w:type="dxa"/>
          </w:tcPr>
          <w:p w:rsidR="00BA37D8" w:rsidRPr="00B9404B" w:rsidRDefault="00BA37D8" w:rsidP="00BA37D8">
            <w:pPr>
              <w:rPr>
                <w:sz w:val="20"/>
                <w:szCs w:val="20"/>
              </w:rPr>
            </w:pPr>
            <w:r w:rsidRPr="00BA37D8">
              <w:rPr>
                <w:rStyle w:val="SCCCoramChar"/>
                <w:sz w:val="20"/>
                <w:szCs w:val="20"/>
                <w:lang w:val="en-CA"/>
              </w:rPr>
              <w:t>McLachlin C.J. and Rothstein and Moldaver JJ.</w:t>
            </w:r>
          </w:p>
          <w:p w:rsidR="00BA37D8" w:rsidRPr="00B9404B" w:rsidRDefault="00BA37D8" w:rsidP="00BA37D8">
            <w:pPr>
              <w:rPr>
                <w:sz w:val="20"/>
                <w:szCs w:val="20"/>
                <w:u w:val="single"/>
              </w:rPr>
            </w:pPr>
          </w:p>
        </w:tc>
      </w:tr>
      <w:tr w:rsidR="00BA37D8" w:rsidRPr="00DC2D1F" w:rsidTr="00BA37D8">
        <w:trPr>
          <w:cantSplit/>
        </w:trPr>
        <w:tc>
          <w:tcPr>
            <w:tcW w:w="9576" w:type="dxa"/>
            <w:gridSpan w:val="2"/>
          </w:tcPr>
          <w:p w:rsidR="00BA37D8" w:rsidRPr="00B9404B" w:rsidRDefault="00BA37D8" w:rsidP="00BA37D8">
            <w:pPr>
              <w:pStyle w:val="SCCShortJudgment"/>
              <w:rPr>
                <w:szCs w:val="20"/>
              </w:rPr>
            </w:pPr>
            <w:r w:rsidRPr="00B9404B">
              <w:rPr>
                <w:szCs w:val="20"/>
              </w:rPr>
              <w:t>The application for leave to appeal from the judgment of the Court of Appeal of Alberta (Edmonton), Number 1103-0100-A, 2012 ABCA 143, dated May 3, 2012, is dismissed without costs.</w:t>
            </w:r>
          </w:p>
          <w:p w:rsidR="00BA37D8" w:rsidRPr="00B9404B" w:rsidRDefault="00BA37D8" w:rsidP="00BA37D8">
            <w:pPr>
              <w:pStyle w:val="SCCShortJudgment"/>
              <w:ind w:firstLine="0"/>
              <w:rPr>
                <w:szCs w:val="20"/>
              </w:rPr>
            </w:pPr>
          </w:p>
          <w:p w:rsidR="00BA37D8" w:rsidRPr="00B9404B" w:rsidRDefault="00BA37D8" w:rsidP="00BA37D8">
            <w:pPr>
              <w:pStyle w:val="SCCShortJudgment"/>
              <w:rPr>
                <w:szCs w:val="20"/>
                <w:lang w:val="fr-CA"/>
              </w:rPr>
            </w:pPr>
            <w:r w:rsidRPr="00B9404B">
              <w:rPr>
                <w:szCs w:val="20"/>
                <w:lang w:val="fr-CA"/>
              </w:rPr>
              <w:t>La demande d’autorisation d’appel de l’arrêt de la Cour d'appel de l’Alberta (Edmonton), numéro 1103-0100-A, 2012 ABCA 143, daté du 3 mai 2012, est rejetée sans dépens.</w:t>
            </w:r>
          </w:p>
        </w:tc>
      </w:tr>
    </w:tbl>
    <w:p w:rsidR="00A740D1" w:rsidRPr="00BA37D8" w:rsidRDefault="00A740D1" w:rsidP="00A740D1">
      <w:pPr>
        <w:rPr>
          <w:sz w:val="20"/>
          <w:szCs w:val="20"/>
          <w:lang w:val="fr-CA"/>
        </w:rPr>
      </w:pPr>
    </w:p>
    <w:p w:rsidR="00A740D1" w:rsidRPr="001B157C" w:rsidRDefault="00A740D1" w:rsidP="00A740D1">
      <w:pPr>
        <w:rPr>
          <w:sz w:val="20"/>
          <w:szCs w:val="20"/>
          <w:u w:val="single"/>
        </w:rPr>
      </w:pPr>
      <w:r w:rsidRPr="001B157C">
        <w:rPr>
          <w:sz w:val="20"/>
          <w:szCs w:val="20"/>
          <w:u w:val="single"/>
        </w:rPr>
        <w:t>CASE SUMMARY</w:t>
      </w:r>
    </w:p>
    <w:p w:rsidR="00A740D1" w:rsidRDefault="00A740D1" w:rsidP="00A740D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5599B" w:rsidRPr="00201A3F" w:rsidTr="005B1F40">
        <w:tc>
          <w:tcPr>
            <w:tcW w:w="5000" w:type="pct"/>
            <w:gridSpan w:val="3"/>
          </w:tcPr>
          <w:p w:rsidR="0085599B" w:rsidRPr="00201A3F" w:rsidRDefault="0085599B" w:rsidP="005B1F40">
            <w:pPr>
              <w:jc w:val="both"/>
              <w:rPr>
                <w:rFonts w:eastAsia="Calibri"/>
                <w:sz w:val="20"/>
              </w:rPr>
            </w:pPr>
            <w:r w:rsidRPr="00201A3F">
              <w:rPr>
                <w:rFonts w:eastAsia="Calibri"/>
                <w:sz w:val="20"/>
              </w:rPr>
              <w:t>Criminal law — Entrapment — Entrapment by random virtue testing — Whether the doctrine of entrapment by random virtue testing is engaged when police, posing as customers, place coded orders for illicit drugs, over telephone lines suspected of being used for the purpose of drug trafficking? — Whether the Court of Appeal of Alberta erred in applying too high a standard to meet the “reasonable suspicion” test and by ultimately concluding that police did not have a reasonable suspicion that persons who answered the subject phone line were involved in an ongoing drug trafficking scheme?</w:t>
            </w:r>
          </w:p>
        </w:tc>
      </w:tr>
      <w:tr w:rsidR="0085599B" w:rsidRPr="00201A3F" w:rsidTr="005B1F40">
        <w:tc>
          <w:tcPr>
            <w:tcW w:w="5000" w:type="pct"/>
            <w:gridSpan w:val="3"/>
          </w:tcPr>
          <w:p w:rsidR="0085599B" w:rsidRPr="00201A3F" w:rsidRDefault="0085599B" w:rsidP="005B1F40">
            <w:pPr>
              <w:jc w:val="both"/>
              <w:rPr>
                <w:rFonts w:eastAsia="Calibri"/>
                <w:sz w:val="20"/>
              </w:rPr>
            </w:pPr>
          </w:p>
        </w:tc>
      </w:tr>
      <w:tr w:rsidR="0085599B" w:rsidRPr="00201A3F" w:rsidTr="005B1F40">
        <w:tc>
          <w:tcPr>
            <w:tcW w:w="5000" w:type="pct"/>
            <w:gridSpan w:val="3"/>
          </w:tcPr>
          <w:p w:rsidR="0085599B" w:rsidRPr="00201A3F" w:rsidRDefault="0085599B" w:rsidP="005B1F40">
            <w:pPr>
              <w:jc w:val="both"/>
              <w:rPr>
                <w:rFonts w:eastAsia="Calibri"/>
                <w:sz w:val="20"/>
              </w:rPr>
            </w:pPr>
            <w:r w:rsidRPr="00201A3F">
              <w:rPr>
                <w:rFonts w:eastAsia="Calibri"/>
                <w:sz w:val="20"/>
              </w:rPr>
              <w:t xml:space="preserve">Police received a tip from a first-time informant that cocaine trafficking was being conducted by way of a specific cellular telephone number. Without taking steps to investigate further, an undercover police officer dialled the number, spoke to an unidentified male and placed a request to purchase cocaine by using jargon used in the drug trade. </w:t>
            </w:r>
          </w:p>
          <w:p w:rsidR="0085599B" w:rsidRPr="00201A3F" w:rsidRDefault="0085599B" w:rsidP="005B1F40">
            <w:pPr>
              <w:jc w:val="both"/>
              <w:rPr>
                <w:rFonts w:eastAsia="Calibri"/>
                <w:sz w:val="20"/>
              </w:rPr>
            </w:pPr>
          </w:p>
          <w:p w:rsidR="0085599B" w:rsidRPr="00201A3F" w:rsidRDefault="0085599B" w:rsidP="005B1F40">
            <w:pPr>
              <w:jc w:val="both"/>
              <w:rPr>
                <w:rFonts w:eastAsia="Calibri"/>
                <w:sz w:val="20"/>
              </w:rPr>
            </w:pPr>
            <w:r w:rsidRPr="00201A3F">
              <w:rPr>
                <w:rFonts w:eastAsia="Calibri"/>
                <w:sz w:val="20"/>
              </w:rPr>
              <w:t xml:space="preserve">The respondent was arrested by the undercover police officer when he attempted to deliver cocaine in response to the officer’s telephone request. At trial, the respondent entered a guilty plea to trafficking in cocaine but applied for a stay of the conviction on the basis of entrapment. </w:t>
            </w:r>
          </w:p>
          <w:p w:rsidR="0085599B" w:rsidRPr="00201A3F" w:rsidRDefault="0085599B" w:rsidP="005B1F40">
            <w:pPr>
              <w:jc w:val="both"/>
              <w:rPr>
                <w:rFonts w:eastAsia="Calibri"/>
                <w:sz w:val="20"/>
              </w:rPr>
            </w:pPr>
          </w:p>
        </w:tc>
      </w:tr>
      <w:tr w:rsidR="0085599B" w:rsidRPr="00201A3F" w:rsidTr="00BA37D8">
        <w:trPr>
          <w:cantSplit/>
        </w:trPr>
        <w:tc>
          <w:tcPr>
            <w:tcW w:w="2427" w:type="pct"/>
          </w:tcPr>
          <w:p w:rsidR="0085599B" w:rsidRPr="00201A3F" w:rsidRDefault="0085599B" w:rsidP="005B1F40">
            <w:pPr>
              <w:jc w:val="both"/>
              <w:rPr>
                <w:rFonts w:eastAsia="Calibri"/>
                <w:sz w:val="20"/>
              </w:rPr>
            </w:pPr>
            <w:r w:rsidRPr="00201A3F">
              <w:rPr>
                <w:rFonts w:eastAsia="Calibri"/>
                <w:sz w:val="20"/>
              </w:rPr>
              <w:lastRenderedPageBreak/>
              <w:t>March 25, 2011</w:t>
            </w:r>
          </w:p>
          <w:p w:rsidR="0085599B" w:rsidRPr="00201A3F" w:rsidRDefault="0085599B" w:rsidP="005B1F40">
            <w:pPr>
              <w:jc w:val="both"/>
              <w:rPr>
                <w:rFonts w:eastAsia="Calibri"/>
                <w:sz w:val="20"/>
              </w:rPr>
            </w:pPr>
            <w:r w:rsidRPr="00201A3F">
              <w:rPr>
                <w:rFonts w:eastAsia="Calibri"/>
                <w:sz w:val="20"/>
              </w:rPr>
              <w:t>Court of Queen’s Bench of Alberta</w:t>
            </w:r>
          </w:p>
          <w:p w:rsidR="0085599B" w:rsidRPr="00201A3F" w:rsidRDefault="0085599B" w:rsidP="005B1F40">
            <w:pPr>
              <w:jc w:val="both"/>
              <w:rPr>
                <w:rFonts w:eastAsia="Calibri"/>
                <w:sz w:val="20"/>
              </w:rPr>
            </w:pPr>
            <w:r w:rsidRPr="00201A3F">
              <w:rPr>
                <w:rFonts w:eastAsia="Calibri"/>
                <w:sz w:val="20"/>
              </w:rPr>
              <w:t>(Gill J.)</w:t>
            </w:r>
          </w:p>
          <w:p w:rsidR="0085599B" w:rsidRPr="00201A3F" w:rsidRDefault="0085599B" w:rsidP="005B1F40">
            <w:pPr>
              <w:jc w:val="both"/>
              <w:rPr>
                <w:rFonts w:eastAsia="Calibri"/>
                <w:sz w:val="20"/>
              </w:rPr>
            </w:pPr>
          </w:p>
        </w:tc>
        <w:tc>
          <w:tcPr>
            <w:tcW w:w="243" w:type="pct"/>
          </w:tcPr>
          <w:p w:rsidR="0085599B" w:rsidRPr="00201A3F" w:rsidRDefault="0085599B" w:rsidP="005B1F40">
            <w:pPr>
              <w:jc w:val="both"/>
              <w:rPr>
                <w:rFonts w:eastAsia="Calibri"/>
                <w:sz w:val="20"/>
              </w:rPr>
            </w:pPr>
          </w:p>
        </w:tc>
        <w:tc>
          <w:tcPr>
            <w:tcW w:w="2330" w:type="pct"/>
          </w:tcPr>
          <w:p w:rsidR="0085599B" w:rsidRPr="00201A3F" w:rsidRDefault="0085599B" w:rsidP="005B1F40">
            <w:pPr>
              <w:jc w:val="both"/>
              <w:rPr>
                <w:rFonts w:eastAsia="Calibri"/>
                <w:sz w:val="20"/>
              </w:rPr>
            </w:pPr>
            <w:r w:rsidRPr="00201A3F">
              <w:rPr>
                <w:rFonts w:eastAsia="Calibri"/>
                <w:sz w:val="20"/>
              </w:rPr>
              <w:t xml:space="preserve">Application for a stay of proceedings granted </w:t>
            </w:r>
          </w:p>
          <w:p w:rsidR="0085599B" w:rsidRPr="00201A3F" w:rsidRDefault="0085599B" w:rsidP="005B1F40">
            <w:pPr>
              <w:jc w:val="both"/>
              <w:rPr>
                <w:rFonts w:eastAsia="Calibri"/>
                <w:sz w:val="20"/>
              </w:rPr>
            </w:pPr>
          </w:p>
        </w:tc>
      </w:tr>
      <w:tr w:rsidR="0085599B" w:rsidRPr="00201A3F" w:rsidTr="00BA37D8">
        <w:trPr>
          <w:cantSplit/>
        </w:trPr>
        <w:tc>
          <w:tcPr>
            <w:tcW w:w="2427" w:type="pct"/>
          </w:tcPr>
          <w:p w:rsidR="0085599B" w:rsidRPr="00201A3F" w:rsidRDefault="0085599B" w:rsidP="005B1F40">
            <w:pPr>
              <w:jc w:val="both"/>
              <w:rPr>
                <w:rFonts w:eastAsia="Calibri"/>
                <w:sz w:val="20"/>
              </w:rPr>
            </w:pPr>
            <w:r w:rsidRPr="00201A3F">
              <w:rPr>
                <w:rFonts w:eastAsia="Calibri"/>
                <w:sz w:val="20"/>
              </w:rPr>
              <w:t>May 3, 2012</w:t>
            </w:r>
          </w:p>
          <w:p w:rsidR="0085599B" w:rsidRPr="00201A3F" w:rsidRDefault="0085599B" w:rsidP="005B1F40">
            <w:pPr>
              <w:jc w:val="both"/>
              <w:rPr>
                <w:rFonts w:eastAsia="Calibri"/>
                <w:sz w:val="20"/>
              </w:rPr>
            </w:pPr>
            <w:r w:rsidRPr="00201A3F">
              <w:rPr>
                <w:rFonts w:eastAsia="Calibri"/>
                <w:sz w:val="20"/>
              </w:rPr>
              <w:t>Court of Appeal of Alberta (Edmonton)</w:t>
            </w:r>
          </w:p>
          <w:p w:rsidR="0085599B" w:rsidRPr="00201A3F" w:rsidRDefault="0085599B" w:rsidP="005B1F40">
            <w:pPr>
              <w:jc w:val="both"/>
              <w:rPr>
                <w:rFonts w:eastAsia="Calibri"/>
                <w:sz w:val="20"/>
              </w:rPr>
            </w:pPr>
            <w:r w:rsidRPr="00201A3F">
              <w:rPr>
                <w:rFonts w:eastAsia="Calibri"/>
                <w:sz w:val="20"/>
              </w:rPr>
              <w:t>(Costigan, Rowbotham, Bielby JJ.A.)</w:t>
            </w:r>
          </w:p>
          <w:p w:rsidR="0085599B" w:rsidRPr="00201A3F" w:rsidRDefault="0085599B" w:rsidP="005B1F40">
            <w:pPr>
              <w:jc w:val="both"/>
              <w:rPr>
                <w:rFonts w:eastAsia="Calibri"/>
                <w:sz w:val="20"/>
              </w:rPr>
            </w:pPr>
          </w:p>
        </w:tc>
        <w:tc>
          <w:tcPr>
            <w:tcW w:w="243" w:type="pct"/>
          </w:tcPr>
          <w:p w:rsidR="0085599B" w:rsidRPr="00201A3F" w:rsidRDefault="0085599B" w:rsidP="005B1F40">
            <w:pPr>
              <w:jc w:val="both"/>
              <w:rPr>
                <w:rFonts w:eastAsia="Calibri"/>
                <w:sz w:val="20"/>
              </w:rPr>
            </w:pPr>
          </w:p>
        </w:tc>
        <w:tc>
          <w:tcPr>
            <w:tcW w:w="2330" w:type="pct"/>
          </w:tcPr>
          <w:p w:rsidR="0085599B" w:rsidRPr="00201A3F" w:rsidRDefault="0085599B" w:rsidP="005B1F40">
            <w:pPr>
              <w:jc w:val="both"/>
              <w:rPr>
                <w:rFonts w:eastAsia="Calibri"/>
                <w:sz w:val="20"/>
              </w:rPr>
            </w:pPr>
            <w:r w:rsidRPr="00201A3F">
              <w:rPr>
                <w:rFonts w:eastAsia="Calibri"/>
                <w:sz w:val="20"/>
              </w:rPr>
              <w:t>Appeal dismissed</w:t>
            </w:r>
          </w:p>
          <w:p w:rsidR="0085599B" w:rsidRPr="00201A3F" w:rsidRDefault="0085599B" w:rsidP="005B1F40">
            <w:pPr>
              <w:jc w:val="both"/>
              <w:rPr>
                <w:rFonts w:eastAsia="Calibri"/>
                <w:sz w:val="20"/>
              </w:rPr>
            </w:pPr>
          </w:p>
        </w:tc>
      </w:tr>
      <w:tr w:rsidR="0085599B" w:rsidRPr="00201A3F" w:rsidTr="00BA37D8">
        <w:trPr>
          <w:cantSplit/>
        </w:trPr>
        <w:tc>
          <w:tcPr>
            <w:tcW w:w="2427" w:type="pct"/>
          </w:tcPr>
          <w:p w:rsidR="0085599B" w:rsidRPr="00201A3F" w:rsidRDefault="0085599B" w:rsidP="005B1F40">
            <w:pPr>
              <w:jc w:val="both"/>
              <w:rPr>
                <w:rFonts w:eastAsia="Calibri"/>
                <w:sz w:val="20"/>
              </w:rPr>
            </w:pPr>
            <w:r w:rsidRPr="00201A3F">
              <w:rPr>
                <w:rFonts w:eastAsia="Calibri"/>
                <w:sz w:val="20"/>
              </w:rPr>
              <w:t>July 30, 2012</w:t>
            </w:r>
          </w:p>
          <w:p w:rsidR="0085599B" w:rsidRPr="00201A3F" w:rsidRDefault="0085599B" w:rsidP="005B1F40">
            <w:pPr>
              <w:jc w:val="both"/>
              <w:rPr>
                <w:rFonts w:eastAsia="Calibri"/>
                <w:sz w:val="20"/>
              </w:rPr>
            </w:pPr>
            <w:r w:rsidRPr="00201A3F">
              <w:rPr>
                <w:rFonts w:eastAsia="Calibri"/>
                <w:sz w:val="20"/>
              </w:rPr>
              <w:t>Supreme Court of Canada</w:t>
            </w:r>
          </w:p>
        </w:tc>
        <w:tc>
          <w:tcPr>
            <w:tcW w:w="243" w:type="pct"/>
          </w:tcPr>
          <w:p w:rsidR="0085599B" w:rsidRPr="00201A3F" w:rsidRDefault="0085599B" w:rsidP="005B1F40">
            <w:pPr>
              <w:jc w:val="both"/>
              <w:rPr>
                <w:rFonts w:eastAsia="Calibri"/>
                <w:sz w:val="20"/>
              </w:rPr>
            </w:pPr>
          </w:p>
        </w:tc>
        <w:tc>
          <w:tcPr>
            <w:tcW w:w="2330" w:type="pct"/>
          </w:tcPr>
          <w:p w:rsidR="0085599B" w:rsidRPr="00201A3F" w:rsidRDefault="0085599B" w:rsidP="005B1F40">
            <w:pPr>
              <w:jc w:val="both"/>
              <w:rPr>
                <w:rFonts w:eastAsia="Calibri"/>
                <w:sz w:val="20"/>
              </w:rPr>
            </w:pPr>
            <w:r w:rsidRPr="00201A3F">
              <w:rPr>
                <w:rFonts w:eastAsia="Calibri"/>
                <w:sz w:val="20"/>
              </w:rPr>
              <w:t>Application for leave to appeal filed</w:t>
            </w:r>
          </w:p>
          <w:p w:rsidR="0085599B" w:rsidRPr="00201A3F" w:rsidRDefault="0085599B" w:rsidP="005B1F40">
            <w:pPr>
              <w:jc w:val="both"/>
              <w:rPr>
                <w:rFonts w:eastAsia="Calibri"/>
                <w:sz w:val="20"/>
              </w:rPr>
            </w:pPr>
          </w:p>
        </w:tc>
      </w:tr>
    </w:tbl>
    <w:p w:rsidR="00A740D1" w:rsidRDefault="00A740D1" w:rsidP="00A740D1">
      <w:pPr>
        <w:rPr>
          <w:sz w:val="20"/>
          <w:szCs w:val="20"/>
        </w:rPr>
      </w:pPr>
    </w:p>
    <w:p w:rsidR="00A740D1" w:rsidRPr="00C50A5C" w:rsidRDefault="00BF3B03" w:rsidP="00A740D1">
      <w:pPr>
        <w:rPr>
          <w:sz w:val="20"/>
          <w:szCs w:val="20"/>
        </w:rPr>
      </w:pPr>
      <w:r w:rsidRPr="00BF3B03">
        <w:rPr>
          <w:sz w:val="20"/>
          <w:szCs w:val="20"/>
          <w:lang w:val="fr-CA"/>
        </w:rPr>
        <w:pict>
          <v:rect id="_x0000_i1068" style="width:2in;height:1pt" o:hrpct="0" o:hralign="center" o:hrstd="t" o:hrnoshade="t" o:hr="t" fillcolor="black [3213]" stroked="f"/>
        </w:pict>
      </w:r>
    </w:p>
    <w:p w:rsidR="00A740D1" w:rsidRDefault="00A740D1" w:rsidP="00A740D1">
      <w:pPr>
        <w:rPr>
          <w:sz w:val="20"/>
          <w:szCs w:val="20"/>
        </w:rPr>
      </w:pPr>
    </w:p>
    <w:p w:rsidR="00A740D1" w:rsidRPr="001B157C" w:rsidRDefault="00A740D1" w:rsidP="00A740D1">
      <w:pPr>
        <w:rPr>
          <w:sz w:val="20"/>
          <w:szCs w:val="20"/>
          <w:u w:val="single"/>
          <w:lang w:val="fr-CA"/>
        </w:rPr>
      </w:pPr>
      <w:r w:rsidRPr="001B157C">
        <w:rPr>
          <w:sz w:val="20"/>
          <w:szCs w:val="20"/>
          <w:u w:val="single"/>
          <w:lang w:val="fr-CA"/>
        </w:rPr>
        <w:t>RÉSUMÉ DE L’AFFAIRE</w:t>
      </w:r>
    </w:p>
    <w:p w:rsidR="00A740D1" w:rsidRDefault="00A740D1" w:rsidP="00A740D1">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85599B" w:rsidRPr="00DC2D1F" w:rsidTr="005B1F40">
        <w:tc>
          <w:tcPr>
            <w:tcW w:w="5000" w:type="pct"/>
            <w:gridSpan w:val="3"/>
          </w:tcPr>
          <w:p w:rsidR="0085599B" w:rsidRPr="00201A3F" w:rsidRDefault="0085599B" w:rsidP="005B1F40">
            <w:pPr>
              <w:jc w:val="both"/>
              <w:rPr>
                <w:rFonts w:eastAsia="Calibri"/>
                <w:sz w:val="20"/>
                <w:lang w:val="fr-CA"/>
              </w:rPr>
            </w:pPr>
            <w:r w:rsidRPr="00201A3F">
              <w:rPr>
                <w:rFonts w:eastAsia="Calibri"/>
                <w:sz w:val="20"/>
                <w:lang w:val="fr-CA"/>
              </w:rPr>
              <w:t>Droit criminel — Provocation policière — Provocation policière dans le cadre d’une opération visant à éprouver au hasard la vertu des gens — La doctrine de provocation policière dans le cadre d’une opération visant à éprouver au hasard la vertu des gens s’applique</w:t>
            </w:r>
            <w:r w:rsidRPr="00201A3F">
              <w:rPr>
                <w:rFonts w:eastAsia="Calibri"/>
                <w:sz w:val="20"/>
                <w:lang w:val="fr-CA"/>
              </w:rPr>
              <w:noBreakHyphen/>
              <w:t>t</w:t>
            </w:r>
            <w:r w:rsidRPr="00201A3F">
              <w:rPr>
                <w:rFonts w:eastAsia="Calibri"/>
                <w:sz w:val="20"/>
                <w:lang w:val="fr-CA"/>
              </w:rPr>
              <w:noBreakHyphen/>
              <w:t>elle lorsque que des policiers, se faisant passer pour des clients, passent des commandes codées pour des drogues illicites, par la voie de lignes téléphoniques dont on soupçonne qu'elles sont utilisées pour le trafic de la drogue? — La Cour d'appel de l'Alberta a</w:t>
            </w:r>
            <w:r w:rsidRPr="00201A3F">
              <w:rPr>
                <w:rFonts w:eastAsia="Calibri"/>
                <w:sz w:val="20"/>
                <w:lang w:val="fr-CA"/>
              </w:rPr>
              <w:noBreakHyphen/>
              <w:t>t</w:t>
            </w:r>
            <w:r w:rsidRPr="00201A3F">
              <w:rPr>
                <w:rFonts w:eastAsia="Calibri"/>
                <w:sz w:val="20"/>
                <w:lang w:val="fr-CA"/>
              </w:rPr>
              <w:noBreakHyphen/>
              <w:t>elle eu tort d'appliquer une norme trop rigoureuse pour répondre au critère du « soupçon raisonnable » et de conclure en fin de compte que les policiers n'avaient pas de soupçon raisonnable comme quoi les personnes qui répondaient sur la ligne téléphonique en cause étaient impliquées dans un stratagème de trafic de la drogue en cours?</w:t>
            </w:r>
          </w:p>
        </w:tc>
      </w:tr>
      <w:tr w:rsidR="0085599B" w:rsidRPr="00DC2D1F" w:rsidTr="005B1F40">
        <w:tc>
          <w:tcPr>
            <w:tcW w:w="5000" w:type="pct"/>
            <w:gridSpan w:val="3"/>
          </w:tcPr>
          <w:p w:rsidR="0085599B" w:rsidRPr="00201A3F" w:rsidRDefault="0085599B" w:rsidP="005B1F40">
            <w:pPr>
              <w:jc w:val="both"/>
              <w:rPr>
                <w:rFonts w:eastAsia="Calibri"/>
                <w:sz w:val="20"/>
                <w:lang w:val="fr-CA"/>
              </w:rPr>
            </w:pPr>
          </w:p>
        </w:tc>
      </w:tr>
      <w:tr w:rsidR="0085599B" w:rsidRPr="00DC2D1F" w:rsidTr="005B1F40">
        <w:tc>
          <w:tcPr>
            <w:tcW w:w="5000" w:type="pct"/>
            <w:gridSpan w:val="3"/>
          </w:tcPr>
          <w:p w:rsidR="0085599B" w:rsidRPr="00201A3F" w:rsidRDefault="0085599B" w:rsidP="005B1F40">
            <w:pPr>
              <w:jc w:val="both"/>
              <w:rPr>
                <w:rFonts w:eastAsia="Calibri"/>
                <w:sz w:val="20"/>
                <w:lang w:val="fr-CA"/>
              </w:rPr>
            </w:pPr>
            <w:r w:rsidRPr="00201A3F">
              <w:rPr>
                <w:rFonts w:eastAsia="Calibri"/>
                <w:sz w:val="20"/>
                <w:lang w:val="fr-CA"/>
              </w:rPr>
              <w:t xml:space="preserve">Des policiers ont reçu d'un informateur n’ayant jamais fourni de renseignements auparavant un tuyau comme quoi il se faisait du trafic de cocaïne par la voie d’un numéro de téléphone cellulaire en particulier.  Sans prendre de mesures pour enquêter davantage, un policier banalisé a composé le numéro, parlé à un homme non identifié et placé une commande d'achat de cocaïne en utilisant le jargon utilisé dans le commerce de la drogue. </w:t>
            </w:r>
          </w:p>
          <w:p w:rsidR="0085599B" w:rsidRPr="00201A3F" w:rsidRDefault="0085599B" w:rsidP="005B1F40">
            <w:pPr>
              <w:jc w:val="both"/>
              <w:rPr>
                <w:rFonts w:eastAsia="Calibri"/>
                <w:sz w:val="20"/>
                <w:lang w:val="fr-CA"/>
              </w:rPr>
            </w:pPr>
          </w:p>
          <w:p w:rsidR="0085599B" w:rsidRPr="00201A3F" w:rsidRDefault="0085599B" w:rsidP="005B1F40">
            <w:pPr>
              <w:jc w:val="both"/>
              <w:rPr>
                <w:rFonts w:eastAsia="Calibri"/>
                <w:sz w:val="20"/>
                <w:lang w:val="fr-CA"/>
              </w:rPr>
            </w:pPr>
            <w:r w:rsidRPr="00201A3F">
              <w:rPr>
                <w:rFonts w:eastAsia="Calibri"/>
                <w:sz w:val="20"/>
                <w:lang w:val="fr-CA"/>
              </w:rPr>
              <w:t xml:space="preserve">L'intimé et a été arrêté par le policier banalisé lorsqu'il a tenté de livrer la cocaïne en réponse à la commande téléphonique du policier.  Au procès, l'intimé a plaidé coupable de trafic de cocaïne mais a demandé la suspension de la déclaration de culpabilité pour cause de provocation policière. </w:t>
            </w:r>
          </w:p>
          <w:p w:rsidR="0085599B" w:rsidRPr="00201A3F" w:rsidRDefault="0085599B" w:rsidP="005B1F40">
            <w:pPr>
              <w:jc w:val="both"/>
              <w:rPr>
                <w:rFonts w:eastAsia="Calibri"/>
                <w:sz w:val="20"/>
                <w:lang w:val="fr-CA"/>
              </w:rPr>
            </w:pPr>
          </w:p>
        </w:tc>
      </w:tr>
      <w:tr w:rsidR="0085599B" w:rsidRPr="00201A3F" w:rsidTr="005B1F40">
        <w:tc>
          <w:tcPr>
            <w:tcW w:w="2427" w:type="pct"/>
          </w:tcPr>
          <w:p w:rsidR="0085599B" w:rsidRPr="00201A3F" w:rsidRDefault="0085599B" w:rsidP="005B1F40">
            <w:pPr>
              <w:jc w:val="both"/>
              <w:rPr>
                <w:rFonts w:eastAsia="Calibri"/>
                <w:sz w:val="20"/>
                <w:lang w:val="fr-CA"/>
              </w:rPr>
            </w:pPr>
            <w:r w:rsidRPr="00201A3F">
              <w:rPr>
                <w:rFonts w:eastAsia="Calibri"/>
                <w:sz w:val="20"/>
                <w:lang w:val="fr-CA"/>
              </w:rPr>
              <w:t>25 mars 2011</w:t>
            </w:r>
          </w:p>
          <w:p w:rsidR="0085599B" w:rsidRPr="00201A3F" w:rsidRDefault="0085599B" w:rsidP="005B1F40">
            <w:pPr>
              <w:jc w:val="both"/>
              <w:rPr>
                <w:rFonts w:eastAsia="Calibri"/>
                <w:sz w:val="20"/>
                <w:lang w:val="fr-CA"/>
              </w:rPr>
            </w:pPr>
            <w:r w:rsidRPr="00201A3F">
              <w:rPr>
                <w:rFonts w:eastAsia="Calibri"/>
                <w:sz w:val="20"/>
                <w:lang w:val="fr-CA"/>
              </w:rPr>
              <w:t>Cour du Banc de la Reine de l'Alberta</w:t>
            </w:r>
          </w:p>
          <w:p w:rsidR="0085599B" w:rsidRPr="00201A3F" w:rsidRDefault="0085599B" w:rsidP="005B1F40">
            <w:pPr>
              <w:jc w:val="both"/>
              <w:rPr>
                <w:rFonts w:eastAsia="Calibri"/>
                <w:sz w:val="20"/>
                <w:lang w:val="fr-CA"/>
              </w:rPr>
            </w:pPr>
            <w:r w:rsidRPr="00201A3F">
              <w:rPr>
                <w:rFonts w:eastAsia="Calibri"/>
                <w:sz w:val="20"/>
                <w:lang w:val="fr-CA"/>
              </w:rPr>
              <w:t>(Juge Gill)</w:t>
            </w:r>
          </w:p>
          <w:p w:rsidR="0085599B" w:rsidRPr="00201A3F" w:rsidRDefault="0085599B" w:rsidP="005B1F40">
            <w:pPr>
              <w:jc w:val="both"/>
              <w:rPr>
                <w:rFonts w:eastAsia="Calibri"/>
                <w:sz w:val="20"/>
                <w:lang w:val="fr-CA"/>
              </w:rPr>
            </w:pPr>
          </w:p>
        </w:tc>
        <w:tc>
          <w:tcPr>
            <w:tcW w:w="243" w:type="pct"/>
          </w:tcPr>
          <w:p w:rsidR="0085599B" w:rsidRPr="00201A3F" w:rsidRDefault="0085599B" w:rsidP="005B1F40">
            <w:pPr>
              <w:jc w:val="both"/>
              <w:rPr>
                <w:rFonts w:eastAsia="Calibri"/>
                <w:sz w:val="20"/>
                <w:lang w:val="fr-CA"/>
              </w:rPr>
            </w:pPr>
          </w:p>
        </w:tc>
        <w:tc>
          <w:tcPr>
            <w:tcW w:w="2330" w:type="pct"/>
          </w:tcPr>
          <w:p w:rsidR="0085599B" w:rsidRPr="00201A3F" w:rsidRDefault="0085599B" w:rsidP="005B1F40">
            <w:pPr>
              <w:jc w:val="both"/>
              <w:rPr>
                <w:rFonts w:eastAsia="Calibri"/>
                <w:sz w:val="20"/>
                <w:lang w:val="fr-CA"/>
              </w:rPr>
            </w:pPr>
            <w:r w:rsidRPr="00201A3F">
              <w:rPr>
                <w:rFonts w:eastAsia="Calibri"/>
                <w:sz w:val="20"/>
                <w:lang w:val="fr-CA"/>
              </w:rPr>
              <w:t>Demande d'arrêt des procédures, accueillie</w:t>
            </w:r>
          </w:p>
          <w:p w:rsidR="0085599B" w:rsidRPr="00201A3F" w:rsidRDefault="0085599B" w:rsidP="005B1F40">
            <w:pPr>
              <w:jc w:val="both"/>
              <w:rPr>
                <w:rFonts w:eastAsia="Calibri"/>
                <w:sz w:val="20"/>
                <w:lang w:val="fr-CA"/>
              </w:rPr>
            </w:pPr>
          </w:p>
        </w:tc>
      </w:tr>
      <w:tr w:rsidR="0085599B" w:rsidRPr="00201A3F" w:rsidTr="005B1F40">
        <w:tc>
          <w:tcPr>
            <w:tcW w:w="2427" w:type="pct"/>
          </w:tcPr>
          <w:p w:rsidR="0085599B" w:rsidRPr="00201A3F" w:rsidRDefault="0085599B" w:rsidP="005B1F40">
            <w:pPr>
              <w:jc w:val="both"/>
              <w:rPr>
                <w:rFonts w:eastAsia="Calibri"/>
                <w:sz w:val="20"/>
                <w:lang w:val="fr-CA"/>
              </w:rPr>
            </w:pPr>
            <w:r w:rsidRPr="00201A3F">
              <w:rPr>
                <w:rFonts w:eastAsia="Calibri"/>
                <w:sz w:val="20"/>
                <w:lang w:val="fr-CA"/>
              </w:rPr>
              <w:t>3 mai 2012</w:t>
            </w:r>
          </w:p>
          <w:p w:rsidR="0085599B" w:rsidRPr="00201A3F" w:rsidRDefault="0085599B" w:rsidP="005B1F40">
            <w:pPr>
              <w:jc w:val="both"/>
              <w:rPr>
                <w:rFonts w:eastAsia="Calibri"/>
                <w:sz w:val="20"/>
                <w:lang w:val="fr-CA"/>
              </w:rPr>
            </w:pPr>
            <w:r w:rsidRPr="00201A3F">
              <w:rPr>
                <w:rFonts w:eastAsia="Calibri"/>
                <w:sz w:val="20"/>
                <w:lang w:val="fr-CA"/>
              </w:rPr>
              <w:t>Cour d'appel de l'Alberta (Edmonton)</w:t>
            </w:r>
          </w:p>
          <w:p w:rsidR="0085599B" w:rsidRPr="00201A3F" w:rsidRDefault="0085599B" w:rsidP="005B1F40">
            <w:pPr>
              <w:jc w:val="both"/>
              <w:rPr>
                <w:rFonts w:eastAsia="Calibri"/>
                <w:sz w:val="20"/>
                <w:lang w:val="fr-CA"/>
              </w:rPr>
            </w:pPr>
            <w:r w:rsidRPr="00201A3F">
              <w:rPr>
                <w:rFonts w:eastAsia="Calibri"/>
                <w:sz w:val="20"/>
                <w:lang w:val="fr-CA"/>
              </w:rPr>
              <w:t>(Juges Costigan, Rowbotham et Bielby)</w:t>
            </w:r>
          </w:p>
          <w:p w:rsidR="0085599B" w:rsidRPr="00201A3F" w:rsidRDefault="0085599B" w:rsidP="005B1F40">
            <w:pPr>
              <w:jc w:val="both"/>
              <w:rPr>
                <w:rFonts w:eastAsia="Calibri"/>
                <w:sz w:val="20"/>
                <w:lang w:val="fr-CA"/>
              </w:rPr>
            </w:pPr>
          </w:p>
        </w:tc>
        <w:tc>
          <w:tcPr>
            <w:tcW w:w="243" w:type="pct"/>
          </w:tcPr>
          <w:p w:rsidR="0085599B" w:rsidRPr="00201A3F" w:rsidRDefault="0085599B" w:rsidP="005B1F40">
            <w:pPr>
              <w:jc w:val="both"/>
              <w:rPr>
                <w:rFonts w:eastAsia="Calibri"/>
                <w:sz w:val="20"/>
                <w:lang w:val="fr-CA"/>
              </w:rPr>
            </w:pPr>
          </w:p>
        </w:tc>
        <w:tc>
          <w:tcPr>
            <w:tcW w:w="2330" w:type="pct"/>
          </w:tcPr>
          <w:p w:rsidR="0085599B" w:rsidRPr="00201A3F" w:rsidRDefault="0085599B" w:rsidP="005B1F40">
            <w:pPr>
              <w:jc w:val="both"/>
              <w:rPr>
                <w:rFonts w:eastAsia="Calibri"/>
                <w:sz w:val="20"/>
                <w:lang w:val="fr-CA"/>
              </w:rPr>
            </w:pPr>
            <w:r w:rsidRPr="00201A3F">
              <w:rPr>
                <w:rFonts w:eastAsia="Calibri"/>
                <w:sz w:val="20"/>
                <w:lang w:val="fr-CA"/>
              </w:rPr>
              <w:t>Appel rejeté</w:t>
            </w:r>
          </w:p>
          <w:p w:rsidR="0085599B" w:rsidRPr="00201A3F" w:rsidRDefault="0085599B" w:rsidP="005B1F40">
            <w:pPr>
              <w:jc w:val="both"/>
              <w:rPr>
                <w:rFonts w:eastAsia="Calibri"/>
                <w:sz w:val="20"/>
                <w:lang w:val="fr-CA"/>
              </w:rPr>
            </w:pPr>
          </w:p>
        </w:tc>
      </w:tr>
      <w:tr w:rsidR="0085599B" w:rsidRPr="00201A3F" w:rsidTr="005B1F40">
        <w:tc>
          <w:tcPr>
            <w:tcW w:w="2427" w:type="pct"/>
          </w:tcPr>
          <w:p w:rsidR="0085599B" w:rsidRPr="00201A3F" w:rsidRDefault="0085599B" w:rsidP="005B1F40">
            <w:pPr>
              <w:jc w:val="both"/>
              <w:rPr>
                <w:rFonts w:eastAsia="Calibri"/>
                <w:sz w:val="20"/>
                <w:lang w:val="fr-CA"/>
              </w:rPr>
            </w:pPr>
            <w:r w:rsidRPr="00201A3F">
              <w:rPr>
                <w:rFonts w:eastAsia="Calibri"/>
                <w:sz w:val="20"/>
                <w:lang w:val="fr-CA"/>
              </w:rPr>
              <w:t>30 juillet 2012</w:t>
            </w:r>
          </w:p>
          <w:p w:rsidR="0085599B" w:rsidRPr="00201A3F" w:rsidRDefault="0085599B" w:rsidP="005B1F40">
            <w:pPr>
              <w:jc w:val="both"/>
              <w:rPr>
                <w:rFonts w:eastAsia="Calibri"/>
                <w:sz w:val="20"/>
                <w:lang w:val="fr-CA"/>
              </w:rPr>
            </w:pPr>
            <w:r w:rsidRPr="00201A3F">
              <w:rPr>
                <w:rFonts w:eastAsia="Calibri"/>
                <w:sz w:val="20"/>
                <w:lang w:val="fr-CA"/>
              </w:rPr>
              <w:t>Cour suprême du Canada</w:t>
            </w:r>
          </w:p>
        </w:tc>
        <w:tc>
          <w:tcPr>
            <w:tcW w:w="243" w:type="pct"/>
          </w:tcPr>
          <w:p w:rsidR="0085599B" w:rsidRPr="00201A3F" w:rsidRDefault="0085599B" w:rsidP="005B1F40">
            <w:pPr>
              <w:jc w:val="both"/>
              <w:rPr>
                <w:rFonts w:eastAsia="Calibri"/>
                <w:sz w:val="20"/>
                <w:lang w:val="fr-CA"/>
              </w:rPr>
            </w:pPr>
          </w:p>
        </w:tc>
        <w:tc>
          <w:tcPr>
            <w:tcW w:w="2330" w:type="pct"/>
          </w:tcPr>
          <w:p w:rsidR="0085599B" w:rsidRPr="00201A3F" w:rsidRDefault="0085599B" w:rsidP="005B1F40">
            <w:pPr>
              <w:jc w:val="both"/>
              <w:rPr>
                <w:rFonts w:eastAsia="Calibri"/>
                <w:sz w:val="20"/>
                <w:lang w:val="fr-CA"/>
              </w:rPr>
            </w:pPr>
            <w:r w:rsidRPr="00201A3F">
              <w:rPr>
                <w:rFonts w:eastAsia="Calibri"/>
                <w:sz w:val="20"/>
                <w:lang w:val="fr-CA"/>
              </w:rPr>
              <w:t>Demande d'autorisation d'appel, déposée</w:t>
            </w:r>
          </w:p>
          <w:p w:rsidR="0085599B" w:rsidRPr="00201A3F" w:rsidRDefault="0085599B" w:rsidP="005B1F40">
            <w:pPr>
              <w:jc w:val="both"/>
              <w:rPr>
                <w:rFonts w:eastAsia="Calibri"/>
                <w:sz w:val="20"/>
                <w:lang w:val="fr-CA"/>
              </w:rPr>
            </w:pPr>
          </w:p>
        </w:tc>
      </w:tr>
    </w:tbl>
    <w:p w:rsidR="00A740D1" w:rsidRDefault="00A740D1" w:rsidP="00A740D1">
      <w:pPr>
        <w:rPr>
          <w:sz w:val="20"/>
          <w:szCs w:val="20"/>
        </w:rPr>
      </w:pPr>
    </w:p>
    <w:p w:rsidR="00A740D1" w:rsidRDefault="00BF3B03" w:rsidP="00A740D1">
      <w:pPr>
        <w:rPr>
          <w:sz w:val="20"/>
          <w:szCs w:val="20"/>
        </w:rPr>
      </w:pPr>
      <w:r w:rsidRPr="00BF3B03">
        <w:rPr>
          <w:sz w:val="20"/>
          <w:szCs w:val="20"/>
          <w:lang w:val="fr-CA"/>
        </w:rPr>
        <w:pict>
          <v:rect id="_x0000_i1069" style="width:2in;height:1pt" o:hrpct="0" o:hralign="center" o:hrstd="t" o:hrnoshade="t" o:hr="t" fillcolor="black [3213]" stroked="f"/>
        </w:pict>
      </w:r>
    </w:p>
    <w:p w:rsidR="00A740D1" w:rsidRDefault="00A740D1" w:rsidP="00A740D1">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A37D8" w:rsidRPr="00B9404B" w:rsidTr="00BA37D8">
        <w:trPr>
          <w:cantSplit/>
        </w:trPr>
        <w:tc>
          <w:tcPr>
            <w:tcW w:w="1458" w:type="dxa"/>
          </w:tcPr>
          <w:p w:rsidR="00BA37D8" w:rsidRPr="00B9404B" w:rsidRDefault="00BA37D8" w:rsidP="00BA37D8">
            <w:pPr>
              <w:rPr>
                <w:sz w:val="20"/>
                <w:szCs w:val="20"/>
              </w:rPr>
            </w:pPr>
            <w:r w:rsidRPr="00B9404B">
              <w:rPr>
                <w:rStyle w:val="SCCFileNumberChar"/>
                <w:sz w:val="20"/>
                <w:szCs w:val="20"/>
              </w:rPr>
              <w:lastRenderedPageBreak/>
              <w:t>34907</w:t>
            </w:r>
          </w:p>
          <w:p w:rsidR="00BA37D8" w:rsidRPr="00B9404B" w:rsidRDefault="00BA37D8" w:rsidP="00BA37D8">
            <w:pPr>
              <w:rPr>
                <w:b/>
                <w:sz w:val="20"/>
                <w:szCs w:val="20"/>
                <w:lang w:val="fr-CA"/>
              </w:rPr>
            </w:pPr>
          </w:p>
        </w:tc>
        <w:tc>
          <w:tcPr>
            <w:tcW w:w="8118" w:type="dxa"/>
          </w:tcPr>
          <w:p w:rsidR="00BA37D8" w:rsidRPr="00B9404B" w:rsidRDefault="00BA37D8" w:rsidP="00BA37D8">
            <w:pPr>
              <w:jc w:val="both"/>
              <w:rPr>
                <w:sz w:val="20"/>
                <w:szCs w:val="20"/>
              </w:rPr>
            </w:pPr>
            <w:r w:rsidRPr="00BA37D8">
              <w:rPr>
                <w:rStyle w:val="SCCLsocChar"/>
                <w:sz w:val="20"/>
                <w:szCs w:val="20"/>
                <w:lang w:val="en-CA"/>
              </w:rPr>
              <w:t>Bertina Alfano, Trustee of the Carmen Alfano Family Trust, Bertina Alfano, Italo Alfano, Trustee of the Italo Alfano Family Trust, Italo Alfano, Ulti Alfano, Trustee of the Ulti Alfano Family Trust and Ulti Alfano v. Christian Piersanti, Piersanti and Co. Barristers and Solicitors, Gold Financial Corp, 1281111 Ontario Limited, 1269906 Ontario Limited and 1281632 Ontario Limited, 1212700 Ontario Limited, Terry Piersanti, also known as Terry Scatcherd, 1281038 Ontario Limited and 3964400 Canada Inc. AND BETWEEN Christian Piersanti v. Bertina Alfano, Trustee of the Carmen Alfano Family Trust, Bertina Alfano, Italo Alfano, Trustee of the Italo Alfano Family Trust, Italo Alfano, Ulti Alfano, Trustee of the Ulti Alfano Family Trust and Ulti Alfano</w:t>
            </w:r>
            <w:r w:rsidRPr="00B9404B">
              <w:rPr>
                <w:sz w:val="20"/>
                <w:szCs w:val="20"/>
              </w:rPr>
              <w:t xml:space="preserve"> (Ont.) (Civil) (By Leave)</w:t>
            </w:r>
          </w:p>
          <w:p w:rsidR="00BA37D8" w:rsidRPr="00B9404B" w:rsidRDefault="00BA37D8" w:rsidP="00BA37D8">
            <w:pPr>
              <w:rPr>
                <w:sz w:val="20"/>
                <w:szCs w:val="20"/>
              </w:rPr>
            </w:pPr>
          </w:p>
        </w:tc>
      </w:tr>
      <w:tr w:rsidR="00BA37D8" w:rsidRPr="00B9404B" w:rsidTr="00BA37D8">
        <w:trPr>
          <w:cantSplit/>
        </w:trPr>
        <w:tc>
          <w:tcPr>
            <w:tcW w:w="1458" w:type="dxa"/>
          </w:tcPr>
          <w:p w:rsidR="00BA37D8" w:rsidRPr="00B9404B" w:rsidRDefault="00BA37D8" w:rsidP="00BA37D8">
            <w:pPr>
              <w:rPr>
                <w:sz w:val="20"/>
                <w:szCs w:val="20"/>
              </w:rPr>
            </w:pPr>
            <w:r w:rsidRPr="00B9404B">
              <w:rPr>
                <w:sz w:val="20"/>
                <w:szCs w:val="20"/>
              </w:rPr>
              <w:t>Coram :</w:t>
            </w:r>
          </w:p>
        </w:tc>
        <w:tc>
          <w:tcPr>
            <w:tcW w:w="8118" w:type="dxa"/>
          </w:tcPr>
          <w:p w:rsidR="00BA37D8" w:rsidRPr="00B9404B" w:rsidRDefault="00BA37D8" w:rsidP="00BA37D8">
            <w:pPr>
              <w:rPr>
                <w:sz w:val="20"/>
                <w:szCs w:val="20"/>
              </w:rPr>
            </w:pPr>
            <w:r w:rsidRPr="00BA37D8">
              <w:rPr>
                <w:rStyle w:val="SCCCoramChar"/>
                <w:sz w:val="20"/>
                <w:szCs w:val="20"/>
                <w:lang w:val="en-CA"/>
              </w:rPr>
              <w:t>LeBel, Abella and Cromwell JJ.</w:t>
            </w:r>
          </w:p>
          <w:p w:rsidR="00BA37D8" w:rsidRPr="00B9404B" w:rsidRDefault="00BA37D8" w:rsidP="00BA37D8">
            <w:pPr>
              <w:rPr>
                <w:sz w:val="20"/>
                <w:szCs w:val="20"/>
                <w:u w:val="single"/>
              </w:rPr>
            </w:pPr>
          </w:p>
        </w:tc>
      </w:tr>
      <w:tr w:rsidR="00BA37D8" w:rsidRPr="00DC2D1F" w:rsidTr="00BA37D8">
        <w:trPr>
          <w:cantSplit/>
        </w:trPr>
        <w:tc>
          <w:tcPr>
            <w:tcW w:w="9576" w:type="dxa"/>
            <w:gridSpan w:val="2"/>
          </w:tcPr>
          <w:p w:rsidR="00BA37D8" w:rsidRPr="00B9404B" w:rsidRDefault="00BA37D8" w:rsidP="00BA37D8">
            <w:pPr>
              <w:pStyle w:val="SCCShortJudgment"/>
              <w:rPr>
                <w:szCs w:val="20"/>
              </w:rPr>
            </w:pPr>
            <w:r w:rsidRPr="00B9404B">
              <w:rPr>
                <w:szCs w:val="20"/>
              </w:rPr>
              <w:t>The applications for leave to appeal from the judgment of the Court of Appeal for Ontario, Number C52738, 2012 ONCA 297, dated May 9, 2012, are dismissed with costs.</w:t>
            </w:r>
          </w:p>
          <w:p w:rsidR="00BA37D8" w:rsidRPr="00B9404B" w:rsidRDefault="00BA37D8" w:rsidP="00BA37D8">
            <w:pPr>
              <w:pStyle w:val="SCCShortJudgment"/>
              <w:ind w:firstLine="0"/>
              <w:rPr>
                <w:szCs w:val="20"/>
              </w:rPr>
            </w:pPr>
          </w:p>
          <w:p w:rsidR="00BA37D8" w:rsidRPr="00B9404B" w:rsidRDefault="00BA37D8" w:rsidP="00BA37D8">
            <w:pPr>
              <w:pStyle w:val="SCCShortJudgment"/>
              <w:rPr>
                <w:szCs w:val="20"/>
                <w:lang w:val="fr-CA"/>
              </w:rPr>
            </w:pPr>
            <w:r w:rsidRPr="00B9404B">
              <w:rPr>
                <w:szCs w:val="20"/>
                <w:lang w:val="fr-CA"/>
              </w:rPr>
              <w:t>Les demandes d’autorisation d’appel de l’arrêt de la Cour d’appel de l’Ontario, numéro C52738, 2012 ONCA 297, daté du 9 mai 2012, sont rejetées avec dépens.</w:t>
            </w:r>
          </w:p>
        </w:tc>
      </w:tr>
    </w:tbl>
    <w:p w:rsidR="0085599B" w:rsidRPr="00BA37D8" w:rsidRDefault="0085599B" w:rsidP="0085599B">
      <w:pPr>
        <w:rPr>
          <w:sz w:val="20"/>
          <w:szCs w:val="20"/>
          <w:lang w:val="fr-CA"/>
        </w:rPr>
      </w:pPr>
    </w:p>
    <w:p w:rsidR="0085599B" w:rsidRPr="001B157C" w:rsidRDefault="0085599B" w:rsidP="0085599B">
      <w:pPr>
        <w:rPr>
          <w:sz w:val="20"/>
          <w:szCs w:val="20"/>
          <w:u w:val="single"/>
        </w:rPr>
      </w:pPr>
      <w:r w:rsidRPr="001B157C">
        <w:rPr>
          <w:sz w:val="20"/>
          <w:szCs w:val="20"/>
          <w:u w:val="single"/>
        </w:rPr>
        <w:t>CASE SUMMARY</w:t>
      </w:r>
    </w:p>
    <w:p w:rsidR="0085599B" w:rsidRDefault="0085599B" w:rsidP="0085599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5599B" w:rsidRPr="00201A3F" w:rsidTr="005B1F40">
        <w:tc>
          <w:tcPr>
            <w:tcW w:w="5000" w:type="pct"/>
            <w:gridSpan w:val="3"/>
          </w:tcPr>
          <w:p w:rsidR="0085599B" w:rsidRPr="00201A3F" w:rsidRDefault="0085599B" w:rsidP="005B1F40">
            <w:pPr>
              <w:jc w:val="both"/>
              <w:rPr>
                <w:rFonts w:eastAsia="Calibri"/>
                <w:sz w:val="20"/>
              </w:rPr>
            </w:pPr>
            <w:r w:rsidRPr="00201A3F">
              <w:rPr>
                <w:rFonts w:eastAsia="Calibri"/>
                <w:sz w:val="20"/>
              </w:rPr>
              <w:t xml:space="preserve">Commercial law — Fraud — Misappropriation of funds — Bankruptcy — Expert evidence — Derivative claim — Whether the Court of Appeal relied on a theory of liability which was not raised or addressed by the Alfanos et al. to dismiss the claim against Terry Piersanti? — If so, whether that constitutes a breach of the principles of natural justice? — Whether the Court of Appeal erred in upholding all remaining findings of fraud and misappropriation against Christian Piersanti? — Whether the Court of Appeal erred in upholding the trial judge’s disqualification of Piersanti et al.’s expert witness? — Whether there is at law a cause of action for damages for wrongfully assigning a company into bankruptcy? — If so, what are the constituent elements of the cause of action and can such a cause of action result in an award for damages? — Whether there is an exception to the rule in </w:t>
            </w:r>
            <w:r w:rsidRPr="00201A3F">
              <w:rPr>
                <w:rFonts w:eastAsia="Calibri"/>
                <w:i/>
                <w:sz w:val="20"/>
              </w:rPr>
              <w:t>Foss v. Harbottle</w:t>
            </w:r>
            <w:r w:rsidRPr="00201A3F">
              <w:rPr>
                <w:rFonts w:eastAsia="Calibri"/>
                <w:sz w:val="20"/>
              </w:rPr>
              <w:t xml:space="preserve"> where the company is in bankruptcy or where the practical effect is that there is no company left to which the shareholders can assert a derivative claim? </w:t>
            </w:r>
          </w:p>
          <w:p w:rsidR="0085599B" w:rsidRPr="00201A3F" w:rsidRDefault="0085599B" w:rsidP="005B1F40">
            <w:pPr>
              <w:jc w:val="both"/>
              <w:rPr>
                <w:rFonts w:eastAsia="Calibri"/>
                <w:sz w:val="20"/>
              </w:rPr>
            </w:pPr>
          </w:p>
        </w:tc>
      </w:tr>
      <w:tr w:rsidR="0085599B" w:rsidRPr="00201A3F" w:rsidTr="005B1F40">
        <w:tc>
          <w:tcPr>
            <w:tcW w:w="5000" w:type="pct"/>
            <w:gridSpan w:val="3"/>
          </w:tcPr>
          <w:p w:rsidR="0085599B" w:rsidRPr="00201A3F" w:rsidRDefault="0085599B" w:rsidP="005B1F40">
            <w:pPr>
              <w:jc w:val="both"/>
              <w:rPr>
                <w:rFonts w:eastAsia="Calibri"/>
                <w:sz w:val="20"/>
              </w:rPr>
            </w:pPr>
            <w:r w:rsidRPr="00201A3F">
              <w:rPr>
                <w:rFonts w:eastAsia="Calibri"/>
                <w:sz w:val="20"/>
              </w:rPr>
              <w:t xml:space="preserve">Christian Piersanti, a lawyer, assisted the Alfanos in incorporating a family paving business and in establishing family trusts which would indirectly hold just under 90 percent of the interest in the paving company.  Mr. Piersanti held the remaining interest in the business and subsequently became its president.  Nine years later, Mr. Piersanti asserted that he was the sole owner of the paving company and locked the Alfanos out. </w:t>
            </w:r>
          </w:p>
          <w:p w:rsidR="0085599B" w:rsidRPr="00201A3F" w:rsidRDefault="0085599B" w:rsidP="005B1F40">
            <w:pPr>
              <w:jc w:val="both"/>
              <w:rPr>
                <w:rFonts w:eastAsia="Calibri"/>
                <w:sz w:val="20"/>
              </w:rPr>
            </w:pPr>
          </w:p>
          <w:p w:rsidR="0085599B" w:rsidRPr="00201A3F" w:rsidRDefault="0085599B" w:rsidP="005B1F40">
            <w:pPr>
              <w:jc w:val="both"/>
              <w:rPr>
                <w:rFonts w:eastAsia="Calibri"/>
                <w:sz w:val="20"/>
              </w:rPr>
            </w:pPr>
            <w:r w:rsidRPr="00201A3F">
              <w:rPr>
                <w:rFonts w:eastAsia="Calibri"/>
                <w:sz w:val="20"/>
              </w:rPr>
              <w:t xml:space="preserve">Members of the Alfano family and trustees of several family trusts first initiated an action seeking a declaration of their interests in the paving company.  On or about the same day, Mr. Piersanti assigned the company into bankruptcy.  The Alfanos et al. then brought an unsuccessful motion to set aside the assignment into bankruptcy.  During the course of litigation, the Alfanos became aware of evidence leading them to believe that Christian and his spouse Terry Piersanti had been — by way of numerous numbered companies owned by Ms. Piersanti — misappropriating funds from the Alfano family business as well as misappropriating the interests held by the Alfanos et al. in different commercial properties.  The Alfanos amended their original statement of claim, seeking numerous orders and declarations, including an order for damages against Mr. and Ms. Piersanti for breach of fiduciary duty, fraud, conversion and conspiracy. </w:t>
            </w:r>
          </w:p>
          <w:p w:rsidR="0085599B" w:rsidRPr="00201A3F" w:rsidRDefault="0085599B" w:rsidP="005B1F40">
            <w:pPr>
              <w:jc w:val="both"/>
              <w:rPr>
                <w:rFonts w:eastAsia="Calibri"/>
                <w:sz w:val="20"/>
              </w:rPr>
            </w:pPr>
          </w:p>
        </w:tc>
      </w:tr>
      <w:tr w:rsidR="0085599B" w:rsidRPr="00201A3F" w:rsidTr="005B1F40">
        <w:tc>
          <w:tcPr>
            <w:tcW w:w="2427" w:type="pct"/>
          </w:tcPr>
          <w:p w:rsidR="0085599B" w:rsidRPr="00201A3F" w:rsidRDefault="0085599B" w:rsidP="005B1F40">
            <w:pPr>
              <w:jc w:val="both"/>
              <w:rPr>
                <w:rFonts w:eastAsia="Calibri"/>
                <w:sz w:val="20"/>
              </w:rPr>
            </w:pPr>
            <w:r w:rsidRPr="00201A3F">
              <w:rPr>
                <w:rFonts w:eastAsia="Calibri"/>
                <w:sz w:val="20"/>
              </w:rPr>
              <w:t>September 3, 2010</w:t>
            </w:r>
          </w:p>
          <w:p w:rsidR="0085599B" w:rsidRPr="00201A3F" w:rsidRDefault="0085599B" w:rsidP="005B1F40">
            <w:pPr>
              <w:jc w:val="both"/>
              <w:rPr>
                <w:rFonts w:eastAsia="Calibri"/>
                <w:sz w:val="20"/>
              </w:rPr>
            </w:pPr>
            <w:r w:rsidRPr="00201A3F">
              <w:rPr>
                <w:rFonts w:eastAsia="Calibri"/>
                <w:sz w:val="20"/>
              </w:rPr>
              <w:t>Ontario Superior Court of Justice</w:t>
            </w:r>
          </w:p>
          <w:p w:rsidR="0085599B" w:rsidRPr="00201A3F" w:rsidRDefault="0085599B" w:rsidP="005B1F40">
            <w:pPr>
              <w:jc w:val="both"/>
              <w:rPr>
                <w:rFonts w:eastAsia="Calibri"/>
                <w:sz w:val="20"/>
              </w:rPr>
            </w:pPr>
            <w:r w:rsidRPr="00201A3F">
              <w:rPr>
                <w:rFonts w:eastAsia="Calibri"/>
                <w:sz w:val="20"/>
              </w:rPr>
              <w:t>(MacDonald J.)</w:t>
            </w:r>
          </w:p>
          <w:p w:rsidR="0085599B" w:rsidRPr="00201A3F" w:rsidRDefault="0085599B" w:rsidP="005B1F40">
            <w:pPr>
              <w:jc w:val="both"/>
              <w:rPr>
                <w:rFonts w:eastAsia="Calibri"/>
                <w:sz w:val="20"/>
              </w:rPr>
            </w:pPr>
          </w:p>
        </w:tc>
        <w:tc>
          <w:tcPr>
            <w:tcW w:w="243" w:type="pct"/>
          </w:tcPr>
          <w:p w:rsidR="0085599B" w:rsidRPr="00201A3F" w:rsidRDefault="0085599B" w:rsidP="005B1F40">
            <w:pPr>
              <w:jc w:val="both"/>
              <w:rPr>
                <w:rFonts w:eastAsia="Calibri"/>
                <w:sz w:val="20"/>
              </w:rPr>
            </w:pPr>
          </w:p>
        </w:tc>
        <w:tc>
          <w:tcPr>
            <w:tcW w:w="2330" w:type="pct"/>
          </w:tcPr>
          <w:p w:rsidR="0085599B" w:rsidRPr="00201A3F" w:rsidRDefault="0085599B" w:rsidP="005B1F40">
            <w:pPr>
              <w:jc w:val="both"/>
              <w:rPr>
                <w:rFonts w:eastAsia="Calibri"/>
                <w:sz w:val="20"/>
              </w:rPr>
            </w:pPr>
            <w:r w:rsidRPr="00201A3F">
              <w:rPr>
                <w:rFonts w:eastAsia="Calibri"/>
                <w:sz w:val="20"/>
              </w:rPr>
              <w:t xml:space="preserve">Declarations issued that (i) each of the Alfano family trusts are owners of 29% of the 758626 Ontario Limited, (ii) 758626 Ontario Limited is the owner of 100% of the shares of Osler Paving and Construction, (iii) that 758626 Ontario Limited is the owner of 100% of the shares of 1212700 Ontario Limited, and (iv) that </w:t>
            </w:r>
            <w:r w:rsidRPr="00201A3F">
              <w:rPr>
                <w:rFonts w:eastAsia="Calibri"/>
                <w:sz w:val="20"/>
              </w:rPr>
              <w:lastRenderedPageBreak/>
              <w:t>the Defendants Piersanti et al. have no interest in the proceeds stemming from the sale of 2 properties; Counterclaim dismissed; Christian and Terry Piersanti ordered to pay the family trusts damages in the sum of $20,000,000; Christian Piersanti ordered to pay the family trusts $250,000 in punitive damages; 1281632 Ontario Limited ordered to pay $2,500,000 into Court to the credit of the family trusts; Declarations that Ulti Alfano has a claim to 1/12</w:t>
            </w:r>
            <w:r w:rsidRPr="00201A3F">
              <w:rPr>
                <w:rFonts w:eastAsia="Calibri"/>
                <w:sz w:val="20"/>
                <w:vertAlign w:val="superscript"/>
              </w:rPr>
              <w:t>th</w:t>
            </w:r>
            <w:r w:rsidRPr="00201A3F">
              <w:rPr>
                <w:rFonts w:eastAsia="Calibri"/>
                <w:sz w:val="20"/>
              </w:rPr>
              <w:t xml:space="preserve"> interest in certain properties.</w:t>
            </w:r>
          </w:p>
          <w:p w:rsidR="0085599B" w:rsidRPr="00201A3F" w:rsidRDefault="0085599B" w:rsidP="005B1F40">
            <w:pPr>
              <w:jc w:val="both"/>
              <w:rPr>
                <w:rFonts w:eastAsia="Calibri"/>
                <w:sz w:val="20"/>
              </w:rPr>
            </w:pPr>
          </w:p>
        </w:tc>
      </w:tr>
      <w:tr w:rsidR="0085599B" w:rsidRPr="00201A3F" w:rsidTr="005B1F40">
        <w:tc>
          <w:tcPr>
            <w:tcW w:w="2427" w:type="pct"/>
          </w:tcPr>
          <w:p w:rsidR="0085599B" w:rsidRPr="00201A3F" w:rsidRDefault="0085599B" w:rsidP="005B1F40">
            <w:pPr>
              <w:jc w:val="both"/>
              <w:rPr>
                <w:rFonts w:eastAsia="Calibri"/>
                <w:sz w:val="20"/>
              </w:rPr>
            </w:pPr>
            <w:r w:rsidRPr="00201A3F">
              <w:rPr>
                <w:rFonts w:eastAsia="Calibri"/>
                <w:sz w:val="20"/>
              </w:rPr>
              <w:lastRenderedPageBreak/>
              <w:t>May 9, 2012</w:t>
            </w:r>
          </w:p>
          <w:p w:rsidR="0085599B" w:rsidRPr="00201A3F" w:rsidRDefault="0085599B" w:rsidP="005B1F40">
            <w:pPr>
              <w:jc w:val="both"/>
              <w:rPr>
                <w:rFonts w:eastAsia="Calibri"/>
                <w:sz w:val="20"/>
              </w:rPr>
            </w:pPr>
            <w:r w:rsidRPr="00201A3F">
              <w:rPr>
                <w:rFonts w:eastAsia="Calibri"/>
                <w:sz w:val="20"/>
              </w:rPr>
              <w:t>Court of Appeal for Ontario</w:t>
            </w:r>
          </w:p>
          <w:p w:rsidR="0085599B" w:rsidRPr="00201A3F" w:rsidRDefault="0085599B" w:rsidP="005B1F40">
            <w:pPr>
              <w:jc w:val="both"/>
              <w:rPr>
                <w:rFonts w:eastAsia="Calibri"/>
                <w:sz w:val="20"/>
              </w:rPr>
            </w:pPr>
            <w:r w:rsidRPr="00201A3F">
              <w:rPr>
                <w:rFonts w:eastAsia="Calibri"/>
                <w:sz w:val="20"/>
              </w:rPr>
              <w:t>(O'Connor A.C.J.O., LaForme J.A., Cunningham J.A.(</w:t>
            </w:r>
            <w:r w:rsidRPr="00201A3F">
              <w:rPr>
                <w:rFonts w:eastAsia="Calibri"/>
                <w:i/>
                <w:sz w:val="20"/>
              </w:rPr>
              <w:t>ad hoc</w:t>
            </w:r>
            <w:r w:rsidRPr="00201A3F">
              <w:rPr>
                <w:rFonts w:eastAsia="Calibri"/>
                <w:sz w:val="20"/>
              </w:rPr>
              <w:t>))</w:t>
            </w:r>
          </w:p>
          <w:p w:rsidR="0085599B" w:rsidRPr="00201A3F" w:rsidRDefault="0085599B" w:rsidP="005B1F40">
            <w:pPr>
              <w:jc w:val="both"/>
              <w:rPr>
                <w:rFonts w:eastAsia="Calibri"/>
                <w:sz w:val="20"/>
              </w:rPr>
            </w:pPr>
          </w:p>
        </w:tc>
        <w:tc>
          <w:tcPr>
            <w:tcW w:w="243" w:type="pct"/>
          </w:tcPr>
          <w:p w:rsidR="0085599B" w:rsidRPr="00201A3F" w:rsidRDefault="0085599B" w:rsidP="005B1F40">
            <w:pPr>
              <w:jc w:val="both"/>
              <w:rPr>
                <w:rFonts w:eastAsia="Calibri"/>
                <w:sz w:val="20"/>
              </w:rPr>
            </w:pPr>
          </w:p>
        </w:tc>
        <w:tc>
          <w:tcPr>
            <w:tcW w:w="2330" w:type="pct"/>
          </w:tcPr>
          <w:p w:rsidR="0085599B" w:rsidRPr="00201A3F" w:rsidRDefault="0085599B" w:rsidP="005B1F40">
            <w:pPr>
              <w:jc w:val="both"/>
              <w:rPr>
                <w:rFonts w:eastAsia="Calibri"/>
                <w:sz w:val="20"/>
              </w:rPr>
            </w:pPr>
            <w:r w:rsidRPr="00201A3F">
              <w:rPr>
                <w:rFonts w:eastAsia="Calibri"/>
                <w:sz w:val="20"/>
              </w:rPr>
              <w:t xml:space="preserve">Appeal allowed in part; Damages award reduced. Judgment against Terry Piersanti set aside. Order against 1281632 Ontario Limited and declaration relating to Ulti Alfano’s interest, set aside. </w:t>
            </w:r>
          </w:p>
          <w:p w:rsidR="0085599B" w:rsidRPr="00201A3F" w:rsidRDefault="0085599B" w:rsidP="005B1F40">
            <w:pPr>
              <w:jc w:val="both"/>
              <w:rPr>
                <w:rFonts w:eastAsia="Calibri"/>
                <w:sz w:val="20"/>
              </w:rPr>
            </w:pPr>
          </w:p>
        </w:tc>
      </w:tr>
      <w:tr w:rsidR="0085599B" w:rsidRPr="00201A3F" w:rsidTr="005B1F40">
        <w:tc>
          <w:tcPr>
            <w:tcW w:w="2427" w:type="pct"/>
          </w:tcPr>
          <w:p w:rsidR="0085599B" w:rsidRPr="00201A3F" w:rsidRDefault="0085599B" w:rsidP="005B1F40">
            <w:pPr>
              <w:jc w:val="both"/>
              <w:rPr>
                <w:rFonts w:eastAsia="Calibri"/>
                <w:sz w:val="20"/>
              </w:rPr>
            </w:pPr>
            <w:r w:rsidRPr="00201A3F">
              <w:rPr>
                <w:rFonts w:eastAsia="Calibri"/>
                <w:sz w:val="20"/>
              </w:rPr>
              <w:t>July 30, 2012</w:t>
            </w:r>
          </w:p>
          <w:p w:rsidR="0085599B" w:rsidRPr="00201A3F" w:rsidRDefault="0085599B" w:rsidP="005B1F40">
            <w:pPr>
              <w:jc w:val="both"/>
              <w:rPr>
                <w:rFonts w:eastAsia="Calibri"/>
                <w:sz w:val="20"/>
              </w:rPr>
            </w:pPr>
            <w:r w:rsidRPr="00201A3F">
              <w:rPr>
                <w:rFonts w:eastAsia="Calibri"/>
                <w:sz w:val="20"/>
              </w:rPr>
              <w:t>Supreme Court of Canada</w:t>
            </w:r>
          </w:p>
          <w:p w:rsidR="0085599B" w:rsidRPr="00201A3F" w:rsidRDefault="0085599B" w:rsidP="005B1F40">
            <w:pPr>
              <w:jc w:val="both"/>
              <w:rPr>
                <w:rFonts w:eastAsia="Calibri"/>
                <w:sz w:val="20"/>
              </w:rPr>
            </w:pPr>
          </w:p>
        </w:tc>
        <w:tc>
          <w:tcPr>
            <w:tcW w:w="243" w:type="pct"/>
          </w:tcPr>
          <w:p w:rsidR="0085599B" w:rsidRPr="00201A3F" w:rsidRDefault="0085599B" w:rsidP="005B1F40">
            <w:pPr>
              <w:jc w:val="both"/>
              <w:rPr>
                <w:rFonts w:eastAsia="Calibri"/>
                <w:sz w:val="20"/>
              </w:rPr>
            </w:pPr>
          </w:p>
        </w:tc>
        <w:tc>
          <w:tcPr>
            <w:tcW w:w="2330" w:type="pct"/>
          </w:tcPr>
          <w:p w:rsidR="0085599B" w:rsidRPr="00201A3F" w:rsidRDefault="0085599B" w:rsidP="005B1F40">
            <w:pPr>
              <w:jc w:val="both"/>
              <w:rPr>
                <w:rFonts w:eastAsia="Calibri"/>
                <w:sz w:val="20"/>
              </w:rPr>
            </w:pPr>
            <w:r w:rsidRPr="00201A3F">
              <w:rPr>
                <w:rFonts w:eastAsia="Calibri"/>
                <w:sz w:val="20"/>
              </w:rPr>
              <w:t>First application for leave to appeal filed by the Trustee</w:t>
            </w:r>
          </w:p>
          <w:p w:rsidR="0085599B" w:rsidRPr="00201A3F" w:rsidRDefault="0085599B" w:rsidP="005B1F40">
            <w:pPr>
              <w:jc w:val="both"/>
              <w:rPr>
                <w:rFonts w:eastAsia="Calibri"/>
                <w:sz w:val="20"/>
              </w:rPr>
            </w:pPr>
          </w:p>
        </w:tc>
      </w:tr>
      <w:tr w:rsidR="0085599B" w:rsidRPr="00201A3F" w:rsidTr="005B1F40">
        <w:tc>
          <w:tcPr>
            <w:tcW w:w="2427" w:type="pct"/>
          </w:tcPr>
          <w:p w:rsidR="0085599B" w:rsidRPr="00201A3F" w:rsidRDefault="0085599B" w:rsidP="005B1F40">
            <w:pPr>
              <w:jc w:val="both"/>
              <w:rPr>
                <w:rFonts w:eastAsia="Calibri"/>
                <w:sz w:val="20"/>
              </w:rPr>
            </w:pPr>
            <w:r w:rsidRPr="00201A3F">
              <w:rPr>
                <w:rFonts w:eastAsia="Calibri"/>
                <w:sz w:val="20"/>
              </w:rPr>
              <w:t>August 8, 2012</w:t>
            </w:r>
          </w:p>
          <w:p w:rsidR="0085599B" w:rsidRPr="00201A3F" w:rsidRDefault="0085599B" w:rsidP="005B1F40">
            <w:pPr>
              <w:jc w:val="both"/>
              <w:rPr>
                <w:rFonts w:eastAsia="Calibri"/>
                <w:sz w:val="20"/>
              </w:rPr>
            </w:pPr>
            <w:r w:rsidRPr="00201A3F">
              <w:rPr>
                <w:rFonts w:eastAsia="Calibri"/>
                <w:sz w:val="20"/>
              </w:rPr>
              <w:t>Supreme Court of Canada</w:t>
            </w:r>
          </w:p>
        </w:tc>
        <w:tc>
          <w:tcPr>
            <w:tcW w:w="243" w:type="pct"/>
          </w:tcPr>
          <w:p w:rsidR="0085599B" w:rsidRPr="00201A3F" w:rsidRDefault="0085599B" w:rsidP="005B1F40">
            <w:pPr>
              <w:jc w:val="both"/>
              <w:rPr>
                <w:rFonts w:eastAsia="Calibri"/>
                <w:sz w:val="20"/>
              </w:rPr>
            </w:pPr>
          </w:p>
        </w:tc>
        <w:tc>
          <w:tcPr>
            <w:tcW w:w="2330" w:type="pct"/>
          </w:tcPr>
          <w:p w:rsidR="0085599B" w:rsidRPr="00201A3F" w:rsidRDefault="0085599B" w:rsidP="005B1F40">
            <w:pPr>
              <w:jc w:val="both"/>
              <w:rPr>
                <w:rFonts w:eastAsia="Calibri"/>
                <w:sz w:val="20"/>
              </w:rPr>
            </w:pPr>
            <w:r w:rsidRPr="00201A3F">
              <w:rPr>
                <w:rFonts w:eastAsia="Calibri"/>
                <w:sz w:val="20"/>
              </w:rPr>
              <w:t>Second application for leave to appeal filed by Bertina Alfano</w:t>
            </w:r>
          </w:p>
        </w:tc>
      </w:tr>
    </w:tbl>
    <w:p w:rsidR="0085599B" w:rsidRDefault="0085599B" w:rsidP="0085599B">
      <w:pPr>
        <w:rPr>
          <w:sz w:val="20"/>
          <w:szCs w:val="20"/>
        </w:rPr>
      </w:pPr>
    </w:p>
    <w:p w:rsidR="0085599B" w:rsidRPr="00C50A5C" w:rsidRDefault="00BF3B03" w:rsidP="0085599B">
      <w:pPr>
        <w:rPr>
          <w:sz w:val="20"/>
          <w:szCs w:val="20"/>
        </w:rPr>
      </w:pPr>
      <w:r w:rsidRPr="00BF3B03">
        <w:rPr>
          <w:sz w:val="20"/>
          <w:szCs w:val="20"/>
          <w:lang w:val="fr-CA"/>
        </w:rPr>
        <w:pict>
          <v:rect id="_x0000_i1070" style="width:2in;height:1pt" o:hrpct="0" o:hralign="center" o:hrstd="t" o:hrnoshade="t" o:hr="t" fillcolor="black [3213]" stroked="f"/>
        </w:pict>
      </w:r>
    </w:p>
    <w:p w:rsidR="0085599B" w:rsidRDefault="0085599B" w:rsidP="0085599B">
      <w:pPr>
        <w:rPr>
          <w:sz w:val="20"/>
          <w:szCs w:val="20"/>
        </w:rPr>
      </w:pPr>
    </w:p>
    <w:p w:rsidR="0085599B" w:rsidRPr="001B157C" w:rsidRDefault="0085599B" w:rsidP="0085599B">
      <w:pPr>
        <w:rPr>
          <w:sz w:val="20"/>
          <w:szCs w:val="20"/>
          <w:u w:val="single"/>
          <w:lang w:val="fr-CA"/>
        </w:rPr>
      </w:pPr>
      <w:r w:rsidRPr="001B157C">
        <w:rPr>
          <w:sz w:val="20"/>
          <w:szCs w:val="20"/>
          <w:u w:val="single"/>
          <w:lang w:val="fr-CA"/>
        </w:rPr>
        <w:t>RÉSUMÉ DE L’AFFAIRE</w:t>
      </w:r>
    </w:p>
    <w:p w:rsidR="0085599B" w:rsidRDefault="0085599B" w:rsidP="0085599B">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85599B" w:rsidRPr="00DC2D1F" w:rsidTr="005B1F40">
        <w:tc>
          <w:tcPr>
            <w:tcW w:w="5000" w:type="pct"/>
            <w:gridSpan w:val="3"/>
          </w:tcPr>
          <w:p w:rsidR="0085599B" w:rsidRPr="00201A3F" w:rsidRDefault="0085599B" w:rsidP="005B1F40">
            <w:pPr>
              <w:jc w:val="both"/>
              <w:rPr>
                <w:sz w:val="20"/>
                <w:lang w:val="fr-CA"/>
              </w:rPr>
            </w:pPr>
            <w:r w:rsidRPr="00201A3F">
              <w:rPr>
                <w:sz w:val="20"/>
                <w:lang w:val="fr-CA"/>
              </w:rPr>
              <w:t xml:space="preserve">Droit commercial — Fraude — Détournement de fonds </w:t>
            </w:r>
            <w:r w:rsidRPr="00201A3F">
              <w:rPr>
                <w:sz w:val="20"/>
                <w:lang w:val="fr-CA"/>
              </w:rPr>
              <w:noBreakHyphen/>
              <w:t xml:space="preserve"> Faillite — Preuve d'expert — Action oblique — La Cour d'appel s'est</w:t>
            </w:r>
            <w:r w:rsidRPr="00201A3F">
              <w:rPr>
                <w:sz w:val="20"/>
                <w:lang w:val="fr-CA"/>
              </w:rPr>
              <w:noBreakHyphen/>
              <w:t>elle appuyée sur une thèse en matière de responsabilité qui n'a pas été soulevée ou traitée par les Alfano et al. pour rejeter la demande contre Terry Piersanti? — Dans l'affirmative, s'agit</w:t>
            </w:r>
            <w:r w:rsidRPr="00201A3F">
              <w:rPr>
                <w:sz w:val="20"/>
                <w:lang w:val="fr-CA"/>
              </w:rPr>
              <w:noBreakHyphen/>
              <w:t>il d'une violation des principes de justice naturelle? — La Cour d'appel a</w:t>
            </w:r>
            <w:r w:rsidRPr="00201A3F">
              <w:rPr>
                <w:sz w:val="20"/>
                <w:lang w:val="fr-CA"/>
              </w:rPr>
              <w:noBreakHyphen/>
              <w:t>t</w:t>
            </w:r>
            <w:r w:rsidRPr="00201A3F">
              <w:rPr>
                <w:sz w:val="20"/>
                <w:lang w:val="fr-CA"/>
              </w:rPr>
              <w:noBreakHyphen/>
              <w:t>elle eu tort de confirmer tous les autres verdicts de fraude et de détournement prononcés contre Christian Piersanti? — La Cour d'appel a</w:t>
            </w:r>
            <w:r w:rsidRPr="00201A3F">
              <w:rPr>
                <w:sz w:val="20"/>
                <w:lang w:val="fr-CA"/>
              </w:rPr>
              <w:noBreakHyphen/>
              <w:t>t</w:t>
            </w:r>
            <w:r w:rsidRPr="00201A3F">
              <w:rPr>
                <w:sz w:val="20"/>
                <w:lang w:val="fr-CA"/>
              </w:rPr>
              <w:noBreakHyphen/>
              <w:t>elle eu tort de confirmer la récusation par le juge de première instance du témoin</w:t>
            </w:r>
            <w:r w:rsidRPr="00201A3F">
              <w:rPr>
                <w:sz w:val="20"/>
                <w:lang w:val="fr-CA"/>
              </w:rPr>
              <w:noBreakHyphen/>
              <w:t xml:space="preserve">expert des Piersanti et </w:t>
            </w:r>
            <w:proofErr w:type="gramStart"/>
            <w:r w:rsidRPr="00201A3F">
              <w:rPr>
                <w:sz w:val="20"/>
                <w:lang w:val="fr-CA"/>
              </w:rPr>
              <w:t>al.?</w:t>
            </w:r>
            <w:proofErr w:type="gramEnd"/>
            <w:r w:rsidRPr="00201A3F">
              <w:rPr>
                <w:sz w:val="20"/>
                <w:lang w:val="fr-CA"/>
              </w:rPr>
              <w:t xml:space="preserve"> — Le droit reconnaît</w:t>
            </w:r>
            <w:r w:rsidRPr="00201A3F">
              <w:rPr>
                <w:sz w:val="20"/>
                <w:lang w:val="fr-CA"/>
              </w:rPr>
              <w:noBreakHyphen/>
              <w:t>il une cause d'action en dommages</w:t>
            </w:r>
            <w:r w:rsidRPr="00201A3F">
              <w:rPr>
                <w:sz w:val="20"/>
                <w:lang w:val="fr-CA"/>
              </w:rPr>
              <w:noBreakHyphen/>
              <w:t>intérêts pour avoir illicitement cédé les biens d’une compagnie en faillite? — Dans l'affirmative, quels sont les éléments constitutifs de la cause d'action et cette cause d'action peut</w:t>
            </w:r>
            <w:r w:rsidRPr="00201A3F">
              <w:rPr>
                <w:sz w:val="20"/>
                <w:lang w:val="fr-CA"/>
              </w:rPr>
              <w:noBreakHyphen/>
              <w:t>elle donner lieu à l'attribution de dommages</w:t>
            </w:r>
            <w:r w:rsidRPr="00201A3F">
              <w:rPr>
                <w:sz w:val="20"/>
                <w:lang w:val="fr-CA"/>
              </w:rPr>
              <w:noBreakHyphen/>
              <w:t>intérêts? — Existe</w:t>
            </w:r>
            <w:r w:rsidRPr="00201A3F">
              <w:rPr>
                <w:sz w:val="20"/>
                <w:lang w:val="fr-CA"/>
              </w:rPr>
              <w:noBreakHyphen/>
              <w:t>t</w:t>
            </w:r>
            <w:r w:rsidRPr="00201A3F">
              <w:rPr>
                <w:sz w:val="20"/>
                <w:lang w:val="fr-CA"/>
              </w:rPr>
              <w:noBreakHyphen/>
              <w:t xml:space="preserve">il une exception à la règle de l’arrêt </w:t>
            </w:r>
            <w:r w:rsidRPr="00201A3F">
              <w:rPr>
                <w:i/>
                <w:sz w:val="20"/>
                <w:lang w:val="fr-CA"/>
              </w:rPr>
              <w:t>Foss c. Harbottle</w:t>
            </w:r>
            <w:r w:rsidRPr="00201A3F">
              <w:rPr>
                <w:sz w:val="20"/>
                <w:lang w:val="fr-CA"/>
              </w:rPr>
              <w:t xml:space="preserve"> lorsque la compagnie est en faillite ou lorsqu'en pratique, il n'y a plus de compagnie contre laquelle les actionnaires peuvent intenter une action oblique? </w:t>
            </w:r>
          </w:p>
          <w:p w:rsidR="0085599B" w:rsidRPr="00201A3F" w:rsidRDefault="0085599B" w:rsidP="005B1F40">
            <w:pPr>
              <w:rPr>
                <w:sz w:val="20"/>
                <w:lang w:val="fr-CA"/>
              </w:rPr>
            </w:pPr>
          </w:p>
        </w:tc>
      </w:tr>
      <w:tr w:rsidR="0085599B" w:rsidRPr="00DC2D1F" w:rsidTr="005B1F40">
        <w:tc>
          <w:tcPr>
            <w:tcW w:w="5000" w:type="pct"/>
            <w:gridSpan w:val="3"/>
          </w:tcPr>
          <w:p w:rsidR="0085599B" w:rsidRPr="00201A3F" w:rsidRDefault="0085599B" w:rsidP="005B1F40">
            <w:pPr>
              <w:jc w:val="both"/>
              <w:rPr>
                <w:sz w:val="20"/>
                <w:lang w:val="fr-CA"/>
              </w:rPr>
            </w:pPr>
            <w:r w:rsidRPr="00201A3F">
              <w:rPr>
                <w:sz w:val="20"/>
                <w:lang w:val="fr-CA"/>
              </w:rPr>
              <w:t>Christian Piersanti, un avocat, a aidé les Alfano à constituer une entreprise familiale de pavage et à établir des fiducies familiales qui allaient indirectement détenir une participation d'un peu moins de 90 % de la compagnie de pavage.  Monsieur Piersanti détenait le reste de la participation dans l'entreprise et est devenu son président par la suite. Neuf ans plus tard, M. Piersanti a revendiqué la propriété exclusive de la compagnie de pavage et en a exclu les Alfano. </w:t>
            </w:r>
          </w:p>
          <w:p w:rsidR="0085599B" w:rsidRPr="00201A3F" w:rsidRDefault="0085599B" w:rsidP="005B1F40">
            <w:pPr>
              <w:jc w:val="both"/>
              <w:rPr>
                <w:sz w:val="20"/>
                <w:lang w:val="fr-CA"/>
              </w:rPr>
            </w:pPr>
          </w:p>
          <w:p w:rsidR="0085599B" w:rsidRPr="00201A3F" w:rsidRDefault="0085599B" w:rsidP="005B1F40">
            <w:pPr>
              <w:jc w:val="both"/>
              <w:rPr>
                <w:sz w:val="20"/>
                <w:lang w:val="fr-CA"/>
              </w:rPr>
            </w:pPr>
            <w:r w:rsidRPr="00201A3F">
              <w:rPr>
                <w:sz w:val="20"/>
                <w:lang w:val="fr-CA"/>
              </w:rPr>
              <w:t>Des membres de la famille Alfano et les fiduciaires de plusieurs fiducies familiales ont d'abord intenté une action en jugement déclaratoire de leur participation dans la compagnie de pavage. Le même jour ou presque, M. Piersanti a cédé les biens de la compagnie en faillite. Les Alfano et al. ont ensuite présenté une motion en annulation de la cession de faillite, mais ils ont été déboutés. Pendant le litige, les Alfano ont pris connaissance d'éléments de preuve qui les ont amenés à croire que M. Piersanti et son épouse Terry détournaient — par la voie de plusieurs compagnies à numéros appartenant à Mme Piersanti — des fonds de la famille Alfano en plus de détourner la participation des Alfano et al. dans divers biens commerciaux.  Les Alfano ont modifié leurs déclarations initiales, sollicitant plusieurs ordonnances et jugements déclaratoires, notamment une condamnation en dommages</w:t>
            </w:r>
            <w:r w:rsidRPr="00201A3F">
              <w:rPr>
                <w:sz w:val="20"/>
                <w:lang w:val="fr-CA"/>
              </w:rPr>
              <w:noBreakHyphen/>
              <w:t xml:space="preserve">intérêts contre M. et Mme Piersanti pour manquement à l'obligation fiduciaire, fraude, détournement et complot. </w:t>
            </w:r>
          </w:p>
          <w:p w:rsidR="0085599B" w:rsidRPr="00201A3F" w:rsidRDefault="0085599B" w:rsidP="005B1F40">
            <w:pPr>
              <w:rPr>
                <w:sz w:val="20"/>
                <w:lang w:val="fr-CA"/>
              </w:rPr>
            </w:pPr>
          </w:p>
        </w:tc>
      </w:tr>
      <w:tr w:rsidR="0085599B" w:rsidRPr="00DC2D1F" w:rsidTr="005B1F40">
        <w:tc>
          <w:tcPr>
            <w:tcW w:w="2427" w:type="pct"/>
          </w:tcPr>
          <w:p w:rsidR="0085599B" w:rsidRPr="00201A3F" w:rsidRDefault="0085599B" w:rsidP="005B1F40">
            <w:pPr>
              <w:rPr>
                <w:sz w:val="20"/>
                <w:lang w:val="fr-CA"/>
              </w:rPr>
            </w:pPr>
            <w:r w:rsidRPr="00201A3F">
              <w:rPr>
                <w:sz w:val="20"/>
                <w:lang w:val="fr-CA"/>
              </w:rPr>
              <w:lastRenderedPageBreak/>
              <w:t>3 septembre 2010</w:t>
            </w:r>
          </w:p>
          <w:p w:rsidR="0085599B" w:rsidRPr="00201A3F" w:rsidRDefault="0085599B" w:rsidP="005B1F40">
            <w:pPr>
              <w:rPr>
                <w:sz w:val="20"/>
                <w:lang w:val="fr-CA"/>
              </w:rPr>
            </w:pPr>
            <w:r w:rsidRPr="00201A3F">
              <w:rPr>
                <w:sz w:val="20"/>
                <w:lang w:val="fr-CA"/>
              </w:rPr>
              <w:t xml:space="preserve">Cour supérieure de justice de l'Ontario </w:t>
            </w:r>
          </w:p>
          <w:p w:rsidR="0085599B" w:rsidRPr="00201A3F" w:rsidRDefault="0085599B" w:rsidP="005B1F40">
            <w:pPr>
              <w:rPr>
                <w:sz w:val="20"/>
                <w:lang w:val="fr-CA"/>
              </w:rPr>
            </w:pPr>
            <w:r w:rsidRPr="00201A3F">
              <w:rPr>
                <w:sz w:val="20"/>
                <w:lang w:val="fr-CA"/>
              </w:rPr>
              <w:t>(Juge MacDonald)</w:t>
            </w:r>
          </w:p>
          <w:p w:rsidR="0085599B" w:rsidRPr="00201A3F" w:rsidRDefault="0085599B" w:rsidP="005B1F40">
            <w:pPr>
              <w:rPr>
                <w:sz w:val="20"/>
                <w:lang w:val="fr-CA"/>
              </w:rPr>
            </w:pPr>
          </w:p>
        </w:tc>
        <w:tc>
          <w:tcPr>
            <w:tcW w:w="243" w:type="pct"/>
          </w:tcPr>
          <w:p w:rsidR="0085599B" w:rsidRPr="00201A3F" w:rsidRDefault="0085599B" w:rsidP="005B1F40">
            <w:pPr>
              <w:rPr>
                <w:sz w:val="20"/>
                <w:lang w:val="fr-CA"/>
              </w:rPr>
            </w:pPr>
          </w:p>
        </w:tc>
        <w:tc>
          <w:tcPr>
            <w:tcW w:w="2330" w:type="pct"/>
          </w:tcPr>
          <w:p w:rsidR="0085599B" w:rsidRPr="00201A3F" w:rsidRDefault="0085599B" w:rsidP="005B1F40">
            <w:pPr>
              <w:jc w:val="both"/>
              <w:rPr>
                <w:sz w:val="20"/>
                <w:lang w:val="fr-CA"/>
              </w:rPr>
            </w:pPr>
            <w:r w:rsidRPr="00201A3F">
              <w:rPr>
                <w:sz w:val="20"/>
                <w:lang w:val="fr-CA"/>
              </w:rPr>
              <w:t>Jugements déclaratoires portant que (i) chacune des fiducies familiales Alfano est propriétaire de 29 % de 758626 Ontario Limited, (ii) 758626 Ontario Limited est propriétaire de 100 % des actions de Osler Paving and Construction, (iii) 758626 Ontario Limited est propriétaire de 100 % des actions de 1212700 Ontario Limited, (iv) les défendeurs Piersanti et al. n’ont aucune participation dans le produit de la vente de deux biens; demande reconventionnelle rejetée; Christian et Terry Piersanti condamnés à payer aux fiducies familiales la somme de 20 000 000 $ en dommages</w:t>
            </w:r>
            <w:r w:rsidRPr="00201A3F">
              <w:rPr>
                <w:sz w:val="20"/>
                <w:lang w:val="fr-CA"/>
              </w:rPr>
              <w:noBreakHyphen/>
              <w:t>intérêts; Christian Piersanti condamné à payer aux fiducies familiales la somme de 250 000 $ en dommages</w:t>
            </w:r>
            <w:r w:rsidRPr="00201A3F">
              <w:rPr>
                <w:sz w:val="20"/>
                <w:lang w:val="fr-CA"/>
              </w:rPr>
              <w:noBreakHyphen/>
              <w:t>intérêts punitifs; 1281632 Ontario Limited condamnée à consigner au tribunal la somme de 2 500 000 $ au crédit des fiducies familiales; jugements déclaratoires portant que Ulti Alfano peut revendiquer une participation de 1/12 dans certains biens.</w:t>
            </w:r>
          </w:p>
          <w:p w:rsidR="0085599B" w:rsidRPr="00201A3F" w:rsidRDefault="0085599B" w:rsidP="005B1F40">
            <w:pPr>
              <w:rPr>
                <w:sz w:val="20"/>
                <w:lang w:val="fr-CA"/>
              </w:rPr>
            </w:pPr>
          </w:p>
        </w:tc>
      </w:tr>
      <w:tr w:rsidR="0085599B" w:rsidRPr="00DC2D1F" w:rsidTr="005B1F40">
        <w:tc>
          <w:tcPr>
            <w:tcW w:w="2427" w:type="pct"/>
          </w:tcPr>
          <w:p w:rsidR="0085599B" w:rsidRPr="00201A3F" w:rsidRDefault="0085599B" w:rsidP="005B1F40">
            <w:pPr>
              <w:rPr>
                <w:sz w:val="20"/>
                <w:lang w:val="fr-CA"/>
              </w:rPr>
            </w:pPr>
            <w:r w:rsidRPr="00201A3F">
              <w:rPr>
                <w:sz w:val="20"/>
                <w:lang w:val="fr-CA"/>
              </w:rPr>
              <w:t>9 mai 2012</w:t>
            </w:r>
          </w:p>
          <w:p w:rsidR="0085599B" w:rsidRPr="00201A3F" w:rsidRDefault="0085599B" w:rsidP="005B1F40">
            <w:pPr>
              <w:rPr>
                <w:sz w:val="20"/>
                <w:lang w:val="fr-CA"/>
              </w:rPr>
            </w:pPr>
            <w:r w:rsidRPr="00201A3F">
              <w:rPr>
                <w:sz w:val="20"/>
                <w:lang w:val="fr-CA"/>
              </w:rPr>
              <w:t xml:space="preserve">Cour d'appel de l'Ontario </w:t>
            </w:r>
          </w:p>
          <w:p w:rsidR="0085599B" w:rsidRPr="00201A3F" w:rsidRDefault="0085599B" w:rsidP="005B1F40">
            <w:pPr>
              <w:rPr>
                <w:sz w:val="20"/>
                <w:lang w:val="fr-CA"/>
              </w:rPr>
            </w:pPr>
            <w:r w:rsidRPr="00201A3F">
              <w:rPr>
                <w:sz w:val="20"/>
                <w:lang w:val="fr-CA"/>
              </w:rPr>
              <w:t>(Juge en chef O'Connor, juges LaForme et Cunningham (</w:t>
            </w:r>
            <w:r w:rsidRPr="00201A3F">
              <w:rPr>
                <w:i/>
                <w:sz w:val="20"/>
                <w:lang w:val="fr-CA"/>
              </w:rPr>
              <w:t>ad hoc</w:t>
            </w:r>
            <w:r w:rsidRPr="00201A3F">
              <w:rPr>
                <w:sz w:val="20"/>
                <w:lang w:val="fr-CA"/>
              </w:rPr>
              <w:t>))</w:t>
            </w:r>
          </w:p>
          <w:p w:rsidR="0085599B" w:rsidRPr="00201A3F" w:rsidRDefault="0085599B" w:rsidP="005B1F40">
            <w:pPr>
              <w:rPr>
                <w:sz w:val="20"/>
                <w:lang w:val="fr-CA"/>
              </w:rPr>
            </w:pPr>
          </w:p>
        </w:tc>
        <w:tc>
          <w:tcPr>
            <w:tcW w:w="243" w:type="pct"/>
          </w:tcPr>
          <w:p w:rsidR="0085599B" w:rsidRPr="00201A3F" w:rsidRDefault="0085599B" w:rsidP="005B1F40">
            <w:pPr>
              <w:rPr>
                <w:sz w:val="20"/>
                <w:lang w:val="fr-CA"/>
              </w:rPr>
            </w:pPr>
          </w:p>
        </w:tc>
        <w:tc>
          <w:tcPr>
            <w:tcW w:w="2330" w:type="pct"/>
          </w:tcPr>
          <w:p w:rsidR="0085599B" w:rsidRPr="00201A3F" w:rsidRDefault="0085599B" w:rsidP="005B1F40">
            <w:pPr>
              <w:jc w:val="both"/>
              <w:rPr>
                <w:sz w:val="20"/>
                <w:lang w:val="fr-CA"/>
              </w:rPr>
            </w:pPr>
            <w:r w:rsidRPr="00201A3F">
              <w:rPr>
                <w:sz w:val="20"/>
                <w:lang w:val="fr-CA"/>
              </w:rPr>
              <w:t>Appels accueillis en partie; montant des dommages</w:t>
            </w:r>
            <w:r w:rsidRPr="00201A3F">
              <w:rPr>
                <w:sz w:val="20"/>
                <w:lang w:val="fr-CA"/>
              </w:rPr>
              <w:noBreakHyphen/>
              <w:t xml:space="preserve">intérêts accordés, réduit. Jugement contre Terry Piersanti, annulé. Ordonnance contre 1281632 Ontario Limited et jugement déclaratoire relatif à la participation d’Ulti Alfano, annulés. </w:t>
            </w:r>
          </w:p>
          <w:p w:rsidR="0085599B" w:rsidRPr="00201A3F" w:rsidRDefault="0085599B" w:rsidP="005B1F40">
            <w:pPr>
              <w:rPr>
                <w:sz w:val="20"/>
                <w:lang w:val="fr-CA"/>
              </w:rPr>
            </w:pPr>
          </w:p>
        </w:tc>
      </w:tr>
      <w:tr w:rsidR="0085599B" w:rsidRPr="00DC2D1F" w:rsidTr="005B1F40">
        <w:tc>
          <w:tcPr>
            <w:tcW w:w="2427" w:type="pct"/>
          </w:tcPr>
          <w:p w:rsidR="0085599B" w:rsidRPr="00201A3F" w:rsidRDefault="0085599B" w:rsidP="005B1F40">
            <w:pPr>
              <w:rPr>
                <w:sz w:val="20"/>
                <w:lang w:val="fr-CA"/>
              </w:rPr>
            </w:pPr>
            <w:r w:rsidRPr="00201A3F">
              <w:rPr>
                <w:sz w:val="20"/>
                <w:lang w:val="fr-CA"/>
              </w:rPr>
              <w:t>30 juillet 2012</w:t>
            </w:r>
          </w:p>
          <w:p w:rsidR="0085599B" w:rsidRPr="00201A3F" w:rsidRDefault="0085599B" w:rsidP="005B1F40">
            <w:pPr>
              <w:rPr>
                <w:sz w:val="20"/>
                <w:lang w:val="fr-CA"/>
              </w:rPr>
            </w:pPr>
            <w:r w:rsidRPr="00201A3F">
              <w:rPr>
                <w:sz w:val="20"/>
                <w:lang w:val="fr-CA"/>
              </w:rPr>
              <w:t>Cour suprême du Canada</w:t>
            </w:r>
          </w:p>
          <w:p w:rsidR="0085599B" w:rsidRPr="00201A3F" w:rsidRDefault="0085599B" w:rsidP="005B1F40">
            <w:pPr>
              <w:rPr>
                <w:sz w:val="20"/>
                <w:lang w:val="fr-CA"/>
              </w:rPr>
            </w:pPr>
          </w:p>
        </w:tc>
        <w:tc>
          <w:tcPr>
            <w:tcW w:w="243" w:type="pct"/>
          </w:tcPr>
          <w:p w:rsidR="0085599B" w:rsidRPr="00201A3F" w:rsidRDefault="0085599B" w:rsidP="005B1F40">
            <w:pPr>
              <w:rPr>
                <w:sz w:val="20"/>
                <w:lang w:val="fr-CA"/>
              </w:rPr>
            </w:pPr>
          </w:p>
        </w:tc>
        <w:tc>
          <w:tcPr>
            <w:tcW w:w="2330" w:type="pct"/>
          </w:tcPr>
          <w:p w:rsidR="0085599B" w:rsidRPr="00201A3F" w:rsidRDefault="0085599B" w:rsidP="005B1F40">
            <w:pPr>
              <w:rPr>
                <w:sz w:val="20"/>
                <w:lang w:val="fr-CA"/>
              </w:rPr>
            </w:pPr>
            <w:r w:rsidRPr="00201A3F">
              <w:rPr>
                <w:sz w:val="20"/>
                <w:lang w:val="fr-CA"/>
              </w:rPr>
              <w:t>Première demande d'autorisation d'appel déposée par le fiduciaire</w:t>
            </w:r>
          </w:p>
          <w:p w:rsidR="0085599B" w:rsidRPr="00201A3F" w:rsidRDefault="0085599B" w:rsidP="005B1F40">
            <w:pPr>
              <w:rPr>
                <w:sz w:val="20"/>
                <w:lang w:val="fr-CA"/>
              </w:rPr>
            </w:pPr>
          </w:p>
        </w:tc>
      </w:tr>
      <w:tr w:rsidR="0085599B" w:rsidRPr="00DC2D1F" w:rsidTr="005B1F40">
        <w:tc>
          <w:tcPr>
            <w:tcW w:w="2427" w:type="pct"/>
          </w:tcPr>
          <w:p w:rsidR="0085599B" w:rsidRPr="00201A3F" w:rsidRDefault="0085599B" w:rsidP="005B1F40">
            <w:pPr>
              <w:rPr>
                <w:sz w:val="20"/>
                <w:lang w:val="fr-CA"/>
              </w:rPr>
            </w:pPr>
            <w:r w:rsidRPr="00201A3F">
              <w:rPr>
                <w:sz w:val="20"/>
                <w:lang w:val="fr-CA"/>
              </w:rPr>
              <w:t>8 août 2012</w:t>
            </w:r>
          </w:p>
          <w:p w:rsidR="0085599B" w:rsidRPr="00201A3F" w:rsidRDefault="0085599B" w:rsidP="005B1F40">
            <w:pPr>
              <w:rPr>
                <w:sz w:val="20"/>
                <w:lang w:val="fr-CA"/>
              </w:rPr>
            </w:pPr>
            <w:r w:rsidRPr="00201A3F">
              <w:rPr>
                <w:sz w:val="20"/>
                <w:lang w:val="fr-CA"/>
              </w:rPr>
              <w:t>Cour suprême du Canada</w:t>
            </w:r>
          </w:p>
        </w:tc>
        <w:tc>
          <w:tcPr>
            <w:tcW w:w="243" w:type="pct"/>
          </w:tcPr>
          <w:p w:rsidR="0085599B" w:rsidRPr="00201A3F" w:rsidRDefault="0085599B" w:rsidP="005B1F40">
            <w:pPr>
              <w:rPr>
                <w:sz w:val="20"/>
                <w:lang w:val="fr-CA"/>
              </w:rPr>
            </w:pPr>
          </w:p>
        </w:tc>
        <w:tc>
          <w:tcPr>
            <w:tcW w:w="2330" w:type="pct"/>
          </w:tcPr>
          <w:p w:rsidR="0085599B" w:rsidRPr="00201A3F" w:rsidRDefault="0085599B" w:rsidP="005B1F40">
            <w:pPr>
              <w:rPr>
                <w:sz w:val="20"/>
                <w:lang w:val="fr-CA"/>
              </w:rPr>
            </w:pPr>
            <w:r w:rsidRPr="00201A3F">
              <w:rPr>
                <w:sz w:val="20"/>
                <w:lang w:val="fr-CA"/>
              </w:rPr>
              <w:t>Deuxième demande d'autorisation d'appel déposée par Bertina Alfano</w:t>
            </w:r>
          </w:p>
        </w:tc>
      </w:tr>
    </w:tbl>
    <w:p w:rsidR="0085599B" w:rsidRPr="0085599B" w:rsidRDefault="0085599B" w:rsidP="0085599B">
      <w:pPr>
        <w:rPr>
          <w:sz w:val="20"/>
          <w:szCs w:val="20"/>
          <w:lang w:val="fr-CA"/>
        </w:rPr>
      </w:pPr>
    </w:p>
    <w:p w:rsidR="0085599B" w:rsidRDefault="00BF3B03" w:rsidP="0085599B">
      <w:pPr>
        <w:rPr>
          <w:sz w:val="20"/>
          <w:szCs w:val="20"/>
        </w:rPr>
      </w:pPr>
      <w:r w:rsidRPr="00BF3B03">
        <w:rPr>
          <w:sz w:val="20"/>
          <w:szCs w:val="20"/>
          <w:lang w:val="fr-CA"/>
        </w:rPr>
        <w:pict>
          <v:rect id="_x0000_i1071" style="width:2in;height:1pt" o:hrpct="0" o:hralign="center" o:hrstd="t" o:hrnoshade="t" o:hr="t" fillcolor="black [3213]" stroked="f"/>
        </w:pict>
      </w:r>
    </w:p>
    <w:p w:rsidR="0085599B" w:rsidRDefault="0085599B" w:rsidP="0085599B">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A37D8" w:rsidRPr="00B9404B" w:rsidTr="00BA37D8">
        <w:trPr>
          <w:cantSplit/>
        </w:trPr>
        <w:tc>
          <w:tcPr>
            <w:tcW w:w="1458" w:type="dxa"/>
          </w:tcPr>
          <w:p w:rsidR="00BA37D8" w:rsidRPr="00B9404B" w:rsidRDefault="00BA37D8" w:rsidP="00BA37D8">
            <w:pPr>
              <w:rPr>
                <w:sz w:val="20"/>
                <w:szCs w:val="20"/>
              </w:rPr>
            </w:pPr>
            <w:r w:rsidRPr="00B9404B">
              <w:rPr>
                <w:rStyle w:val="SCCFileNumberChar"/>
                <w:sz w:val="20"/>
                <w:szCs w:val="20"/>
              </w:rPr>
              <w:t>34919</w:t>
            </w:r>
          </w:p>
          <w:p w:rsidR="00BA37D8" w:rsidRPr="00B9404B" w:rsidRDefault="00BA37D8" w:rsidP="00BA37D8">
            <w:pPr>
              <w:rPr>
                <w:b/>
                <w:sz w:val="20"/>
                <w:szCs w:val="20"/>
                <w:lang w:val="fr-CA"/>
              </w:rPr>
            </w:pPr>
          </w:p>
        </w:tc>
        <w:tc>
          <w:tcPr>
            <w:tcW w:w="8118" w:type="dxa"/>
          </w:tcPr>
          <w:p w:rsidR="00BA37D8" w:rsidRPr="00B9404B" w:rsidRDefault="00BA37D8" w:rsidP="00BA37D8">
            <w:pPr>
              <w:rPr>
                <w:sz w:val="20"/>
                <w:szCs w:val="20"/>
              </w:rPr>
            </w:pPr>
            <w:r w:rsidRPr="00BA37D8">
              <w:rPr>
                <w:rStyle w:val="SCCLsocChar"/>
                <w:sz w:val="20"/>
                <w:szCs w:val="20"/>
                <w:lang w:val="en-CA"/>
              </w:rPr>
              <w:t>Michael Downer v. Personal Insurance Company of Canada</w:t>
            </w:r>
            <w:r w:rsidRPr="00B9404B">
              <w:rPr>
                <w:sz w:val="20"/>
                <w:szCs w:val="20"/>
              </w:rPr>
              <w:t xml:space="preserve"> (Ont.) (Civil) (By Leave)</w:t>
            </w:r>
          </w:p>
          <w:p w:rsidR="00BA37D8" w:rsidRPr="00B9404B" w:rsidRDefault="00BA37D8" w:rsidP="00BA37D8">
            <w:pPr>
              <w:rPr>
                <w:sz w:val="20"/>
                <w:szCs w:val="20"/>
              </w:rPr>
            </w:pPr>
          </w:p>
        </w:tc>
      </w:tr>
      <w:tr w:rsidR="00BA37D8" w:rsidRPr="00B9404B" w:rsidTr="00BA37D8">
        <w:trPr>
          <w:cantSplit/>
        </w:trPr>
        <w:tc>
          <w:tcPr>
            <w:tcW w:w="1458" w:type="dxa"/>
          </w:tcPr>
          <w:p w:rsidR="00BA37D8" w:rsidRPr="00B9404B" w:rsidRDefault="00BA37D8" w:rsidP="00BA37D8">
            <w:pPr>
              <w:rPr>
                <w:sz w:val="20"/>
                <w:szCs w:val="20"/>
              </w:rPr>
            </w:pPr>
            <w:r w:rsidRPr="00B9404B">
              <w:rPr>
                <w:sz w:val="20"/>
                <w:szCs w:val="20"/>
              </w:rPr>
              <w:t>Coram :</w:t>
            </w:r>
          </w:p>
        </w:tc>
        <w:tc>
          <w:tcPr>
            <w:tcW w:w="8118" w:type="dxa"/>
          </w:tcPr>
          <w:p w:rsidR="00BA37D8" w:rsidRPr="00B9404B" w:rsidRDefault="00BA37D8" w:rsidP="00BA37D8">
            <w:pPr>
              <w:rPr>
                <w:sz w:val="20"/>
                <w:szCs w:val="20"/>
              </w:rPr>
            </w:pPr>
            <w:r w:rsidRPr="00BA37D8">
              <w:rPr>
                <w:rStyle w:val="SCCCoramChar"/>
                <w:sz w:val="20"/>
                <w:szCs w:val="20"/>
                <w:lang w:val="en-CA"/>
              </w:rPr>
              <w:t>McLachlin C.J. and Rothstein and Moldaver JJ.</w:t>
            </w:r>
          </w:p>
          <w:p w:rsidR="00BA37D8" w:rsidRPr="00B9404B" w:rsidRDefault="00BA37D8" w:rsidP="00BA37D8">
            <w:pPr>
              <w:rPr>
                <w:sz w:val="20"/>
                <w:szCs w:val="20"/>
                <w:u w:val="single"/>
              </w:rPr>
            </w:pPr>
          </w:p>
        </w:tc>
      </w:tr>
      <w:tr w:rsidR="00BA37D8" w:rsidRPr="00DC2D1F" w:rsidTr="00BA37D8">
        <w:trPr>
          <w:cantSplit/>
        </w:trPr>
        <w:tc>
          <w:tcPr>
            <w:tcW w:w="9576" w:type="dxa"/>
            <w:gridSpan w:val="2"/>
          </w:tcPr>
          <w:p w:rsidR="00BA37D8" w:rsidRPr="00B9404B" w:rsidRDefault="00BA37D8" w:rsidP="00BA37D8">
            <w:pPr>
              <w:pStyle w:val="SCCShortJudgment"/>
              <w:rPr>
                <w:szCs w:val="20"/>
              </w:rPr>
            </w:pPr>
            <w:r w:rsidRPr="00B9404B">
              <w:rPr>
                <w:szCs w:val="20"/>
              </w:rPr>
              <w:t>The application for leave to appeal from the judgment of the Court of Appeal for Ontario, Number C54313, 2012 ONCA 302, dated May 9, 2012, is dismissed with costs.</w:t>
            </w:r>
          </w:p>
          <w:p w:rsidR="00BA37D8" w:rsidRPr="00B9404B" w:rsidRDefault="00BA37D8" w:rsidP="00BA37D8">
            <w:pPr>
              <w:pStyle w:val="SCCShortJudgment"/>
              <w:ind w:firstLine="0"/>
              <w:rPr>
                <w:szCs w:val="20"/>
              </w:rPr>
            </w:pPr>
          </w:p>
          <w:p w:rsidR="00BA37D8" w:rsidRPr="00B9404B" w:rsidRDefault="00BA37D8" w:rsidP="00BA37D8">
            <w:pPr>
              <w:pStyle w:val="SCCShortJudgment"/>
              <w:rPr>
                <w:szCs w:val="20"/>
                <w:lang w:val="fr-CA"/>
              </w:rPr>
            </w:pPr>
            <w:r w:rsidRPr="00B9404B">
              <w:rPr>
                <w:szCs w:val="20"/>
                <w:lang w:val="fr-CA"/>
              </w:rPr>
              <w:t>La demande d’autorisation d’appel de l’arrêt de la Cour d’appel de l’Ontario, numéro C54313, 2012 ONCA 302, daté du 9 mai 2012, est rejetée avec dépens.</w:t>
            </w:r>
          </w:p>
        </w:tc>
      </w:tr>
    </w:tbl>
    <w:p w:rsidR="00A740D1" w:rsidRPr="00BA37D8" w:rsidRDefault="00A740D1" w:rsidP="00A740D1">
      <w:pPr>
        <w:rPr>
          <w:sz w:val="20"/>
          <w:szCs w:val="20"/>
          <w:lang w:val="fr-CA"/>
        </w:rPr>
      </w:pPr>
    </w:p>
    <w:p w:rsidR="00A740D1" w:rsidRPr="001B157C" w:rsidRDefault="00A740D1" w:rsidP="00A740D1">
      <w:pPr>
        <w:rPr>
          <w:sz w:val="20"/>
          <w:szCs w:val="20"/>
          <w:u w:val="single"/>
        </w:rPr>
      </w:pPr>
      <w:r w:rsidRPr="001B157C">
        <w:rPr>
          <w:sz w:val="20"/>
          <w:szCs w:val="20"/>
          <w:u w:val="single"/>
        </w:rPr>
        <w:t>CASE SUMMARY</w:t>
      </w:r>
    </w:p>
    <w:p w:rsidR="00A740D1" w:rsidRDefault="00A740D1" w:rsidP="00A740D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5599B" w:rsidRPr="00201A3F" w:rsidTr="005B1F40">
        <w:tc>
          <w:tcPr>
            <w:tcW w:w="5000" w:type="pct"/>
            <w:gridSpan w:val="3"/>
          </w:tcPr>
          <w:p w:rsidR="0085599B" w:rsidRPr="00201A3F" w:rsidRDefault="0085599B" w:rsidP="005B1F40">
            <w:pPr>
              <w:jc w:val="both"/>
              <w:rPr>
                <w:rFonts w:eastAsia="Calibri"/>
                <w:sz w:val="20"/>
              </w:rPr>
            </w:pPr>
            <w:r w:rsidRPr="00201A3F">
              <w:rPr>
                <w:rFonts w:eastAsia="Calibri"/>
                <w:sz w:val="20"/>
              </w:rPr>
              <w:t xml:space="preserve">Insurance — Automobile insurance — Statutory accident benefits — Applicant physically assaulted by several unidentified assailants while parked at a gas station — Applicant commencing action against respondent insurer seeking a declaration that he was entitled to statutory accident benefits — Whether Court of Appeal erred in rejecting </w:t>
            </w:r>
            <w:r w:rsidRPr="00201A3F">
              <w:rPr>
                <w:rFonts w:eastAsia="Calibri"/>
                <w:sz w:val="20"/>
              </w:rPr>
              <w:lastRenderedPageBreak/>
              <w:t xml:space="preserve">reasoning of Court in </w:t>
            </w:r>
            <w:r w:rsidRPr="00201A3F">
              <w:rPr>
                <w:rFonts w:eastAsia="Calibri"/>
                <w:i/>
                <w:sz w:val="20"/>
              </w:rPr>
              <w:t>Amos v. Insurance Corp. of British Columbia</w:t>
            </w:r>
            <w:r w:rsidRPr="00201A3F">
              <w:rPr>
                <w:rFonts w:eastAsia="Calibri"/>
                <w:sz w:val="20"/>
              </w:rPr>
              <w:t>,</w:t>
            </w:r>
            <w:r w:rsidRPr="00201A3F">
              <w:rPr>
                <w:rFonts w:eastAsia="Calibri"/>
                <w:i/>
                <w:sz w:val="20"/>
              </w:rPr>
              <w:t xml:space="preserve"> </w:t>
            </w:r>
            <w:r w:rsidRPr="00201A3F">
              <w:rPr>
                <w:rFonts w:eastAsia="Calibri"/>
                <w:sz w:val="20"/>
              </w:rPr>
              <w:t>[1995] 3 S.C.R. 405</w:t>
            </w:r>
            <w:r w:rsidRPr="00201A3F">
              <w:rPr>
                <w:rFonts w:eastAsia="Calibri"/>
                <w:i/>
                <w:sz w:val="20"/>
              </w:rPr>
              <w:t xml:space="preserve"> </w:t>
            </w:r>
            <w:r w:rsidRPr="00201A3F">
              <w:rPr>
                <w:rFonts w:eastAsia="Calibri"/>
                <w:sz w:val="20"/>
              </w:rPr>
              <w:t xml:space="preserve">— Whether Court of Appeal erred in replacing motion judge’s reasonable inferences of fact with its own — </w:t>
            </w:r>
            <w:r w:rsidRPr="00201A3F">
              <w:rPr>
                <w:rFonts w:eastAsia="Calibri"/>
                <w:i/>
                <w:sz w:val="20"/>
              </w:rPr>
              <w:t xml:space="preserve">Statutory Accident Benefits Schedule </w:t>
            </w:r>
            <w:r w:rsidRPr="00201A3F">
              <w:rPr>
                <w:rFonts w:eastAsia="Calibri"/>
                <w:sz w:val="20"/>
              </w:rPr>
              <w:t xml:space="preserve">— </w:t>
            </w:r>
            <w:r w:rsidRPr="00201A3F">
              <w:rPr>
                <w:rFonts w:eastAsia="Calibri"/>
                <w:i/>
                <w:sz w:val="20"/>
              </w:rPr>
              <w:t>Accidents on or after November 1, 1996</w:t>
            </w:r>
            <w:r w:rsidRPr="00201A3F">
              <w:rPr>
                <w:rFonts w:eastAsia="Calibri"/>
                <w:sz w:val="20"/>
              </w:rPr>
              <w:t>, O. Reg. 403/96, s. 2(1).</w:t>
            </w:r>
          </w:p>
        </w:tc>
      </w:tr>
      <w:tr w:rsidR="0085599B" w:rsidRPr="00201A3F" w:rsidTr="005B1F40">
        <w:tc>
          <w:tcPr>
            <w:tcW w:w="5000" w:type="pct"/>
            <w:gridSpan w:val="3"/>
          </w:tcPr>
          <w:p w:rsidR="0085599B" w:rsidRPr="00201A3F" w:rsidRDefault="0085599B" w:rsidP="005B1F40">
            <w:pPr>
              <w:jc w:val="both"/>
              <w:rPr>
                <w:rFonts w:eastAsia="Calibri"/>
                <w:sz w:val="20"/>
              </w:rPr>
            </w:pPr>
          </w:p>
        </w:tc>
      </w:tr>
      <w:tr w:rsidR="0085599B" w:rsidRPr="00201A3F" w:rsidTr="005B1F40">
        <w:tc>
          <w:tcPr>
            <w:tcW w:w="5000" w:type="pct"/>
            <w:gridSpan w:val="3"/>
          </w:tcPr>
          <w:p w:rsidR="0085599B" w:rsidRPr="00201A3F" w:rsidRDefault="0085599B" w:rsidP="005B1F40">
            <w:pPr>
              <w:jc w:val="both"/>
              <w:rPr>
                <w:rFonts w:eastAsia="Calibri"/>
                <w:sz w:val="20"/>
              </w:rPr>
            </w:pPr>
            <w:r w:rsidRPr="00201A3F">
              <w:rPr>
                <w:rFonts w:eastAsia="Calibri"/>
                <w:sz w:val="20"/>
              </w:rPr>
              <w:t xml:space="preserve">The applicant was physically assaulted by several unidentified assailants while parked at a gas station.  The applicant managed to escape by putting his car in gear and driving away.  He believed that in doing so, he may have run over one of his assailants.  The applicant claimed psychological and physical injuries as a result of the incident.  Following the incident, the applicant's automobile insurer, the respondent, paid him monthly statutory accident benefits ("SABs"), including income replacement benefits, for some 26 months.  However, the respondent later advised him that it was terminating his benefits because the incident giving rise to his injuries was not an "accident" as defined in s. 2(1) of the Statutory Accident Benefits Schedule.  Section 2(1) defines an accident as "an incident in which the use or operation of an automobile directly causes </w:t>
            </w:r>
            <w:proofErr w:type="gramStart"/>
            <w:r w:rsidRPr="00201A3F">
              <w:rPr>
                <w:rFonts w:eastAsia="Calibri"/>
                <w:sz w:val="20"/>
              </w:rPr>
              <w:t>an impairment</w:t>
            </w:r>
            <w:proofErr w:type="gramEnd"/>
            <w:r w:rsidRPr="00201A3F">
              <w:rPr>
                <w:rFonts w:eastAsia="Calibri"/>
                <w:sz w:val="20"/>
              </w:rPr>
              <w:t xml:space="preserve">".  The respondent further advised that it was seeking repayment of all benefits paid to date because they were paid to him in error.  </w:t>
            </w:r>
          </w:p>
          <w:p w:rsidR="0085599B" w:rsidRPr="00201A3F" w:rsidRDefault="0085599B" w:rsidP="005B1F40">
            <w:pPr>
              <w:jc w:val="both"/>
              <w:rPr>
                <w:rFonts w:eastAsia="Calibri"/>
                <w:sz w:val="20"/>
              </w:rPr>
            </w:pPr>
          </w:p>
          <w:p w:rsidR="0085599B" w:rsidRPr="00201A3F" w:rsidRDefault="0085599B" w:rsidP="005B1F40">
            <w:pPr>
              <w:jc w:val="both"/>
              <w:rPr>
                <w:rFonts w:eastAsia="Calibri"/>
                <w:sz w:val="20"/>
              </w:rPr>
            </w:pPr>
            <w:r w:rsidRPr="00201A3F">
              <w:rPr>
                <w:rFonts w:eastAsia="Calibri"/>
                <w:sz w:val="20"/>
              </w:rPr>
              <w:t>The applicant commenced an action against the respondent seeking a declaration that he was entitled to SABs including income replacement benefits.  The respondent later moved for summary judgment seeking to dismiss the action.  The motion judge dismissed the motion and granted a declaration that the applicant was involved in an "accident" within the meaning of the Schedule.  The Court of Appeal allowed the respondent’s appeal in part, to the extent that it granted a declaration that the physical assault on the applicant did not constitute an "accident" under s. 2(1) of the Schedule.</w:t>
            </w:r>
          </w:p>
          <w:p w:rsidR="0085599B" w:rsidRPr="00201A3F" w:rsidRDefault="0085599B" w:rsidP="005B1F40">
            <w:pPr>
              <w:jc w:val="both"/>
              <w:rPr>
                <w:rFonts w:eastAsia="Calibri"/>
                <w:sz w:val="20"/>
              </w:rPr>
            </w:pPr>
          </w:p>
        </w:tc>
      </w:tr>
      <w:tr w:rsidR="0085599B" w:rsidRPr="00201A3F" w:rsidTr="005B1F40">
        <w:tc>
          <w:tcPr>
            <w:tcW w:w="2427" w:type="pct"/>
          </w:tcPr>
          <w:p w:rsidR="0085599B" w:rsidRPr="00201A3F" w:rsidRDefault="0085599B" w:rsidP="005B1F40">
            <w:pPr>
              <w:jc w:val="both"/>
              <w:rPr>
                <w:rFonts w:eastAsia="Calibri"/>
                <w:sz w:val="20"/>
              </w:rPr>
            </w:pPr>
            <w:r w:rsidRPr="00201A3F">
              <w:rPr>
                <w:rFonts w:eastAsia="Calibri"/>
                <w:sz w:val="20"/>
              </w:rPr>
              <w:t>August 23, 2011</w:t>
            </w:r>
          </w:p>
          <w:p w:rsidR="0085599B" w:rsidRPr="00201A3F" w:rsidRDefault="0085599B" w:rsidP="005B1F40">
            <w:pPr>
              <w:jc w:val="both"/>
              <w:rPr>
                <w:rFonts w:eastAsia="Calibri"/>
                <w:sz w:val="20"/>
              </w:rPr>
            </w:pPr>
            <w:r w:rsidRPr="00201A3F">
              <w:rPr>
                <w:rFonts w:eastAsia="Calibri"/>
                <w:sz w:val="20"/>
              </w:rPr>
              <w:t>Ontario Superior Court of Justice</w:t>
            </w:r>
          </w:p>
          <w:p w:rsidR="0085599B" w:rsidRPr="00201A3F" w:rsidRDefault="0085599B" w:rsidP="005B1F40">
            <w:pPr>
              <w:jc w:val="both"/>
              <w:rPr>
                <w:rFonts w:eastAsia="Calibri"/>
                <w:sz w:val="20"/>
              </w:rPr>
            </w:pPr>
            <w:r w:rsidRPr="00201A3F">
              <w:rPr>
                <w:rFonts w:eastAsia="Calibri"/>
                <w:sz w:val="20"/>
              </w:rPr>
              <w:t>(Murray J.)</w:t>
            </w:r>
          </w:p>
          <w:p w:rsidR="0085599B" w:rsidRPr="00201A3F" w:rsidRDefault="0085599B" w:rsidP="005B1F40">
            <w:pPr>
              <w:jc w:val="both"/>
              <w:rPr>
                <w:rFonts w:eastAsia="Calibri"/>
                <w:sz w:val="20"/>
              </w:rPr>
            </w:pPr>
            <w:r w:rsidRPr="00201A3F">
              <w:rPr>
                <w:rFonts w:eastAsia="Calibri"/>
                <w:sz w:val="20"/>
              </w:rPr>
              <w:t>2011 ONSC 4980</w:t>
            </w:r>
          </w:p>
          <w:p w:rsidR="0085599B" w:rsidRPr="00201A3F" w:rsidRDefault="0085599B" w:rsidP="005B1F40">
            <w:pPr>
              <w:jc w:val="both"/>
              <w:rPr>
                <w:rFonts w:eastAsia="Calibri"/>
                <w:sz w:val="20"/>
              </w:rPr>
            </w:pPr>
          </w:p>
        </w:tc>
        <w:tc>
          <w:tcPr>
            <w:tcW w:w="243" w:type="pct"/>
          </w:tcPr>
          <w:p w:rsidR="0085599B" w:rsidRPr="00201A3F" w:rsidRDefault="0085599B" w:rsidP="005B1F40">
            <w:pPr>
              <w:jc w:val="both"/>
              <w:rPr>
                <w:rFonts w:eastAsia="Calibri"/>
                <w:sz w:val="20"/>
              </w:rPr>
            </w:pPr>
          </w:p>
        </w:tc>
        <w:tc>
          <w:tcPr>
            <w:tcW w:w="2330" w:type="pct"/>
          </w:tcPr>
          <w:p w:rsidR="0085599B" w:rsidRPr="00201A3F" w:rsidRDefault="0085599B" w:rsidP="005B1F40">
            <w:pPr>
              <w:jc w:val="both"/>
              <w:rPr>
                <w:rFonts w:eastAsia="Calibri"/>
                <w:sz w:val="20"/>
              </w:rPr>
            </w:pPr>
            <w:r w:rsidRPr="00201A3F">
              <w:rPr>
                <w:rFonts w:eastAsia="Calibri"/>
                <w:sz w:val="20"/>
              </w:rPr>
              <w:t>Respondent’s motion for summary judgment dismissed</w:t>
            </w:r>
          </w:p>
          <w:p w:rsidR="0085599B" w:rsidRPr="00201A3F" w:rsidRDefault="0085599B" w:rsidP="005B1F40">
            <w:pPr>
              <w:jc w:val="both"/>
              <w:rPr>
                <w:rFonts w:eastAsia="Calibri"/>
                <w:sz w:val="20"/>
              </w:rPr>
            </w:pPr>
          </w:p>
        </w:tc>
      </w:tr>
      <w:tr w:rsidR="0085599B" w:rsidRPr="00201A3F" w:rsidTr="005B1F40">
        <w:tc>
          <w:tcPr>
            <w:tcW w:w="2427" w:type="pct"/>
          </w:tcPr>
          <w:p w:rsidR="0085599B" w:rsidRPr="00201A3F" w:rsidRDefault="0085599B" w:rsidP="005B1F40">
            <w:pPr>
              <w:jc w:val="both"/>
              <w:rPr>
                <w:rFonts w:eastAsia="Calibri"/>
                <w:sz w:val="20"/>
              </w:rPr>
            </w:pPr>
            <w:r w:rsidRPr="00201A3F">
              <w:rPr>
                <w:rFonts w:eastAsia="Calibri"/>
                <w:sz w:val="20"/>
              </w:rPr>
              <w:t>May 9, 2012</w:t>
            </w:r>
          </w:p>
          <w:p w:rsidR="0085599B" w:rsidRPr="00201A3F" w:rsidRDefault="0085599B" w:rsidP="005B1F40">
            <w:pPr>
              <w:jc w:val="both"/>
              <w:rPr>
                <w:rFonts w:eastAsia="Calibri"/>
                <w:sz w:val="20"/>
              </w:rPr>
            </w:pPr>
            <w:r w:rsidRPr="00201A3F">
              <w:rPr>
                <w:rFonts w:eastAsia="Calibri"/>
                <w:sz w:val="20"/>
              </w:rPr>
              <w:t>Court of Appeal for Ontario</w:t>
            </w:r>
          </w:p>
          <w:p w:rsidR="0085599B" w:rsidRPr="00201A3F" w:rsidRDefault="0085599B" w:rsidP="005B1F40">
            <w:pPr>
              <w:jc w:val="both"/>
              <w:rPr>
                <w:rFonts w:eastAsia="Calibri"/>
                <w:sz w:val="20"/>
              </w:rPr>
            </w:pPr>
            <w:r w:rsidRPr="00201A3F">
              <w:rPr>
                <w:rFonts w:eastAsia="Calibri"/>
                <w:sz w:val="20"/>
              </w:rPr>
              <w:t>(Lang, LaForme JJ.A. and Pattillo J. (ad hoc))</w:t>
            </w:r>
          </w:p>
          <w:p w:rsidR="0085599B" w:rsidRPr="00201A3F" w:rsidRDefault="0085599B" w:rsidP="005B1F40">
            <w:pPr>
              <w:jc w:val="both"/>
              <w:rPr>
                <w:rFonts w:eastAsia="Calibri"/>
                <w:sz w:val="20"/>
              </w:rPr>
            </w:pPr>
            <w:r w:rsidRPr="00201A3F">
              <w:rPr>
                <w:rFonts w:eastAsia="Calibri"/>
                <w:sz w:val="20"/>
              </w:rPr>
              <w:t>2012 ONCA 302</w:t>
            </w:r>
          </w:p>
          <w:p w:rsidR="0085599B" w:rsidRPr="00201A3F" w:rsidRDefault="0085599B" w:rsidP="005B1F40">
            <w:pPr>
              <w:jc w:val="both"/>
              <w:rPr>
                <w:rFonts w:eastAsia="Calibri"/>
                <w:sz w:val="20"/>
              </w:rPr>
            </w:pPr>
          </w:p>
        </w:tc>
        <w:tc>
          <w:tcPr>
            <w:tcW w:w="243" w:type="pct"/>
          </w:tcPr>
          <w:p w:rsidR="0085599B" w:rsidRPr="00201A3F" w:rsidRDefault="0085599B" w:rsidP="005B1F40">
            <w:pPr>
              <w:jc w:val="both"/>
              <w:rPr>
                <w:rFonts w:eastAsia="Calibri"/>
                <w:sz w:val="20"/>
              </w:rPr>
            </w:pPr>
          </w:p>
        </w:tc>
        <w:tc>
          <w:tcPr>
            <w:tcW w:w="2330" w:type="pct"/>
          </w:tcPr>
          <w:p w:rsidR="0085599B" w:rsidRPr="00201A3F" w:rsidRDefault="0085599B" w:rsidP="005B1F40">
            <w:pPr>
              <w:jc w:val="both"/>
              <w:rPr>
                <w:rFonts w:eastAsia="Calibri"/>
                <w:sz w:val="20"/>
              </w:rPr>
            </w:pPr>
            <w:r w:rsidRPr="00201A3F">
              <w:rPr>
                <w:rFonts w:eastAsia="Calibri"/>
                <w:sz w:val="20"/>
              </w:rPr>
              <w:t>Appeal allowed in part</w:t>
            </w:r>
          </w:p>
          <w:p w:rsidR="0085599B" w:rsidRPr="00201A3F" w:rsidRDefault="0085599B" w:rsidP="005B1F40">
            <w:pPr>
              <w:jc w:val="both"/>
              <w:rPr>
                <w:rFonts w:eastAsia="Calibri"/>
                <w:sz w:val="20"/>
              </w:rPr>
            </w:pPr>
          </w:p>
        </w:tc>
      </w:tr>
      <w:tr w:rsidR="0085599B" w:rsidRPr="00201A3F" w:rsidTr="005B1F40">
        <w:tc>
          <w:tcPr>
            <w:tcW w:w="2427" w:type="pct"/>
          </w:tcPr>
          <w:p w:rsidR="0085599B" w:rsidRPr="00201A3F" w:rsidRDefault="0085599B" w:rsidP="005B1F40">
            <w:pPr>
              <w:jc w:val="both"/>
              <w:rPr>
                <w:rFonts w:eastAsia="Calibri"/>
                <w:sz w:val="20"/>
              </w:rPr>
            </w:pPr>
            <w:r w:rsidRPr="00201A3F">
              <w:rPr>
                <w:rFonts w:eastAsia="Calibri"/>
                <w:sz w:val="20"/>
              </w:rPr>
              <w:t>August 8, 2012</w:t>
            </w:r>
          </w:p>
          <w:p w:rsidR="0085599B" w:rsidRPr="00201A3F" w:rsidRDefault="0085599B" w:rsidP="005B1F40">
            <w:pPr>
              <w:jc w:val="both"/>
              <w:rPr>
                <w:rFonts w:eastAsia="Calibri"/>
                <w:sz w:val="20"/>
              </w:rPr>
            </w:pPr>
            <w:r w:rsidRPr="00201A3F">
              <w:rPr>
                <w:rFonts w:eastAsia="Calibri"/>
                <w:sz w:val="20"/>
              </w:rPr>
              <w:t>Supreme Court of Canada</w:t>
            </w:r>
          </w:p>
        </w:tc>
        <w:tc>
          <w:tcPr>
            <w:tcW w:w="243" w:type="pct"/>
          </w:tcPr>
          <w:p w:rsidR="0085599B" w:rsidRPr="00201A3F" w:rsidRDefault="0085599B" w:rsidP="005B1F40">
            <w:pPr>
              <w:jc w:val="both"/>
              <w:rPr>
                <w:rFonts w:eastAsia="Calibri"/>
                <w:sz w:val="20"/>
              </w:rPr>
            </w:pPr>
          </w:p>
        </w:tc>
        <w:tc>
          <w:tcPr>
            <w:tcW w:w="2330" w:type="pct"/>
          </w:tcPr>
          <w:p w:rsidR="0085599B" w:rsidRPr="00201A3F" w:rsidRDefault="0085599B" w:rsidP="005B1F40">
            <w:pPr>
              <w:jc w:val="both"/>
              <w:rPr>
                <w:rFonts w:eastAsia="Calibri"/>
                <w:sz w:val="20"/>
              </w:rPr>
            </w:pPr>
            <w:r w:rsidRPr="00201A3F">
              <w:rPr>
                <w:rFonts w:eastAsia="Calibri"/>
                <w:sz w:val="20"/>
              </w:rPr>
              <w:t>Application for leave to appeal filed</w:t>
            </w:r>
          </w:p>
        </w:tc>
      </w:tr>
    </w:tbl>
    <w:p w:rsidR="00A740D1" w:rsidRDefault="00A740D1" w:rsidP="00A740D1">
      <w:pPr>
        <w:rPr>
          <w:sz w:val="20"/>
          <w:szCs w:val="20"/>
        </w:rPr>
      </w:pPr>
    </w:p>
    <w:p w:rsidR="00A740D1" w:rsidRPr="00C50A5C" w:rsidRDefault="00BF3B03" w:rsidP="00A740D1">
      <w:pPr>
        <w:rPr>
          <w:sz w:val="20"/>
          <w:szCs w:val="20"/>
        </w:rPr>
      </w:pPr>
      <w:r w:rsidRPr="00BF3B03">
        <w:rPr>
          <w:sz w:val="20"/>
          <w:szCs w:val="20"/>
          <w:lang w:val="fr-CA"/>
        </w:rPr>
        <w:pict>
          <v:rect id="_x0000_i1072" style="width:2in;height:1pt" o:hrpct="0" o:hralign="center" o:hrstd="t" o:hrnoshade="t" o:hr="t" fillcolor="black [3213]" stroked="f"/>
        </w:pict>
      </w:r>
    </w:p>
    <w:p w:rsidR="00A740D1" w:rsidRDefault="00A740D1" w:rsidP="00A740D1">
      <w:pPr>
        <w:rPr>
          <w:sz w:val="20"/>
          <w:szCs w:val="20"/>
        </w:rPr>
      </w:pPr>
    </w:p>
    <w:p w:rsidR="00A740D1" w:rsidRPr="001B157C" w:rsidRDefault="00A740D1" w:rsidP="00A740D1">
      <w:pPr>
        <w:rPr>
          <w:sz w:val="20"/>
          <w:szCs w:val="20"/>
          <w:u w:val="single"/>
          <w:lang w:val="fr-CA"/>
        </w:rPr>
      </w:pPr>
      <w:r w:rsidRPr="001B157C">
        <w:rPr>
          <w:sz w:val="20"/>
          <w:szCs w:val="20"/>
          <w:u w:val="single"/>
          <w:lang w:val="fr-CA"/>
        </w:rPr>
        <w:t>RÉSUMÉ DE L’AFFAIRE</w:t>
      </w:r>
    </w:p>
    <w:p w:rsidR="00A740D1" w:rsidRDefault="00A740D1" w:rsidP="00A740D1">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85599B" w:rsidRPr="00DC2D1F" w:rsidTr="005B1F40">
        <w:tc>
          <w:tcPr>
            <w:tcW w:w="5000" w:type="pct"/>
            <w:gridSpan w:val="3"/>
          </w:tcPr>
          <w:p w:rsidR="0085599B" w:rsidRPr="00201A3F" w:rsidRDefault="0085599B" w:rsidP="005B1F40">
            <w:pPr>
              <w:jc w:val="both"/>
              <w:rPr>
                <w:rFonts w:eastAsia="Calibri"/>
                <w:sz w:val="20"/>
                <w:lang w:val="fr-CA"/>
              </w:rPr>
            </w:pPr>
            <w:r w:rsidRPr="00201A3F">
              <w:rPr>
                <w:rFonts w:eastAsia="Calibri"/>
                <w:sz w:val="20"/>
                <w:lang w:val="fr-CA"/>
              </w:rPr>
              <w:t>Assurance — Assurance automobile — Indemnités d'accident légales — Le demandeur a été agressé physiquement par plusieurs individus non identifiés alors qu'il était garé dans une station</w:t>
            </w:r>
            <w:r w:rsidRPr="00201A3F">
              <w:rPr>
                <w:rFonts w:eastAsia="Calibri"/>
                <w:sz w:val="20"/>
                <w:lang w:val="fr-CA"/>
              </w:rPr>
              <w:noBreakHyphen/>
              <w:t>service — Le demandeur a intenté une action contre l'assureur intimé pour obtenir un jugement déclarant qu'il avait droit à des indemnités d'accident légales — La Cour d'appel a</w:t>
            </w:r>
            <w:r w:rsidRPr="00201A3F">
              <w:rPr>
                <w:rFonts w:eastAsia="Calibri"/>
                <w:sz w:val="20"/>
                <w:lang w:val="fr-CA"/>
              </w:rPr>
              <w:noBreakHyphen/>
              <w:t>t</w:t>
            </w:r>
            <w:r w:rsidRPr="00201A3F">
              <w:rPr>
                <w:rFonts w:eastAsia="Calibri"/>
                <w:sz w:val="20"/>
                <w:lang w:val="fr-CA"/>
              </w:rPr>
              <w:noBreakHyphen/>
              <w:t xml:space="preserve">elle eu tort de rejeter le raisonnement de la Cour dans l'arrêt </w:t>
            </w:r>
            <w:r w:rsidRPr="00201A3F">
              <w:rPr>
                <w:rFonts w:eastAsia="Calibri"/>
                <w:i/>
                <w:sz w:val="20"/>
                <w:lang w:val="fr-CA"/>
              </w:rPr>
              <w:t>Amos c. Insurance Corp. of British Columbia</w:t>
            </w:r>
            <w:r w:rsidRPr="00201A3F">
              <w:rPr>
                <w:rFonts w:eastAsia="Calibri"/>
                <w:sz w:val="20"/>
                <w:lang w:val="fr-CA"/>
              </w:rPr>
              <w:t>,</w:t>
            </w:r>
            <w:r w:rsidRPr="00201A3F">
              <w:rPr>
                <w:rFonts w:eastAsia="Calibri"/>
                <w:i/>
                <w:sz w:val="20"/>
                <w:lang w:val="fr-CA"/>
              </w:rPr>
              <w:t xml:space="preserve"> </w:t>
            </w:r>
            <w:r w:rsidRPr="00201A3F">
              <w:rPr>
                <w:rFonts w:eastAsia="Calibri"/>
                <w:sz w:val="20"/>
                <w:lang w:val="fr-CA"/>
              </w:rPr>
              <w:t>[1995] 3 R.C.S. 405?</w:t>
            </w:r>
            <w:r w:rsidRPr="00201A3F">
              <w:rPr>
                <w:rFonts w:eastAsia="Calibri"/>
                <w:i/>
                <w:sz w:val="20"/>
                <w:lang w:val="fr-CA"/>
              </w:rPr>
              <w:t xml:space="preserve"> </w:t>
            </w:r>
            <w:r w:rsidRPr="00201A3F">
              <w:rPr>
                <w:rFonts w:eastAsia="Calibri"/>
                <w:sz w:val="20"/>
                <w:lang w:val="fr-CA"/>
              </w:rPr>
              <w:t>— La Cour d'appel a</w:t>
            </w:r>
            <w:r w:rsidRPr="00201A3F">
              <w:rPr>
                <w:rFonts w:eastAsia="Calibri"/>
                <w:sz w:val="20"/>
                <w:lang w:val="fr-CA"/>
              </w:rPr>
              <w:noBreakHyphen/>
              <w:t>t</w:t>
            </w:r>
            <w:r w:rsidRPr="00201A3F">
              <w:rPr>
                <w:rFonts w:eastAsia="Calibri"/>
                <w:sz w:val="20"/>
                <w:lang w:val="fr-CA"/>
              </w:rPr>
              <w:noBreakHyphen/>
              <w:t>elle eu tort de substituer ses propres inférences aux inférences de fait raisonnables du juge de première instance? —</w:t>
            </w:r>
            <w:r w:rsidRPr="00201A3F">
              <w:rPr>
                <w:rFonts w:eastAsia="Calibri"/>
                <w:i/>
                <w:sz w:val="20"/>
                <w:lang w:val="fr-CA"/>
              </w:rPr>
              <w:t xml:space="preserve"> Annexe sur les indemnités d'accident légales </w:t>
            </w:r>
            <w:r w:rsidRPr="00201A3F">
              <w:rPr>
                <w:rFonts w:eastAsia="Calibri"/>
                <w:i/>
                <w:sz w:val="20"/>
                <w:lang w:val="fr-CA"/>
              </w:rPr>
              <w:noBreakHyphen/>
              <w:t xml:space="preserve"> accidents survenus le 1</w:t>
            </w:r>
            <w:r w:rsidRPr="00201A3F">
              <w:rPr>
                <w:rFonts w:eastAsia="Calibri"/>
                <w:i/>
                <w:sz w:val="20"/>
                <w:vertAlign w:val="superscript"/>
                <w:lang w:val="fr-CA"/>
              </w:rPr>
              <w:t>er</w:t>
            </w:r>
            <w:r w:rsidRPr="00201A3F">
              <w:rPr>
                <w:rFonts w:eastAsia="Calibri"/>
                <w:i/>
                <w:sz w:val="20"/>
                <w:lang w:val="fr-CA"/>
              </w:rPr>
              <w:t> novembre 1996 ou après ce jour</w:t>
            </w:r>
            <w:r w:rsidRPr="00201A3F">
              <w:rPr>
                <w:rFonts w:eastAsia="Calibri"/>
                <w:sz w:val="20"/>
                <w:lang w:val="fr-CA"/>
              </w:rPr>
              <w:t>, Règl de l’Ont 403/96, par. 2(1).</w:t>
            </w:r>
          </w:p>
        </w:tc>
      </w:tr>
      <w:tr w:rsidR="0085599B" w:rsidRPr="00DC2D1F" w:rsidTr="005B1F40">
        <w:tc>
          <w:tcPr>
            <w:tcW w:w="5000" w:type="pct"/>
            <w:gridSpan w:val="3"/>
          </w:tcPr>
          <w:p w:rsidR="0085599B" w:rsidRPr="00201A3F" w:rsidRDefault="0085599B" w:rsidP="005B1F40">
            <w:pPr>
              <w:jc w:val="both"/>
              <w:rPr>
                <w:rFonts w:eastAsia="Calibri"/>
                <w:sz w:val="20"/>
                <w:lang w:val="fr-CA"/>
              </w:rPr>
            </w:pPr>
          </w:p>
        </w:tc>
      </w:tr>
      <w:tr w:rsidR="0085599B" w:rsidRPr="00DC2D1F" w:rsidTr="005B1F40">
        <w:tc>
          <w:tcPr>
            <w:tcW w:w="5000" w:type="pct"/>
            <w:gridSpan w:val="3"/>
          </w:tcPr>
          <w:p w:rsidR="0085599B" w:rsidRPr="00201A3F" w:rsidRDefault="0085599B" w:rsidP="005B1F40">
            <w:pPr>
              <w:jc w:val="both"/>
              <w:rPr>
                <w:rFonts w:eastAsia="Calibri"/>
                <w:sz w:val="20"/>
                <w:lang w:val="fr-CA"/>
              </w:rPr>
            </w:pPr>
            <w:r w:rsidRPr="00201A3F">
              <w:rPr>
                <w:rFonts w:eastAsia="Calibri"/>
                <w:sz w:val="20"/>
                <w:lang w:val="fr-CA"/>
              </w:rPr>
              <w:t>Le demandeur a été agressé physiquement par plusieurs individus non identifiés alors qu'il était garé dans une station</w:t>
            </w:r>
            <w:r w:rsidRPr="00201A3F">
              <w:rPr>
                <w:rFonts w:eastAsia="Calibri"/>
                <w:sz w:val="20"/>
                <w:lang w:val="fr-CA"/>
              </w:rPr>
              <w:noBreakHyphen/>
              <w:t>service.  Le demandeur a réussi à embrayer sa voiture et à s'enfuir au volant de celle</w:t>
            </w:r>
            <w:r w:rsidRPr="00201A3F">
              <w:rPr>
                <w:rFonts w:eastAsia="Calibri"/>
                <w:sz w:val="20"/>
                <w:lang w:val="fr-CA"/>
              </w:rPr>
              <w:noBreakHyphen/>
              <w:t>ci.  Il croit que ce faisant, il a peut</w:t>
            </w:r>
            <w:r w:rsidRPr="00201A3F">
              <w:rPr>
                <w:rFonts w:eastAsia="Calibri"/>
                <w:sz w:val="20"/>
                <w:lang w:val="fr-CA"/>
              </w:rPr>
              <w:noBreakHyphen/>
              <w:t xml:space="preserve">être écrasé un de ses agresseurs.  Le demandeur a allégué avoir subi des dommages psychologiques et physiques à la suite de l'incident. Après l'incident, l'assureur automobile du demandeur, l'intimée, lui a versé des </w:t>
            </w:r>
            <w:r w:rsidRPr="00201A3F">
              <w:rPr>
                <w:rFonts w:eastAsia="Calibri"/>
                <w:sz w:val="20"/>
                <w:lang w:val="fr-CA"/>
              </w:rPr>
              <w:lastRenderedPageBreak/>
              <w:t>indemnités d'accident légales (« IAL ») mensuelles, y compris des indemnités de remplacement de revenu, pendant environ 26 mois.  Toutefois, l'intimée l’a informé plus tard qu'elle cessait de lui verser des indemnités, parce que l'incident qui avait donné lieu aux dommages qu'il avait subis n'était pas un « accident » au sens du par. 2(1) de l’</w:t>
            </w:r>
            <w:r w:rsidRPr="00201A3F">
              <w:rPr>
                <w:rFonts w:eastAsia="Calibri"/>
                <w:i/>
                <w:sz w:val="20"/>
                <w:lang w:val="fr-CA"/>
              </w:rPr>
              <w:t>Annexe sur les indemnités d'accident légales</w:t>
            </w:r>
            <w:r w:rsidRPr="00201A3F">
              <w:rPr>
                <w:rFonts w:eastAsia="Calibri"/>
                <w:sz w:val="20"/>
                <w:lang w:val="fr-CA"/>
              </w:rPr>
              <w:t xml:space="preserve">.  Aux termes du paragraphe 2(1) un accident s’entend d’un « incident au cours duquel l’usage ou la conduite d’une automobile cause directement une déficience ».  L'intimée a en outre informé le demandeur qu'elle lui réclamait le remboursement de toutes les indemnités versées jusqu'alors parce qu'elles lui avaient été versées par erreur.  </w:t>
            </w:r>
          </w:p>
          <w:p w:rsidR="0085599B" w:rsidRPr="00201A3F" w:rsidRDefault="0085599B" w:rsidP="005B1F40">
            <w:pPr>
              <w:jc w:val="both"/>
              <w:rPr>
                <w:rFonts w:eastAsia="Calibri"/>
                <w:sz w:val="20"/>
                <w:lang w:val="fr-CA"/>
              </w:rPr>
            </w:pPr>
          </w:p>
          <w:p w:rsidR="0085599B" w:rsidRPr="00201A3F" w:rsidRDefault="0085599B" w:rsidP="005B1F40">
            <w:pPr>
              <w:jc w:val="both"/>
              <w:rPr>
                <w:rFonts w:eastAsia="Calibri"/>
                <w:sz w:val="20"/>
                <w:lang w:val="fr-CA"/>
              </w:rPr>
            </w:pPr>
            <w:r w:rsidRPr="00201A3F">
              <w:rPr>
                <w:rFonts w:eastAsia="Calibri"/>
                <w:sz w:val="20"/>
                <w:lang w:val="fr-CA"/>
              </w:rPr>
              <w:t>Le demandeur a intenté une action contre l'intimée pour obtenir un jugement déclarant qu'il avait droit aux IAL, y compris les indemnités de remplacement de revenu.  L'intimée a par la suite demandé par motion un jugement sommaire en rejet de l'action.  Le juge saisi de la motion a rejeté celle</w:t>
            </w:r>
            <w:r w:rsidRPr="00201A3F">
              <w:rPr>
                <w:rFonts w:eastAsia="Calibri"/>
                <w:sz w:val="20"/>
                <w:lang w:val="fr-CA"/>
              </w:rPr>
              <w:noBreakHyphen/>
              <w:t>ci et a rendu un jugement déclarant que le demandeur avait été impliqué dans un accident au sens de l'annexe.  La Cour d'appel a accueilli l'appel de l'intimée en partie, dans la mesure où elle a rendu un jugement déclarant que l'agression physique à l'endroit du demandeur ne constituait pas un « accident » au sens du par. 2(1) de l'annexe.</w:t>
            </w:r>
          </w:p>
          <w:p w:rsidR="0085599B" w:rsidRPr="00201A3F" w:rsidRDefault="0085599B" w:rsidP="005B1F40">
            <w:pPr>
              <w:jc w:val="both"/>
              <w:rPr>
                <w:rFonts w:eastAsia="Calibri"/>
                <w:sz w:val="20"/>
                <w:lang w:val="fr-CA"/>
              </w:rPr>
            </w:pPr>
          </w:p>
        </w:tc>
      </w:tr>
      <w:tr w:rsidR="0085599B" w:rsidRPr="00DC2D1F" w:rsidTr="005B1F40">
        <w:tc>
          <w:tcPr>
            <w:tcW w:w="2427" w:type="pct"/>
          </w:tcPr>
          <w:p w:rsidR="0085599B" w:rsidRPr="00201A3F" w:rsidRDefault="0085599B" w:rsidP="005B1F40">
            <w:pPr>
              <w:jc w:val="both"/>
              <w:rPr>
                <w:rFonts w:eastAsia="Calibri"/>
                <w:sz w:val="20"/>
                <w:lang w:val="fr-CA"/>
              </w:rPr>
            </w:pPr>
            <w:r w:rsidRPr="00201A3F">
              <w:rPr>
                <w:rFonts w:eastAsia="Calibri"/>
                <w:sz w:val="20"/>
                <w:lang w:val="fr-CA"/>
              </w:rPr>
              <w:lastRenderedPageBreak/>
              <w:t>23 août 2011</w:t>
            </w:r>
          </w:p>
          <w:p w:rsidR="0085599B" w:rsidRPr="00201A3F" w:rsidRDefault="0085599B" w:rsidP="005B1F40">
            <w:pPr>
              <w:jc w:val="both"/>
              <w:rPr>
                <w:rFonts w:eastAsia="Calibri"/>
                <w:sz w:val="20"/>
                <w:lang w:val="fr-CA"/>
              </w:rPr>
            </w:pPr>
            <w:r w:rsidRPr="00201A3F">
              <w:rPr>
                <w:rFonts w:eastAsia="Calibri"/>
                <w:sz w:val="20"/>
                <w:lang w:val="fr-CA"/>
              </w:rPr>
              <w:t xml:space="preserve">Cour supérieure de justice de l'Ontario </w:t>
            </w:r>
          </w:p>
          <w:p w:rsidR="0085599B" w:rsidRPr="00201A3F" w:rsidRDefault="0085599B" w:rsidP="005B1F40">
            <w:pPr>
              <w:jc w:val="both"/>
              <w:rPr>
                <w:rFonts w:eastAsia="Calibri"/>
                <w:sz w:val="20"/>
                <w:lang w:val="fr-CA"/>
              </w:rPr>
            </w:pPr>
            <w:r w:rsidRPr="00201A3F">
              <w:rPr>
                <w:rFonts w:eastAsia="Calibri"/>
                <w:sz w:val="20"/>
                <w:lang w:val="fr-CA"/>
              </w:rPr>
              <w:t>(Juge Murray)</w:t>
            </w:r>
          </w:p>
          <w:p w:rsidR="0085599B" w:rsidRPr="00201A3F" w:rsidRDefault="0085599B" w:rsidP="005B1F40">
            <w:pPr>
              <w:jc w:val="both"/>
              <w:rPr>
                <w:rFonts w:eastAsia="Calibri"/>
                <w:sz w:val="20"/>
                <w:lang w:val="fr-CA"/>
              </w:rPr>
            </w:pPr>
            <w:r w:rsidRPr="00201A3F">
              <w:rPr>
                <w:rFonts w:eastAsia="Calibri"/>
                <w:sz w:val="20"/>
                <w:lang w:val="fr-CA"/>
              </w:rPr>
              <w:t>2011 ONSC 4980</w:t>
            </w:r>
          </w:p>
          <w:p w:rsidR="0085599B" w:rsidRPr="00201A3F" w:rsidRDefault="0085599B" w:rsidP="005B1F40">
            <w:pPr>
              <w:jc w:val="both"/>
              <w:rPr>
                <w:rFonts w:eastAsia="Calibri"/>
                <w:sz w:val="20"/>
                <w:lang w:val="fr-CA"/>
              </w:rPr>
            </w:pPr>
          </w:p>
        </w:tc>
        <w:tc>
          <w:tcPr>
            <w:tcW w:w="243" w:type="pct"/>
          </w:tcPr>
          <w:p w:rsidR="0085599B" w:rsidRPr="00201A3F" w:rsidRDefault="0085599B" w:rsidP="005B1F40">
            <w:pPr>
              <w:jc w:val="both"/>
              <w:rPr>
                <w:rFonts w:eastAsia="Calibri"/>
                <w:sz w:val="20"/>
                <w:lang w:val="fr-CA"/>
              </w:rPr>
            </w:pPr>
          </w:p>
        </w:tc>
        <w:tc>
          <w:tcPr>
            <w:tcW w:w="2330" w:type="pct"/>
          </w:tcPr>
          <w:p w:rsidR="0085599B" w:rsidRPr="00201A3F" w:rsidRDefault="0085599B" w:rsidP="005B1F40">
            <w:pPr>
              <w:jc w:val="both"/>
              <w:rPr>
                <w:rFonts w:eastAsia="Calibri"/>
                <w:sz w:val="20"/>
                <w:lang w:val="fr-CA"/>
              </w:rPr>
            </w:pPr>
            <w:r w:rsidRPr="00201A3F">
              <w:rPr>
                <w:rFonts w:eastAsia="Calibri"/>
                <w:sz w:val="20"/>
                <w:lang w:val="fr-CA"/>
              </w:rPr>
              <w:t>Motion de l'intimée en vue d'obtenir un jugement sommaire, rejetée</w:t>
            </w:r>
          </w:p>
          <w:p w:rsidR="0085599B" w:rsidRPr="00201A3F" w:rsidRDefault="0085599B" w:rsidP="005B1F40">
            <w:pPr>
              <w:jc w:val="both"/>
              <w:rPr>
                <w:rFonts w:eastAsia="Calibri"/>
                <w:sz w:val="20"/>
                <w:lang w:val="fr-CA"/>
              </w:rPr>
            </w:pPr>
          </w:p>
        </w:tc>
      </w:tr>
      <w:tr w:rsidR="0085599B" w:rsidRPr="00201A3F" w:rsidTr="005B1F40">
        <w:tc>
          <w:tcPr>
            <w:tcW w:w="2427" w:type="pct"/>
          </w:tcPr>
          <w:p w:rsidR="0085599B" w:rsidRPr="00201A3F" w:rsidRDefault="0085599B" w:rsidP="005B1F40">
            <w:pPr>
              <w:jc w:val="both"/>
              <w:rPr>
                <w:rFonts w:eastAsia="Calibri"/>
                <w:sz w:val="20"/>
                <w:lang w:val="fr-CA"/>
              </w:rPr>
            </w:pPr>
            <w:r w:rsidRPr="00201A3F">
              <w:rPr>
                <w:rFonts w:eastAsia="Calibri"/>
                <w:sz w:val="20"/>
                <w:lang w:val="fr-CA"/>
              </w:rPr>
              <w:t>9 mai 2012</w:t>
            </w:r>
          </w:p>
          <w:p w:rsidR="0085599B" w:rsidRPr="00201A3F" w:rsidRDefault="0085599B" w:rsidP="005B1F40">
            <w:pPr>
              <w:jc w:val="both"/>
              <w:rPr>
                <w:rFonts w:eastAsia="Calibri"/>
                <w:sz w:val="20"/>
                <w:lang w:val="fr-CA"/>
              </w:rPr>
            </w:pPr>
            <w:r w:rsidRPr="00201A3F">
              <w:rPr>
                <w:rFonts w:eastAsia="Calibri"/>
                <w:sz w:val="20"/>
                <w:lang w:val="fr-CA"/>
              </w:rPr>
              <w:t xml:space="preserve">Cour d'appel de l'Ontario </w:t>
            </w:r>
          </w:p>
          <w:p w:rsidR="0085599B" w:rsidRPr="00201A3F" w:rsidRDefault="0085599B" w:rsidP="005B1F40">
            <w:pPr>
              <w:jc w:val="both"/>
              <w:rPr>
                <w:rFonts w:eastAsia="Calibri"/>
                <w:sz w:val="20"/>
                <w:lang w:val="fr-CA"/>
              </w:rPr>
            </w:pPr>
            <w:r w:rsidRPr="00201A3F">
              <w:rPr>
                <w:rFonts w:eastAsia="Calibri"/>
                <w:sz w:val="20"/>
                <w:lang w:val="fr-CA"/>
              </w:rPr>
              <w:t>(Juges Lang, LaForme et Pattillo (ad hoc))</w:t>
            </w:r>
          </w:p>
          <w:p w:rsidR="0085599B" w:rsidRPr="00201A3F" w:rsidRDefault="0085599B" w:rsidP="005B1F40">
            <w:pPr>
              <w:jc w:val="both"/>
              <w:rPr>
                <w:rFonts w:eastAsia="Calibri"/>
                <w:sz w:val="20"/>
                <w:lang w:val="fr-CA"/>
              </w:rPr>
            </w:pPr>
            <w:r w:rsidRPr="00201A3F">
              <w:rPr>
                <w:rFonts w:eastAsia="Calibri"/>
                <w:sz w:val="20"/>
                <w:lang w:val="fr-CA"/>
              </w:rPr>
              <w:t>2012 ONCA 302</w:t>
            </w:r>
          </w:p>
          <w:p w:rsidR="0085599B" w:rsidRPr="00201A3F" w:rsidRDefault="0085599B" w:rsidP="005B1F40">
            <w:pPr>
              <w:jc w:val="both"/>
              <w:rPr>
                <w:rFonts w:eastAsia="Calibri"/>
                <w:sz w:val="20"/>
                <w:lang w:val="fr-CA"/>
              </w:rPr>
            </w:pPr>
          </w:p>
        </w:tc>
        <w:tc>
          <w:tcPr>
            <w:tcW w:w="243" w:type="pct"/>
          </w:tcPr>
          <w:p w:rsidR="0085599B" w:rsidRPr="00201A3F" w:rsidRDefault="0085599B" w:rsidP="005B1F40">
            <w:pPr>
              <w:jc w:val="both"/>
              <w:rPr>
                <w:rFonts w:eastAsia="Calibri"/>
                <w:sz w:val="20"/>
                <w:lang w:val="fr-CA"/>
              </w:rPr>
            </w:pPr>
          </w:p>
        </w:tc>
        <w:tc>
          <w:tcPr>
            <w:tcW w:w="2330" w:type="pct"/>
          </w:tcPr>
          <w:p w:rsidR="0085599B" w:rsidRPr="00201A3F" w:rsidRDefault="0085599B" w:rsidP="005B1F40">
            <w:pPr>
              <w:jc w:val="both"/>
              <w:rPr>
                <w:rFonts w:eastAsia="Calibri"/>
                <w:sz w:val="20"/>
                <w:lang w:val="fr-CA"/>
              </w:rPr>
            </w:pPr>
            <w:r w:rsidRPr="00201A3F">
              <w:rPr>
                <w:rFonts w:eastAsia="Calibri"/>
                <w:sz w:val="20"/>
                <w:lang w:val="fr-CA"/>
              </w:rPr>
              <w:t>Appel accueilli en partie</w:t>
            </w:r>
          </w:p>
          <w:p w:rsidR="0085599B" w:rsidRPr="00201A3F" w:rsidRDefault="0085599B" w:rsidP="005B1F40">
            <w:pPr>
              <w:jc w:val="both"/>
              <w:rPr>
                <w:rFonts w:eastAsia="Calibri"/>
                <w:sz w:val="20"/>
                <w:lang w:val="fr-CA"/>
              </w:rPr>
            </w:pPr>
          </w:p>
        </w:tc>
      </w:tr>
      <w:tr w:rsidR="0085599B" w:rsidRPr="00201A3F" w:rsidTr="005B1F40">
        <w:tc>
          <w:tcPr>
            <w:tcW w:w="2427" w:type="pct"/>
          </w:tcPr>
          <w:p w:rsidR="0085599B" w:rsidRPr="00201A3F" w:rsidRDefault="0085599B" w:rsidP="005B1F40">
            <w:pPr>
              <w:jc w:val="both"/>
              <w:rPr>
                <w:rFonts w:eastAsia="Calibri"/>
                <w:sz w:val="20"/>
                <w:lang w:val="fr-CA"/>
              </w:rPr>
            </w:pPr>
            <w:r w:rsidRPr="00201A3F">
              <w:rPr>
                <w:rFonts w:eastAsia="Calibri"/>
                <w:sz w:val="20"/>
                <w:lang w:val="fr-CA"/>
              </w:rPr>
              <w:t>8 août 2012</w:t>
            </w:r>
          </w:p>
          <w:p w:rsidR="0085599B" w:rsidRPr="00201A3F" w:rsidRDefault="0085599B" w:rsidP="005B1F40">
            <w:pPr>
              <w:jc w:val="both"/>
              <w:rPr>
                <w:rFonts w:eastAsia="Calibri"/>
                <w:sz w:val="20"/>
                <w:lang w:val="fr-CA"/>
              </w:rPr>
            </w:pPr>
            <w:r w:rsidRPr="00201A3F">
              <w:rPr>
                <w:rFonts w:eastAsia="Calibri"/>
                <w:sz w:val="20"/>
                <w:lang w:val="fr-CA"/>
              </w:rPr>
              <w:t>Cour suprême du Canada</w:t>
            </w:r>
          </w:p>
        </w:tc>
        <w:tc>
          <w:tcPr>
            <w:tcW w:w="243" w:type="pct"/>
          </w:tcPr>
          <w:p w:rsidR="0085599B" w:rsidRPr="00201A3F" w:rsidRDefault="0085599B" w:rsidP="005B1F40">
            <w:pPr>
              <w:jc w:val="both"/>
              <w:rPr>
                <w:rFonts w:eastAsia="Calibri"/>
                <w:sz w:val="20"/>
                <w:lang w:val="fr-CA"/>
              </w:rPr>
            </w:pPr>
          </w:p>
        </w:tc>
        <w:tc>
          <w:tcPr>
            <w:tcW w:w="2330" w:type="pct"/>
          </w:tcPr>
          <w:p w:rsidR="0085599B" w:rsidRPr="00201A3F" w:rsidRDefault="0085599B" w:rsidP="005B1F40">
            <w:pPr>
              <w:jc w:val="both"/>
              <w:rPr>
                <w:rFonts w:eastAsia="Calibri"/>
                <w:sz w:val="20"/>
                <w:lang w:val="fr-CA"/>
              </w:rPr>
            </w:pPr>
            <w:r w:rsidRPr="00201A3F">
              <w:rPr>
                <w:rFonts w:eastAsia="Calibri"/>
                <w:sz w:val="20"/>
                <w:lang w:val="fr-CA"/>
              </w:rPr>
              <w:t>Demande d'autorisation d'appel, déposée</w:t>
            </w:r>
          </w:p>
        </w:tc>
      </w:tr>
    </w:tbl>
    <w:p w:rsidR="00A740D1" w:rsidRDefault="00A740D1" w:rsidP="00A740D1">
      <w:pPr>
        <w:rPr>
          <w:sz w:val="20"/>
          <w:szCs w:val="20"/>
        </w:rPr>
      </w:pPr>
    </w:p>
    <w:p w:rsidR="00A740D1" w:rsidRDefault="00BF3B03" w:rsidP="00A740D1">
      <w:pPr>
        <w:rPr>
          <w:sz w:val="20"/>
          <w:szCs w:val="20"/>
        </w:rPr>
      </w:pPr>
      <w:r w:rsidRPr="00BF3B03">
        <w:rPr>
          <w:sz w:val="20"/>
          <w:szCs w:val="20"/>
          <w:lang w:val="fr-CA"/>
        </w:rPr>
        <w:pict>
          <v:rect id="_x0000_i1073" style="width:2in;height:1pt" o:hrpct="0" o:hralign="center" o:hrstd="t" o:hrnoshade="t" o:hr="t" fillcolor="black [3213]" stroked="f"/>
        </w:pict>
      </w:r>
    </w:p>
    <w:p w:rsidR="00A740D1" w:rsidRDefault="00A740D1" w:rsidP="00A740D1">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A37D8" w:rsidRPr="00B9404B" w:rsidTr="00BA37D8">
        <w:trPr>
          <w:cantSplit/>
        </w:trPr>
        <w:tc>
          <w:tcPr>
            <w:tcW w:w="1458" w:type="dxa"/>
          </w:tcPr>
          <w:p w:rsidR="00BA37D8" w:rsidRPr="00B9404B" w:rsidRDefault="00BA37D8" w:rsidP="00BA37D8">
            <w:pPr>
              <w:rPr>
                <w:sz w:val="20"/>
                <w:szCs w:val="20"/>
              </w:rPr>
            </w:pPr>
            <w:r w:rsidRPr="00B9404B">
              <w:rPr>
                <w:rStyle w:val="SCCFileNumberChar"/>
                <w:sz w:val="20"/>
                <w:szCs w:val="20"/>
              </w:rPr>
              <w:t>34931</w:t>
            </w:r>
          </w:p>
          <w:p w:rsidR="00BA37D8" w:rsidRPr="00B9404B" w:rsidRDefault="00BA37D8" w:rsidP="00BA37D8">
            <w:pPr>
              <w:rPr>
                <w:b/>
                <w:sz w:val="20"/>
                <w:szCs w:val="20"/>
                <w:lang w:val="fr-CA"/>
              </w:rPr>
            </w:pPr>
          </w:p>
        </w:tc>
        <w:tc>
          <w:tcPr>
            <w:tcW w:w="8118" w:type="dxa"/>
          </w:tcPr>
          <w:p w:rsidR="00BA37D8" w:rsidRPr="00B9404B" w:rsidRDefault="00BA37D8" w:rsidP="00BA37D8">
            <w:pPr>
              <w:rPr>
                <w:sz w:val="20"/>
                <w:szCs w:val="20"/>
              </w:rPr>
            </w:pPr>
            <w:r w:rsidRPr="00B9404B">
              <w:rPr>
                <w:rStyle w:val="SCCLsocChar"/>
                <w:sz w:val="20"/>
                <w:szCs w:val="20"/>
              </w:rPr>
              <w:t>IBM Canada Limited v. Jean Samoisette</w:t>
            </w:r>
            <w:r w:rsidRPr="00B9404B">
              <w:rPr>
                <w:sz w:val="20"/>
                <w:szCs w:val="20"/>
                <w:lang w:val="fr-CA"/>
              </w:rPr>
              <w:t xml:space="preserve"> (Que.) </w:t>
            </w:r>
            <w:r w:rsidRPr="00B9404B">
              <w:rPr>
                <w:sz w:val="20"/>
                <w:szCs w:val="20"/>
              </w:rPr>
              <w:t>(Civil) (By Leave)</w:t>
            </w:r>
          </w:p>
          <w:p w:rsidR="00BA37D8" w:rsidRPr="00B9404B" w:rsidRDefault="00BA37D8" w:rsidP="00BA37D8">
            <w:pPr>
              <w:rPr>
                <w:sz w:val="20"/>
                <w:szCs w:val="20"/>
              </w:rPr>
            </w:pPr>
          </w:p>
        </w:tc>
      </w:tr>
      <w:tr w:rsidR="00BA37D8" w:rsidRPr="00B9404B" w:rsidTr="00BA37D8">
        <w:trPr>
          <w:cantSplit/>
        </w:trPr>
        <w:tc>
          <w:tcPr>
            <w:tcW w:w="1458" w:type="dxa"/>
          </w:tcPr>
          <w:p w:rsidR="00BA37D8" w:rsidRPr="00B9404B" w:rsidRDefault="00BA37D8" w:rsidP="00BA37D8">
            <w:pPr>
              <w:rPr>
                <w:sz w:val="20"/>
                <w:szCs w:val="20"/>
              </w:rPr>
            </w:pPr>
            <w:r w:rsidRPr="00B9404B">
              <w:rPr>
                <w:sz w:val="20"/>
                <w:szCs w:val="20"/>
              </w:rPr>
              <w:t>Coram :</w:t>
            </w:r>
          </w:p>
        </w:tc>
        <w:tc>
          <w:tcPr>
            <w:tcW w:w="8118" w:type="dxa"/>
          </w:tcPr>
          <w:p w:rsidR="00BA37D8" w:rsidRPr="00B9404B" w:rsidRDefault="00BA37D8" w:rsidP="00BA37D8">
            <w:pPr>
              <w:rPr>
                <w:sz w:val="20"/>
                <w:szCs w:val="20"/>
              </w:rPr>
            </w:pPr>
            <w:r w:rsidRPr="00BA37D8">
              <w:rPr>
                <w:rStyle w:val="SCCCoramChar"/>
                <w:sz w:val="20"/>
                <w:szCs w:val="20"/>
                <w:lang w:val="en-CA"/>
              </w:rPr>
              <w:t>LeBel, Abella and Cromwell JJ.</w:t>
            </w:r>
          </w:p>
          <w:p w:rsidR="00BA37D8" w:rsidRPr="00B9404B" w:rsidRDefault="00BA37D8" w:rsidP="00BA37D8">
            <w:pPr>
              <w:rPr>
                <w:sz w:val="20"/>
                <w:szCs w:val="20"/>
                <w:u w:val="single"/>
              </w:rPr>
            </w:pPr>
          </w:p>
        </w:tc>
      </w:tr>
      <w:tr w:rsidR="00BA37D8" w:rsidRPr="00DC2D1F" w:rsidTr="00BA37D8">
        <w:trPr>
          <w:cantSplit/>
        </w:trPr>
        <w:tc>
          <w:tcPr>
            <w:tcW w:w="9576" w:type="dxa"/>
            <w:gridSpan w:val="2"/>
          </w:tcPr>
          <w:p w:rsidR="00BA37D8" w:rsidRPr="00B9404B" w:rsidRDefault="00BA37D8" w:rsidP="00BA37D8">
            <w:pPr>
              <w:pStyle w:val="SCCShortJudgment"/>
              <w:rPr>
                <w:szCs w:val="20"/>
              </w:rPr>
            </w:pPr>
            <w:r w:rsidRPr="00B9404B">
              <w:rPr>
                <w:szCs w:val="20"/>
              </w:rPr>
              <w:t>The application for leave to appeal from the judgment of the Court of Appeal of Quebec (Montréal), Number 500-09-021086-103, 2012 QCCA 946, dated May 18, 2012, is dismissed with costs.</w:t>
            </w:r>
          </w:p>
          <w:p w:rsidR="00BA37D8" w:rsidRPr="00B9404B" w:rsidRDefault="00BA37D8" w:rsidP="00BA37D8">
            <w:pPr>
              <w:pStyle w:val="SCCShortJudgment"/>
              <w:ind w:firstLine="0"/>
              <w:rPr>
                <w:szCs w:val="20"/>
              </w:rPr>
            </w:pPr>
          </w:p>
          <w:p w:rsidR="00BA37D8" w:rsidRPr="00B9404B" w:rsidRDefault="00BA37D8" w:rsidP="00BA37D8">
            <w:pPr>
              <w:pStyle w:val="SCCShortJudgment"/>
              <w:rPr>
                <w:szCs w:val="20"/>
                <w:lang w:val="fr-CA"/>
              </w:rPr>
            </w:pPr>
            <w:r w:rsidRPr="00B9404B">
              <w:rPr>
                <w:szCs w:val="20"/>
                <w:lang w:val="fr-CA"/>
              </w:rPr>
              <w:t>La demande d’autorisation d’appel de l’arrêt de la Cour d’appel du Québec (Montréal), numéro 500-09-021086-103, 2012 QCCA 946, daté du 18 mai 2012, est rejetée avec dépens.</w:t>
            </w:r>
          </w:p>
        </w:tc>
      </w:tr>
    </w:tbl>
    <w:p w:rsidR="00A740D1" w:rsidRPr="00BA37D8" w:rsidRDefault="00A740D1" w:rsidP="00A740D1">
      <w:pPr>
        <w:rPr>
          <w:sz w:val="20"/>
          <w:szCs w:val="20"/>
          <w:lang w:val="fr-CA"/>
        </w:rPr>
      </w:pPr>
    </w:p>
    <w:p w:rsidR="00A740D1" w:rsidRPr="001B157C" w:rsidRDefault="00A740D1" w:rsidP="00A740D1">
      <w:pPr>
        <w:rPr>
          <w:sz w:val="20"/>
          <w:szCs w:val="20"/>
          <w:u w:val="single"/>
        </w:rPr>
      </w:pPr>
      <w:r w:rsidRPr="001B157C">
        <w:rPr>
          <w:sz w:val="20"/>
          <w:szCs w:val="20"/>
          <w:u w:val="single"/>
        </w:rPr>
        <w:t>CASE SUMMARY</w:t>
      </w:r>
    </w:p>
    <w:p w:rsidR="00A740D1" w:rsidRDefault="00A740D1" w:rsidP="00A740D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5599B" w:rsidRPr="00201A3F" w:rsidTr="005B1F40">
        <w:tc>
          <w:tcPr>
            <w:tcW w:w="5000" w:type="pct"/>
            <w:gridSpan w:val="3"/>
          </w:tcPr>
          <w:p w:rsidR="0085599B" w:rsidRPr="00201A3F" w:rsidRDefault="0085599B" w:rsidP="005B1F40">
            <w:pPr>
              <w:jc w:val="both"/>
              <w:rPr>
                <w:rFonts w:eastAsia="Calibri"/>
                <w:sz w:val="20"/>
              </w:rPr>
            </w:pPr>
            <w:r w:rsidRPr="00201A3F">
              <w:rPr>
                <w:rFonts w:eastAsia="Calibri"/>
                <w:sz w:val="20"/>
              </w:rPr>
              <w:t xml:space="preserve">Civil procedure — Class action — Criteria for authorizing — Retirement benefits under adhesion contract of employment changed unilaterally pursuant to clauses authorizing that procedure — Whether Court of Appeal wrongly interfered with exercise of Superior Court’s discretion as regards colour of right — Whether Court of Appeal provided insufficient reasons for decision — </w:t>
            </w:r>
            <w:r w:rsidRPr="00201A3F">
              <w:rPr>
                <w:rFonts w:eastAsia="Calibri"/>
                <w:i/>
                <w:sz w:val="20"/>
              </w:rPr>
              <w:t>Code of Civil Procedure</w:t>
            </w:r>
            <w:r w:rsidRPr="00201A3F">
              <w:rPr>
                <w:rFonts w:eastAsia="Calibri"/>
                <w:sz w:val="20"/>
              </w:rPr>
              <w:t>, R.S.Q. c. C</w:t>
            </w:r>
            <w:r w:rsidRPr="00201A3F">
              <w:rPr>
                <w:rFonts w:eastAsia="Calibri"/>
                <w:sz w:val="20"/>
              </w:rPr>
              <w:noBreakHyphen/>
              <w:t>25, art. 1003.</w:t>
            </w:r>
          </w:p>
        </w:tc>
      </w:tr>
      <w:tr w:rsidR="0085599B" w:rsidRPr="00201A3F" w:rsidTr="005B1F40">
        <w:tc>
          <w:tcPr>
            <w:tcW w:w="5000" w:type="pct"/>
            <w:gridSpan w:val="3"/>
          </w:tcPr>
          <w:p w:rsidR="0085599B" w:rsidRPr="00201A3F" w:rsidRDefault="0085599B" w:rsidP="005B1F40">
            <w:pPr>
              <w:jc w:val="both"/>
              <w:rPr>
                <w:rFonts w:eastAsia="Calibri"/>
                <w:sz w:val="20"/>
              </w:rPr>
            </w:pPr>
          </w:p>
        </w:tc>
      </w:tr>
      <w:tr w:rsidR="0085599B" w:rsidRPr="00201A3F" w:rsidTr="005B1F40">
        <w:tc>
          <w:tcPr>
            <w:tcW w:w="5000" w:type="pct"/>
            <w:gridSpan w:val="3"/>
          </w:tcPr>
          <w:p w:rsidR="0085599B" w:rsidRPr="00201A3F" w:rsidRDefault="0085599B" w:rsidP="005B1F40">
            <w:pPr>
              <w:jc w:val="both"/>
              <w:rPr>
                <w:rFonts w:eastAsia="Calibri"/>
                <w:sz w:val="20"/>
              </w:rPr>
            </w:pPr>
            <w:r w:rsidRPr="00201A3F">
              <w:rPr>
                <w:rFonts w:eastAsia="Calibri"/>
                <w:sz w:val="20"/>
              </w:rPr>
              <w:t xml:space="preserve">The respondent was one of several hundred workers affected by recent reductions in retirement benefits by their employer, IBM.  The workers were not unionized and were subject to a contract containing a unilateral amendment clause.  The respondent, who was eligible to retire but had not yet done so, sought to institute a class action on behalf </w:t>
            </w:r>
            <w:r w:rsidRPr="00201A3F">
              <w:rPr>
                <w:rFonts w:eastAsia="Calibri"/>
                <w:sz w:val="20"/>
              </w:rPr>
              <w:lastRenderedPageBreak/>
              <w:t>of retired employees, employees who were eligible to retire but had not yet retired, and employees who were not yet eligible for retirement.</w:t>
            </w:r>
          </w:p>
          <w:p w:rsidR="0085599B" w:rsidRPr="00201A3F" w:rsidRDefault="0085599B" w:rsidP="005B1F40">
            <w:pPr>
              <w:jc w:val="both"/>
              <w:rPr>
                <w:rFonts w:eastAsia="Calibri"/>
                <w:sz w:val="20"/>
              </w:rPr>
            </w:pPr>
          </w:p>
        </w:tc>
      </w:tr>
      <w:tr w:rsidR="0085599B" w:rsidRPr="00201A3F" w:rsidTr="005B1F40">
        <w:tc>
          <w:tcPr>
            <w:tcW w:w="2427" w:type="pct"/>
          </w:tcPr>
          <w:p w:rsidR="0085599B" w:rsidRPr="00201A3F" w:rsidRDefault="0085599B" w:rsidP="005B1F40">
            <w:pPr>
              <w:jc w:val="both"/>
              <w:rPr>
                <w:rFonts w:eastAsia="Calibri"/>
                <w:sz w:val="20"/>
              </w:rPr>
            </w:pPr>
            <w:r w:rsidRPr="00201A3F">
              <w:rPr>
                <w:rFonts w:eastAsia="Calibri"/>
                <w:sz w:val="20"/>
              </w:rPr>
              <w:lastRenderedPageBreak/>
              <w:t>September 10, 2010</w:t>
            </w:r>
          </w:p>
          <w:p w:rsidR="0085599B" w:rsidRPr="00201A3F" w:rsidRDefault="0085599B" w:rsidP="005B1F40">
            <w:pPr>
              <w:jc w:val="both"/>
              <w:rPr>
                <w:rFonts w:eastAsia="Calibri"/>
                <w:sz w:val="20"/>
              </w:rPr>
            </w:pPr>
            <w:r w:rsidRPr="00201A3F">
              <w:rPr>
                <w:rFonts w:eastAsia="Calibri"/>
                <w:sz w:val="20"/>
              </w:rPr>
              <w:t>Quebec Superior Court</w:t>
            </w:r>
          </w:p>
          <w:p w:rsidR="0085599B" w:rsidRPr="00201A3F" w:rsidRDefault="0085599B" w:rsidP="005B1F40">
            <w:pPr>
              <w:jc w:val="both"/>
              <w:rPr>
                <w:rFonts w:eastAsia="Calibri"/>
                <w:sz w:val="20"/>
              </w:rPr>
            </w:pPr>
            <w:r w:rsidRPr="00201A3F">
              <w:rPr>
                <w:rFonts w:eastAsia="Calibri"/>
                <w:sz w:val="20"/>
              </w:rPr>
              <w:t>(Castiglio J.)</w:t>
            </w:r>
          </w:p>
          <w:p w:rsidR="0085599B" w:rsidRPr="00201A3F" w:rsidRDefault="0085599B" w:rsidP="005B1F40">
            <w:pPr>
              <w:jc w:val="both"/>
              <w:rPr>
                <w:rFonts w:eastAsia="Calibri"/>
                <w:sz w:val="20"/>
              </w:rPr>
            </w:pPr>
            <w:r w:rsidRPr="00201A3F">
              <w:rPr>
                <w:rFonts w:eastAsia="Calibri"/>
                <w:sz w:val="20"/>
              </w:rPr>
              <w:t>2010 QCCS 4312</w:t>
            </w:r>
          </w:p>
          <w:p w:rsidR="0085599B" w:rsidRPr="00201A3F" w:rsidRDefault="0085599B" w:rsidP="005B1F40">
            <w:pPr>
              <w:jc w:val="both"/>
              <w:rPr>
                <w:rFonts w:eastAsia="Calibri"/>
                <w:sz w:val="20"/>
              </w:rPr>
            </w:pPr>
          </w:p>
        </w:tc>
        <w:tc>
          <w:tcPr>
            <w:tcW w:w="243" w:type="pct"/>
          </w:tcPr>
          <w:p w:rsidR="0085599B" w:rsidRPr="00201A3F" w:rsidRDefault="0085599B" w:rsidP="005B1F40">
            <w:pPr>
              <w:jc w:val="both"/>
              <w:rPr>
                <w:rFonts w:eastAsia="Calibri"/>
                <w:sz w:val="20"/>
              </w:rPr>
            </w:pPr>
          </w:p>
        </w:tc>
        <w:tc>
          <w:tcPr>
            <w:tcW w:w="2330" w:type="pct"/>
          </w:tcPr>
          <w:p w:rsidR="0085599B" w:rsidRPr="00201A3F" w:rsidRDefault="0085599B" w:rsidP="005B1F40">
            <w:pPr>
              <w:jc w:val="both"/>
              <w:rPr>
                <w:rFonts w:eastAsia="Calibri"/>
                <w:sz w:val="20"/>
              </w:rPr>
            </w:pPr>
            <w:r w:rsidRPr="00201A3F">
              <w:rPr>
                <w:rFonts w:eastAsia="Calibri"/>
                <w:sz w:val="20"/>
              </w:rPr>
              <w:t xml:space="preserve">Respondent’s motion for authorization to institute class action against applicant dismissed </w:t>
            </w:r>
          </w:p>
          <w:p w:rsidR="0085599B" w:rsidRPr="00201A3F" w:rsidRDefault="0085599B" w:rsidP="005B1F40">
            <w:pPr>
              <w:jc w:val="both"/>
              <w:rPr>
                <w:rFonts w:eastAsia="Calibri"/>
                <w:sz w:val="20"/>
              </w:rPr>
            </w:pPr>
          </w:p>
        </w:tc>
      </w:tr>
      <w:tr w:rsidR="0085599B" w:rsidRPr="00201A3F" w:rsidTr="005B1F40">
        <w:tc>
          <w:tcPr>
            <w:tcW w:w="2427" w:type="pct"/>
          </w:tcPr>
          <w:p w:rsidR="0085599B" w:rsidRPr="00201A3F" w:rsidRDefault="0085599B" w:rsidP="005B1F40">
            <w:pPr>
              <w:jc w:val="both"/>
              <w:rPr>
                <w:rFonts w:eastAsia="Calibri"/>
                <w:sz w:val="20"/>
              </w:rPr>
            </w:pPr>
            <w:r w:rsidRPr="00201A3F">
              <w:rPr>
                <w:rFonts w:eastAsia="Calibri"/>
                <w:sz w:val="20"/>
              </w:rPr>
              <w:t>May 18, 2012</w:t>
            </w:r>
          </w:p>
          <w:p w:rsidR="0085599B" w:rsidRPr="00201A3F" w:rsidRDefault="0085599B" w:rsidP="005B1F40">
            <w:pPr>
              <w:jc w:val="both"/>
              <w:rPr>
                <w:rFonts w:eastAsia="Calibri"/>
                <w:sz w:val="20"/>
              </w:rPr>
            </w:pPr>
            <w:r w:rsidRPr="00201A3F">
              <w:rPr>
                <w:rFonts w:eastAsia="Calibri"/>
                <w:sz w:val="20"/>
              </w:rPr>
              <w:t>Quebec Court of Appeal (Montréal)</w:t>
            </w:r>
          </w:p>
          <w:p w:rsidR="0085599B" w:rsidRPr="00201A3F" w:rsidRDefault="0085599B" w:rsidP="005B1F40">
            <w:pPr>
              <w:jc w:val="both"/>
              <w:rPr>
                <w:rFonts w:eastAsia="Calibri"/>
                <w:sz w:val="20"/>
              </w:rPr>
            </w:pPr>
            <w:r w:rsidRPr="00201A3F">
              <w:rPr>
                <w:rFonts w:eastAsia="Calibri"/>
                <w:sz w:val="20"/>
              </w:rPr>
              <w:t>(Dalphond, Giroux and Dufresne JJ.A.)</w:t>
            </w:r>
          </w:p>
          <w:p w:rsidR="0085599B" w:rsidRDefault="0085599B" w:rsidP="005B1F40">
            <w:pPr>
              <w:jc w:val="both"/>
              <w:rPr>
                <w:rFonts w:eastAsia="Calibri"/>
                <w:sz w:val="20"/>
              </w:rPr>
            </w:pPr>
            <w:r w:rsidRPr="00201A3F">
              <w:rPr>
                <w:rFonts w:eastAsia="Calibri"/>
                <w:sz w:val="20"/>
              </w:rPr>
              <w:t>2012 QCCA 946</w:t>
            </w:r>
          </w:p>
          <w:p w:rsidR="0085599B" w:rsidRPr="00201A3F" w:rsidRDefault="0085599B" w:rsidP="005B1F40">
            <w:pPr>
              <w:jc w:val="both"/>
              <w:rPr>
                <w:rFonts w:eastAsia="Calibri"/>
                <w:sz w:val="20"/>
              </w:rPr>
            </w:pPr>
          </w:p>
        </w:tc>
        <w:tc>
          <w:tcPr>
            <w:tcW w:w="243" w:type="pct"/>
          </w:tcPr>
          <w:p w:rsidR="0085599B" w:rsidRPr="00201A3F" w:rsidRDefault="0085599B" w:rsidP="005B1F40">
            <w:pPr>
              <w:jc w:val="both"/>
              <w:rPr>
                <w:rFonts w:eastAsia="Calibri"/>
                <w:sz w:val="20"/>
              </w:rPr>
            </w:pPr>
          </w:p>
        </w:tc>
        <w:tc>
          <w:tcPr>
            <w:tcW w:w="2330" w:type="pct"/>
          </w:tcPr>
          <w:p w:rsidR="0085599B" w:rsidRPr="00201A3F" w:rsidRDefault="0085599B" w:rsidP="005B1F40">
            <w:pPr>
              <w:jc w:val="both"/>
              <w:rPr>
                <w:rFonts w:eastAsia="Calibri"/>
                <w:sz w:val="20"/>
              </w:rPr>
            </w:pPr>
            <w:r w:rsidRPr="00201A3F">
              <w:rPr>
                <w:rFonts w:eastAsia="Calibri"/>
                <w:sz w:val="20"/>
              </w:rPr>
              <w:t>Appeal allowed; class action authorized</w:t>
            </w:r>
          </w:p>
        </w:tc>
      </w:tr>
      <w:tr w:rsidR="0085599B" w:rsidRPr="00201A3F" w:rsidTr="005B1F40">
        <w:tc>
          <w:tcPr>
            <w:tcW w:w="2427" w:type="pct"/>
          </w:tcPr>
          <w:p w:rsidR="0085599B" w:rsidRPr="00201A3F" w:rsidRDefault="0085599B" w:rsidP="005B1F40">
            <w:pPr>
              <w:jc w:val="both"/>
              <w:rPr>
                <w:rFonts w:eastAsia="Calibri"/>
                <w:sz w:val="20"/>
              </w:rPr>
            </w:pPr>
            <w:r w:rsidRPr="00201A3F">
              <w:rPr>
                <w:rFonts w:eastAsia="Calibri"/>
                <w:sz w:val="20"/>
              </w:rPr>
              <w:t>August 17, 2012</w:t>
            </w:r>
          </w:p>
          <w:p w:rsidR="0085599B" w:rsidRPr="00201A3F" w:rsidRDefault="0085599B" w:rsidP="005B1F40">
            <w:pPr>
              <w:jc w:val="both"/>
              <w:rPr>
                <w:rFonts w:eastAsia="Calibri"/>
                <w:sz w:val="20"/>
              </w:rPr>
            </w:pPr>
            <w:r w:rsidRPr="00201A3F">
              <w:rPr>
                <w:rFonts w:eastAsia="Calibri"/>
                <w:sz w:val="20"/>
              </w:rPr>
              <w:t>Supreme Court of Canada</w:t>
            </w:r>
          </w:p>
        </w:tc>
        <w:tc>
          <w:tcPr>
            <w:tcW w:w="243" w:type="pct"/>
          </w:tcPr>
          <w:p w:rsidR="0085599B" w:rsidRPr="00201A3F" w:rsidRDefault="0085599B" w:rsidP="005B1F40">
            <w:pPr>
              <w:jc w:val="both"/>
              <w:rPr>
                <w:rFonts w:eastAsia="Calibri"/>
                <w:sz w:val="20"/>
              </w:rPr>
            </w:pPr>
          </w:p>
        </w:tc>
        <w:tc>
          <w:tcPr>
            <w:tcW w:w="2330" w:type="pct"/>
          </w:tcPr>
          <w:p w:rsidR="0085599B" w:rsidRPr="00201A3F" w:rsidRDefault="0085599B" w:rsidP="005B1F40">
            <w:pPr>
              <w:jc w:val="both"/>
              <w:rPr>
                <w:rFonts w:eastAsia="Calibri"/>
                <w:sz w:val="20"/>
              </w:rPr>
            </w:pPr>
            <w:r w:rsidRPr="00201A3F">
              <w:rPr>
                <w:rFonts w:eastAsia="Calibri"/>
                <w:sz w:val="20"/>
              </w:rPr>
              <w:t>Application for leave to appeal filed</w:t>
            </w:r>
          </w:p>
          <w:p w:rsidR="0085599B" w:rsidRPr="00201A3F" w:rsidRDefault="0085599B" w:rsidP="005B1F40">
            <w:pPr>
              <w:jc w:val="both"/>
              <w:rPr>
                <w:rFonts w:eastAsia="Calibri"/>
                <w:sz w:val="20"/>
              </w:rPr>
            </w:pPr>
          </w:p>
        </w:tc>
      </w:tr>
    </w:tbl>
    <w:p w:rsidR="00A740D1" w:rsidRDefault="00A740D1" w:rsidP="00A740D1">
      <w:pPr>
        <w:rPr>
          <w:sz w:val="20"/>
          <w:szCs w:val="20"/>
        </w:rPr>
      </w:pPr>
    </w:p>
    <w:p w:rsidR="00A740D1" w:rsidRPr="00C50A5C" w:rsidRDefault="00BF3B03" w:rsidP="00A740D1">
      <w:pPr>
        <w:rPr>
          <w:sz w:val="20"/>
          <w:szCs w:val="20"/>
        </w:rPr>
      </w:pPr>
      <w:r w:rsidRPr="00BF3B03">
        <w:rPr>
          <w:sz w:val="20"/>
          <w:szCs w:val="20"/>
          <w:lang w:val="fr-CA"/>
        </w:rPr>
        <w:pict>
          <v:rect id="_x0000_i1074" style="width:2in;height:1pt" o:hrpct="0" o:hralign="center" o:hrstd="t" o:hrnoshade="t" o:hr="t" fillcolor="black [3213]" stroked="f"/>
        </w:pict>
      </w:r>
    </w:p>
    <w:p w:rsidR="00A740D1" w:rsidRDefault="00A740D1" w:rsidP="00A740D1">
      <w:pPr>
        <w:rPr>
          <w:sz w:val="20"/>
          <w:szCs w:val="20"/>
        </w:rPr>
      </w:pPr>
    </w:p>
    <w:p w:rsidR="00A740D1" w:rsidRPr="001B157C" w:rsidRDefault="00A740D1" w:rsidP="00A740D1">
      <w:pPr>
        <w:rPr>
          <w:sz w:val="20"/>
          <w:szCs w:val="20"/>
          <w:u w:val="single"/>
          <w:lang w:val="fr-CA"/>
        </w:rPr>
      </w:pPr>
      <w:r w:rsidRPr="001B157C">
        <w:rPr>
          <w:sz w:val="20"/>
          <w:szCs w:val="20"/>
          <w:u w:val="single"/>
          <w:lang w:val="fr-CA"/>
        </w:rPr>
        <w:t>RÉSUMÉ DE L’AFFAIRE</w:t>
      </w:r>
    </w:p>
    <w:p w:rsidR="00A740D1" w:rsidRDefault="00A740D1" w:rsidP="00A740D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5599B" w:rsidRPr="00DC2D1F" w:rsidTr="005B1F40">
        <w:tc>
          <w:tcPr>
            <w:tcW w:w="5000" w:type="pct"/>
            <w:gridSpan w:val="3"/>
          </w:tcPr>
          <w:p w:rsidR="0085599B" w:rsidRPr="00201A3F" w:rsidRDefault="0085599B" w:rsidP="005B1F40">
            <w:pPr>
              <w:jc w:val="both"/>
              <w:rPr>
                <w:rFonts w:eastAsia="Calibri"/>
                <w:sz w:val="20"/>
                <w:lang w:val="fr-FR"/>
              </w:rPr>
            </w:pPr>
            <w:r w:rsidRPr="00201A3F">
              <w:rPr>
                <w:rFonts w:eastAsia="Calibri"/>
                <w:sz w:val="20"/>
                <w:lang w:val="fr-CA"/>
              </w:rPr>
              <w:t xml:space="preserve">Procédure civile — Recours collectif — Critères d’autorisation — Modification unilatérale des avantages attachés à la retraite dans un contrat de travail d’adhésion en application de clauses permettant ce procédé — La Cour d’appel est-elle intervenue à tort dans l’exercice de la discrétion de la Cour supérieure quant à l’apparence de droit? — La Cour d’appel a-t-elle rendu une décision insuffisamment motivée? — </w:t>
            </w:r>
            <w:r w:rsidRPr="00201A3F">
              <w:rPr>
                <w:rFonts w:eastAsia="Calibri"/>
                <w:i/>
                <w:sz w:val="20"/>
                <w:lang w:val="fr-CA"/>
              </w:rPr>
              <w:t>Code de procédure civile</w:t>
            </w:r>
            <w:r w:rsidRPr="00201A3F">
              <w:rPr>
                <w:rFonts w:eastAsia="Calibri"/>
                <w:sz w:val="20"/>
                <w:lang w:val="fr-CA"/>
              </w:rPr>
              <w:t>, L.R.Q. ch. 25, art. 1003.</w:t>
            </w:r>
          </w:p>
        </w:tc>
      </w:tr>
      <w:tr w:rsidR="0085599B" w:rsidRPr="00DC2D1F" w:rsidTr="005B1F40">
        <w:tc>
          <w:tcPr>
            <w:tcW w:w="5000" w:type="pct"/>
            <w:gridSpan w:val="3"/>
          </w:tcPr>
          <w:p w:rsidR="0085599B" w:rsidRPr="00201A3F" w:rsidRDefault="0085599B" w:rsidP="005B1F40">
            <w:pPr>
              <w:jc w:val="both"/>
              <w:rPr>
                <w:rFonts w:eastAsia="Calibri"/>
                <w:sz w:val="20"/>
                <w:lang w:val="fr-CA"/>
              </w:rPr>
            </w:pPr>
          </w:p>
        </w:tc>
      </w:tr>
      <w:tr w:rsidR="0085599B" w:rsidRPr="00DC2D1F" w:rsidTr="005B1F40">
        <w:tc>
          <w:tcPr>
            <w:tcW w:w="5000" w:type="pct"/>
            <w:gridSpan w:val="3"/>
          </w:tcPr>
          <w:p w:rsidR="0085599B" w:rsidRPr="00201A3F" w:rsidRDefault="0085599B" w:rsidP="005B1F40">
            <w:pPr>
              <w:jc w:val="both"/>
              <w:rPr>
                <w:rFonts w:eastAsia="Calibri"/>
                <w:sz w:val="20"/>
                <w:lang w:val="fr-CA"/>
              </w:rPr>
            </w:pPr>
            <w:r w:rsidRPr="00201A3F">
              <w:rPr>
                <w:rFonts w:eastAsia="Calibri"/>
                <w:sz w:val="20"/>
                <w:lang w:val="fr-CA"/>
              </w:rPr>
              <w:t>L’intimé fait partie de plusieurs centaines de travailleurs visés par les récentes diminutions d’avantages liés à la retraite chez leur employeur IBM.  Non-syndiqués, les travailleurs adhèrent à un contrat contenant une clause de modification unilatérale.  L’intimé, qui est admissible à la retraite mais ne l’a pas prise encore, demande à exercer un recours collectif au nom d’employés retraités, d’employés admissibles à la retraite mais ne l’ayant pas encore prise, et d’employés non admissibles à la retraite pour le moment.</w:t>
            </w:r>
          </w:p>
          <w:p w:rsidR="0085599B" w:rsidRPr="00201A3F" w:rsidRDefault="0085599B" w:rsidP="005B1F40">
            <w:pPr>
              <w:jc w:val="both"/>
              <w:rPr>
                <w:rFonts w:eastAsia="Calibri"/>
                <w:sz w:val="20"/>
                <w:lang w:val="fr-CA"/>
              </w:rPr>
            </w:pPr>
          </w:p>
        </w:tc>
      </w:tr>
      <w:tr w:rsidR="0085599B" w:rsidRPr="00DC2D1F" w:rsidTr="005B1F40">
        <w:tc>
          <w:tcPr>
            <w:tcW w:w="2427" w:type="pct"/>
          </w:tcPr>
          <w:p w:rsidR="0085599B" w:rsidRPr="00201A3F" w:rsidRDefault="0085599B" w:rsidP="005B1F40">
            <w:pPr>
              <w:jc w:val="both"/>
              <w:rPr>
                <w:rFonts w:eastAsia="Calibri"/>
                <w:sz w:val="20"/>
                <w:lang w:val="fr-CA"/>
              </w:rPr>
            </w:pPr>
            <w:r w:rsidRPr="00201A3F">
              <w:rPr>
                <w:rFonts w:eastAsia="Calibri"/>
                <w:sz w:val="20"/>
                <w:lang w:val="fr-CA"/>
              </w:rPr>
              <w:t>Le 10 septembre 2010</w:t>
            </w:r>
          </w:p>
          <w:p w:rsidR="0085599B" w:rsidRPr="00201A3F" w:rsidRDefault="0085599B" w:rsidP="005B1F40">
            <w:pPr>
              <w:jc w:val="both"/>
              <w:rPr>
                <w:rFonts w:eastAsia="Calibri"/>
                <w:sz w:val="20"/>
                <w:lang w:val="fr-CA"/>
              </w:rPr>
            </w:pPr>
            <w:r w:rsidRPr="00201A3F">
              <w:rPr>
                <w:rFonts w:eastAsia="Calibri"/>
                <w:sz w:val="20"/>
                <w:lang w:val="fr-CA"/>
              </w:rPr>
              <w:t>Cour supérieure du Québec</w:t>
            </w:r>
          </w:p>
          <w:p w:rsidR="0085599B" w:rsidRPr="00201A3F" w:rsidRDefault="0085599B" w:rsidP="005B1F40">
            <w:pPr>
              <w:jc w:val="both"/>
              <w:rPr>
                <w:rFonts w:eastAsia="Calibri"/>
                <w:sz w:val="20"/>
                <w:lang w:val="fr-CA"/>
              </w:rPr>
            </w:pPr>
            <w:r w:rsidRPr="00201A3F">
              <w:rPr>
                <w:rFonts w:eastAsia="Calibri"/>
                <w:sz w:val="20"/>
                <w:lang w:val="fr-CA"/>
              </w:rPr>
              <w:t>(Le juge Castiglio)</w:t>
            </w:r>
          </w:p>
          <w:p w:rsidR="0085599B" w:rsidRPr="00201A3F" w:rsidRDefault="0085599B" w:rsidP="005B1F40">
            <w:pPr>
              <w:jc w:val="both"/>
              <w:rPr>
                <w:rFonts w:eastAsia="Calibri"/>
                <w:sz w:val="20"/>
                <w:lang w:val="fr-CA"/>
              </w:rPr>
            </w:pPr>
            <w:r w:rsidRPr="00201A3F">
              <w:rPr>
                <w:rFonts w:eastAsia="Calibri"/>
                <w:sz w:val="20"/>
                <w:lang w:val="fr-CA"/>
              </w:rPr>
              <w:t>2010 QCCS 4312</w:t>
            </w:r>
          </w:p>
          <w:p w:rsidR="0085599B" w:rsidRPr="00201A3F" w:rsidRDefault="0085599B" w:rsidP="005B1F40">
            <w:pPr>
              <w:jc w:val="both"/>
              <w:rPr>
                <w:rFonts w:eastAsia="Calibri"/>
                <w:sz w:val="20"/>
              </w:rPr>
            </w:pPr>
          </w:p>
        </w:tc>
        <w:tc>
          <w:tcPr>
            <w:tcW w:w="243" w:type="pct"/>
          </w:tcPr>
          <w:p w:rsidR="0085599B" w:rsidRPr="00201A3F" w:rsidRDefault="0085599B" w:rsidP="005B1F40">
            <w:pPr>
              <w:jc w:val="both"/>
              <w:rPr>
                <w:rFonts w:eastAsia="Calibri"/>
                <w:sz w:val="20"/>
              </w:rPr>
            </w:pPr>
          </w:p>
        </w:tc>
        <w:tc>
          <w:tcPr>
            <w:tcW w:w="2330" w:type="pct"/>
          </w:tcPr>
          <w:p w:rsidR="0085599B" w:rsidRPr="00201A3F" w:rsidRDefault="0085599B" w:rsidP="005B1F40">
            <w:pPr>
              <w:jc w:val="both"/>
              <w:rPr>
                <w:rFonts w:eastAsia="Calibri"/>
                <w:sz w:val="20"/>
                <w:lang w:val="fr-CA"/>
              </w:rPr>
            </w:pPr>
            <w:r w:rsidRPr="00201A3F">
              <w:rPr>
                <w:rFonts w:eastAsia="Calibri"/>
                <w:sz w:val="20"/>
                <w:lang w:val="fr-CA"/>
              </w:rPr>
              <w:t xml:space="preserve">Rejet de la requête de l’intimé en autorisation de recours collectif contre la demanderesse. </w:t>
            </w:r>
          </w:p>
          <w:p w:rsidR="0085599B" w:rsidRPr="00201A3F" w:rsidRDefault="0085599B" w:rsidP="005B1F40">
            <w:pPr>
              <w:jc w:val="both"/>
              <w:rPr>
                <w:rFonts w:eastAsia="Calibri"/>
                <w:sz w:val="20"/>
                <w:lang w:val="fr-CA"/>
              </w:rPr>
            </w:pPr>
          </w:p>
        </w:tc>
      </w:tr>
      <w:tr w:rsidR="0085599B" w:rsidRPr="00DC2D1F" w:rsidTr="005B1F40">
        <w:tc>
          <w:tcPr>
            <w:tcW w:w="2427" w:type="pct"/>
          </w:tcPr>
          <w:p w:rsidR="0085599B" w:rsidRPr="00201A3F" w:rsidRDefault="0085599B" w:rsidP="005B1F40">
            <w:pPr>
              <w:jc w:val="both"/>
              <w:rPr>
                <w:rFonts w:eastAsia="Calibri"/>
                <w:sz w:val="20"/>
                <w:lang w:val="fr-CA"/>
              </w:rPr>
            </w:pPr>
            <w:r w:rsidRPr="00201A3F">
              <w:rPr>
                <w:rFonts w:eastAsia="Calibri"/>
                <w:sz w:val="20"/>
                <w:lang w:val="fr-CA"/>
              </w:rPr>
              <w:t>Le 18 mai 2012</w:t>
            </w:r>
          </w:p>
          <w:p w:rsidR="0085599B" w:rsidRPr="00201A3F" w:rsidRDefault="0085599B" w:rsidP="005B1F40">
            <w:pPr>
              <w:jc w:val="both"/>
              <w:rPr>
                <w:rFonts w:eastAsia="Calibri"/>
                <w:sz w:val="20"/>
                <w:lang w:val="fr-CA"/>
              </w:rPr>
            </w:pPr>
            <w:r w:rsidRPr="00201A3F">
              <w:rPr>
                <w:rFonts w:eastAsia="Calibri"/>
                <w:sz w:val="20"/>
                <w:lang w:val="fr-CA"/>
              </w:rPr>
              <w:t>Cour d’appel du Québec (Montréal)</w:t>
            </w:r>
          </w:p>
          <w:p w:rsidR="0085599B" w:rsidRPr="00201A3F" w:rsidRDefault="0085599B" w:rsidP="005B1F40">
            <w:pPr>
              <w:jc w:val="both"/>
              <w:rPr>
                <w:rFonts w:eastAsia="Calibri"/>
                <w:sz w:val="20"/>
                <w:lang w:val="fr-CA"/>
              </w:rPr>
            </w:pPr>
            <w:r w:rsidRPr="00201A3F">
              <w:rPr>
                <w:rFonts w:eastAsia="Calibri"/>
                <w:sz w:val="20"/>
                <w:lang w:val="fr-CA"/>
              </w:rPr>
              <w:t>(Les juges Dalphond, Giroux et Dufresne)</w:t>
            </w:r>
          </w:p>
          <w:p w:rsidR="0085599B" w:rsidRPr="00201A3F" w:rsidRDefault="0085599B" w:rsidP="005B1F40">
            <w:pPr>
              <w:jc w:val="both"/>
              <w:rPr>
                <w:rFonts w:eastAsia="Calibri"/>
                <w:sz w:val="20"/>
                <w:lang w:val="fr-CA"/>
              </w:rPr>
            </w:pPr>
            <w:r w:rsidRPr="00201A3F">
              <w:rPr>
                <w:rFonts w:eastAsia="Calibri"/>
                <w:sz w:val="20"/>
                <w:lang w:val="fr-CA"/>
              </w:rPr>
              <w:t>2012 QCCA 946</w:t>
            </w:r>
          </w:p>
          <w:p w:rsidR="0085599B" w:rsidRPr="00201A3F" w:rsidRDefault="0085599B" w:rsidP="005B1F40">
            <w:pPr>
              <w:jc w:val="both"/>
              <w:rPr>
                <w:rFonts w:eastAsia="Calibri"/>
                <w:sz w:val="20"/>
                <w:lang w:val="fr-FR"/>
              </w:rPr>
            </w:pPr>
          </w:p>
        </w:tc>
        <w:tc>
          <w:tcPr>
            <w:tcW w:w="243" w:type="pct"/>
          </w:tcPr>
          <w:p w:rsidR="0085599B" w:rsidRPr="00201A3F" w:rsidRDefault="0085599B" w:rsidP="005B1F40">
            <w:pPr>
              <w:jc w:val="both"/>
              <w:rPr>
                <w:rFonts w:eastAsia="Calibri"/>
                <w:sz w:val="20"/>
                <w:lang w:val="fr-FR"/>
              </w:rPr>
            </w:pPr>
          </w:p>
        </w:tc>
        <w:tc>
          <w:tcPr>
            <w:tcW w:w="2330" w:type="pct"/>
          </w:tcPr>
          <w:p w:rsidR="0085599B" w:rsidRPr="00201A3F" w:rsidRDefault="0085599B" w:rsidP="005B1F40">
            <w:pPr>
              <w:jc w:val="both"/>
              <w:rPr>
                <w:rFonts w:eastAsia="Calibri"/>
                <w:sz w:val="20"/>
                <w:lang w:val="fr-CA"/>
              </w:rPr>
            </w:pPr>
            <w:r w:rsidRPr="00201A3F">
              <w:rPr>
                <w:rFonts w:eastAsia="Calibri"/>
                <w:sz w:val="20"/>
                <w:lang w:val="fr-CA"/>
              </w:rPr>
              <w:t>Appel accueilli; recours collectif autorisé.</w:t>
            </w:r>
          </w:p>
        </w:tc>
      </w:tr>
      <w:tr w:rsidR="0085599B" w:rsidRPr="00201A3F" w:rsidTr="005B1F40">
        <w:tc>
          <w:tcPr>
            <w:tcW w:w="2427" w:type="pct"/>
          </w:tcPr>
          <w:p w:rsidR="0085599B" w:rsidRPr="00201A3F" w:rsidRDefault="0085599B" w:rsidP="005B1F40">
            <w:pPr>
              <w:jc w:val="both"/>
              <w:rPr>
                <w:rFonts w:eastAsia="Calibri"/>
                <w:sz w:val="20"/>
                <w:lang w:val="fr-CA"/>
              </w:rPr>
            </w:pPr>
            <w:r w:rsidRPr="00201A3F">
              <w:rPr>
                <w:rFonts w:eastAsia="Calibri"/>
                <w:sz w:val="20"/>
                <w:lang w:val="fr-CA"/>
              </w:rPr>
              <w:t>Le 17 août 2012</w:t>
            </w:r>
          </w:p>
          <w:p w:rsidR="0085599B" w:rsidRPr="00201A3F" w:rsidRDefault="0085599B" w:rsidP="005B1F40">
            <w:pPr>
              <w:jc w:val="both"/>
              <w:rPr>
                <w:rFonts w:eastAsia="Calibri"/>
                <w:sz w:val="20"/>
                <w:lang w:val="fr-FR"/>
              </w:rPr>
            </w:pPr>
            <w:r w:rsidRPr="00201A3F">
              <w:rPr>
                <w:rFonts w:eastAsia="Calibri"/>
                <w:sz w:val="20"/>
                <w:lang w:val="fr-CA"/>
              </w:rPr>
              <w:t>Cour suprême du Canada</w:t>
            </w:r>
          </w:p>
        </w:tc>
        <w:tc>
          <w:tcPr>
            <w:tcW w:w="243" w:type="pct"/>
          </w:tcPr>
          <w:p w:rsidR="0085599B" w:rsidRPr="00201A3F" w:rsidRDefault="0085599B" w:rsidP="005B1F40">
            <w:pPr>
              <w:jc w:val="both"/>
              <w:rPr>
                <w:rFonts w:eastAsia="Calibri"/>
                <w:sz w:val="20"/>
                <w:lang w:val="fr-FR"/>
              </w:rPr>
            </w:pPr>
          </w:p>
        </w:tc>
        <w:tc>
          <w:tcPr>
            <w:tcW w:w="2330" w:type="pct"/>
          </w:tcPr>
          <w:p w:rsidR="0085599B" w:rsidRPr="00201A3F" w:rsidRDefault="0085599B" w:rsidP="005B1F40">
            <w:pPr>
              <w:jc w:val="both"/>
              <w:rPr>
                <w:rFonts w:eastAsia="Calibri"/>
                <w:sz w:val="20"/>
                <w:lang w:val="fr-CA"/>
              </w:rPr>
            </w:pPr>
            <w:r w:rsidRPr="00201A3F">
              <w:rPr>
                <w:rFonts w:eastAsia="Calibri"/>
                <w:sz w:val="20"/>
                <w:lang w:val="fr-CA"/>
              </w:rPr>
              <w:t>Demande d'autorisation d'appel déposée.</w:t>
            </w:r>
          </w:p>
          <w:p w:rsidR="0085599B" w:rsidRPr="00201A3F" w:rsidRDefault="0085599B" w:rsidP="005B1F40">
            <w:pPr>
              <w:jc w:val="both"/>
              <w:rPr>
                <w:rFonts w:eastAsia="Calibri"/>
                <w:sz w:val="20"/>
                <w:lang w:val="fr-CA"/>
              </w:rPr>
            </w:pPr>
          </w:p>
        </w:tc>
      </w:tr>
    </w:tbl>
    <w:p w:rsidR="00A740D1" w:rsidRDefault="00A740D1" w:rsidP="00A740D1">
      <w:pPr>
        <w:rPr>
          <w:sz w:val="20"/>
          <w:szCs w:val="20"/>
        </w:rPr>
      </w:pPr>
    </w:p>
    <w:p w:rsidR="00A740D1" w:rsidRDefault="00BF3B03" w:rsidP="00A740D1">
      <w:pPr>
        <w:rPr>
          <w:sz w:val="20"/>
          <w:szCs w:val="20"/>
        </w:rPr>
      </w:pPr>
      <w:r w:rsidRPr="00BF3B03">
        <w:rPr>
          <w:sz w:val="20"/>
          <w:szCs w:val="20"/>
          <w:lang w:val="fr-CA"/>
        </w:rPr>
        <w:pict>
          <v:rect id="_x0000_i1075" style="width:2in;height:1pt" o:hrpct="0" o:hralign="center" o:hrstd="t" o:hrnoshade="t" o:hr="t" fillcolor="black [3213]" stroked="f"/>
        </w:pict>
      </w:r>
    </w:p>
    <w:p w:rsidR="00A740D1" w:rsidRDefault="00A740D1" w:rsidP="00A740D1">
      <w:pPr>
        <w:rPr>
          <w:sz w:val="20"/>
          <w:szCs w:val="20"/>
        </w:rPr>
      </w:pPr>
    </w:p>
    <w:p w:rsidR="00C4561E" w:rsidRDefault="00C4561E">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4561E" w:rsidRPr="00DC2D1F" w:rsidTr="007A1180">
        <w:trPr>
          <w:cantSplit/>
        </w:trPr>
        <w:tc>
          <w:tcPr>
            <w:tcW w:w="1458" w:type="dxa"/>
          </w:tcPr>
          <w:p w:rsidR="00C4561E" w:rsidRPr="00C4561E" w:rsidRDefault="00C4561E" w:rsidP="007A1180">
            <w:pPr>
              <w:rPr>
                <w:sz w:val="20"/>
                <w:szCs w:val="20"/>
              </w:rPr>
            </w:pPr>
            <w:r w:rsidRPr="00C4561E">
              <w:rPr>
                <w:rStyle w:val="SCCFileNumberChar"/>
                <w:sz w:val="20"/>
                <w:szCs w:val="20"/>
              </w:rPr>
              <w:lastRenderedPageBreak/>
              <w:t>34942</w:t>
            </w:r>
          </w:p>
          <w:p w:rsidR="00C4561E" w:rsidRPr="00C4561E" w:rsidRDefault="00C4561E" w:rsidP="007A1180">
            <w:pPr>
              <w:rPr>
                <w:b/>
                <w:sz w:val="20"/>
                <w:szCs w:val="20"/>
                <w:lang w:val="fr-CA"/>
              </w:rPr>
            </w:pPr>
          </w:p>
        </w:tc>
        <w:tc>
          <w:tcPr>
            <w:tcW w:w="8118" w:type="dxa"/>
          </w:tcPr>
          <w:p w:rsidR="00C4561E" w:rsidRPr="00C4561E" w:rsidRDefault="00C4561E" w:rsidP="007A1180">
            <w:pPr>
              <w:rPr>
                <w:sz w:val="20"/>
                <w:szCs w:val="20"/>
                <w:lang w:val="fr-CA"/>
              </w:rPr>
            </w:pPr>
            <w:r w:rsidRPr="00C4561E">
              <w:rPr>
                <w:rStyle w:val="SCCLsocChar"/>
                <w:sz w:val="20"/>
                <w:szCs w:val="20"/>
              </w:rPr>
              <w:t>Mario Bouchard c. Société d'assurance automobile du Québec</w:t>
            </w:r>
            <w:r w:rsidRPr="00C4561E">
              <w:rPr>
                <w:sz w:val="20"/>
                <w:szCs w:val="20"/>
                <w:lang w:val="fr-CA"/>
              </w:rPr>
              <w:t xml:space="preserve"> (Qc) (Civile) (Autorisation)</w:t>
            </w:r>
          </w:p>
          <w:p w:rsidR="00C4561E" w:rsidRPr="00C4561E" w:rsidRDefault="00C4561E" w:rsidP="007A1180">
            <w:pPr>
              <w:rPr>
                <w:sz w:val="20"/>
                <w:szCs w:val="20"/>
                <w:lang w:val="fr-CA"/>
              </w:rPr>
            </w:pPr>
          </w:p>
        </w:tc>
      </w:tr>
      <w:tr w:rsidR="00C4561E" w:rsidRPr="00DC2D1F" w:rsidTr="007A1180">
        <w:trPr>
          <w:cantSplit/>
        </w:trPr>
        <w:tc>
          <w:tcPr>
            <w:tcW w:w="1458" w:type="dxa"/>
          </w:tcPr>
          <w:p w:rsidR="00C4561E" w:rsidRPr="00C4561E" w:rsidRDefault="00C4561E" w:rsidP="007A1180">
            <w:pPr>
              <w:rPr>
                <w:sz w:val="20"/>
                <w:szCs w:val="20"/>
              </w:rPr>
            </w:pPr>
            <w:r w:rsidRPr="00C4561E">
              <w:rPr>
                <w:sz w:val="20"/>
                <w:szCs w:val="20"/>
              </w:rPr>
              <w:t>Coram :</w:t>
            </w:r>
          </w:p>
        </w:tc>
        <w:tc>
          <w:tcPr>
            <w:tcW w:w="8118" w:type="dxa"/>
          </w:tcPr>
          <w:p w:rsidR="00C4561E" w:rsidRPr="00C4561E" w:rsidRDefault="00C4561E" w:rsidP="007A1180">
            <w:pPr>
              <w:rPr>
                <w:sz w:val="20"/>
                <w:szCs w:val="20"/>
                <w:lang w:val="fr-CA"/>
              </w:rPr>
            </w:pPr>
            <w:r w:rsidRPr="00C4561E">
              <w:rPr>
                <w:rStyle w:val="SCCCoramChar"/>
                <w:sz w:val="20"/>
                <w:szCs w:val="20"/>
              </w:rPr>
              <w:t>Les juges LeBel, Abella et Cromwell</w:t>
            </w:r>
          </w:p>
          <w:p w:rsidR="00C4561E" w:rsidRPr="00C4561E" w:rsidRDefault="00C4561E" w:rsidP="007A1180">
            <w:pPr>
              <w:rPr>
                <w:sz w:val="20"/>
                <w:szCs w:val="20"/>
                <w:u w:val="single"/>
                <w:lang w:val="fr-CA"/>
              </w:rPr>
            </w:pPr>
          </w:p>
        </w:tc>
      </w:tr>
      <w:tr w:rsidR="00C4561E" w:rsidRPr="00C4561E" w:rsidTr="007A1180">
        <w:trPr>
          <w:cantSplit/>
        </w:trPr>
        <w:tc>
          <w:tcPr>
            <w:tcW w:w="9576" w:type="dxa"/>
            <w:gridSpan w:val="2"/>
          </w:tcPr>
          <w:p w:rsidR="00C4561E" w:rsidRPr="00C4561E" w:rsidRDefault="00C4561E" w:rsidP="007A1180">
            <w:pPr>
              <w:pStyle w:val="SCCShortJudgment"/>
              <w:rPr>
                <w:szCs w:val="20"/>
                <w:lang w:val="fr-CA"/>
              </w:rPr>
            </w:pPr>
            <w:r w:rsidRPr="00C4561E">
              <w:rPr>
                <w:szCs w:val="20"/>
                <w:lang w:val="fr-CA"/>
              </w:rPr>
              <w:t>La demande d’autorisation d’appel de l’arrêt de la Cour d’appel du Québec (Montréal), numéro 500-09-022441-125, 2012 QCCA 789, daté du 1er mai 2012, est rejetée avec dépens en faveur de l’intimée Société d’assurance automobile du Québec.</w:t>
            </w:r>
          </w:p>
          <w:p w:rsidR="00C4561E" w:rsidRPr="00C4561E" w:rsidRDefault="00C4561E" w:rsidP="007A1180">
            <w:pPr>
              <w:pStyle w:val="SCCShortJudgment"/>
              <w:ind w:firstLine="0"/>
              <w:rPr>
                <w:szCs w:val="20"/>
                <w:lang w:val="fr-CA"/>
              </w:rPr>
            </w:pPr>
          </w:p>
          <w:p w:rsidR="00C4561E" w:rsidRPr="00C4561E" w:rsidRDefault="00C4561E" w:rsidP="007A1180">
            <w:pPr>
              <w:pStyle w:val="SCCShortJudgment"/>
              <w:rPr>
                <w:szCs w:val="20"/>
              </w:rPr>
            </w:pPr>
            <w:r w:rsidRPr="00C4561E">
              <w:rPr>
                <w:szCs w:val="20"/>
              </w:rPr>
              <w:t>The application for leave to appeal from the judgment of the Court of Appeal of Quebec (Montréal), Number 500-09-022441-125, 2012 QCCA 789, dated May 1, 2012, is dismissed with costs to the respondent Société d’assurance automobile du Québec.</w:t>
            </w:r>
          </w:p>
        </w:tc>
      </w:tr>
    </w:tbl>
    <w:p w:rsidR="00A740D1" w:rsidRDefault="00A740D1" w:rsidP="00A740D1">
      <w:pPr>
        <w:rPr>
          <w:sz w:val="20"/>
          <w:szCs w:val="20"/>
        </w:rPr>
      </w:pPr>
    </w:p>
    <w:p w:rsidR="00A740D1" w:rsidRPr="001B157C" w:rsidRDefault="00A740D1" w:rsidP="00A740D1">
      <w:pPr>
        <w:rPr>
          <w:sz w:val="20"/>
          <w:szCs w:val="20"/>
          <w:u w:val="single"/>
        </w:rPr>
      </w:pPr>
      <w:r w:rsidRPr="001B157C">
        <w:rPr>
          <w:sz w:val="20"/>
          <w:szCs w:val="20"/>
          <w:u w:val="single"/>
        </w:rPr>
        <w:t>CASE SUMMARY</w:t>
      </w:r>
    </w:p>
    <w:p w:rsidR="00A740D1" w:rsidRDefault="00A740D1" w:rsidP="00A740D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85DE2" w:rsidRPr="00201A3F" w:rsidTr="005B1F40">
        <w:tc>
          <w:tcPr>
            <w:tcW w:w="5000" w:type="pct"/>
            <w:gridSpan w:val="3"/>
          </w:tcPr>
          <w:p w:rsidR="00085DE2" w:rsidRPr="00201A3F" w:rsidRDefault="00085DE2" w:rsidP="005B1F40">
            <w:pPr>
              <w:jc w:val="both"/>
              <w:rPr>
                <w:rFonts w:eastAsia="Calibri"/>
                <w:sz w:val="20"/>
              </w:rPr>
            </w:pPr>
            <w:r w:rsidRPr="00201A3F">
              <w:rPr>
                <w:rFonts w:eastAsia="Calibri"/>
                <w:sz w:val="20"/>
              </w:rPr>
              <w:t>Administrative law — Automobile insurance — Standard of review — Public decision</w:t>
            </w:r>
            <w:r w:rsidRPr="00201A3F">
              <w:rPr>
                <w:rFonts w:eastAsia="Calibri"/>
                <w:sz w:val="20"/>
              </w:rPr>
              <w:noBreakHyphen/>
              <w:t>making body rejecting causal connection between accident and subsequent medical condition — Whether decision at issue valid.</w:t>
            </w:r>
          </w:p>
        </w:tc>
      </w:tr>
      <w:tr w:rsidR="00085DE2" w:rsidRPr="00201A3F" w:rsidTr="005B1F40">
        <w:tc>
          <w:tcPr>
            <w:tcW w:w="5000" w:type="pct"/>
            <w:gridSpan w:val="3"/>
          </w:tcPr>
          <w:p w:rsidR="00085DE2" w:rsidRPr="00201A3F" w:rsidRDefault="00085DE2" w:rsidP="005B1F40">
            <w:pPr>
              <w:jc w:val="both"/>
              <w:rPr>
                <w:rFonts w:eastAsia="Calibri"/>
                <w:sz w:val="20"/>
              </w:rPr>
            </w:pPr>
          </w:p>
        </w:tc>
      </w:tr>
      <w:tr w:rsidR="00085DE2" w:rsidRPr="00201A3F" w:rsidTr="005B1F40">
        <w:tc>
          <w:tcPr>
            <w:tcW w:w="5000" w:type="pct"/>
            <w:gridSpan w:val="3"/>
          </w:tcPr>
          <w:p w:rsidR="00085DE2" w:rsidRPr="00201A3F" w:rsidRDefault="00085DE2" w:rsidP="005B1F40">
            <w:pPr>
              <w:jc w:val="both"/>
              <w:rPr>
                <w:rFonts w:eastAsia="Calibri"/>
                <w:sz w:val="20"/>
              </w:rPr>
            </w:pPr>
            <w:r w:rsidRPr="00201A3F">
              <w:rPr>
                <w:rFonts w:eastAsia="Calibri"/>
                <w:sz w:val="20"/>
              </w:rPr>
              <w:t>In November 2008, the Administrative Tribunal of Québec dismissed the applicant’s appeal from a decision of the Société de l’assurance automobile du Québec concerning a connection between his car accident in May 2002 and his cervicodorsal sprain diagnosed in January 2005.  In September 2011, the ATQ found that there was nothing reviewable in its previous decision.  The applicant applied for judicial review.</w:t>
            </w:r>
          </w:p>
          <w:p w:rsidR="00085DE2" w:rsidRPr="00201A3F" w:rsidRDefault="00085DE2" w:rsidP="005B1F40">
            <w:pPr>
              <w:jc w:val="both"/>
              <w:rPr>
                <w:rFonts w:eastAsia="Calibri"/>
                <w:sz w:val="20"/>
              </w:rPr>
            </w:pPr>
          </w:p>
        </w:tc>
      </w:tr>
      <w:tr w:rsidR="00085DE2" w:rsidRPr="00201A3F" w:rsidTr="005B1F40">
        <w:tc>
          <w:tcPr>
            <w:tcW w:w="2427" w:type="pct"/>
          </w:tcPr>
          <w:p w:rsidR="00085DE2" w:rsidRPr="00201A3F" w:rsidRDefault="00085DE2" w:rsidP="005B1F40">
            <w:pPr>
              <w:jc w:val="both"/>
              <w:rPr>
                <w:rFonts w:eastAsia="Calibri"/>
                <w:sz w:val="20"/>
              </w:rPr>
            </w:pPr>
            <w:r w:rsidRPr="00201A3F">
              <w:rPr>
                <w:rFonts w:eastAsia="Calibri"/>
                <w:sz w:val="20"/>
              </w:rPr>
              <w:t>February 2, 2012</w:t>
            </w:r>
          </w:p>
          <w:p w:rsidR="00085DE2" w:rsidRPr="00201A3F" w:rsidRDefault="00085DE2" w:rsidP="005B1F40">
            <w:pPr>
              <w:jc w:val="both"/>
              <w:rPr>
                <w:rFonts w:eastAsia="Calibri"/>
                <w:sz w:val="20"/>
              </w:rPr>
            </w:pPr>
            <w:r w:rsidRPr="00201A3F">
              <w:rPr>
                <w:rFonts w:eastAsia="Calibri"/>
                <w:sz w:val="20"/>
              </w:rPr>
              <w:t>Quebec Superior Court</w:t>
            </w:r>
          </w:p>
          <w:p w:rsidR="00085DE2" w:rsidRPr="00201A3F" w:rsidRDefault="00085DE2" w:rsidP="005B1F40">
            <w:pPr>
              <w:jc w:val="both"/>
              <w:rPr>
                <w:rFonts w:eastAsia="Calibri"/>
                <w:sz w:val="20"/>
              </w:rPr>
            </w:pPr>
            <w:r w:rsidRPr="00201A3F">
              <w:rPr>
                <w:rFonts w:eastAsia="Calibri"/>
                <w:sz w:val="20"/>
              </w:rPr>
              <w:t>(Castiglio J.)</w:t>
            </w:r>
          </w:p>
          <w:p w:rsidR="00085DE2" w:rsidRPr="00201A3F" w:rsidRDefault="00085DE2" w:rsidP="005B1F40">
            <w:pPr>
              <w:jc w:val="both"/>
              <w:rPr>
                <w:rFonts w:eastAsia="Calibri"/>
                <w:sz w:val="20"/>
              </w:rPr>
            </w:pPr>
            <w:r w:rsidRPr="00201A3F">
              <w:rPr>
                <w:rFonts w:eastAsia="Calibri"/>
                <w:sz w:val="20"/>
              </w:rPr>
              <w:t>2012 QCCS 1571</w:t>
            </w:r>
          </w:p>
          <w:p w:rsidR="00085DE2" w:rsidRPr="00201A3F" w:rsidRDefault="00085DE2" w:rsidP="005B1F40">
            <w:pPr>
              <w:jc w:val="both"/>
              <w:rPr>
                <w:rFonts w:eastAsia="Calibri"/>
                <w:sz w:val="20"/>
              </w:rPr>
            </w:pPr>
          </w:p>
        </w:tc>
        <w:tc>
          <w:tcPr>
            <w:tcW w:w="243" w:type="pct"/>
          </w:tcPr>
          <w:p w:rsidR="00085DE2" w:rsidRPr="00201A3F" w:rsidRDefault="00085DE2" w:rsidP="005B1F40">
            <w:pPr>
              <w:jc w:val="both"/>
              <w:rPr>
                <w:rFonts w:eastAsia="Calibri"/>
                <w:sz w:val="20"/>
              </w:rPr>
            </w:pPr>
          </w:p>
        </w:tc>
        <w:tc>
          <w:tcPr>
            <w:tcW w:w="2330" w:type="pct"/>
          </w:tcPr>
          <w:p w:rsidR="00085DE2" w:rsidRPr="00201A3F" w:rsidRDefault="00085DE2" w:rsidP="005B1F40">
            <w:pPr>
              <w:jc w:val="both"/>
              <w:rPr>
                <w:rFonts w:eastAsia="Calibri"/>
                <w:sz w:val="20"/>
              </w:rPr>
            </w:pPr>
            <w:r w:rsidRPr="00201A3F">
              <w:rPr>
                <w:rFonts w:eastAsia="Calibri"/>
                <w:sz w:val="20"/>
              </w:rPr>
              <w:t>Applicant’s application for judicial review dismissed</w:t>
            </w:r>
          </w:p>
        </w:tc>
      </w:tr>
      <w:tr w:rsidR="00085DE2" w:rsidRPr="00201A3F" w:rsidTr="005B1F40">
        <w:tc>
          <w:tcPr>
            <w:tcW w:w="2427" w:type="pct"/>
          </w:tcPr>
          <w:p w:rsidR="00085DE2" w:rsidRPr="00201A3F" w:rsidRDefault="00085DE2" w:rsidP="005B1F40">
            <w:pPr>
              <w:jc w:val="both"/>
              <w:rPr>
                <w:rFonts w:eastAsia="Calibri"/>
                <w:sz w:val="20"/>
              </w:rPr>
            </w:pPr>
            <w:r w:rsidRPr="00201A3F">
              <w:rPr>
                <w:rFonts w:eastAsia="Calibri"/>
                <w:sz w:val="20"/>
              </w:rPr>
              <w:t>May 1, 2012</w:t>
            </w:r>
          </w:p>
          <w:p w:rsidR="00085DE2" w:rsidRPr="00201A3F" w:rsidRDefault="00085DE2" w:rsidP="005B1F40">
            <w:pPr>
              <w:jc w:val="both"/>
              <w:rPr>
                <w:rFonts w:eastAsia="Calibri"/>
                <w:sz w:val="20"/>
              </w:rPr>
            </w:pPr>
            <w:r w:rsidRPr="00201A3F">
              <w:rPr>
                <w:rFonts w:eastAsia="Calibri"/>
                <w:sz w:val="20"/>
              </w:rPr>
              <w:t>Quebec Court of Appeal (Montréal)</w:t>
            </w:r>
          </w:p>
          <w:p w:rsidR="00085DE2" w:rsidRPr="00201A3F" w:rsidRDefault="00085DE2" w:rsidP="005B1F40">
            <w:pPr>
              <w:jc w:val="both"/>
              <w:rPr>
                <w:rFonts w:eastAsia="Calibri"/>
                <w:sz w:val="20"/>
              </w:rPr>
            </w:pPr>
            <w:r w:rsidRPr="00201A3F">
              <w:rPr>
                <w:rFonts w:eastAsia="Calibri"/>
                <w:sz w:val="20"/>
              </w:rPr>
              <w:t>(Léger J.A.)</w:t>
            </w:r>
          </w:p>
          <w:p w:rsidR="00085DE2" w:rsidRPr="00201A3F" w:rsidRDefault="00085DE2" w:rsidP="005B1F40">
            <w:pPr>
              <w:jc w:val="both"/>
              <w:rPr>
                <w:rFonts w:eastAsia="Calibri"/>
                <w:sz w:val="20"/>
              </w:rPr>
            </w:pPr>
            <w:r w:rsidRPr="00201A3F">
              <w:rPr>
                <w:rFonts w:eastAsia="Calibri"/>
                <w:sz w:val="20"/>
              </w:rPr>
              <w:t>2012 QCCA 789</w:t>
            </w:r>
          </w:p>
          <w:p w:rsidR="00085DE2" w:rsidRPr="00201A3F" w:rsidRDefault="00085DE2" w:rsidP="005B1F40">
            <w:pPr>
              <w:jc w:val="both"/>
              <w:rPr>
                <w:rFonts w:eastAsia="Calibri"/>
                <w:sz w:val="20"/>
              </w:rPr>
            </w:pPr>
          </w:p>
        </w:tc>
        <w:tc>
          <w:tcPr>
            <w:tcW w:w="243" w:type="pct"/>
          </w:tcPr>
          <w:p w:rsidR="00085DE2" w:rsidRPr="00201A3F" w:rsidRDefault="00085DE2" w:rsidP="005B1F40">
            <w:pPr>
              <w:jc w:val="both"/>
              <w:rPr>
                <w:rFonts w:eastAsia="Calibri"/>
                <w:sz w:val="20"/>
              </w:rPr>
            </w:pPr>
          </w:p>
        </w:tc>
        <w:tc>
          <w:tcPr>
            <w:tcW w:w="2330" w:type="pct"/>
          </w:tcPr>
          <w:p w:rsidR="00085DE2" w:rsidRPr="00201A3F" w:rsidRDefault="00085DE2" w:rsidP="005B1F40">
            <w:pPr>
              <w:jc w:val="both"/>
              <w:rPr>
                <w:rFonts w:eastAsia="Calibri"/>
                <w:sz w:val="20"/>
              </w:rPr>
            </w:pPr>
            <w:r w:rsidRPr="00201A3F">
              <w:rPr>
                <w:rFonts w:eastAsia="Calibri"/>
                <w:sz w:val="20"/>
              </w:rPr>
              <w:t>Leave to appeal refused</w:t>
            </w:r>
          </w:p>
        </w:tc>
      </w:tr>
      <w:tr w:rsidR="00085DE2" w:rsidRPr="00201A3F" w:rsidTr="005B1F40">
        <w:tc>
          <w:tcPr>
            <w:tcW w:w="2427" w:type="pct"/>
          </w:tcPr>
          <w:p w:rsidR="00085DE2" w:rsidRPr="00201A3F" w:rsidRDefault="00085DE2" w:rsidP="005B1F40">
            <w:pPr>
              <w:jc w:val="both"/>
              <w:rPr>
                <w:rFonts w:eastAsia="Calibri"/>
                <w:sz w:val="20"/>
              </w:rPr>
            </w:pPr>
            <w:r w:rsidRPr="00201A3F">
              <w:rPr>
                <w:rFonts w:eastAsia="Calibri"/>
                <w:sz w:val="20"/>
              </w:rPr>
              <w:t>July 27, 2012</w:t>
            </w:r>
          </w:p>
          <w:p w:rsidR="00085DE2" w:rsidRPr="00201A3F" w:rsidRDefault="00085DE2" w:rsidP="005B1F40">
            <w:pPr>
              <w:jc w:val="both"/>
              <w:rPr>
                <w:rFonts w:eastAsia="Calibri"/>
                <w:sz w:val="20"/>
              </w:rPr>
            </w:pPr>
            <w:r w:rsidRPr="00201A3F">
              <w:rPr>
                <w:rFonts w:eastAsia="Calibri"/>
                <w:sz w:val="20"/>
              </w:rPr>
              <w:t>Supreme Court of Canada</w:t>
            </w:r>
          </w:p>
        </w:tc>
        <w:tc>
          <w:tcPr>
            <w:tcW w:w="243" w:type="pct"/>
          </w:tcPr>
          <w:p w:rsidR="00085DE2" w:rsidRPr="00201A3F" w:rsidRDefault="00085DE2" w:rsidP="005B1F40">
            <w:pPr>
              <w:jc w:val="both"/>
              <w:rPr>
                <w:rFonts w:eastAsia="Calibri"/>
                <w:sz w:val="20"/>
              </w:rPr>
            </w:pPr>
          </w:p>
        </w:tc>
        <w:tc>
          <w:tcPr>
            <w:tcW w:w="2330" w:type="pct"/>
          </w:tcPr>
          <w:p w:rsidR="00085DE2" w:rsidRPr="00201A3F" w:rsidRDefault="00085DE2" w:rsidP="005B1F40">
            <w:pPr>
              <w:jc w:val="both"/>
              <w:rPr>
                <w:rFonts w:eastAsia="Calibri"/>
                <w:sz w:val="20"/>
              </w:rPr>
            </w:pPr>
            <w:r w:rsidRPr="00201A3F">
              <w:rPr>
                <w:rFonts w:eastAsia="Calibri"/>
                <w:sz w:val="20"/>
              </w:rPr>
              <w:t>Application for leave to appeal filed</w:t>
            </w:r>
          </w:p>
          <w:p w:rsidR="00085DE2" w:rsidRPr="00201A3F" w:rsidRDefault="00085DE2" w:rsidP="005B1F40">
            <w:pPr>
              <w:jc w:val="both"/>
              <w:rPr>
                <w:rFonts w:eastAsia="Calibri"/>
                <w:sz w:val="20"/>
              </w:rPr>
            </w:pPr>
          </w:p>
        </w:tc>
      </w:tr>
    </w:tbl>
    <w:p w:rsidR="00A740D1" w:rsidRDefault="00A740D1" w:rsidP="00A740D1">
      <w:pPr>
        <w:rPr>
          <w:sz w:val="20"/>
          <w:szCs w:val="20"/>
        </w:rPr>
      </w:pPr>
    </w:p>
    <w:p w:rsidR="00A740D1" w:rsidRPr="00C50A5C" w:rsidRDefault="00BF3B03" w:rsidP="00A740D1">
      <w:pPr>
        <w:rPr>
          <w:sz w:val="20"/>
          <w:szCs w:val="20"/>
        </w:rPr>
      </w:pPr>
      <w:r w:rsidRPr="00BF3B03">
        <w:rPr>
          <w:sz w:val="20"/>
          <w:szCs w:val="20"/>
          <w:lang w:val="fr-CA"/>
        </w:rPr>
        <w:pict>
          <v:rect id="_x0000_i1076" style="width:2in;height:1pt" o:hrpct="0" o:hralign="center" o:hrstd="t" o:hrnoshade="t" o:hr="t" fillcolor="black [3213]" stroked="f"/>
        </w:pict>
      </w:r>
    </w:p>
    <w:p w:rsidR="00A740D1" w:rsidRDefault="00A740D1" w:rsidP="00A740D1">
      <w:pPr>
        <w:rPr>
          <w:sz w:val="20"/>
          <w:szCs w:val="20"/>
        </w:rPr>
      </w:pPr>
    </w:p>
    <w:p w:rsidR="00A740D1" w:rsidRPr="001B157C" w:rsidRDefault="00A740D1" w:rsidP="00A740D1">
      <w:pPr>
        <w:rPr>
          <w:sz w:val="20"/>
          <w:szCs w:val="20"/>
          <w:u w:val="single"/>
          <w:lang w:val="fr-CA"/>
        </w:rPr>
      </w:pPr>
      <w:r w:rsidRPr="001B157C">
        <w:rPr>
          <w:sz w:val="20"/>
          <w:szCs w:val="20"/>
          <w:u w:val="single"/>
          <w:lang w:val="fr-CA"/>
        </w:rPr>
        <w:t>RÉSUMÉ DE L’AFFAIRE</w:t>
      </w:r>
    </w:p>
    <w:p w:rsidR="00A740D1" w:rsidRDefault="00A740D1" w:rsidP="00A740D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85DE2" w:rsidRPr="00DC2D1F" w:rsidTr="005B1F40">
        <w:tc>
          <w:tcPr>
            <w:tcW w:w="5000" w:type="pct"/>
            <w:gridSpan w:val="3"/>
          </w:tcPr>
          <w:p w:rsidR="00085DE2" w:rsidRPr="00201A3F" w:rsidRDefault="00085DE2" w:rsidP="005B1F40">
            <w:pPr>
              <w:jc w:val="both"/>
              <w:rPr>
                <w:rFonts w:eastAsia="Calibri"/>
                <w:sz w:val="20"/>
                <w:lang w:val="fr-CA"/>
              </w:rPr>
            </w:pPr>
            <w:r w:rsidRPr="00201A3F">
              <w:rPr>
                <w:rFonts w:eastAsia="Calibri"/>
                <w:sz w:val="20"/>
                <w:lang w:val="fr-CA"/>
              </w:rPr>
              <w:t>Droit administratif — Assurance automobile — Norme de contrôle — Lien causal entre un accident et une condition médicale ultérieure rejeté par l’organisme public décideur — La décision en litige était</w:t>
            </w:r>
            <w:r w:rsidRPr="00201A3F">
              <w:rPr>
                <w:rFonts w:eastAsia="Calibri"/>
                <w:sz w:val="20"/>
                <w:lang w:val="fr-CA"/>
              </w:rPr>
              <w:noBreakHyphen/>
              <w:t>elle fondée?</w:t>
            </w:r>
          </w:p>
        </w:tc>
      </w:tr>
      <w:tr w:rsidR="00085DE2" w:rsidRPr="00DC2D1F" w:rsidTr="005B1F40">
        <w:tc>
          <w:tcPr>
            <w:tcW w:w="5000" w:type="pct"/>
            <w:gridSpan w:val="3"/>
          </w:tcPr>
          <w:p w:rsidR="00085DE2" w:rsidRPr="00201A3F" w:rsidRDefault="00085DE2" w:rsidP="005B1F40">
            <w:pPr>
              <w:jc w:val="both"/>
              <w:rPr>
                <w:rFonts w:eastAsia="Calibri"/>
                <w:sz w:val="20"/>
                <w:lang w:val="fr-CA"/>
              </w:rPr>
            </w:pPr>
          </w:p>
        </w:tc>
      </w:tr>
      <w:tr w:rsidR="00085DE2" w:rsidRPr="00201A3F" w:rsidTr="005B1F40">
        <w:tc>
          <w:tcPr>
            <w:tcW w:w="5000" w:type="pct"/>
            <w:gridSpan w:val="3"/>
          </w:tcPr>
          <w:p w:rsidR="00085DE2" w:rsidRPr="00201A3F" w:rsidRDefault="00085DE2" w:rsidP="005B1F40">
            <w:pPr>
              <w:jc w:val="both"/>
              <w:rPr>
                <w:rFonts w:eastAsia="Calibri"/>
                <w:sz w:val="20"/>
                <w:lang w:val="fr-CA"/>
              </w:rPr>
            </w:pPr>
            <w:r w:rsidRPr="00201A3F">
              <w:rPr>
                <w:rFonts w:eastAsia="Calibri"/>
                <w:sz w:val="20"/>
                <w:lang w:val="fr-CA"/>
              </w:rPr>
              <w:t>En novembre 2008, le Tribunal administratif du Québec rejette l’appel du demandeur d’une décision la Société de l'assurance automobile du Québec, au sujet d’un lien entre son accident de voiture, survenu en mai 2002, et son entorse cervico</w:t>
            </w:r>
            <w:r w:rsidRPr="00201A3F">
              <w:rPr>
                <w:rFonts w:eastAsia="Calibri"/>
                <w:sz w:val="20"/>
                <w:lang w:val="fr-CA"/>
              </w:rPr>
              <w:noBreakHyphen/>
              <w:t>dorsale, diagnostiquée en janvier 2005. En septembre 2011, le TAQ estime qu’il n’y a pas matière à révision de sa part.  Le demandeur sollicite une révision judiciaire.</w:t>
            </w:r>
          </w:p>
          <w:p w:rsidR="00085DE2" w:rsidRPr="00201A3F" w:rsidRDefault="00085DE2" w:rsidP="005B1F40">
            <w:pPr>
              <w:jc w:val="both"/>
              <w:rPr>
                <w:rFonts w:eastAsia="Calibri"/>
                <w:sz w:val="20"/>
                <w:lang w:val="fr-CA"/>
              </w:rPr>
            </w:pPr>
          </w:p>
        </w:tc>
      </w:tr>
      <w:tr w:rsidR="00085DE2" w:rsidRPr="00DC2D1F" w:rsidTr="00C4561E">
        <w:trPr>
          <w:cantSplit/>
        </w:trPr>
        <w:tc>
          <w:tcPr>
            <w:tcW w:w="2427" w:type="pct"/>
          </w:tcPr>
          <w:p w:rsidR="00085DE2" w:rsidRPr="00201A3F" w:rsidRDefault="00085DE2" w:rsidP="005B1F40">
            <w:pPr>
              <w:jc w:val="both"/>
              <w:rPr>
                <w:rFonts w:eastAsia="Calibri"/>
                <w:sz w:val="20"/>
                <w:lang w:val="fr-CA"/>
              </w:rPr>
            </w:pPr>
            <w:r w:rsidRPr="00201A3F">
              <w:rPr>
                <w:rFonts w:eastAsia="Calibri"/>
                <w:sz w:val="20"/>
                <w:lang w:val="fr-CA"/>
              </w:rPr>
              <w:lastRenderedPageBreak/>
              <w:t>Le 2 février 2012</w:t>
            </w:r>
          </w:p>
          <w:p w:rsidR="00085DE2" w:rsidRPr="00201A3F" w:rsidRDefault="00085DE2" w:rsidP="005B1F40">
            <w:pPr>
              <w:jc w:val="both"/>
              <w:rPr>
                <w:rFonts w:eastAsia="Calibri"/>
                <w:sz w:val="20"/>
                <w:lang w:val="fr-CA"/>
              </w:rPr>
            </w:pPr>
            <w:r w:rsidRPr="00201A3F">
              <w:rPr>
                <w:rFonts w:eastAsia="Calibri"/>
                <w:sz w:val="20"/>
                <w:lang w:val="fr-CA"/>
              </w:rPr>
              <w:t>Cour supérieure du Québec</w:t>
            </w:r>
          </w:p>
          <w:p w:rsidR="00085DE2" w:rsidRPr="00201A3F" w:rsidRDefault="00085DE2" w:rsidP="005B1F40">
            <w:pPr>
              <w:jc w:val="both"/>
              <w:rPr>
                <w:rFonts w:eastAsia="Calibri"/>
                <w:sz w:val="20"/>
                <w:lang w:val="fr-CA"/>
              </w:rPr>
            </w:pPr>
            <w:r w:rsidRPr="00201A3F">
              <w:rPr>
                <w:rFonts w:eastAsia="Calibri"/>
                <w:sz w:val="20"/>
                <w:lang w:val="fr-CA"/>
              </w:rPr>
              <w:t>(Le juge Castiglio)</w:t>
            </w:r>
          </w:p>
          <w:p w:rsidR="00085DE2" w:rsidRPr="00201A3F" w:rsidRDefault="00085DE2" w:rsidP="005B1F40">
            <w:pPr>
              <w:jc w:val="both"/>
              <w:rPr>
                <w:rFonts w:eastAsia="Calibri"/>
                <w:sz w:val="20"/>
                <w:lang w:val="fr-CA"/>
              </w:rPr>
            </w:pPr>
            <w:r w:rsidRPr="00201A3F">
              <w:rPr>
                <w:rFonts w:eastAsia="Calibri"/>
                <w:sz w:val="20"/>
                <w:lang w:val="fr-CA"/>
              </w:rPr>
              <w:t>2012 QCCS 1571</w:t>
            </w:r>
          </w:p>
          <w:p w:rsidR="00085DE2" w:rsidRPr="00201A3F" w:rsidRDefault="00085DE2" w:rsidP="005B1F40">
            <w:pPr>
              <w:jc w:val="both"/>
              <w:rPr>
                <w:rFonts w:eastAsia="Calibri"/>
                <w:sz w:val="20"/>
              </w:rPr>
            </w:pPr>
          </w:p>
        </w:tc>
        <w:tc>
          <w:tcPr>
            <w:tcW w:w="243" w:type="pct"/>
          </w:tcPr>
          <w:p w:rsidR="00085DE2" w:rsidRPr="00201A3F" w:rsidRDefault="00085DE2" w:rsidP="005B1F40">
            <w:pPr>
              <w:jc w:val="both"/>
              <w:rPr>
                <w:rFonts w:eastAsia="Calibri"/>
                <w:sz w:val="20"/>
              </w:rPr>
            </w:pPr>
          </w:p>
        </w:tc>
        <w:tc>
          <w:tcPr>
            <w:tcW w:w="2330" w:type="pct"/>
          </w:tcPr>
          <w:p w:rsidR="00085DE2" w:rsidRPr="00201A3F" w:rsidRDefault="00085DE2" w:rsidP="005B1F40">
            <w:pPr>
              <w:jc w:val="both"/>
              <w:rPr>
                <w:rFonts w:eastAsia="Calibri"/>
                <w:sz w:val="20"/>
                <w:lang w:val="fr-CA"/>
              </w:rPr>
            </w:pPr>
            <w:r w:rsidRPr="00201A3F">
              <w:rPr>
                <w:rFonts w:eastAsia="Calibri"/>
                <w:sz w:val="20"/>
                <w:lang w:val="fr-CA"/>
              </w:rPr>
              <w:t>Rejet de la demande de révision judiciaire du demandeur.</w:t>
            </w:r>
          </w:p>
        </w:tc>
      </w:tr>
      <w:tr w:rsidR="00085DE2" w:rsidRPr="00DC2D1F" w:rsidTr="00C4561E">
        <w:trPr>
          <w:cantSplit/>
        </w:trPr>
        <w:tc>
          <w:tcPr>
            <w:tcW w:w="2427" w:type="pct"/>
          </w:tcPr>
          <w:p w:rsidR="00085DE2" w:rsidRPr="00201A3F" w:rsidRDefault="00085DE2" w:rsidP="005B1F40">
            <w:pPr>
              <w:jc w:val="both"/>
              <w:rPr>
                <w:rFonts w:eastAsia="Calibri"/>
                <w:sz w:val="20"/>
                <w:lang w:val="fr-CA"/>
              </w:rPr>
            </w:pPr>
            <w:r w:rsidRPr="00201A3F">
              <w:rPr>
                <w:rFonts w:eastAsia="Calibri"/>
                <w:sz w:val="20"/>
                <w:lang w:val="fr-CA"/>
              </w:rPr>
              <w:t>Le 1</w:t>
            </w:r>
            <w:r w:rsidRPr="004D7851">
              <w:rPr>
                <w:rFonts w:eastAsia="Calibri"/>
                <w:sz w:val="20"/>
                <w:vertAlign w:val="superscript"/>
                <w:lang w:val="fr-CA"/>
              </w:rPr>
              <w:t>er</w:t>
            </w:r>
            <w:r w:rsidRPr="00201A3F">
              <w:rPr>
                <w:rFonts w:eastAsia="Calibri"/>
                <w:sz w:val="20"/>
                <w:lang w:val="fr-CA"/>
              </w:rPr>
              <w:t xml:space="preserve"> mai 2012</w:t>
            </w:r>
          </w:p>
          <w:p w:rsidR="00085DE2" w:rsidRPr="00201A3F" w:rsidRDefault="00085DE2" w:rsidP="005B1F40">
            <w:pPr>
              <w:jc w:val="both"/>
              <w:rPr>
                <w:rFonts w:eastAsia="Calibri"/>
                <w:sz w:val="20"/>
                <w:lang w:val="fr-CA"/>
              </w:rPr>
            </w:pPr>
            <w:r w:rsidRPr="00201A3F">
              <w:rPr>
                <w:rFonts w:eastAsia="Calibri"/>
                <w:sz w:val="20"/>
                <w:lang w:val="fr-CA"/>
              </w:rPr>
              <w:t>Cour d’appel du Québec (Montréal)</w:t>
            </w:r>
          </w:p>
          <w:p w:rsidR="00085DE2" w:rsidRPr="00201A3F" w:rsidRDefault="00085DE2" w:rsidP="005B1F40">
            <w:pPr>
              <w:jc w:val="both"/>
              <w:rPr>
                <w:rFonts w:eastAsia="Calibri"/>
                <w:sz w:val="20"/>
                <w:lang w:val="fr-CA"/>
              </w:rPr>
            </w:pPr>
            <w:r w:rsidRPr="00201A3F">
              <w:rPr>
                <w:rFonts w:eastAsia="Calibri"/>
                <w:sz w:val="20"/>
                <w:lang w:val="fr-CA"/>
              </w:rPr>
              <w:t>(Le juge Léger)</w:t>
            </w:r>
          </w:p>
          <w:p w:rsidR="00085DE2" w:rsidRPr="00201A3F" w:rsidRDefault="00085DE2" w:rsidP="005B1F40">
            <w:pPr>
              <w:jc w:val="both"/>
              <w:rPr>
                <w:rFonts w:eastAsia="Calibri"/>
                <w:sz w:val="20"/>
                <w:lang w:val="fr-CA"/>
              </w:rPr>
            </w:pPr>
            <w:r w:rsidRPr="00201A3F">
              <w:rPr>
                <w:rFonts w:eastAsia="Calibri"/>
                <w:sz w:val="20"/>
                <w:lang w:val="fr-CA"/>
              </w:rPr>
              <w:t>2012 QCCA 789</w:t>
            </w:r>
          </w:p>
          <w:p w:rsidR="00085DE2" w:rsidRPr="00201A3F" w:rsidRDefault="00085DE2" w:rsidP="005B1F40">
            <w:pPr>
              <w:jc w:val="both"/>
              <w:rPr>
                <w:rFonts w:eastAsia="Calibri"/>
                <w:sz w:val="20"/>
              </w:rPr>
            </w:pPr>
          </w:p>
        </w:tc>
        <w:tc>
          <w:tcPr>
            <w:tcW w:w="243" w:type="pct"/>
          </w:tcPr>
          <w:p w:rsidR="00085DE2" w:rsidRPr="00201A3F" w:rsidRDefault="00085DE2" w:rsidP="005B1F40">
            <w:pPr>
              <w:jc w:val="both"/>
              <w:rPr>
                <w:rFonts w:eastAsia="Calibri"/>
                <w:sz w:val="20"/>
              </w:rPr>
            </w:pPr>
          </w:p>
        </w:tc>
        <w:tc>
          <w:tcPr>
            <w:tcW w:w="2330" w:type="pct"/>
          </w:tcPr>
          <w:p w:rsidR="00085DE2" w:rsidRPr="00201A3F" w:rsidRDefault="00085DE2" w:rsidP="005B1F40">
            <w:pPr>
              <w:jc w:val="both"/>
              <w:rPr>
                <w:rFonts w:eastAsia="Calibri"/>
                <w:sz w:val="20"/>
                <w:lang w:val="fr-CA"/>
              </w:rPr>
            </w:pPr>
            <w:r w:rsidRPr="00201A3F">
              <w:rPr>
                <w:rFonts w:eastAsia="Calibri"/>
                <w:sz w:val="20"/>
                <w:lang w:val="fr-CA"/>
              </w:rPr>
              <w:t>Refus de la permission d’appeler.</w:t>
            </w:r>
          </w:p>
        </w:tc>
      </w:tr>
      <w:tr w:rsidR="00085DE2" w:rsidRPr="00DC2D1F" w:rsidTr="00C4561E">
        <w:trPr>
          <w:cantSplit/>
        </w:trPr>
        <w:tc>
          <w:tcPr>
            <w:tcW w:w="2427" w:type="pct"/>
          </w:tcPr>
          <w:p w:rsidR="00085DE2" w:rsidRPr="00201A3F" w:rsidRDefault="00085DE2" w:rsidP="005B1F40">
            <w:pPr>
              <w:jc w:val="both"/>
              <w:rPr>
                <w:rFonts w:eastAsia="Calibri"/>
                <w:sz w:val="20"/>
                <w:lang w:val="fr-CA"/>
              </w:rPr>
            </w:pPr>
            <w:r w:rsidRPr="00201A3F">
              <w:rPr>
                <w:rFonts w:eastAsia="Calibri"/>
                <w:sz w:val="20"/>
                <w:lang w:val="fr-CA"/>
              </w:rPr>
              <w:t>Le 27 juillet 2012</w:t>
            </w:r>
          </w:p>
          <w:p w:rsidR="00085DE2" w:rsidRPr="00201A3F" w:rsidRDefault="00085DE2" w:rsidP="005B1F40">
            <w:pPr>
              <w:jc w:val="both"/>
              <w:rPr>
                <w:rFonts w:eastAsia="Calibri"/>
                <w:sz w:val="20"/>
                <w:lang w:val="fr-FR"/>
              </w:rPr>
            </w:pPr>
            <w:r w:rsidRPr="00201A3F">
              <w:rPr>
                <w:rFonts w:eastAsia="Calibri"/>
                <w:sz w:val="20"/>
                <w:lang w:val="fr-CA"/>
              </w:rPr>
              <w:t>Cour suprême du Canada</w:t>
            </w:r>
          </w:p>
        </w:tc>
        <w:tc>
          <w:tcPr>
            <w:tcW w:w="243" w:type="pct"/>
          </w:tcPr>
          <w:p w:rsidR="00085DE2" w:rsidRPr="00201A3F" w:rsidRDefault="00085DE2" w:rsidP="005B1F40">
            <w:pPr>
              <w:jc w:val="both"/>
              <w:rPr>
                <w:rFonts w:eastAsia="Calibri"/>
                <w:sz w:val="20"/>
                <w:lang w:val="fr-FR"/>
              </w:rPr>
            </w:pPr>
          </w:p>
        </w:tc>
        <w:tc>
          <w:tcPr>
            <w:tcW w:w="2330" w:type="pct"/>
          </w:tcPr>
          <w:p w:rsidR="00085DE2" w:rsidRPr="00201A3F" w:rsidRDefault="00085DE2" w:rsidP="005B1F40">
            <w:pPr>
              <w:jc w:val="both"/>
              <w:rPr>
                <w:rFonts w:eastAsia="Calibri"/>
                <w:sz w:val="20"/>
                <w:lang w:val="fr-CA"/>
              </w:rPr>
            </w:pPr>
            <w:r w:rsidRPr="00201A3F">
              <w:rPr>
                <w:rFonts w:eastAsia="Calibri"/>
                <w:sz w:val="20"/>
                <w:lang w:val="fr-CA"/>
              </w:rPr>
              <w:t>Dépôt de la demande d'autorisation d'appel.</w:t>
            </w:r>
          </w:p>
          <w:p w:rsidR="00085DE2" w:rsidRPr="00201A3F" w:rsidRDefault="00085DE2" w:rsidP="005B1F40">
            <w:pPr>
              <w:jc w:val="both"/>
              <w:rPr>
                <w:rFonts w:eastAsia="Calibri"/>
                <w:sz w:val="20"/>
                <w:lang w:val="fr-CA"/>
              </w:rPr>
            </w:pPr>
          </w:p>
        </w:tc>
      </w:tr>
    </w:tbl>
    <w:p w:rsidR="00A740D1" w:rsidRPr="00085DE2" w:rsidRDefault="00A740D1" w:rsidP="00A740D1">
      <w:pPr>
        <w:rPr>
          <w:sz w:val="20"/>
          <w:szCs w:val="20"/>
          <w:lang w:val="fr-CA"/>
        </w:rPr>
      </w:pPr>
    </w:p>
    <w:p w:rsidR="00A740D1" w:rsidRDefault="00BF3B03" w:rsidP="00A740D1">
      <w:pPr>
        <w:rPr>
          <w:sz w:val="20"/>
          <w:szCs w:val="20"/>
        </w:rPr>
      </w:pPr>
      <w:r w:rsidRPr="00BF3B03">
        <w:rPr>
          <w:sz w:val="20"/>
          <w:szCs w:val="20"/>
          <w:lang w:val="fr-CA"/>
        </w:rPr>
        <w:pict>
          <v:rect id="_x0000_i1077" style="width:2in;height:1pt" o:hrpct="0" o:hralign="center" o:hrstd="t" o:hrnoshade="t" o:hr="t" fillcolor="black [3213]" stroked="f"/>
        </w:pict>
      </w:r>
    </w:p>
    <w:p w:rsidR="00A740D1" w:rsidRDefault="00A740D1" w:rsidP="00A740D1">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4561E" w:rsidRPr="00C4561E" w:rsidTr="007A1180">
        <w:trPr>
          <w:cantSplit/>
        </w:trPr>
        <w:tc>
          <w:tcPr>
            <w:tcW w:w="1458" w:type="dxa"/>
          </w:tcPr>
          <w:p w:rsidR="00C4561E" w:rsidRPr="00C4561E" w:rsidRDefault="00C4561E" w:rsidP="007A1180">
            <w:pPr>
              <w:rPr>
                <w:sz w:val="20"/>
                <w:szCs w:val="20"/>
              </w:rPr>
            </w:pPr>
            <w:r w:rsidRPr="00C4561E">
              <w:rPr>
                <w:rStyle w:val="SCCFileNumberChar"/>
                <w:sz w:val="20"/>
                <w:szCs w:val="20"/>
              </w:rPr>
              <w:t>34956</w:t>
            </w:r>
          </w:p>
          <w:p w:rsidR="00C4561E" w:rsidRPr="00C4561E" w:rsidRDefault="00C4561E" w:rsidP="007A1180">
            <w:pPr>
              <w:rPr>
                <w:b/>
                <w:sz w:val="20"/>
                <w:szCs w:val="20"/>
                <w:lang w:val="fr-CA"/>
              </w:rPr>
            </w:pPr>
          </w:p>
        </w:tc>
        <w:tc>
          <w:tcPr>
            <w:tcW w:w="8118" w:type="dxa"/>
          </w:tcPr>
          <w:p w:rsidR="00C4561E" w:rsidRPr="00C4561E" w:rsidRDefault="00C4561E" w:rsidP="007A1180">
            <w:pPr>
              <w:rPr>
                <w:sz w:val="20"/>
                <w:szCs w:val="20"/>
              </w:rPr>
            </w:pPr>
            <w:r w:rsidRPr="00C4561E">
              <w:rPr>
                <w:rStyle w:val="SCCLsocChar"/>
                <w:sz w:val="20"/>
                <w:szCs w:val="20"/>
              </w:rPr>
              <w:t>Michel Lafontaine c. G7 Développement inc.</w:t>
            </w:r>
            <w:r w:rsidRPr="00C4561E">
              <w:rPr>
                <w:sz w:val="20"/>
                <w:szCs w:val="20"/>
                <w:lang w:val="fr-CA"/>
              </w:rPr>
              <w:t xml:space="preserve"> </w:t>
            </w:r>
            <w:r w:rsidRPr="00C4561E">
              <w:rPr>
                <w:sz w:val="20"/>
                <w:szCs w:val="20"/>
              </w:rPr>
              <w:t>(Qc) (Civile) (Autorisation)</w:t>
            </w:r>
          </w:p>
          <w:p w:rsidR="00C4561E" w:rsidRPr="00C4561E" w:rsidRDefault="00C4561E" w:rsidP="007A1180">
            <w:pPr>
              <w:rPr>
                <w:sz w:val="20"/>
                <w:szCs w:val="20"/>
              </w:rPr>
            </w:pPr>
          </w:p>
        </w:tc>
      </w:tr>
      <w:tr w:rsidR="00C4561E" w:rsidRPr="00DC2D1F" w:rsidTr="007A1180">
        <w:trPr>
          <w:cantSplit/>
        </w:trPr>
        <w:tc>
          <w:tcPr>
            <w:tcW w:w="1458" w:type="dxa"/>
          </w:tcPr>
          <w:p w:rsidR="00C4561E" w:rsidRPr="00C4561E" w:rsidRDefault="00C4561E" w:rsidP="007A1180">
            <w:pPr>
              <w:rPr>
                <w:sz w:val="20"/>
                <w:szCs w:val="20"/>
              </w:rPr>
            </w:pPr>
            <w:r w:rsidRPr="00C4561E">
              <w:rPr>
                <w:sz w:val="20"/>
                <w:szCs w:val="20"/>
              </w:rPr>
              <w:t>Coram :</w:t>
            </w:r>
          </w:p>
        </w:tc>
        <w:tc>
          <w:tcPr>
            <w:tcW w:w="8118" w:type="dxa"/>
          </w:tcPr>
          <w:p w:rsidR="00C4561E" w:rsidRPr="00C4561E" w:rsidRDefault="00C4561E" w:rsidP="007A1180">
            <w:pPr>
              <w:rPr>
                <w:sz w:val="20"/>
                <w:szCs w:val="20"/>
                <w:lang w:val="fr-CA"/>
              </w:rPr>
            </w:pPr>
            <w:r w:rsidRPr="00C4561E">
              <w:rPr>
                <w:rStyle w:val="SCCCoramChar"/>
                <w:sz w:val="20"/>
                <w:szCs w:val="20"/>
              </w:rPr>
              <w:t>Les juges LeBel, Abella et Cromwell</w:t>
            </w:r>
          </w:p>
          <w:p w:rsidR="00C4561E" w:rsidRPr="00C4561E" w:rsidRDefault="00C4561E" w:rsidP="007A1180">
            <w:pPr>
              <w:rPr>
                <w:sz w:val="20"/>
                <w:szCs w:val="20"/>
                <w:u w:val="single"/>
                <w:lang w:val="fr-CA"/>
              </w:rPr>
            </w:pPr>
          </w:p>
        </w:tc>
      </w:tr>
      <w:tr w:rsidR="00C4561E" w:rsidRPr="00C4561E" w:rsidTr="007A1180">
        <w:trPr>
          <w:cantSplit/>
        </w:trPr>
        <w:tc>
          <w:tcPr>
            <w:tcW w:w="9576" w:type="dxa"/>
            <w:gridSpan w:val="2"/>
          </w:tcPr>
          <w:p w:rsidR="00C4561E" w:rsidRPr="00C4561E" w:rsidRDefault="00C4561E" w:rsidP="007A1180">
            <w:pPr>
              <w:pStyle w:val="SCCShortJudgment"/>
              <w:rPr>
                <w:szCs w:val="20"/>
                <w:lang w:val="fr-CA"/>
              </w:rPr>
            </w:pPr>
            <w:r w:rsidRPr="00C4561E">
              <w:rPr>
                <w:szCs w:val="20"/>
                <w:lang w:val="fr-CA"/>
              </w:rPr>
              <w:t>La requête en prorogation du délai pour produire des pièces est rejetée. La demande d’autorisation d’appel de l’arrêt de la Cour d’appel du Québec (Montréal), numéro 500-09-022563-126, 2012 QCCA 998, daté du 1</w:t>
            </w:r>
            <w:r w:rsidRPr="004D7851">
              <w:rPr>
                <w:szCs w:val="20"/>
                <w:vertAlign w:val="superscript"/>
                <w:lang w:val="fr-CA"/>
              </w:rPr>
              <w:t>er</w:t>
            </w:r>
            <w:r w:rsidRPr="00C4561E">
              <w:rPr>
                <w:szCs w:val="20"/>
                <w:lang w:val="fr-CA"/>
              </w:rPr>
              <w:t xml:space="preserve"> juin 2012, est rejetée sans dépens.</w:t>
            </w:r>
          </w:p>
          <w:p w:rsidR="00C4561E" w:rsidRPr="00C4561E" w:rsidRDefault="00C4561E" w:rsidP="007A1180">
            <w:pPr>
              <w:pStyle w:val="SCCShortJudgment"/>
              <w:ind w:firstLine="0"/>
              <w:rPr>
                <w:szCs w:val="20"/>
                <w:lang w:val="fr-CA"/>
              </w:rPr>
            </w:pPr>
          </w:p>
          <w:p w:rsidR="00C4561E" w:rsidRPr="00C4561E" w:rsidRDefault="00C4561E" w:rsidP="007A1180">
            <w:pPr>
              <w:pStyle w:val="SCCShortJudgment"/>
              <w:rPr>
                <w:szCs w:val="20"/>
              </w:rPr>
            </w:pPr>
            <w:r w:rsidRPr="00C4561E">
              <w:rPr>
                <w:szCs w:val="20"/>
              </w:rPr>
              <w:t>The motion for an extension of time to produce documents is dismissed. The application for leave to appeal from the judgment of the Court of Appeal of Quebec (Montréal), Number 500-09-022563-126, 2012 QCCA 998, dated June 1, 2012, is dismissed without costs.</w:t>
            </w:r>
          </w:p>
        </w:tc>
      </w:tr>
    </w:tbl>
    <w:p w:rsidR="00A740D1" w:rsidRDefault="00A740D1" w:rsidP="00A740D1">
      <w:pPr>
        <w:rPr>
          <w:sz w:val="20"/>
          <w:szCs w:val="20"/>
        </w:rPr>
      </w:pPr>
    </w:p>
    <w:p w:rsidR="00A740D1" w:rsidRPr="001B157C" w:rsidRDefault="00A740D1" w:rsidP="00A740D1">
      <w:pPr>
        <w:rPr>
          <w:sz w:val="20"/>
          <w:szCs w:val="20"/>
          <w:u w:val="single"/>
        </w:rPr>
      </w:pPr>
      <w:r w:rsidRPr="001B157C">
        <w:rPr>
          <w:sz w:val="20"/>
          <w:szCs w:val="20"/>
          <w:u w:val="single"/>
        </w:rPr>
        <w:t>CASE SUMMARY</w:t>
      </w:r>
    </w:p>
    <w:p w:rsidR="00A740D1" w:rsidRDefault="00A740D1" w:rsidP="00A740D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85DE2" w:rsidRPr="00201A3F" w:rsidTr="005B1F40">
        <w:tc>
          <w:tcPr>
            <w:tcW w:w="5000" w:type="pct"/>
            <w:gridSpan w:val="3"/>
          </w:tcPr>
          <w:p w:rsidR="00085DE2" w:rsidRPr="00201A3F" w:rsidRDefault="00085DE2" w:rsidP="005B1F40">
            <w:pPr>
              <w:jc w:val="both"/>
              <w:rPr>
                <w:rFonts w:eastAsia="Calibri"/>
                <w:sz w:val="20"/>
              </w:rPr>
            </w:pPr>
            <w:r w:rsidRPr="00201A3F">
              <w:rPr>
                <w:rFonts w:eastAsia="Calibri"/>
                <w:sz w:val="20"/>
              </w:rPr>
              <w:t>Civil procedure — Forced surrender — Taking in payment — Whether applicant raising legal issue — Whether issue is of public importance.</w:t>
            </w:r>
          </w:p>
        </w:tc>
      </w:tr>
      <w:tr w:rsidR="00085DE2" w:rsidRPr="00201A3F" w:rsidTr="005B1F40">
        <w:tc>
          <w:tcPr>
            <w:tcW w:w="5000" w:type="pct"/>
            <w:gridSpan w:val="3"/>
          </w:tcPr>
          <w:p w:rsidR="00085DE2" w:rsidRPr="00201A3F" w:rsidRDefault="00085DE2" w:rsidP="005B1F40">
            <w:pPr>
              <w:jc w:val="both"/>
              <w:rPr>
                <w:rFonts w:eastAsia="Calibri"/>
                <w:sz w:val="20"/>
              </w:rPr>
            </w:pPr>
          </w:p>
        </w:tc>
      </w:tr>
      <w:tr w:rsidR="00085DE2" w:rsidRPr="00201A3F" w:rsidTr="005B1F40">
        <w:tc>
          <w:tcPr>
            <w:tcW w:w="5000" w:type="pct"/>
            <w:gridSpan w:val="3"/>
          </w:tcPr>
          <w:p w:rsidR="00085DE2" w:rsidRPr="00201A3F" w:rsidRDefault="00085DE2" w:rsidP="005B1F40">
            <w:pPr>
              <w:jc w:val="both"/>
              <w:rPr>
                <w:rFonts w:eastAsia="Calibri"/>
                <w:color w:val="000000"/>
                <w:sz w:val="20"/>
              </w:rPr>
            </w:pPr>
            <w:r w:rsidRPr="00201A3F">
              <w:rPr>
                <w:rFonts w:eastAsia="Calibri"/>
                <w:sz w:val="20"/>
              </w:rPr>
              <w:t xml:space="preserve">In </w:t>
            </w:r>
            <w:r w:rsidR="00BF3B03" w:rsidRPr="00201A3F">
              <w:rPr>
                <w:rFonts w:eastAsia="Calibri"/>
                <w:sz w:val="20"/>
              </w:rPr>
              <w:fldChar w:fldCharType="begin"/>
            </w:r>
            <w:r w:rsidRPr="00201A3F">
              <w:rPr>
                <w:rFonts w:eastAsia="Calibri"/>
                <w:sz w:val="20"/>
              </w:rPr>
              <w:instrText xml:space="preserve"> SEQ CHAPTER \h \r 1</w:instrText>
            </w:r>
            <w:r w:rsidR="00BF3B03" w:rsidRPr="00201A3F">
              <w:rPr>
                <w:rFonts w:eastAsia="Calibri"/>
                <w:sz w:val="20"/>
              </w:rPr>
              <w:fldChar w:fldCharType="end"/>
            </w:r>
            <w:r w:rsidRPr="00201A3F">
              <w:rPr>
                <w:rFonts w:eastAsia="Calibri"/>
                <w:sz w:val="20"/>
              </w:rPr>
              <w:t>1998, the applicant Mr. Lafontaine purchased a piece of land in Mont</w:t>
            </w:r>
            <w:r w:rsidRPr="00201A3F">
              <w:rPr>
                <w:rFonts w:eastAsia="Calibri"/>
                <w:sz w:val="20"/>
              </w:rPr>
              <w:noBreakHyphen/>
              <w:t xml:space="preserve">Tremblant.  The deed of sale provided that </w:t>
            </w:r>
            <w:proofErr w:type="gramStart"/>
            <w:r w:rsidRPr="00201A3F">
              <w:rPr>
                <w:rFonts w:eastAsia="Calibri"/>
                <w:sz w:val="20"/>
              </w:rPr>
              <w:t>a servitude</w:t>
            </w:r>
            <w:proofErr w:type="gramEnd"/>
            <w:r w:rsidRPr="00201A3F">
              <w:rPr>
                <w:rFonts w:eastAsia="Calibri"/>
                <w:sz w:val="20"/>
              </w:rPr>
              <w:t xml:space="preserve"> of right of way would be established in favour of the land with a right to build and maintain a road.  In April 2000, since there were problems with access to the land and the cadastral description, Mr. Lafontaine brought an action in execution of title and in damages against his vendor and its representative in relation to certain parcels adjacent to his land.  He alleged that the vendor had tried to escape its obligations and that, at the time of the sale, it had been agreed that a parcel of land would be added to the subject matter of the sale.  He also asked to be declared the owner of another adjoining parcel that, according to him, had been unjustifiably removed from the cadastral description.  In 2001, after obtaining the necessary authorizations from the municipality, Mr. Lafontaine built his road.  In the meantime, the respondent companies purchased lots adjacent to Mr. Lafontaine’s land.  As well, in January 2003, a judgment of taking in payment was rendered against Mr. Lafontaine’s vendor.  On May 13, 2011, </w:t>
            </w:r>
            <w:r w:rsidRPr="00201A3F">
              <w:rPr>
                <w:rFonts w:eastAsia="Calibri"/>
                <w:color w:val="000000"/>
                <w:sz w:val="20"/>
              </w:rPr>
              <w:t>de Grandpré J. declared Mr. Lafontaine to be a quarrelsome litigant.  On November 10, 2011, G7 published prior notices of the exercise of the hypothecary remedy of taking in payment.  Mr. Lafontaine did not pay the debt or surrender the hypothecated immovable.</w:t>
            </w:r>
          </w:p>
          <w:p w:rsidR="00085DE2" w:rsidRPr="00201A3F" w:rsidRDefault="00085DE2" w:rsidP="005B1F40">
            <w:pPr>
              <w:jc w:val="both"/>
              <w:rPr>
                <w:rFonts w:eastAsia="Calibri"/>
                <w:sz w:val="20"/>
              </w:rPr>
            </w:pPr>
          </w:p>
        </w:tc>
      </w:tr>
      <w:tr w:rsidR="00085DE2" w:rsidRPr="00201A3F" w:rsidTr="00C4561E">
        <w:trPr>
          <w:cantSplit/>
        </w:trPr>
        <w:tc>
          <w:tcPr>
            <w:tcW w:w="2427" w:type="pct"/>
          </w:tcPr>
          <w:p w:rsidR="00085DE2" w:rsidRPr="00201A3F" w:rsidRDefault="00085DE2" w:rsidP="005B1F40">
            <w:pPr>
              <w:jc w:val="both"/>
              <w:rPr>
                <w:rFonts w:eastAsia="Calibri"/>
                <w:sz w:val="20"/>
              </w:rPr>
            </w:pPr>
            <w:r w:rsidRPr="00201A3F">
              <w:rPr>
                <w:rFonts w:eastAsia="Calibri"/>
                <w:sz w:val="20"/>
              </w:rPr>
              <w:lastRenderedPageBreak/>
              <w:t>April 19, 2012</w:t>
            </w:r>
          </w:p>
          <w:p w:rsidR="00085DE2" w:rsidRPr="00201A3F" w:rsidRDefault="00085DE2" w:rsidP="005B1F40">
            <w:pPr>
              <w:jc w:val="both"/>
              <w:rPr>
                <w:rFonts w:eastAsia="Calibri"/>
                <w:sz w:val="20"/>
              </w:rPr>
            </w:pPr>
            <w:r w:rsidRPr="00201A3F">
              <w:rPr>
                <w:rFonts w:eastAsia="Calibri"/>
                <w:sz w:val="20"/>
              </w:rPr>
              <w:t>Quebec Superior Court</w:t>
            </w:r>
          </w:p>
          <w:p w:rsidR="00085DE2" w:rsidRPr="00201A3F" w:rsidRDefault="00085DE2" w:rsidP="005B1F40">
            <w:pPr>
              <w:jc w:val="both"/>
              <w:rPr>
                <w:rFonts w:eastAsia="Calibri"/>
                <w:sz w:val="20"/>
              </w:rPr>
            </w:pPr>
            <w:r w:rsidRPr="00201A3F">
              <w:rPr>
                <w:rFonts w:eastAsia="Calibri"/>
                <w:sz w:val="20"/>
              </w:rPr>
              <w:t>(Payette J.)</w:t>
            </w:r>
          </w:p>
          <w:p w:rsidR="00085DE2" w:rsidRPr="00201A3F" w:rsidRDefault="00085DE2" w:rsidP="005B1F40">
            <w:pPr>
              <w:jc w:val="both"/>
              <w:rPr>
                <w:rFonts w:eastAsia="Calibri"/>
                <w:sz w:val="20"/>
              </w:rPr>
            </w:pPr>
            <w:r w:rsidRPr="00201A3F">
              <w:rPr>
                <w:rFonts w:eastAsia="Calibri"/>
                <w:sz w:val="20"/>
              </w:rPr>
              <w:t>2012 QCCS 1616</w:t>
            </w:r>
          </w:p>
          <w:p w:rsidR="00085DE2" w:rsidRPr="00201A3F" w:rsidRDefault="00085DE2" w:rsidP="005B1F40">
            <w:pPr>
              <w:jc w:val="both"/>
              <w:rPr>
                <w:rFonts w:eastAsia="Calibri"/>
                <w:sz w:val="20"/>
              </w:rPr>
            </w:pPr>
          </w:p>
        </w:tc>
        <w:tc>
          <w:tcPr>
            <w:tcW w:w="243" w:type="pct"/>
          </w:tcPr>
          <w:p w:rsidR="00085DE2" w:rsidRPr="00201A3F" w:rsidRDefault="00085DE2" w:rsidP="005B1F40">
            <w:pPr>
              <w:jc w:val="both"/>
              <w:rPr>
                <w:rFonts w:eastAsia="Calibri"/>
                <w:sz w:val="20"/>
              </w:rPr>
            </w:pPr>
          </w:p>
        </w:tc>
        <w:tc>
          <w:tcPr>
            <w:tcW w:w="2330" w:type="pct"/>
          </w:tcPr>
          <w:p w:rsidR="00085DE2" w:rsidRPr="00201A3F" w:rsidRDefault="00085DE2" w:rsidP="005B1F40">
            <w:pPr>
              <w:jc w:val="both"/>
              <w:rPr>
                <w:rFonts w:eastAsia="Calibri"/>
                <w:sz w:val="20"/>
              </w:rPr>
            </w:pPr>
            <w:r w:rsidRPr="00201A3F">
              <w:rPr>
                <w:rFonts w:eastAsia="Calibri"/>
                <w:sz w:val="20"/>
              </w:rPr>
              <w:t>Motion for forced surrender and taking in payment allowed;</w:t>
            </w:r>
          </w:p>
          <w:p w:rsidR="00085DE2" w:rsidRPr="00201A3F" w:rsidRDefault="00085DE2" w:rsidP="005B1F40">
            <w:pPr>
              <w:jc w:val="both"/>
              <w:rPr>
                <w:rFonts w:eastAsia="Calibri"/>
                <w:sz w:val="20"/>
              </w:rPr>
            </w:pPr>
            <w:r w:rsidRPr="00201A3F">
              <w:rPr>
                <w:rFonts w:eastAsia="Calibri"/>
                <w:sz w:val="20"/>
              </w:rPr>
              <w:t>Various declaratory conclusions and orders made</w:t>
            </w:r>
          </w:p>
          <w:p w:rsidR="00085DE2" w:rsidRPr="00201A3F" w:rsidRDefault="00085DE2" w:rsidP="005B1F40">
            <w:pPr>
              <w:jc w:val="both"/>
              <w:rPr>
                <w:rFonts w:eastAsia="Calibri"/>
                <w:sz w:val="20"/>
              </w:rPr>
            </w:pPr>
          </w:p>
        </w:tc>
      </w:tr>
      <w:tr w:rsidR="00085DE2" w:rsidRPr="00201A3F" w:rsidTr="00C4561E">
        <w:trPr>
          <w:cantSplit/>
        </w:trPr>
        <w:tc>
          <w:tcPr>
            <w:tcW w:w="2427" w:type="pct"/>
          </w:tcPr>
          <w:p w:rsidR="00085DE2" w:rsidRPr="00201A3F" w:rsidRDefault="00085DE2" w:rsidP="005B1F40">
            <w:pPr>
              <w:jc w:val="both"/>
              <w:rPr>
                <w:rFonts w:eastAsia="Calibri"/>
                <w:sz w:val="20"/>
              </w:rPr>
            </w:pPr>
            <w:r w:rsidRPr="00201A3F">
              <w:rPr>
                <w:rFonts w:eastAsia="Calibri"/>
                <w:sz w:val="20"/>
              </w:rPr>
              <w:t>June 1, 2012</w:t>
            </w:r>
          </w:p>
          <w:p w:rsidR="00085DE2" w:rsidRPr="00201A3F" w:rsidRDefault="00085DE2" w:rsidP="005B1F40">
            <w:pPr>
              <w:jc w:val="both"/>
              <w:rPr>
                <w:rFonts w:eastAsia="Calibri"/>
                <w:sz w:val="20"/>
              </w:rPr>
            </w:pPr>
            <w:r w:rsidRPr="00201A3F">
              <w:rPr>
                <w:rFonts w:eastAsia="Calibri"/>
                <w:sz w:val="20"/>
              </w:rPr>
              <w:t>Quebec Court of Appeal (Montréal)</w:t>
            </w:r>
          </w:p>
          <w:p w:rsidR="00085DE2" w:rsidRPr="00201A3F" w:rsidRDefault="00085DE2" w:rsidP="005B1F40">
            <w:pPr>
              <w:jc w:val="both"/>
              <w:rPr>
                <w:rFonts w:eastAsia="Calibri"/>
                <w:sz w:val="20"/>
              </w:rPr>
            </w:pPr>
            <w:r w:rsidRPr="00201A3F">
              <w:rPr>
                <w:rFonts w:eastAsia="Calibri"/>
                <w:sz w:val="20"/>
              </w:rPr>
              <w:t>(Thibault, Rochette and Morissette JJ.A.)</w:t>
            </w:r>
          </w:p>
          <w:p w:rsidR="00085DE2" w:rsidRPr="00201A3F" w:rsidRDefault="00085DE2" w:rsidP="005B1F40">
            <w:pPr>
              <w:jc w:val="both"/>
              <w:rPr>
                <w:rFonts w:eastAsia="Calibri"/>
                <w:sz w:val="20"/>
              </w:rPr>
            </w:pPr>
            <w:r w:rsidRPr="00201A3F">
              <w:rPr>
                <w:rFonts w:eastAsia="Calibri"/>
                <w:sz w:val="20"/>
              </w:rPr>
              <w:t>2012 QCCA 998</w:t>
            </w:r>
          </w:p>
          <w:p w:rsidR="00085DE2" w:rsidRPr="00201A3F" w:rsidRDefault="00085DE2" w:rsidP="005B1F40">
            <w:pPr>
              <w:jc w:val="both"/>
              <w:rPr>
                <w:rFonts w:eastAsia="Calibri"/>
                <w:sz w:val="20"/>
              </w:rPr>
            </w:pPr>
          </w:p>
        </w:tc>
        <w:tc>
          <w:tcPr>
            <w:tcW w:w="243" w:type="pct"/>
          </w:tcPr>
          <w:p w:rsidR="00085DE2" w:rsidRPr="00201A3F" w:rsidRDefault="00085DE2" w:rsidP="005B1F40">
            <w:pPr>
              <w:jc w:val="both"/>
              <w:rPr>
                <w:rFonts w:eastAsia="Calibri"/>
                <w:sz w:val="20"/>
              </w:rPr>
            </w:pPr>
          </w:p>
        </w:tc>
        <w:tc>
          <w:tcPr>
            <w:tcW w:w="2330" w:type="pct"/>
          </w:tcPr>
          <w:p w:rsidR="00085DE2" w:rsidRPr="00201A3F" w:rsidRDefault="00085DE2" w:rsidP="005B1F40">
            <w:pPr>
              <w:jc w:val="both"/>
              <w:rPr>
                <w:rFonts w:eastAsia="Calibri"/>
                <w:sz w:val="20"/>
              </w:rPr>
            </w:pPr>
            <w:r w:rsidRPr="00201A3F">
              <w:rPr>
                <w:rFonts w:eastAsia="Calibri"/>
                <w:sz w:val="20"/>
              </w:rPr>
              <w:t>Motion to dismiss appeal allowed;</w:t>
            </w:r>
          </w:p>
          <w:p w:rsidR="00085DE2" w:rsidRPr="00201A3F" w:rsidRDefault="00085DE2" w:rsidP="005B1F40">
            <w:pPr>
              <w:jc w:val="both"/>
              <w:rPr>
                <w:rFonts w:eastAsia="Calibri"/>
                <w:sz w:val="20"/>
              </w:rPr>
            </w:pPr>
            <w:r w:rsidRPr="00201A3F">
              <w:rPr>
                <w:rFonts w:eastAsia="Calibri"/>
                <w:sz w:val="20"/>
              </w:rPr>
              <w:t>Appeal dismissed</w:t>
            </w:r>
          </w:p>
          <w:p w:rsidR="00085DE2" w:rsidRPr="00201A3F" w:rsidRDefault="00085DE2" w:rsidP="005B1F40">
            <w:pPr>
              <w:jc w:val="both"/>
              <w:rPr>
                <w:rFonts w:eastAsia="Calibri"/>
                <w:sz w:val="20"/>
              </w:rPr>
            </w:pPr>
          </w:p>
          <w:p w:rsidR="00085DE2" w:rsidRPr="00201A3F" w:rsidRDefault="00085DE2" w:rsidP="005B1F40">
            <w:pPr>
              <w:jc w:val="both"/>
              <w:rPr>
                <w:rFonts w:eastAsia="Calibri"/>
                <w:sz w:val="20"/>
              </w:rPr>
            </w:pPr>
          </w:p>
        </w:tc>
      </w:tr>
      <w:tr w:rsidR="00085DE2" w:rsidRPr="00201A3F" w:rsidTr="00C4561E">
        <w:trPr>
          <w:cantSplit/>
        </w:trPr>
        <w:tc>
          <w:tcPr>
            <w:tcW w:w="2427" w:type="pct"/>
          </w:tcPr>
          <w:p w:rsidR="00085DE2" w:rsidRPr="00201A3F" w:rsidRDefault="00085DE2" w:rsidP="005B1F40">
            <w:pPr>
              <w:jc w:val="both"/>
              <w:rPr>
                <w:rFonts w:eastAsia="Calibri"/>
                <w:sz w:val="20"/>
              </w:rPr>
            </w:pPr>
            <w:r w:rsidRPr="00201A3F">
              <w:rPr>
                <w:rFonts w:eastAsia="Calibri"/>
                <w:sz w:val="20"/>
              </w:rPr>
              <w:t>August 31, 2012</w:t>
            </w:r>
          </w:p>
          <w:p w:rsidR="00085DE2" w:rsidRPr="00201A3F" w:rsidRDefault="00085DE2" w:rsidP="005B1F40">
            <w:pPr>
              <w:jc w:val="both"/>
              <w:rPr>
                <w:rFonts w:eastAsia="Calibri"/>
                <w:sz w:val="20"/>
              </w:rPr>
            </w:pPr>
            <w:r w:rsidRPr="00201A3F">
              <w:rPr>
                <w:rFonts w:eastAsia="Calibri"/>
                <w:sz w:val="20"/>
              </w:rPr>
              <w:t>Supreme Court of Canada</w:t>
            </w:r>
          </w:p>
        </w:tc>
        <w:tc>
          <w:tcPr>
            <w:tcW w:w="243" w:type="pct"/>
          </w:tcPr>
          <w:p w:rsidR="00085DE2" w:rsidRPr="00201A3F" w:rsidRDefault="00085DE2" w:rsidP="005B1F40">
            <w:pPr>
              <w:jc w:val="both"/>
              <w:rPr>
                <w:rFonts w:eastAsia="Calibri"/>
                <w:sz w:val="20"/>
              </w:rPr>
            </w:pPr>
          </w:p>
        </w:tc>
        <w:tc>
          <w:tcPr>
            <w:tcW w:w="2330" w:type="pct"/>
          </w:tcPr>
          <w:p w:rsidR="00085DE2" w:rsidRPr="00201A3F" w:rsidRDefault="00085DE2" w:rsidP="005B1F40">
            <w:pPr>
              <w:jc w:val="both"/>
              <w:rPr>
                <w:rFonts w:eastAsia="Calibri"/>
                <w:sz w:val="20"/>
              </w:rPr>
            </w:pPr>
            <w:r w:rsidRPr="00201A3F">
              <w:rPr>
                <w:rFonts w:eastAsia="Calibri"/>
                <w:sz w:val="20"/>
              </w:rPr>
              <w:t>Application for leave to appeal filed</w:t>
            </w:r>
          </w:p>
          <w:p w:rsidR="00085DE2" w:rsidRPr="00201A3F" w:rsidRDefault="00085DE2" w:rsidP="005B1F40">
            <w:pPr>
              <w:jc w:val="both"/>
              <w:rPr>
                <w:rFonts w:eastAsia="Calibri"/>
                <w:sz w:val="20"/>
              </w:rPr>
            </w:pPr>
          </w:p>
        </w:tc>
      </w:tr>
    </w:tbl>
    <w:p w:rsidR="00A740D1" w:rsidRDefault="00A740D1" w:rsidP="00A740D1">
      <w:pPr>
        <w:rPr>
          <w:sz w:val="20"/>
          <w:szCs w:val="20"/>
        </w:rPr>
      </w:pPr>
    </w:p>
    <w:p w:rsidR="00A740D1" w:rsidRPr="00C50A5C" w:rsidRDefault="00BF3B03" w:rsidP="00A740D1">
      <w:pPr>
        <w:rPr>
          <w:sz w:val="20"/>
          <w:szCs w:val="20"/>
        </w:rPr>
      </w:pPr>
      <w:r w:rsidRPr="00BF3B03">
        <w:rPr>
          <w:sz w:val="20"/>
          <w:szCs w:val="20"/>
          <w:lang w:val="fr-CA"/>
        </w:rPr>
        <w:pict>
          <v:rect id="_x0000_i1078" style="width:2in;height:1pt" o:hrpct="0" o:hralign="center" o:hrstd="t" o:hrnoshade="t" o:hr="t" fillcolor="black [3213]" stroked="f"/>
        </w:pict>
      </w:r>
    </w:p>
    <w:p w:rsidR="00A740D1" w:rsidRDefault="00A740D1" w:rsidP="00A740D1">
      <w:pPr>
        <w:rPr>
          <w:sz w:val="20"/>
          <w:szCs w:val="20"/>
        </w:rPr>
      </w:pPr>
    </w:p>
    <w:p w:rsidR="00A740D1" w:rsidRPr="001B157C" w:rsidRDefault="00A740D1" w:rsidP="00A740D1">
      <w:pPr>
        <w:rPr>
          <w:sz w:val="20"/>
          <w:szCs w:val="20"/>
          <w:u w:val="single"/>
          <w:lang w:val="fr-CA"/>
        </w:rPr>
      </w:pPr>
      <w:r w:rsidRPr="001B157C">
        <w:rPr>
          <w:sz w:val="20"/>
          <w:szCs w:val="20"/>
          <w:u w:val="single"/>
          <w:lang w:val="fr-CA"/>
        </w:rPr>
        <w:t>RÉSUMÉ DE L’AFFAIRE</w:t>
      </w:r>
    </w:p>
    <w:p w:rsidR="00A740D1" w:rsidRDefault="00A740D1" w:rsidP="00A740D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85DE2" w:rsidRPr="00DC2D1F" w:rsidTr="005B1F40">
        <w:tc>
          <w:tcPr>
            <w:tcW w:w="5000" w:type="pct"/>
            <w:gridSpan w:val="3"/>
          </w:tcPr>
          <w:p w:rsidR="00085DE2" w:rsidRPr="00201A3F" w:rsidRDefault="00085DE2" w:rsidP="005B1F40">
            <w:pPr>
              <w:jc w:val="both"/>
              <w:rPr>
                <w:rFonts w:eastAsia="Calibri"/>
                <w:sz w:val="20"/>
                <w:lang w:val="fr-CA"/>
              </w:rPr>
            </w:pPr>
            <w:r w:rsidRPr="00201A3F">
              <w:rPr>
                <w:rFonts w:eastAsia="Calibri"/>
                <w:sz w:val="20"/>
                <w:lang w:val="fr-CA"/>
              </w:rPr>
              <w:t>Procédure civile — Délaissement forcé — Prise en paiement — Le demandeur soulève</w:t>
            </w:r>
            <w:r w:rsidRPr="00201A3F">
              <w:rPr>
                <w:rFonts w:eastAsia="Calibri"/>
                <w:sz w:val="20"/>
                <w:lang w:val="fr-CA"/>
              </w:rPr>
              <w:noBreakHyphen/>
              <w:t>t</w:t>
            </w:r>
            <w:r w:rsidRPr="00201A3F">
              <w:rPr>
                <w:rFonts w:eastAsia="Calibri"/>
                <w:sz w:val="20"/>
                <w:lang w:val="fr-CA"/>
              </w:rPr>
              <w:noBreakHyphen/>
              <w:t>il une question juridique? — Cette question est</w:t>
            </w:r>
            <w:r w:rsidRPr="00201A3F">
              <w:rPr>
                <w:rFonts w:eastAsia="Calibri"/>
                <w:sz w:val="20"/>
                <w:lang w:val="fr-CA"/>
              </w:rPr>
              <w:noBreakHyphen/>
              <w:t>elle d’importance pour le public?</w:t>
            </w:r>
          </w:p>
        </w:tc>
      </w:tr>
      <w:tr w:rsidR="00085DE2" w:rsidRPr="00DC2D1F" w:rsidTr="005B1F40">
        <w:tc>
          <w:tcPr>
            <w:tcW w:w="5000" w:type="pct"/>
            <w:gridSpan w:val="3"/>
          </w:tcPr>
          <w:p w:rsidR="00085DE2" w:rsidRPr="00201A3F" w:rsidRDefault="00085DE2" w:rsidP="005B1F40">
            <w:pPr>
              <w:jc w:val="both"/>
              <w:rPr>
                <w:rFonts w:eastAsia="Calibri"/>
                <w:sz w:val="20"/>
                <w:lang w:val="fr-CA"/>
              </w:rPr>
            </w:pPr>
          </w:p>
        </w:tc>
      </w:tr>
      <w:tr w:rsidR="00085DE2" w:rsidRPr="00DC2D1F" w:rsidTr="005B1F40">
        <w:tc>
          <w:tcPr>
            <w:tcW w:w="5000" w:type="pct"/>
            <w:gridSpan w:val="3"/>
          </w:tcPr>
          <w:p w:rsidR="00085DE2" w:rsidRPr="00201A3F" w:rsidRDefault="00BF3B03" w:rsidP="005B1F40">
            <w:pPr>
              <w:jc w:val="both"/>
              <w:rPr>
                <w:rFonts w:eastAsia="Calibri"/>
                <w:color w:val="000000"/>
                <w:sz w:val="20"/>
                <w:lang w:val="fr-FR"/>
              </w:rPr>
            </w:pPr>
            <w:r w:rsidRPr="00201A3F">
              <w:rPr>
                <w:rFonts w:eastAsia="Calibri"/>
                <w:sz w:val="20"/>
                <w:lang w:val="fr-CA"/>
              </w:rPr>
              <w:fldChar w:fldCharType="begin"/>
            </w:r>
            <w:r w:rsidR="00085DE2" w:rsidRPr="00201A3F">
              <w:rPr>
                <w:rFonts w:eastAsia="Calibri"/>
                <w:sz w:val="20"/>
                <w:lang w:val="fr-CA"/>
              </w:rPr>
              <w:instrText xml:space="preserve"> SEQ CHAPTER \h \r 1</w:instrText>
            </w:r>
            <w:r w:rsidRPr="00201A3F">
              <w:rPr>
                <w:rFonts w:eastAsia="Calibri"/>
                <w:sz w:val="20"/>
                <w:lang w:val="fr-CA"/>
              </w:rPr>
              <w:fldChar w:fldCharType="end"/>
            </w:r>
            <w:r w:rsidR="00085DE2" w:rsidRPr="00201A3F">
              <w:rPr>
                <w:rFonts w:eastAsia="Calibri"/>
                <w:sz w:val="20"/>
                <w:lang w:val="fr-CA"/>
              </w:rPr>
              <w:t>En 1998, le demandeur, M. Lafontaine, achète un terrain à Mont</w:t>
            </w:r>
            <w:r w:rsidR="00085DE2" w:rsidRPr="00201A3F">
              <w:rPr>
                <w:rFonts w:eastAsia="Calibri"/>
                <w:sz w:val="20"/>
                <w:lang w:val="fr-CA"/>
              </w:rPr>
              <w:noBreakHyphen/>
              <w:t>Tremblant.  L’acte de vente prévoit qu’une servitude de droit de passage sera établie en faveur du terrain avec droit de construire et entretenir un chemin.  L’accès au terrain de même que la description cadastrale étant problématiques, M. Lafontaine intente, en avril 2000, une action en passation de titre et en dommages</w:t>
            </w:r>
            <w:r w:rsidR="00085DE2" w:rsidRPr="00201A3F">
              <w:rPr>
                <w:rFonts w:eastAsia="Calibri"/>
                <w:sz w:val="20"/>
                <w:lang w:val="fr-CA"/>
              </w:rPr>
              <w:noBreakHyphen/>
              <w:t xml:space="preserve">intérêts contre son vendeur et son représentant et visant certaines parcelles voisines de son terrain.  Il allègue que le vendeur a tenté d’échapper à ses obligations et qu’au moment de la vente, il avait été convenu d’ajouter une parcelle de terrain à l’objet de la vente.  Il demande aussi d’être déclaré propriétaire d’une autre parcelle limitrophe qui aurait, selon lui, été retirée sans justification de la désignation cadastrale.  En 2001, après avoir obtenu les autorisations nécessaires de la municipalité, M. Lafontaine construit son chemin.  Pendant ce temps, les compagnies intimées acquièrent des terrains voisins de celui de M. Lafontaine.  De plus, en janvier 2003, un jugement de prise en paiement est prononcé contre le vendeur de M. Lafontaine.  </w:t>
            </w:r>
            <w:r w:rsidR="00085DE2" w:rsidRPr="00201A3F">
              <w:rPr>
                <w:rFonts w:eastAsia="Calibri"/>
                <w:color w:val="000000"/>
                <w:sz w:val="20"/>
                <w:lang w:val="fr-FR"/>
              </w:rPr>
              <w:t>Le 13 mai 2011, le juge de Grandpré déclare M. Lafontaine plaideur quérulent. Le 10 novembre 2011, G7 publie des préavis d’exercice de recours hypothécaire en prise de paiement.  M. Lafontaine n’a pas acquitté la dette ni délaissé l’immeuble hypothéqué.</w:t>
            </w:r>
          </w:p>
          <w:p w:rsidR="00085DE2" w:rsidRPr="00201A3F" w:rsidRDefault="00085DE2" w:rsidP="005B1F40">
            <w:pPr>
              <w:jc w:val="both"/>
              <w:rPr>
                <w:rFonts w:eastAsia="Calibri"/>
                <w:sz w:val="20"/>
                <w:lang w:val="fr-CA"/>
              </w:rPr>
            </w:pPr>
          </w:p>
        </w:tc>
      </w:tr>
      <w:tr w:rsidR="00085DE2" w:rsidRPr="00DC2D1F" w:rsidTr="005B1F40">
        <w:tc>
          <w:tcPr>
            <w:tcW w:w="2427" w:type="pct"/>
          </w:tcPr>
          <w:p w:rsidR="00085DE2" w:rsidRPr="00201A3F" w:rsidRDefault="00085DE2" w:rsidP="005B1F40">
            <w:pPr>
              <w:jc w:val="both"/>
              <w:rPr>
                <w:rFonts w:eastAsia="Calibri"/>
                <w:sz w:val="20"/>
                <w:lang w:val="fr-CA"/>
              </w:rPr>
            </w:pPr>
            <w:r w:rsidRPr="00201A3F">
              <w:rPr>
                <w:rFonts w:eastAsia="Calibri"/>
                <w:sz w:val="20"/>
                <w:lang w:val="fr-CA"/>
              </w:rPr>
              <w:t>Le 19 avril 2012</w:t>
            </w:r>
          </w:p>
          <w:p w:rsidR="00085DE2" w:rsidRPr="00201A3F" w:rsidRDefault="00085DE2" w:rsidP="005B1F40">
            <w:pPr>
              <w:jc w:val="both"/>
              <w:rPr>
                <w:rFonts w:eastAsia="Calibri"/>
                <w:sz w:val="20"/>
                <w:lang w:val="fr-CA"/>
              </w:rPr>
            </w:pPr>
            <w:r w:rsidRPr="00201A3F">
              <w:rPr>
                <w:rFonts w:eastAsia="Calibri"/>
                <w:sz w:val="20"/>
                <w:lang w:val="fr-CA"/>
              </w:rPr>
              <w:t>Cour supérieure du Québec</w:t>
            </w:r>
          </w:p>
          <w:p w:rsidR="00085DE2" w:rsidRPr="00201A3F" w:rsidRDefault="00085DE2" w:rsidP="005B1F40">
            <w:pPr>
              <w:jc w:val="both"/>
              <w:rPr>
                <w:rFonts w:eastAsia="Calibri"/>
                <w:sz w:val="20"/>
                <w:lang w:val="fr-CA"/>
              </w:rPr>
            </w:pPr>
            <w:r w:rsidRPr="00201A3F">
              <w:rPr>
                <w:rFonts w:eastAsia="Calibri"/>
                <w:sz w:val="20"/>
                <w:lang w:val="fr-CA"/>
              </w:rPr>
              <w:t>(Le juge Payette)</w:t>
            </w:r>
          </w:p>
          <w:p w:rsidR="00085DE2" w:rsidRPr="00201A3F" w:rsidRDefault="00085DE2" w:rsidP="005B1F40">
            <w:pPr>
              <w:jc w:val="both"/>
              <w:rPr>
                <w:rFonts w:eastAsia="Calibri"/>
                <w:sz w:val="20"/>
                <w:lang w:val="fr-CA"/>
              </w:rPr>
            </w:pPr>
            <w:r w:rsidRPr="00201A3F">
              <w:rPr>
                <w:rFonts w:eastAsia="Calibri"/>
                <w:sz w:val="20"/>
                <w:lang w:val="fr-CA"/>
              </w:rPr>
              <w:t>2012 QCCS 1616</w:t>
            </w:r>
          </w:p>
          <w:p w:rsidR="00085DE2" w:rsidRPr="00201A3F" w:rsidRDefault="00085DE2" w:rsidP="005B1F40">
            <w:pPr>
              <w:jc w:val="both"/>
              <w:rPr>
                <w:rFonts w:eastAsia="Calibri"/>
                <w:sz w:val="20"/>
              </w:rPr>
            </w:pPr>
          </w:p>
        </w:tc>
        <w:tc>
          <w:tcPr>
            <w:tcW w:w="243" w:type="pct"/>
          </w:tcPr>
          <w:p w:rsidR="00085DE2" w:rsidRPr="00201A3F" w:rsidRDefault="00085DE2" w:rsidP="005B1F40">
            <w:pPr>
              <w:jc w:val="both"/>
              <w:rPr>
                <w:rFonts w:eastAsia="Calibri"/>
                <w:sz w:val="20"/>
              </w:rPr>
            </w:pPr>
          </w:p>
        </w:tc>
        <w:tc>
          <w:tcPr>
            <w:tcW w:w="2330" w:type="pct"/>
          </w:tcPr>
          <w:p w:rsidR="00085DE2" w:rsidRPr="00201A3F" w:rsidRDefault="00085DE2" w:rsidP="005B1F40">
            <w:pPr>
              <w:jc w:val="both"/>
              <w:rPr>
                <w:rFonts w:eastAsia="Calibri"/>
                <w:sz w:val="20"/>
                <w:lang w:val="fr-CA"/>
              </w:rPr>
            </w:pPr>
            <w:r w:rsidRPr="00201A3F">
              <w:rPr>
                <w:rFonts w:eastAsia="Calibri"/>
                <w:sz w:val="20"/>
                <w:lang w:val="fr-CA"/>
              </w:rPr>
              <w:t>Requête en délaissement forcé et prise en paiement accueillie;</w:t>
            </w:r>
          </w:p>
          <w:p w:rsidR="00085DE2" w:rsidRPr="00201A3F" w:rsidRDefault="00085DE2" w:rsidP="005B1F40">
            <w:pPr>
              <w:jc w:val="both"/>
              <w:rPr>
                <w:rFonts w:eastAsia="Calibri"/>
                <w:sz w:val="20"/>
                <w:lang w:val="fr-CA"/>
              </w:rPr>
            </w:pPr>
            <w:r w:rsidRPr="00201A3F">
              <w:rPr>
                <w:rFonts w:eastAsia="Calibri"/>
                <w:sz w:val="20"/>
                <w:lang w:val="fr-CA"/>
              </w:rPr>
              <w:t>Diverses ordonnances et conclusions de nature déclaratoire prononcées.</w:t>
            </w:r>
          </w:p>
          <w:p w:rsidR="00085DE2" w:rsidRPr="00201A3F" w:rsidRDefault="00085DE2" w:rsidP="005B1F40">
            <w:pPr>
              <w:jc w:val="both"/>
              <w:rPr>
                <w:rFonts w:eastAsia="Calibri"/>
                <w:sz w:val="20"/>
                <w:lang w:val="fr-CA"/>
              </w:rPr>
            </w:pPr>
          </w:p>
        </w:tc>
      </w:tr>
      <w:tr w:rsidR="00085DE2" w:rsidRPr="00201A3F" w:rsidTr="005B1F40">
        <w:tc>
          <w:tcPr>
            <w:tcW w:w="2427" w:type="pct"/>
          </w:tcPr>
          <w:p w:rsidR="00085DE2" w:rsidRPr="00201A3F" w:rsidRDefault="00085DE2" w:rsidP="005B1F40">
            <w:pPr>
              <w:jc w:val="both"/>
              <w:rPr>
                <w:rFonts w:eastAsia="Calibri"/>
                <w:sz w:val="20"/>
                <w:lang w:val="fr-CA"/>
              </w:rPr>
            </w:pPr>
            <w:r w:rsidRPr="00201A3F">
              <w:rPr>
                <w:rFonts w:eastAsia="Calibri"/>
                <w:sz w:val="20"/>
                <w:lang w:val="fr-CA"/>
              </w:rPr>
              <w:t>Le 1</w:t>
            </w:r>
            <w:r w:rsidR="00D3651F" w:rsidRPr="00D3651F">
              <w:rPr>
                <w:rFonts w:eastAsia="Calibri"/>
                <w:sz w:val="20"/>
                <w:vertAlign w:val="superscript"/>
                <w:lang w:val="fr-CA"/>
              </w:rPr>
              <w:t>er</w:t>
            </w:r>
            <w:r w:rsidRPr="00201A3F">
              <w:rPr>
                <w:rFonts w:eastAsia="Calibri"/>
                <w:sz w:val="20"/>
                <w:lang w:val="fr-CA"/>
              </w:rPr>
              <w:t xml:space="preserve"> juin 2012</w:t>
            </w:r>
          </w:p>
          <w:p w:rsidR="00085DE2" w:rsidRPr="00201A3F" w:rsidRDefault="00085DE2" w:rsidP="005B1F40">
            <w:pPr>
              <w:jc w:val="both"/>
              <w:rPr>
                <w:rFonts w:eastAsia="Calibri"/>
                <w:sz w:val="20"/>
                <w:lang w:val="fr-CA"/>
              </w:rPr>
            </w:pPr>
            <w:r w:rsidRPr="00201A3F">
              <w:rPr>
                <w:rFonts w:eastAsia="Calibri"/>
                <w:sz w:val="20"/>
                <w:lang w:val="fr-CA"/>
              </w:rPr>
              <w:t>Cour d’appel du Québec (Montréal)</w:t>
            </w:r>
          </w:p>
          <w:p w:rsidR="00085DE2" w:rsidRPr="00201A3F" w:rsidRDefault="00085DE2" w:rsidP="005B1F40">
            <w:pPr>
              <w:jc w:val="both"/>
              <w:rPr>
                <w:rFonts w:eastAsia="Calibri"/>
                <w:sz w:val="20"/>
                <w:lang w:val="fr-CA"/>
              </w:rPr>
            </w:pPr>
            <w:r w:rsidRPr="00201A3F">
              <w:rPr>
                <w:rFonts w:eastAsia="Calibri"/>
                <w:sz w:val="20"/>
                <w:lang w:val="fr-CA"/>
              </w:rPr>
              <w:t>(Les juges Thibault, Rochette et Morissette)</w:t>
            </w:r>
          </w:p>
          <w:p w:rsidR="00085DE2" w:rsidRPr="00201A3F" w:rsidRDefault="00085DE2" w:rsidP="005B1F40">
            <w:pPr>
              <w:jc w:val="both"/>
              <w:rPr>
                <w:rFonts w:eastAsia="Calibri"/>
                <w:sz w:val="20"/>
                <w:lang w:val="fr-CA"/>
              </w:rPr>
            </w:pPr>
            <w:r w:rsidRPr="00201A3F">
              <w:rPr>
                <w:rFonts w:eastAsia="Calibri"/>
                <w:sz w:val="20"/>
                <w:lang w:val="fr-CA"/>
              </w:rPr>
              <w:t>2012 QCCA 998</w:t>
            </w:r>
          </w:p>
          <w:p w:rsidR="00085DE2" w:rsidRPr="00201A3F" w:rsidRDefault="00085DE2" w:rsidP="005B1F40">
            <w:pPr>
              <w:jc w:val="both"/>
              <w:rPr>
                <w:rFonts w:eastAsia="Calibri"/>
                <w:sz w:val="20"/>
              </w:rPr>
            </w:pPr>
          </w:p>
        </w:tc>
        <w:tc>
          <w:tcPr>
            <w:tcW w:w="243" w:type="pct"/>
          </w:tcPr>
          <w:p w:rsidR="00085DE2" w:rsidRPr="00201A3F" w:rsidRDefault="00085DE2" w:rsidP="005B1F40">
            <w:pPr>
              <w:jc w:val="both"/>
              <w:rPr>
                <w:rFonts w:eastAsia="Calibri"/>
                <w:sz w:val="20"/>
              </w:rPr>
            </w:pPr>
          </w:p>
        </w:tc>
        <w:tc>
          <w:tcPr>
            <w:tcW w:w="2330" w:type="pct"/>
          </w:tcPr>
          <w:p w:rsidR="00085DE2" w:rsidRPr="00201A3F" w:rsidRDefault="00085DE2" w:rsidP="005B1F40">
            <w:pPr>
              <w:jc w:val="both"/>
              <w:rPr>
                <w:rFonts w:eastAsia="Calibri"/>
                <w:sz w:val="20"/>
                <w:lang w:val="fr-CA"/>
              </w:rPr>
            </w:pPr>
            <w:r w:rsidRPr="00201A3F">
              <w:rPr>
                <w:rFonts w:eastAsia="Calibri"/>
                <w:sz w:val="20"/>
                <w:lang w:val="fr-CA"/>
              </w:rPr>
              <w:t>Requête en rejet d’appel accueillie;</w:t>
            </w:r>
          </w:p>
          <w:p w:rsidR="00085DE2" w:rsidRPr="00201A3F" w:rsidRDefault="00085DE2" w:rsidP="005B1F40">
            <w:pPr>
              <w:jc w:val="both"/>
              <w:rPr>
                <w:rFonts w:eastAsia="Calibri"/>
                <w:sz w:val="20"/>
                <w:lang w:val="fr-CA"/>
              </w:rPr>
            </w:pPr>
            <w:r w:rsidRPr="00201A3F">
              <w:rPr>
                <w:rFonts w:eastAsia="Calibri"/>
                <w:sz w:val="20"/>
                <w:lang w:val="fr-CA"/>
              </w:rPr>
              <w:t>Appel rejeté.</w:t>
            </w:r>
          </w:p>
          <w:p w:rsidR="00085DE2" w:rsidRPr="00201A3F" w:rsidRDefault="00085DE2" w:rsidP="005B1F40">
            <w:pPr>
              <w:jc w:val="both"/>
              <w:rPr>
                <w:rFonts w:eastAsia="Calibri"/>
                <w:sz w:val="20"/>
                <w:lang w:val="fr-CA"/>
              </w:rPr>
            </w:pPr>
          </w:p>
        </w:tc>
      </w:tr>
      <w:tr w:rsidR="00085DE2" w:rsidRPr="00201A3F" w:rsidTr="005B1F40">
        <w:tc>
          <w:tcPr>
            <w:tcW w:w="2427" w:type="pct"/>
          </w:tcPr>
          <w:p w:rsidR="00085DE2" w:rsidRPr="00201A3F" w:rsidRDefault="00085DE2" w:rsidP="005B1F40">
            <w:pPr>
              <w:jc w:val="both"/>
              <w:rPr>
                <w:rFonts w:eastAsia="Calibri"/>
                <w:sz w:val="20"/>
                <w:lang w:val="fr-CA"/>
              </w:rPr>
            </w:pPr>
            <w:r w:rsidRPr="00201A3F">
              <w:rPr>
                <w:rFonts w:eastAsia="Calibri"/>
                <w:sz w:val="20"/>
                <w:lang w:val="fr-CA"/>
              </w:rPr>
              <w:t>Le 31 août 2012</w:t>
            </w:r>
          </w:p>
          <w:p w:rsidR="00085DE2" w:rsidRPr="00201A3F" w:rsidRDefault="00085DE2" w:rsidP="005B1F40">
            <w:pPr>
              <w:jc w:val="both"/>
              <w:rPr>
                <w:rFonts w:eastAsia="Calibri"/>
                <w:sz w:val="20"/>
                <w:lang w:val="fr-CA"/>
              </w:rPr>
            </w:pPr>
            <w:r w:rsidRPr="00201A3F">
              <w:rPr>
                <w:rFonts w:eastAsia="Calibri"/>
                <w:sz w:val="20"/>
                <w:lang w:val="fr-CA"/>
              </w:rPr>
              <w:t>Cour suprême du Canada</w:t>
            </w:r>
          </w:p>
        </w:tc>
        <w:tc>
          <w:tcPr>
            <w:tcW w:w="243" w:type="pct"/>
          </w:tcPr>
          <w:p w:rsidR="00085DE2" w:rsidRPr="00201A3F" w:rsidRDefault="00085DE2" w:rsidP="005B1F40">
            <w:pPr>
              <w:jc w:val="both"/>
              <w:rPr>
                <w:rFonts w:eastAsia="Calibri"/>
                <w:sz w:val="20"/>
                <w:lang w:val="fr-CA"/>
              </w:rPr>
            </w:pPr>
          </w:p>
        </w:tc>
        <w:tc>
          <w:tcPr>
            <w:tcW w:w="2330" w:type="pct"/>
          </w:tcPr>
          <w:p w:rsidR="00085DE2" w:rsidRPr="00201A3F" w:rsidRDefault="00085DE2" w:rsidP="005B1F40">
            <w:pPr>
              <w:jc w:val="both"/>
              <w:rPr>
                <w:rFonts w:eastAsia="Calibri"/>
                <w:sz w:val="20"/>
                <w:lang w:val="fr-CA"/>
              </w:rPr>
            </w:pPr>
            <w:r w:rsidRPr="00201A3F">
              <w:rPr>
                <w:rFonts w:eastAsia="Calibri"/>
                <w:sz w:val="20"/>
                <w:lang w:val="fr-CA"/>
              </w:rPr>
              <w:t>Demande d’autorisation d’appel déposée.</w:t>
            </w:r>
          </w:p>
          <w:p w:rsidR="00085DE2" w:rsidRPr="00201A3F" w:rsidRDefault="00085DE2" w:rsidP="005B1F40">
            <w:pPr>
              <w:jc w:val="both"/>
              <w:rPr>
                <w:rFonts w:eastAsia="Calibri"/>
                <w:sz w:val="20"/>
                <w:lang w:val="fr-CA"/>
              </w:rPr>
            </w:pPr>
          </w:p>
        </w:tc>
      </w:tr>
    </w:tbl>
    <w:p w:rsidR="00A740D1" w:rsidRDefault="00A740D1" w:rsidP="00A740D1">
      <w:pPr>
        <w:rPr>
          <w:sz w:val="20"/>
          <w:szCs w:val="20"/>
        </w:rPr>
      </w:pPr>
    </w:p>
    <w:p w:rsidR="00A740D1" w:rsidRDefault="00BF3B03" w:rsidP="00A740D1">
      <w:pPr>
        <w:rPr>
          <w:sz w:val="20"/>
          <w:szCs w:val="20"/>
        </w:rPr>
      </w:pPr>
      <w:r w:rsidRPr="00BF3B03">
        <w:rPr>
          <w:sz w:val="20"/>
          <w:szCs w:val="20"/>
          <w:lang w:val="fr-CA"/>
        </w:rPr>
        <w:pict>
          <v:rect id="_x0000_i1079" style="width:2in;height:1pt" o:hrpct="0" o:hralign="center" o:hrstd="t" o:hrnoshade="t" o:hr="t" fillcolor="black [3213]" stroked="f"/>
        </w:pict>
      </w:r>
    </w:p>
    <w:p w:rsidR="00A740D1" w:rsidRDefault="00A740D1" w:rsidP="00A740D1">
      <w:pPr>
        <w:rPr>
          <w:sz w:val="20"/>
          <w:szCs w:val="20"/>
        </w:rPr>
      </w:pPr>
    </w:p>
    <w:p w:rsidR="00C4561E" w:rsidRDefault="00C4561E">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4561E" w:rsidRPr="00DC2D1F" w:rsidTr="007A1180">
        <w:trPr>
          <w:cantSplit/>
        </w:trPr>
        <w:tc>
          <w:tcPr>
            <w:tcW w:w="1458" w:type="dxa"/>
          </w:tcPr>
          <w:p w:rsidR="00C4561E" w:rsidRPr="00B83D51" w:rsidRDefault="00C4561E" w:rsidP="007A1180">
            <w:pPr>
              <w:rPr>
                <w:sz w:val="20"/>
                <w:szCs w:val="20"/>
              </w:rPr>
            </w:pPr>
            <w:r w:rsidRPr="00B83D51">
              <w:rPr>
                <w:rStyle w:val="SCCFileNumberChar"/>
                <w:sz w:val="20"/>
                <w:szCs w:val="20"/>
              </w:rPr>
              <w:lastRenderedPageBreak/>
              <w:t>34960</w:t>
            </w:r>
          </w:p>
          <w:p w:rsidR="00C4561E" w:rsidRPr="00B83D51" w:rsidRDefault="00C4561E" w:rsidP="007A1180">
            <w:pPr>
              <w:rPr>
                <w:b/>
                <w:sz w:val="20"/>
                <w:szCs w:val="20"/>
                <w:lang w:val="fr-CA"/>
              </w:rPr>
            </w:pPr>
          </w:p>
        </w:tc>
        <w:tc>
          <w:tcPr>
            <w:tcW w:w="8118" w:type="dxa"/>
          </w:tcPr>
          <w:p w:rsidR="00C4561E" w:rsidRPr="00B83D51" w:rsidRDefault="00C4561E" w:rsidP="007A1180">
            <w:pPr>
              <w:rPr>
                <w:sz w:val="20"/>
                <w:szCs w:val="20"/>
                <w:lang w:val="fr-CA"/>
              </w:rPr>
            </w:pPr>
            <w:r w:rsidRPr="00B83D51">
              <w:rPr>
                <w:rStyle w:val="SCCLsocChar"/>
                <w:sz w:val="20"/>
                <w:szCs w:val="20"/>
              </w:rPr>
              <w:t>Lumumba Patrice Olenga c. Sa Majesté la Reine</w:t>
            </w:r>
            <w:r w:rsidRPr="00B83D51">
              <w:rPr>
                <w:sz w:val="20"/>
                <w:szCs w:val="20"/>
                <w:lang w:val="fr-CA"/>
              </w:rPr>
              <w:t xml:space="preserve"> (Qc) (Criminelle) (Autorisation)</w:t>
            </w:r>
          </w:p>
          <w:p w:rsidR="00C4561E" w:rsidRPr="00B83D51" w:rsidRDefault="00C4561E" w:rsidP="007A1180">
            <w:pPr>
              <w:rPr>
                <w:sz w:val="20"/>
                <w:szCs w:val="20"/>
                <w:lang w:val="fr-CA"/>
              </w:rPr>
            </w:pPr>
          </w:p>
        </w:tc>
      </w:tr>
      <w:tr w:rsidR="00C4561E" w:rsidRPr="00DC2D1F" w:rsidTr="007A1180">
        <w:trPr>
          <w:cantSplit/>
        </w:trPr>
        <w:tc>
          <w:tcPr>
            <w:tcW w:w="1458" w:type="dxa"/>
          </w:tcPr>
          <w:p w:rsidR="00C4561E" w:rsidRPr="00B83D51" w:rsidRDefault="00C4561E" w:rsidP="007A1180">
            <w:pPr>
              <w:rPr>
                <w:sz w:val="20"/>
                <w:szCs w:val="20"/>
              </w:rPr>
            </w:pPr>
            <w:r w:rsidRPr="00B83D51">
              <w:rPr>
                <w:sz w:val="20"/>
                <w:szCs w:val="20"/>
              </w:rPr>
              <w:t>Coram :</w:t>
            </w:r>
          </w:p>
        </w:tc>
        <w:tc>
          <w:tcPr>
            <w:tcW w:w="8118" w:type="dxa"/>
          </w:tcPr>
          <w:p w:rsidR="00C4561E" w:rsidRPr="00B83D51" w:rsidRDefault="00C4561E" w:rsidP="007A1180">
            <w:pPr>
              <w:rPr>
                <w:sz w:val="20"/>
                <w:szCs w:val="20"/>
                <w:lang w:val="fr-CA"/>
              </w:rPr>
            </w:pPr>
            <w:r w:rsidRPr="00B83D51">
              <w:rPr>
                <w:rStyle w:val="SCCCoramChar"/>
                <w:sz w:val="20"/>
                <w:szCs w:val="20"/>
              </w:rPr>
              <w:t>Les juges LeBel, Abella et Cromwell</w:t>
            </w:r>
          </w:p>
          <w:p w:rsidR="00C4561E" w:rsidRPr="00B83D51" w:rsidRDefault="00C4561E" w:rsidP="007A1180">
            <w:pPr>
              <w:rPr>
                <w:sz w:val="20"/>
                <w:szCs w:val="20"/>
                <w:u w:val="single"/>
                <w:lang w:val="fr-CA"/>
              </w:rPr>
            </w:pPr>
          </w:p>
        </w:tc>
      </w:tr>
      <w:tr w:rsidR="00C4561E" w:rsidRPr="00B83D51" w:rsidTr="007A1180">
        <w:trPr>
          <w:cantSplit/>
        </w:trPr>
        <w:tc>
          <w:tcPr>
            <w:tcW w:w="9576" w:type="dxa"/>
            <w:gridSpan w:val="2"/>
          </w:tcPr>
          <w:p w:rsidR="00C4561E" w:rsidRPr="00B83D51" w:rsidRDefault="00C4561E" w:rsidP="007A1180">
            <w:pPr>
              <w:pStyle w:val="SCCShortJudgment"/>
              <w:rPr>
                <w:szCs w:val="20"/>
                <w:lang w:val="fr-CA"/>
              </w:rPr>
            </w:pPr>
            <w:r w:rsidRPr="00B83D51">
              <w:rPr>
                <w:szCs w:val="20"/>
                <w:lang w:val="fr-CA"/>
              </w:rPr>
              <w:t>La demande d’autorisation d’appel de l’arrêt de la Cour d’appel du Québec (Montréal), numéro 500-10-005085-129, 2012 QCCA 1157, daté du 15 juin 2012, est rejetée sans dépens.</w:t>
            </w:r>
          </w:p>
          <w:p w:rsidR="00C4561E" w:rsidRPr="00B83D51" w:rsidRDefault="00C4561E" w:rsidP="007A1180">
            <w:pPr>
              <w:pStyle w:val="SCCShortJudgment"/>
              <w:ind w:firstLine="0"/>
              <w:rPr>
                <w:szCs w:val="20"/>
                <w:lang w:val="fr-CA"/>
              </w:rPr>
            </w:pPr>
          </w:p>
          <w:p w:rsidR="00C4561E" w:rsidRPr="00B83D51" w:rsidRDefault="00C4561E" w:rsidP="007A1180">
            <w:pPr>
              <w:pStyle w:val="SCCShortJudgment"/>
              <w:rPr>
                <w:szCs w:val="20"/>
              </w:rPr>
            </w:pPr>
            <w:r w:rsidRPr="00B83D51">
              <w:rPr>
                <w:szCs w:val="20"/>
              </w:rPr>
              <w:t>The application for leave to appeal from the judgment of the Court of Appeal of Quebec (Montréal), Number 500-10-005085-129, 2012 QCCA 1157, dated June 15, 2012, is dismissed without costs.</w:t>
            </w:r>
          </w:p>
        </w:tc>
      </w:tr>
    </w:tbl>
    <w:p w:rsidR="00A740D1" w:rsidRDefault="00A740D1" w:rsidP="00A740D1">
      <w:pPr>
        <w:rPr>
          <w:sz w:val="20"/>
          <w:szCs w:val="20"/>
        </w:rPr>
      </w:pPr>
    </w:p>
    <w:p w:rsidR="00A740D1" w:rsidRPr="001B157C" w:rsidRDefault="00A740D1" w:rsidP="00A740D1">
      <w:pPr>
        <w:rPr>
          <w:sz w:val="20"/>
          <w:szCs w:val="20"/>
          <w:u w:val="single"/>
        </w:rPr>
      </w:pPr>
      <w:r w:rsidRPr="001B157C">
        <w:rPr>
          <w:sz w:val="20"/>
          <w:szCs w:val="20"/>
          <w:u w:val="single"/>
        </w:rPr>
        <w:t>CASE SUMMARY</w:t>
      </w:r>
    </w:p>
    <w:p w:rsidR="00A740D1" w:rsidRDefault="00A740D1" w:rsidP="00A740D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B1F40" w:rsidRPr="00201A3F" w:rsidTr="005B1F40">
        <w:tc>
          <w:tcPr>
            <w:tcW w:w="5000" w:type="pct"/>
            <w:gridSpan w:val="3"/>
          </w:tcPr>
          <w:p w:rsidR="005B1F40" w:rsidRPr="00201A3F" w:rsidRDefault="005B1F40" w:rsidP="005B1F40">
            <w:pPr>
              <w:jc w:val="both"/>
              <w:rPr>
                <w:rFonts w:eastAsia="Calibri"/>
                <w:sz w:val="20"/>
              </w:rPr>
            </w:pPr>
            <w:r w:rsidRPr="00201A3F">
              <w:rPr>
                <w:rFonts w:eastAsia="Calibri"/>
                <w:sz w:val="20"/>
              </w:rPr>
              <w:t>Criminal law — Arrest — Formal requirements — Warrantless arrest — Allegation that informations not signed — Whether applicant’s arrest contrary to rules.</w:t>
            </w:r>
          </w:p>
        </w:tc>
      </w:tr>
      <w:tr w:rsidR="005B1F40" w:rsidRPr="00201A3F" w:rsidTr="005B1F40">
        <w:tc>
          <w:tcPr>
            <w:tcW w:w="5000" w:type="pct"/>
            <w:gridSpan w:val="3"/>
          </w:tcPr>
          <w:p w:rsidR="005B1F40" w:rsidRPr="00201A3F" w:rsidRDefault="005B1F40" w:rsidP="005B1F40">
            <w:pPr>
              <w:jc w:val="both"/>
              <w:rPr>
                <w:rFonts w:eastAsia="Calibri"/>
                <w:sz w:val="20"/>
              </w:rPr>
            </w:pPr>
          </w:p>
        </w:tc>
      </w:tr>
      <w:tr w:rsidR="005B1F40" w:rsidRPr="00201A3F" w:rsidTr="005B1F40">
        <w:tc>
          <w:tcPr>
            <w:tcW w:w="5000" w:type="pct"/>
            <w:gridSpan w:val="3"/>
          </w:tcPr>
          <w:p w:rsidR="005B1F40" w:rsidRPr="00201A3F" w:rsidRDefault="005B1F40" w:rsidP="005B1F40">
            <w:pPr>
              <w:jc w:val="both"/>
              <w:rPr>
                <w:rFonts w:eastAsia="Calibri"/>
                <w:sz w:val="20"/>
              </w:rPr>
            </w:pPr>
            <w:r w:rsidRPr="00201A3F">
              <w:rPr>
                <w:rFonts w:eastAsia="Calibri"/>
                <w:sz w:val="20"/>
              </w:rPr>
              <w:t xml:space="preserve">The applicant was arrested on November 25, 2011, </w:t>
            </w:r>
            <w:r w:rsidRPr="00201A3F">
              <w:rPr>
                <w:rFonts w:eastAsia="Calibri"/>
                <w:i/>
                <w:sz w:val="20"/>
              </w:rPr>
              <w:t>inter alia</w:t>
            </w:r>
            <w:r w:rsidRPr="00201A3F">
              <w:rPr>
                <w:rFonts w:eastAsia="Calibri"/>
                <w:sz w:val="20"/>
              </w:rPr>
              <w:t xml:space="preserve"> to face charges for intimidation allegedly committed on October 27, 2011.  He alleged that the police officers had arrested him without a warrant and that the informations leading to his arrest had not been duly sworn.</w:t>
            </w:r>
          </w:p>
          <w:p w:rsidR="005B1F40" w:rsidRPr="00201A3F" w:rsidRDefault="005B1F40" w:rsidP="005B1F40">
            <w:pPr>
              <w:jc w:val="both"/>
              <w:rPr>
                <w:rFonts w:eastAsia="Calibri"/>
                <w:sz w:val="20"/>
              </w:rPr>
            </w:pPr>
          </w:p>
        </w:tc>
      </w:tr>
      <w:tr w:rsidR="005B1F40" w:rsidRPr="00201A3F" w:rsidTr="005B1F40">
        <w:tc>
          <w:tcPr>
            <w:tcW w:w="2427" w:type="pct"/>
          </w:tcPr>
          <w:p w:rsidR="005B1F40" w:rsidRPr="00201A3F" w:rsidRDefault="005B1F40" w:rsidP="005B1F40">
            <w:pPr>
              <w:jc w:val="both"/>
              <w:rPr>
                <w:rFonts w:eastAsia="Calibri"/>
                <w:sz w:val="20"/>
              </w:rPr>
            </w:pPr>
            <w:r w:rsidRPr="00201A3F">
              <w:rPr>
                <w:rFonts w:eastAsia="Calibri"/>
                <w:sz w:val="20"/>
              </w:rPr>
              <w:t>January 24, 2012</w:t>
            </w:r>
          </w:p>
          <w:p w:rsidR="005B1F40" w:rsidRPr="00201A3F" w:rsidRDefault="005B1F40" w:rsidP="005B1F40">
            <w:pPr>
              <w:jc w:val="both"/>
              <w:rPr>
                <w:rFonts w:eastAsia="Calibri"/>
                <w:sz w:val="20"/>
              </w:rPr>
            </w:pPr>
            <w:r w:rsidRPr="00201A3F">
              <w:rPr>
                <w:rFonts w:eastAsia="Calibri"/>
                <w:sz w:val="20"/>
              </w:rPr>
              <w:t>Quebec Superior Court</w:t>
            </w:r>
          </w:p>
          <w:p w:rsidR="005B1F40" w:rsidRPr="00201A3F" w:rsidRDefault="005B1F40" w:rsidP="005B1F40">
            <w:pPr>
              <w:jc w:val="both"/>
              <w:rPr>
                <w:rFonts w:eastAsia="Calibri"/>
                <w:sz w:val="20"/>
              </w:rPr>
            </w:pPr>
            <w:r w:rsidRPr="00201A3F">
              <w:rPr>
                <w:rFonts w:eastAsia="Calibri"/>
                <w:sz w:val="20"/>
              </w:rPr>
              <w:t>(David J.)</w:t>
            </w:r>
          </w:p>
          <w:p w:rsidR="005B1F40" w:rsidRPr="00201A3F" w:rsidRDefault="005B1F40" w:rsidP="005B1F40">
            <w:pPr>
              <w:jc w:val="both"/>
              <w:rPr>
                <w:rFonts w:eastAsia="Calibri"/>
                <w:sz w:val="20"/>
              </w:rPr>
            </w:pPr>
          </w:p>
        </w:tc>
        <w:tc>
          <w:tcPr>
            <w:tcW w:w="243" w:type="pct"/>
          </w:tcPr>
          <w:p w:rsidR="005B1F40" w:rsidRPr="00201A3F" w:rsidRDefault="005B1F40" w:rsidP="005B1F40">
            <w:pPr>
              <w:jc w:val="both"/>
              <w:rPr>
                <w:rFonts w:eastAsia="Calibri"/>
                <w:sz w:val="20"/>
              </w:rPr>
            </w:pPr>
          </w:p>
        </w:tc>
        <w:tc>
          <w:tcPr>
            <w:tcW w:w="2330" w:type="pct"/>
          </w:tcPr>
          <w:p w:rsidR="005B1F40" w:rsidRPr="00201A3F" w:rsidRDefault="005B1F40" w:rsidP="005B1F40">
            <w:pPr>
              <w:jc w:val="both"/>
              <w:rPr>
                <w:rFonts w:eastAsia="Calibri"/>
                <w:sz w:val="20"/>
              </w:rPr>
            </w:pPr>
            <w:r w:rsidRPr="00201A3F">
              <w:rPr>
                <w:rFonts w:eastAsia="Calibri"/>
                <w:sz w:val="20"/>
              </w:rPr>
              <w:t xml:space="preserve">Applicant’s motion for </w:t>
            </w:r>
            <w:r w:rsidRPr="00201A3F">
              <w:rPr>
                <w:rFonts w:eastAsia="Calibri"/>
                <w:i/>
                <w:sz w:val="20"/>
              </w:rPr>
              <w:t>certiorari</w:t>
            </w:r>
            <w:r w:rsidRPr="00201A3F">
              <w:rPr>
                <w:rFonts w:eastAsia="Calibri"/>
                <w:sz w:val="20"/>
              </w:rPr>
              <w:t xml:space="preserve"> dismissed</w:t>
            </w:r>
          </w:p>
        </w:tc>
      </w:tr>
      <w:tr w:rsidR="005B1F40" w:rsidRPr="00201A3F" w:rsidTr="005B1F40">
        <w:tc>
          <w:tcPr>
            <w:tcW w:w="2427" w:type="pct"/>
          </w:tcPr>
          <w:p w:rsidR="005B1F40" w:rsidRPr="00201A3F" w:rsidRDefault="005B1F40" w:rsidP="005B1F40">
            <w:pPr>
              <w:jc w:val="both"/>
              <w:rPr>
                <w:rFonts w:eastAsia="Calibri"/>
                <w:sz w:val="20"/>
              </w:rPr>
            </w:pPr>
            <w:r w:rsidRPr="00201A3F">
              <w:rPr>
                <w:rFonts w:eastAsia="Calibri"/>
                <w:sz w:val="20"/>
              </w:rPr>
              <w:t>June 15, 2012</w:t>
            </w:r>
          </w:p>
          <w:p w:rsidR="005B1F40" w:rsidRPr="00201A3F" w:rsidRDefault="005B1F40" w:rsidP="005B1F40">
            <w:pPr>
              <w:jc w:val="both"/>
              <w:rPr>
                <w:rFonts w:eastAsia="Calibri"/>
                <w:sz w:val="20"/>
              </w:rPr>
            </w:pPr>
            <w:r w:rsidRPr="00201A3F">
              <w:rPr>
                <w:rFonts w:eastAsia="Calibri"/>
                <w:sz w:val="20"/>
              </w:rPr>
              <w:t>Quebec Court of Appeal (Montréal)</w:t>
            </w:r>
          </w:p>
          <w:p w:rsidR="005B1F40" w:rsidRPr="00201A3F" w:rsidRDefault="005B1F40" w:rsidP="005B1F40">
            <w:pPr>
              <w:jc w:val="both"/>
              <w:rPr>
                <w:rFonts w:eastAsia="Calibri"/>
                <w:sz w:val="20"/>
              </w:rPr>
            </w:pPr>
            <w:r w:rsidRPr="00201A3F">
              <w:rPr>
                <w:rFonts w:eastAsia="Calibri"/>
                <w:sz w:val="20"/>
              </w:rPr>
              <w:t>(Hilton, Kasirer and Wagner JJ.A.)</w:t>
            </w:r>
          </w:p>
          <w:p w:rsidR="005B1F40" w:rsidRPr="00201A3F" w:rsidRDefault="005B1F40" w:rsidP="005B1F40">
            <w:pPr>
              <w:jc w:val="both"/>
              <w:rPr>
                <w:rFonts w:eastAsia="Calibri"/>
                <w:sz w:val="20"/>
              </w:rPr>
            </w:pPr>
            <w:r w:rsidRPr="00201A3F">
              <w:rPr>
                <w:rFonts w:eastAsia="Calibri"/>
                <w:sz w:val="20"/>
              </w:rPr>
              <w:t>2012 QCCA 1157</w:t>
            </w:r>
          </w:p>
          <w:p w:rsidR="005B1F40" w:rsidRPr="00201A3F" w:rsidRDefault="005B1F40" w:rsidP="005B1F40">
            <w:pPr>
              <w:jc w:val="both"/>
              <w:rPr>
                <w:rFonts w:eastAsia="Calibri"/>
                <w:sz w:val="20"/>
              </w:rPr>
            </w:pPr>
          </w:p>
        </w:tc>
        <w:tc>
          <w:tcPr>
            <w:tcW w:w="243" w:type="pct"/>
          </w:tcPr>
          <w:p w:rsidR="005B1F40" w:rsidRPr="00201A3F" w:rsidRDefault="005B1F40" w:rsidP="005B1F40">
            <w:pPr>
              <w:jc w:val="both"/>
              <w:rPr>
                <w:rFonts w:eastAsia="Calibri"/>
                <w:sz w:val="20"/>
              </w:rPr>
            </w:pPr>
          </w:p>
        </w:tc>
        <w:tc>
          <w:tcPr>
            <w:tcW w:w="2330" w:type="pct"/>
          </w:tcPr>
          <w:p w:rsidR="005B1F40" w:rsidRPr="00201A3F" w:rsidRDefault="005B1F40" w:rsidP="005B1F40">
            <w:pPr>
              <w:jc w:val="both"/>
              <w:rPr>
                <w:rFonts w:eastAsia="Calibri"/>
                <w:sz w:val="20"/>
              </w:rPr>
            </w:pPr>
            <w:r w:rsidRPr="00201A3F">
              <w:rPr>
                <w:rFonts w:eastAsia="Calibri"/>
                <w:sz w:val="20"/>
              </w:rPr>
              <w:t>Appeal dismissed</w:t>
            </w:r>
          </w:p>
        </w:tc>
      </w:tr>
      <w:tr w:rsidR="005B1F40" w:rsidRPr="00201A3F" w:rsidTr="005B1F40">
        <w:tc>
          <w:tcPr>
            <w:tcW w:w="2427" w:type="pct"/>
          </w:tcPr>
          <w:p w:rsidR="005B1F40" w:rsidRPr="00201A3F" w:rsidRDefault="005B1F40" w:rsidP="005B1F40">
            <w:pPr>
              <w:jc w:val="both"/>
              <w:rPr>
                <w:rFonts w:eastAsia="Calibri"/>
                <w:sz w:val="20"/>
              </w:rPr>
            </w:pPr>
            <w:r w:rsidRPr="00201A3F">
              <w:rPr>
                <w:rFonts w:eastAsia="Calibri"/>
                <w:sz w:val="20"/>
              </w:rPr>
              <w:t>September 12, 2012</w:t>
            </w:r>
          </w:p>
          <w:p w:rsidR="005B1F40" w:rsidRPr="00201A3F" w:rsidRDefault="005B1F40" w:rsidP="005B1F40">
            <w:pPr>
              <w:jc w:val="both"/>
              <w:rPr>
                <w:rFonts w:eastAsia="Calibri"/>
                <w:sz w:val="20"/>
              </w:rPr>
            </w:pPr>
            <w:r w:rsidRPr="00201A3F">
              <w:rPr>
                <w:rFonts w:eastAsia="Calibri"/>
                <w:sz w:val="20"/>
              </w:rPr>
              <w:t>Supreme Court of Canada</w:t>
            </w:r>
          </w:p>
        </w:tc>
        <w:tc>
          <w:tcPr>
            <w:tcW w:w="243" w:type="pct"/>
          </w:tcPr>
          <w:p w:rsidR="005B1F40" w:rsidRPr="00201A3F" w:rsidRDefault="005B1F40" w:rsidP="005B1F40">
            <w:pPr>
              <w:jc w:val="both"/>
              <w:rPr>
                <w:rFonts w:eastAsia="Calibri"/>
                <w:sz w:val="20"/>
              </w:rPr>
            </w:pPr>
          </w:p>
        </w:tc>
        <w:tc>
          <w:tcPr>
            <w:tcW w:w="2330" w:type="pct"/>
          </w:tcPr>
          <w:p w:rsidR="005B1F40" w:rsidRPr="00201A3F" w:rsidRDefault="005B1F40" w:rsidP="005B1F40">
            <w:pPr>
              <w:jc w:val="both"/>
              <w:rPr>
                <w:rFonts w:eastAsia="Calibri"/>
                <w:sz w:val="20"/>
              </w:rPr>
            </w:pPr>
            <w:r w:rsidRPr="00201A3F">
              <w:rPr>
                <w:rFonts w:eastAsia="Calibri"/>
                <w:sz w:val="20"/>
              </w:rPr>
              <w:t>Application for leave to appeal filed</w:t>
            </w:r>
          </w:p>
        </w:tc>
      </w:tr>
    </w:tbl>
    <w:p w:rsidR="00A740D1" w:rsidRDefault="00A740D1" w:rsidP="00A740D1">
      <w:pPr>
        <w:rPr>
          <w:sz w:val="20"/>
          <w:szCs w:val="20"/>
        </w:rPr>
      </w:pPr>
    </w:p>
    <w:p w:rsidR="00A740D1" w:rsidRPr="00C50A5C" w:rsidRDefault="00BF3B03" w:rsidP="00A740D1">
      <w:pPr>
        <w:rPr>
          <w:sz w:val="20"/>
          <w:szCs w:val="20"/>
        </w:rPr>
      </w:pPr>
      <w:r w:rsidRPr="00BF3B03">
        <w:rPr>
          <w:sz w:val="20"/>
          <w:szCs w:val="20"/>
          <w:lang w:val="fr-CA"/>
        </w:rPr>
        <w:pict>
          <v:rect id="_x0000_i1080" style="width:2in;height:1pt" o:hrpct="0" o:hralign="center" o:hrstd="t" o:hrnoshade="t" o:hr="t" fillcolor="black [3213]" stroked="f"/>
        </w:pict>
      </w:r>
    </w:p>
    <w:p w:rsidR="00A740D1" w:rsidRDefault="00A740D1" w:rsidP="00A740D1">
      <w:pPr>
        <w:rPr>
          <w:sz w:val="20"/>
          <w:szCs w:val="20"/>
        </w:rPr>
      </w:pPr>
    </w:p>
    <w:p w:rsidR="00A740D1" w:rsidRPr="001B157C" w:rsidRDefault="00A740D1" w:rsidP="00A740D1">
      <w:pPr>
        <w:rPr>
          <w:sz w:val="20"/>
          <w:szCs w:val="20"/>
          <w:u w:val="single"/>
          <w:lang w:val="fr-CA"/>
        </w:rPr>
      </w:pPr>
      <w:r w:rsidRPr="001B157C">
        <w:rPr>
          <w:sz w:val="20"/>
          <w:szCs w:val="20"/>
          <w:u w:val="single"/>
          <w:lang w:val="fr-CA"/>
        </w:rPr>
        <w:t>RÉSUMÉ DE L’AFFAIRE</w:t>
      </w:r>
    </w:p>
    <w:p w:rsidR="00A740D1" w:rsidRDefault="00A740D1" w:rsidP="00A740D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B1F40" w:rsidRPr="00DC2D1F" w:rsidTr="005B1F40">
        <w:tc>
          <w:tcPr>
            <w:tcW w:w="5000" w:type="pct"/>
            <w:gridSpan w:val="3"/>
          </w:tcPr>
          <w:p w:rsidR="005B1F40" w:rsidRPr="00201A3F" w:rsidRDefault="005B1F40" w:rsidP="005B1F40">
            <w:pPr>
              <w:jc w:val="both"/>
              <w:rPr>
                <w:rFonts w:eastAsia="Calibri"/>
                <w:sz w:val="20"/>
                <w:lang w:val="fr-FR"/>
              </w:rPr>
            </w:pPr>
            <w:r w:rsidRPr="00201A3F">
              <w:rPr>
                <w:rFonts w:eastAsia="Calibri"/>
                <w:sz w:val="20"/>
                <w:lang w:val="fr-CA"/>
              </w:rPr>
              <w:t>Droit criminel — Arrestation — Conditions formelles — Arrestation sans mandat — Allégation de dénonciations non signées — L’arrestation du demandeur contrevenait</w:t>
            </w:r>
            <w:r w:rsidRPr="00201A3F">
              <w:rPr>
                <w:rFonts w:eastAsia="Calibri"/>
                <w:sz w:val="20"/>
                <w:lang w:val="fr-CA"/>
              </w:rPr>
              <w:noBreakHyphen/>
              <w:t>elle aux règles?</w:t>
            </w:r>
          </w:p>
        </w:tc>
      </w:tr>
      <w:tr w:rsidR="005B1F40" w:rsidRPr="00DC2D1F" w:rsidTr="005B1F40">
        <w:tc>
          <w:tcPr>
            <w:tcW w:w="5000" w:type="pct"/>
            <w:gridSpan w:val="3"/>
          </w:tcPr>
          <w:p w:rsidR="005B1F40" w:rsidRPr="00201A3F" w:rsidRDefault="005B1F40" w:rsidP="005B1F40">
            <w:pPr>
              <w:jc w:val="both"/>
              <w:rPr>
                <w:rFonts w:eastAsia="Calibri"/>
                <w:sz w:val="20"/>
                <w:lang w:val="fr-CA"/>
              </w:rPr>
            </w:pPr>
          </w:p>
        </w:tc>
      </w:tr>
      <w:tr w:rsidR="005B1F40" w:rsidRPr="00DC2D1F" w:rsidTr="005B1F40">
        <w:tc>
          <w:tcPr>
            <w:tcW w:w="5000" w:type="pct"/>
            <w:gridSpan w:val="3"/>
          </w:tcPr>
          <w:p w:rsidR="005B1F40" w:rsidRPr="00201A3F" w:rsidRDefault="005B1F40" w:rsidP="005B1F40">
            <w:pPr>
              <w:jc w:val="both"/>
              <w:rPr>
                <w:rFonts w:eastAsia="Calibri"/>
                <w:sz w:val="20"/>
                <w:lang w:val="fr-CA"/>
              </w:rPr>
            </w:pPr>
            <w:r w:rsidRPr="00201A3F">
              <w:rPr>
                <w:rFonts w:eastAsia="Calibri"/>
                <w:sz w:val="20"/>
                <w:lang w:val="fr-CA"/>
              </w:rPr>
              <w:t>Le demandeur a été arrêté le 25 novembre 2011 pour répondre, entre autres, à des accusations relatives à des actes d'intimidation qui seraient survenus le 27 octobre 2011.  Il reproche aux policiers de l'avoir arrêté sans mandat et il allègue que les dénonciations à l'origine de son arrestation n'étaient pas dûment assermentées.</w:t>
            </w:r>
          </w:p>
          <w:p w:rsidR="005B1F40" w:rsidRPr="00201A3F" w:rsidRDefault="005B1F40" w:rsidP="005B1F40">
            <w:pPr>
              <w:jc w:val="both"/>
              <w:rPr>
                <w:rFonts w:eastAsia="Calibri"/>
                <w:sz w:val="20"/>
                <w:lang w:val="fr-CA"/>
              </w:rPr>
            </w:pPr>
          </w:p>
        </w:tc>
      </w:tr>
      <w:tr w:rsidR="005B1F40" w:rsidRPr="00DC2D1F" w:rsidTr="005B1F40">
        <w:tc>
          <w:tcPr>
            <w:tcW w:w="2427" w:type="pct"/>
          </w:tcPr>
          <w:p w:rsidR="005B1F40" w:rsidRPr="00201A3F" w:rsidRDefault="005B1F40" w:rsidP="005B1F40">
            <w:pPr>
              <w:jc w:val="both"/>
              <w:rPr>
                <w:rFonts w:eastAsia="Calibri"/>
                <w:sz w:val="20"/>
                <w:lang w:val="fr-CA"/>
              </w:rPr>
            </w:pPr>
            <w:r w:rsidRPr="00201A3F">
              <w:rPr>
                <w:rFonts w:eastAsia="Calibri"/>
                <w:sz w:val="20"/>
                <w:lang w:val="fr-CA"/>
              </w:rPr>
              <w:t>Le 24 janvier 2012</w:t>
            </w:r>
          </w:p>
          <w:p w:rsidR="005B1F40" w:rsidRPr="00201A3F" w:rsidRDefault="005B1F40" w:rsidP="005B1F40">
            <w:pPr>
              <w:jc w:val="both"/>
              <w:rPr>
                <w:rFonts w:eastAsia="Calibri"/>
                <w:sz w:val="20"/>
                <w:lang w:val="fr-CA"/>
              </w:rPr>
            </w:pPr>
            <w:r w:rsidRPr="00201A3F">
              <w:rPr>
                <w:rFonts w:eastAsia="Calibri"/>
                <w:sz w:val="20"/>
                <w:lang w:val="fr-CA"/>
              </w:rPr>
              <w:t>Cour supérieure du Québec</w:t>
            </w:r>
          </w:p>
          <w:p w:rsidR="005B1F40" w:rsidRPr="00201A3F" w:rsidRDefault="005B1F40" w:rsidP="005B1F40">
            <w:pPr>
              <w:jc w:val="both"/>
              <w:rPr>
                <w:rFonts w:eastAsia="Calibri"/>
                <w:sz w:val="20"/>
                <w:lang w:val="fr-CA"/>
              </w:rPr>
            </w:pPr>
            <w:r w:rsidRPr="00201A3F">
              <w:rPr>
                <w:rFonts w:eastAsia="Calibri"/>
                <w:sz w:val="20"/>
                <w:lang w:val="fr-CA"/>
              </w:rPr>
              <w:t>(Le juge David)</w:t>
            </w:r>
          </w:p>
          <w:p w:rsidR="005B1F40" w:rsidRPr="00201A3F" w:rsidRDefault="005B1F40" w:rsidP="005B1F40">
            <w:pPr>
              <w:jc w:val="both"/>
              <w:rPr>
                <w:rFonts w:eastAsia="Calibri"/>
                <w:sz w:val="20"/>
              </w:rPr>
            </w:pPr>
          </w:p>
        </w:tc>
        <w:tc>
          <w:tcPr>
            <w:tcW w:w="243" w:type="pct"/>
          </w:tcPr>
          <w:p w:rsidR="005B1F40" w:rsidRPr="00201A3F" w:rsidRDefault="005B1F40" w:rsidP="005B1F40">
            <w:pPr>
              <w:jc w:val="both"/>
              <w:rPr>
                <w:rFonts w:eastAsia="Calibri"/>
                <w:sz w:val="20"/>
              </w:rPr>
            </w:pPr>
          </w:p>
        </w:tc>
        <w:tc>
          <w:tcPr>
            <w:tcW w:w="2330" w:type="pct"/>
          </w:tcPr>
          <w:p w:rsidR="005B1F40" w:rsidRPr="00201A3F" w:rsidRDefault="005B1F40" w:rsidP="005B1F40">
            <w:pPr>
              <w:jc w:val="both"/>
              <w:rPr>
                <w:rFonts w:eastAsia="Calibri"/>
                <w:sz w:val="20"/>
                <w:lang w:val="fr-CA"/>
              </w:rPr>
            </w:pPr>
            <w:r w:rsidRPr="00201A3F">
              <w:rPr>
                <w:rFonts w:eastAsia="Calibri"/>
                <w:sz w:val="20"/>
                <w:lang w:val="fr-CA"/>
              </w:rPr>
              <w:t xml:space="preserve">Rejet de la requête en </w:t>
            </w:r>
            <w:r w:rsidRPr="00201A3F">
              <w:rPr>
                <w:rFonts w:eastAsia="Calibri"/>
                <w:i/>
                <w:sz w:val="20"/>
                <w:lang w:val="fr-CA"/>
              </w:rPr>
              <w:t>certiorari</w:t>
            </w:r>
            <w:r w:rsidRPr="00201A3F">
              <w:rPr>
                <w:rFonts w:eastAsia="Calibri"/>
                <w:sz w:val="20"/>
                <w:lang w:val="fr-CA"/>
              </w:rPr>
              <w:t xml:space="preserve"> du demandeur.</w:t>
            </w:r>
          </w:p>
        </w:tc>
      </w:tr>
      <w:tr w:rsidR="005B1F40" w:rsidRPr="00201A3F" w:rsidTr="00C4561E">
        <w:trPr>
          <w:cantSplit/>
        </w:trPr>
        <w:tc>
          <w:tcPr>
            <w:tcW w:w="2427" w:type="pct"/>
          </w:tcPr>
          <w:p w:rsidR="005B1F40" w:rsidRPr="00201A3F" w:rsidRDefault="005B1F40" w:rsidP="005B1F40">
            <w:pPr>
              <w:jc w:val="both"/>
              <w:rPr>
                <w:rFonts w:eastAsia="Calibri"/>
                <w:sz w:val="20"/>
                <w:lang w:val="fr-CA"/>
              </w:rPr>
            </w:pPr>
            <w:r w:rsidRPr="00201A3F">
              <w:rPr>
                <w:rFonts w:eastAsia="Calibri"/>
                <w:sz w:val="20"/>
                <w:lang w:val="fr-CA"/>
              </w:rPr>
              <w:lastRenderedPageBreak/>
              <w:t>Le 15 juin 2012</w:t>
            </w:r>
          </w:p>
          <w:p w:rsidR="005B1F40" w:rsidRPr="00201A3F" w:rsidRDefault="005B1F40" w:rsidP="005B1F40">
            <w:pPr>
              <w:jc w:val="both"/>
              <w:rPr>
                <w:rFonts w:eastAsia="Calibri"/>
                <w:sz w:val="20"/>
                <w:lang w:val="fr-CA"/>
              </w:rPr>
            </w:pPr>
            <w:r w:rsidRPr="00201A3F">
              <w:rPr>
                <w:rFonts w:eastAsia="Calibri"/>
                <w:sz w:val="20"/>
                <w:lang w:val="fr-CA"/>
              </w:rPr>
              <w:t>Cour d’appel du Québec (Montréal)</w:t>
            </w:r>
          </w:p>
          <w:p w:rsidR="005B1F40" w:rsidRPr="00201A3F" w:rsidRDefault="005B1F40" w:rsidP="005B1F40">
            <w:pPr>
              <w:jc w:val="both"/>
              <w:rPr>
                <w:rFonts w:eastAsia="Calibri"/>
                <w:sz w:val="20"/>
                <w:lang w:val="fr-FR"/>
              </w:rPr>
            </w:pPr>
            <w:r w:rsidRPr="00201A3F">
              <w:rPr>
                <w:rFonts w:eastAsia="Calibri"/>
                <w:sz w:val="20"/>
                <w:lang w:val="fr-FR"/>
              </w:rPr>
              <w:t>(Les juges Hilton, Kasirer et Wagner)</w:t>
            </w:r>
          </w:p>
          <w:p w:rsidR="005B1F40" w:rsidRPr="00201A3F" w:rsidRDefault="005B1F40" w:rsidP="005B1F40">
            <w:pPr>
              <w:jc w:val="both"/>
              <w:rPr>
                <w:rFonts w:eastAsia="Calibri"/>
                <w:sz w:val="20"/>
                <w:lang w:val="fr-CA"/>
              </w:rPr>
            </w:pPr>
            <w:r w:rsidRPr="00201A3F">
              <w:rPr>
                <w:rFonts w:eastAsia="Calibri"/>
                <w:sz w:val="20"/>
                <w:lang w:val="fr-CA"/>
              </w:rPr>
              <w:t>2012 QCCA 1157</w:t>
            </w:r>
          </w:p>
          <w:p w:rsidR="005B1F40" w:rsidRPr="00201A3F" w:rsidRDefault="005B1F40" w:rsidP="005B1F40">
            <w:pPr>
              <w:jc w:val="both"/>
              <w:rPr>
                <w:rFonts w:eastAsia="Calibri"/>
                <w:sz w:val="20"/>
              </w:rPr>
            </w:pPr>
          </w:p>
        </w:tc>
        <w:tc>
          <w:tcPr>
            <w:tcW w:w="243" w:type="pct"/>
          </w:tcPr>
          <w:p w:rsidR="005B1F40" w:rsidRPr="00201A3F" w:rsidRDefault="005B1F40" w:rsidP="005B1F40">
            <w:pPr>
              <w:jc w:val="both"/>
              <w:rPr>
                <w:rFonts w:eastAsia="Calibri"/>
                <w:sz w:val="20"/>
              </w:rPr>
            </w:pPr>
          </w:p>
        </w:tc>
        <w:tc>
          <w:tcPr>
            <w:tcW w:w="2330" w:type="pct"/>
          </w:tcPr>
          <w:p w:rsidR="005B1F40" w:rsidRPr="00201A3F" w:rsidRDefault="005B1F40" w:rsidP="005B1F40">
            <w:pPr>
              <w:jc w:val="both"/>
              <w:rPr>
                <w:rFonts w:eastAsia="Calibri"/>
                <w:sz w:val="20"/>
                <w:lang w:val="fr-CA"/>
              </w:rPr>
            </w:pPr>
            <w:r w:rsidRPr="00201A3F">
              <w:rPr>
                <w:rFonts w:eastAsia="Calibri"/>
                <w:sz w:val="20"/>
                <w:lang w:val="fr-CA"/>
              </w:rPr>
              <w:t>Rejet de l’appel.</w:t>
            </w:r>
          </w:p>
        </w:tc>
      </w:tr>
      <w:tr w:rsidR="005B1F40" w:rsidRPr="00DC2D1F" w:rsidTr="00C4561E">
        <w:trPr>
          <w:cantSplit/>
        </w:trPr>
        <w:tc>
          <w:tcPr>
            <w:tcW w:w="2427" w:type="pct"/>
          </w:tcPr>
          <w:p w:rsidR="005B1F40" w:rsidRPr="00201A3F" w:rsidRDefault="005B1F40" w:rsidP="005B1F40">
            <w:pPr>
              <w:jc w:val="both"/>
              <w:rPr>
                <w:rFonts w:eastAsia="Calibri"/>
                <w:sz w:val="20"/>
                <w:lang w:val="fr-CA"/>
              </w:rPr>
            </w:pPr>
            <w:r w:rsidRPr="00201A3F">
              <w:rPr>
                <w:rFonts w:eastAsia="Calibri"/>
                <w:sz w:val="20"/>
                <w:lang w:val="fr-CA"/>
              </w:rPr>
              <w:t>Le 12 septembre 2012</w:t>
            </w:r>
          </w:p>
          <w:p w:rsidR="005B1F40" w:rsidRPr="00201A3F" w:rsidRDefault="005B1F40" w:rsidP="005B1F40">
            <w:pPr>
              <w:jc w:val="both"/>
              <w:rPr>
                <w:rFonts w:eastAsia="Calibri"/>
                <w:sz w:val="20"/>
                <w:lang w:val="fr-FR"/>
              </w:rPr>
            </w:pPr>
            <w:r w:rsidRPr="00201A3F">
              <w:rPr>
                <w:rFonts w:eastAsia="Calibri"/>
                <w:sz w:val="20"/>
                <w:lang w:val="fr-CA"/>
              </w:rPr>
              <w:t>Cour suprême du Canada</w:t>
            </w:r>
          </w:p>
        </w:tc>
        <w:tc>
          <w:tcPr>
            <w:tcW w:w="243" w:type="pct"/>
          </w:tcPr>
          <w:p w:rsidR="005B1F40" w:rsidRPr="00201A3F" w:rsidRDefault="005B1F40" w:rsidP="005B1F40">
            <w:pPr>
              <w:jc w:val="both"/>
              <w:rPr>
                <w:rFonts w:eastAsia="Calibri"/>
                <w:sz w:val="20"/>
                <w:lang w:val="fr-FR"/>
              </w:rPr>
            </w:pPr>
          </w:p>
        </w:tc>
        <w:tc>
          <w:tcPr>
            <w:tcW w:w="2330" w:type="pct"/>
          </w:tcPr>
          <w:p w:rsidR="005B1F40" w:rsidRPr="00201A3F" w:rsidRDefault="005B1F40" w:rsidP="005B1F40">
            <w:pPr>
              <w:jc w:val="both"/>
              <w:rPr>
                <w:rFonts w:eastAsia="Calibri"/>
                <w:sz w:val="20"/>
                <w:lang w:val="fr-CA"/>
              </w:rPr>
            </w:pPr>
            <w:r w:rsidRPr="00201A3F">
              <w:rPr>
                <w:rFonts w:eastAsia="Calibri"/>
                <w:sz w:val="20"/>
                <w:lang w:val="fr-CA"/>
              </w:rPr>
              <w:t>Dépôt de la demande d'autorisation d'appel.</w:t>
            </w:r>
          </w:p>
          <w:p w:rsidR="005B1F40" w:rsidRPr="00201A3F" w:rsidRDefault="005B1F40" w:rsidP="005B1F40">
            <w:pPr>
              <w:jc w:val="both"/>
              <w:rPr>
                <w:rFonts w:eastAsia="Calibri"/>
                <w:sz w:val="20"/>
                <w:lang w:val="fr-CA"/>
              </w:rPr>
            </w:pPr>
          </w:p>
        </w:tc>
      </w:tr>
    </w:tbl>
    <w:p w:rsidR="00A740D1" w:rsidRPr="005B1F40" w:rsidRDefault="00A740D1" w:rsidP="00A740D1">
      <w:pPr>
        <w:rPr>
          <w:sz w:val="20"/>
          <w:szCs w:val="20"/>
          <w:lang w:val="fr-CA"/>
        </w:rPr>
      </w:pPr>
    </w:p>
    <w:p w:rsidR="00A740D1" w:rsidRDefault="00BF3B03" w:rsidP="00A740D1">
      <w:pPr>
        <w:rPr>
          <w:sz w:val="20"/>
          <w:szCs w:val="20"/>
        </w:rPr>
      </w:pPr>
      <w:r w:rsidRPr="00BF3B03">
        <w:rPr>
          <w:sz w:val="20"/>
          <w:szCs w:val="20"/>
          <w:lang w:val="fr-CA"/>
        </w:rPr>
        <w:pict>
          <v:rect id="_x0000_i1081" style="width:2in;height:1pt" o:hrpct="0" o:hralign="center" o:hrstd="t" o:hrnoshade="t" o:hr="t" fillcolor="black [3213]" stroked="f"/>
        </w:pict>
      </w:r>
    </w:p>
    <w:p w:rsidR="00A740D1" w:rsidRDefault="00A740D1" w:rsidP="00A740D1">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4561E" w:rsidRPr="00DC2D1F" w:rsidTr="007A1180">
        <w:trPr>
          <w:cantSplit/>
        </w:trPr>
        <w:tc>
          <w:tcPr>
            <w:tcW w:w="1458" w:type="dxa"/>
          </w:tcPr>
          <w:p w:rsidR="00C4561E" w:rsidRPr="00B83D51" w:rsidRDefault="00C4561E" w:rsidP="007A1180">
            <w:pPr>
              <w:rPr>
                <w:sz w:val="20"/>
                <w:szCs w:val="20"/>
              </w:rPr>
            </w:pPr>
            <w:r w:rsidRPr="00B83D51">
              <w:rPr>
                <w:rStyle w:val="SCCFileNumberChar"/>
                <w:sz w:val="20"/>
                <w:szCs w:val="20"/>
              </w:rPr>
              <w:t>34972</w:t>
            </w:r>
          </w:p>
          <w:p w:rsidR="00C4561E" w:rsidRPr="00B83D51" w:rsidRDefault="00C4561E" w:rsidP="007A1180">
            <w:pPr>
              <w:rPr>
                <w:b/>
                <w:sz w:val="20"/>
                <w:szCs w:val="20"/>
                <w:lang w:val="fr-CA"/>
              </w:rPr>
            </w:pPr>
          </w:p>
        </w:tc>
        <w:tc>
          <w:tcPr>
            <w:tcW w:w="8118" w:type="dxa"/>
          </w:tcPr>
          <w:p w:rsidR="00C4561E" w:rsidRPr="00B83D51" w:rsidRDefault="00C4561E" w:rsidP="007A1180">
            <w:pPr>
              <w:jc w:val="both"/>
              <w:rPr>
                <w:sz w:val="20"/>
                <w:szCs w:val="20"/>
                <w:lang w:val="fr-CA"/>
              </w:rPr>
            </w:pPr>
            <w:r w:rsidRPr="00B83D51">
              <w:rPr>
                <w:rStyle w:val="SCCLsocChar"/>
                <w:sz w:val="20"/>
                <w:szCs w:val="20"/>
              </w:rPr>
              <w:t>Gilles Patenaude c. Ville de Longueuil</w:t>
            </w:r>
            <w:r w:rsidR="00EB5134">
              <w:rPr>
                <w:rStyle w:val="SCCLsocChar"/>
                <w:sz w:val="20"/>
                <w:szCs w:val="20"/>
              </w:rPr>
              <w:t xml:space="preserve"> et</w:t>
            </w:r>
            <w:r w:rsidRPr="00B83D51">
              <w:rPr>
                <w:rStyle w:val="SCCLsocChar"/>
                <w:sz w:val="20"/>
                <w:szCs w:val="20"/>
              </w:rPr>
              <w:t xml:space="preserve"> Procureur général du Québec</w:t>
            </w:r>
            <w:r w:rsidRPr="00B83D51">
              <w:rPr>
                <w:sz w:val="20"/>
                <w:szCs w:val="20"/>
                <w:lang w:val="fr-CA"/>
              </w:rPr>
              <w:t xml:space="preserve"> (Qc) (Civile) (Autorisation)</w:t>
            </w:r>
          </w:p>
          <w:p w:rsidR="00C4561E" w:rsidRPr="00B83D51" w:rsidRDefault="00C4561E" w:rsidP="007A1180">
            <w:pPr>
              <w:rPr>
                <w:sz w:val="20"/>
                <w:szCs w:val="20"/>
                <w:lang w:val="fr-CA"/>
              </w:rPr>
            </w:pPr>
          </w:p>
        </w:tc>
      </w:tr>
      <w:tr w:rsidR="00C4561E" w:rsidRPr="00DC2D1F" w:rsidTr="007A1180">
        <w:trPr>
          <w:cantSplit/>
        </w:trPr>
        <w:tc>
          <w:tcPr>
            <w:tcW w:w="1458" w:type="dxa"/>
          </w:tcPr>
          <w:p w:rsidR="00C4561E" w:rsidRPr="00B83D51" w:rsidRDefault="00C4561E" w:rsidP="007A1180">
            <w:pPr>
              <w:rPr>
                <w:sz w:val="20"/>
                <w:szCs w:val="20"/>
              </w:rPr>
            </w:pPr>
            <w:r w:rsidRPr="00B83D51">
              <w:rPr>
                <w:sz w:val="20"/>
                <w:szCs w:val="20"/>
              </w:rPr>
              <w:t>Coram :</w:t>
            </w:r>
          </w:p>
        </w:tc>
        <w:tc>
          <w:tcPr>
            <w:tcW w:w="8118" w:type="dxa"/>
          </w:tcPr>
          <w:p w:rsidR="00C4561E" w:rsidRPr="00B83D51" w:rsidRDefault="00C4561E" w:rsidP="007A1180">
            <w:pPr>
              <w:rPr>
                <w:sz w:val="20"/>
                <w:szCs w:val="20"/>
                <w:lang w:val="fr-CA"/>
              </w:rPr>
            </w:pPr>
            <w:r w:rsidRPr="00B83D51">
              <w:rPr>
                <w:rStyle w:val="SCCCoramChar"/>
                <w:sz w:val="20"/>
                <w:szCs w:val="20"/>
              </w:rPr>
              <w:t>Les juges LeBel, Abella et Cromwell</w:t>
            </w:r>
          </w:p>
          <w:p w:rsidR="00C4561E" w:rsidRPr="00B83D51" w:rsidRDefault="00C4561E" w:rsidP="007A1180">
            <w:pPr>
              <w:rPr>
                <w:sz w:val="20"/>
                <w:szCs w:val="20"/>
                <w:u w:val="single"/>
                <w:lang w:val="fr-CA"/>
              </w:rPr>
            </w:pPr>
          </w:p>
        </w:tc>
      </w:tr>
      <w:tr w:rsidR="00C4561E" w:rsidRPr="00B83D51" w:rsidTr="007A1180">
        <w:trPr>
          <w:cantSplit/>
        </w:trPr>
        <w:tc>
          <w:tcPr>
            <w:tcW w:w="9576" w:type="dxa"/>
            <w:gridSpan w:val="2"/>
          </w:tcPr>
          <w:p w:rsidR="00C4561E" w:rsidRPr="00B83D51" w:rsidRDefault="00C4561E" w:rsidP="007A1180">
            <w:pPr>
              <w:pStyle w:val="SCCShortJudgment"/>
              <w:rPr>
                <w:szCs w:val="20"/>
                <w:lang w:val="fr-CA"/>
              </w:rPr>
            </w:pPr>
            <w:r w:rsidRPr="00B83D51">
              <w:rPr>
                <w:szCs w:val="20"/>
                <w:lang w:val="fr-CA"/>
              </w:rPr>
              <w:t>La demande d’autorisation d’appel de l’arrêt de la Cour d’appel du Québec (Montréal), numéro 500-10-005204-126, 2012 QCCA 1410, daté du 8 août 2012, est rejetée sans dépens.</w:t>
            </w:r>
          </w:p>
          <w:p w:rsidR="00C4561E" w:rsidRPr="00B83D51" w:rsidRDefault="00C4561E" w:rsidP="007A1180">
            <w:pPr>
              <w:pStyle w:val="SCCShortJudgment"/>
              <w:ind w:firstLine="0"/>
              <w:rPr>
                <w:szCs w:val="20"/>
                <w:lang w:val="fr-CA"/>
              </w:rPr>
            </w:pPr>
          </w:p>
          <w:p w:rsidR="00C4561E" w:rsidRPr="00B83D51" w:rsidRDefault="00C4561E" w:rsidP="007A1180">
            <w:pPr>
              <w:pStyle w:val="SCCShortJudgment"/>
              <w:rPr>
                <w:szCs w:val="20"/>
              </w:rPr>
            </w:pPr>
            <w:r w:rsidRPr="00B83D51">
              <w:rPr>
                <w:szCs w:val="20"/>
              </w:rPr>
              <w:t>The application for leave to appeal from the judgment of the Court of Appeal of Quebec (Montréal), Number 500-10-005204-126, 2012 QCCA 1410, dated August 8, 2012, is dismissed without costs.</w:t>
            </w:r>
          </w:p>
        </w:tc>
      </w:tr>
    </w:tbl>
    <w:p w:rsidR="00A740D1" w:rsidRDefault="00A740D1" w:rsidP="00A740D1">
      <w:pPr>
        <w:rPr>
          <w:sz w:val="20"/>
          <w:szCs w:val="20"/>
        </w:rPr>
      </w:pPr>
    </w:p>
    <w:p w:rsidR="00A740D1" w:rsidRPr="001B157C" w:rsidRDefault="00A740D1" w:rsidP="00A740D1">
      <w:pPr>
        <w:rPr>
          <w:sz w:val="20"/>
          <w:szCs w:val="20"/>
          <w:u w:val="single"/>
        </w:rPr>
      </w:pPr>
      <w:r w:rsidRPr="001B157C">
        <w:rPr>
          <w:sz w:val="20"/>
          <w:szCs w:val="20"/>
          <w:u w:val="single"/>
        </w:rPr>
        <w:t>CASE SUMMARY</w:t>
      </w:r>
    </w:p>
    <w:p w:rsidR="00A740D1" w:rsidRDefault="00A740D1" w:rsidP="00A740D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B640C" w:rsidRPr="00201A3F" w:rsidTr="00D43A9E">
        <w:tc>
          <w:tcPr>
            <w:tcW w:w="5000" w:type="pct"/>
            <w:gridSpan w:val="3"/>
          </w:tcPr>
          <w:p w:rsidR="004B640C" w:rsidRPr="00201A3F" w:rsidRDefault="004B640C" w:rsidP="00D43A9E">
            <w:pPr>
              <w:jc w:val="both"/>
              <w:rPr>
                <w:rFonts w:eastAsia="Calibri"/>
                <w:sz w:val="20"/>
              </w:rPr>
            </w:pPr>
            <w:r w:rsidRPr="00201A3F">
              <w:rPr>
                <w:rFonts w:eastAsia="Calibri"/>
                <w:sz w:val="20"/>
              </w:rPr>
              <w:t>Civil procedure — Leave to appeal — Motion for leave to appeal dismissed — Whether courts below should have dealt with constitutional objection raised by applicant.</w:t>
            </w:r>
          </w:p>
        </w:tc>
      </w:tr>
      <w:tr w:rsidR="004B640C" w:rsidRPr="00201A3F" w:rsidTr="00D43A9E">
        <w:tc>
          <w:tcPr>
            <w:tcW w:w="5000" w:type="pct"/>
            <w:gridSpan w:val="3"/>
          </w:tcPr>
          <w:p w:rsidR="004B640C" w:rsidRPr="00201A3F" w:rsidRDefault="004B640C" w:rsidP="00D43A9E">
            <w:pPr>
              <w:jc w:val="both"/>
              <w:rPr>
                <w:rFonts w:eastAsia="Calibri"/>
                <w:sz w:val="20"/>
              </w:rPr>
            </w:pPr>
          </w:p>
        </w:tc>
      </w:tr>
      <w:tr w:rsidR="004B640C" w:rsidRPr="00201A3F" w:rsidTr="00D43A9E">
        <w:tc>
          <w:tcPr>
            <w:tcW w:w="5000" w:type="pct"/>
            <w:gridSpan w:val="3"/>
          </w:tcPr>
          <w:p w:rsidR="004B640C" w:rsidRPr="00201A3F" w:rsidRDefault="004B640C" w:rsidP="00D43A9E">
            <w:pPr>
              <w:jc w:val="both"/>
              <w:rPr>
                <w:rFonts w:eastAsia="Calibri"/>
                <w:sz w:val="20"/>
              </w:rPr>
            </w:pPr>
            <w:r w:rsidRPr="00201A3F">
              <w:rPr>
                <w:rFonts w:eastAsia="Calibri"/>
                <w:sz w:val="20"/>
              </w:rPr>
              <w:t xml:space="preserve">Mr. Patenaude was convicted of an offence under the </w:t>
            </w:r>
            <w:r w:rsidRPr="00201A3F">
              <w:rPr>
                <w:rFonts w:eastAsia="Calibri"/>
                <w:i/>
                <w:sz w:val="20"/>
              </w:rPr>
              <w:t>Highway Safety Code</w:t>
            </w:r>
            <w:r w:rsidRPr="00201A3F">
              <w:rPr>
                <w:rFonts w:eastAsia="Calibri"/>
                <w:sz w:val="20"/>
              </w:rPr>
              <w:t xml:space="preserve"> (s. 482).  On appeal to the Superior Court, the Attorney General of Quebec moved to dismiss the appeal, arguing essentially that Mr. Patenaude’s application for a declaration that the legislative provision at issue was contrary to the spirit and letter of s. 15(2) of the </w:t>
            </w:r>
            <w:r w:rsidRPr="00201A3F">
              <w:rPr>
                <w:rFonts w:eastAsia="Calibri"/>
                <w:i/>
                <w:sz w:val="20"/>
              </w:rPr>
              <w:t>Canadian Charter of Rights and Freedoms</w:t>
            </w:r>
            <w:r w:rsidRPr="00201A3F">
              <w:rPr>
                <w:rFonts w:eastAsia="Calibri"/>
                <w:sz w:val="20"/>
              </w:rPr>
              <w:t xml:space="preserve"> was unfounded in light of the case law relating to s. 15(1) and (2) of the </w:t>
            </w:r>
            <w:r w:rsidRPr="00201A3F">
              <w:rPr>
                <w:rFonts w:eastAsia="Calibri"/>
                <w:i/>
                <w:sz w:val="20"/>
              </w:rPr>
              <w:t>Charter</w:t>
            </w:r>
            <w:r w:rsidRPr="00201A3F">
              <w:rPr>
                <w:rFonts w:eastAsia="Calibri"/>
                <w:sz w:val="20"/>
              </w:rPr>
              <w:t>.  The Superior Court allowed the motion to dismiss the appeal.</w:t>
            </w:r>
          </w:p>
          <w:p w:rsidR="004B640C" w:rsidRPr="00201A3F" w:rsidRDefault="004B640C" w:rsidP="00D43A9E">
            <w:pPr>
              <w:jc w:val="both"/>
              <w:rPr>
                <w:rFonts w:eastAsia="Calibri"/>
                <w:sz w:val="20"/>
              </w:rPr>
            </w:pPr>
          </w:p>
          <w:p w:rsidR="004B640C" w:rsidRPr="00201A3F" w:rsidRDefault="004B640C" w:rsidP="00D43A9E">
            <w:pPr>
              <w:jc w:val="both"/>
              <w:rPr>
                <w:rFonts w:eastAsia="Calibri"/>
                <w:sz w:val="20"/>
              </w:rPr>
            </w:pPr>
            <w:r w:rsidRPr="00201A3F">
              <w:rPr>
                <w:rFonts w:eastAsia="Calibri"/>
                <w:sz w:val="20"/>
              </w:rPr>
              <w:t>Dufresne J.A. of the Court of Appeal refused leave to appeal on the ground that the questions of law raised by Mr. Patenaude had no chance of success.  Mr. Patenaude was arguing that the Superior Court had to make a declaratory ruling on the constitutional challenge before it.</w:t>
            </w:r>
          </w:p>
          <w:p w:rsidR="004B640C" w:rsidRPr="00201A3F" w:rsidRDefault="004B640C" w:rsidP="00D43A9E">
            <w:pPr>
              <w:jc w:val="both"/>
              <w:rPr>
                <w:rFonts w:eastAsia="Calibri"/>
                <w:sz w:val="20"/>
              </w:rPr>
            </w:pPr>
          </w:p>
        </w:tc>
      </w:tr>
      <w:tr w:rsidR="004B640C" w:rsidRPr="00201A3F" w:rsidTr="00D43A9E">
        <w:tc>
          <w:tcPr>
            <w:tcW w:w="2427" w:type="pct"/>
          </w:tcPr>
          <w:p w:rsidR="004B640C" w:rsidRPr="00201A3F" w:rsidRDefault="004B640C" w:rsidP="00D43A9E">
            <w:pPr>
              <w:jc w:val="both"/>
              <w:rPr>
                <w:rFonts w:eastAsia="Calibri"/>
                <w:sz w:val="20"/>
              </w:rPr>
            </w:pPr>
            <w:r w:rsidRPr="00201A3F">
              <w:rPr>
                <w:rFonts w:eastAsia="Calibri"/>
                <w:sz w:val="20"/>
              </w:rPr>
              <w:t>May 31, 2012</w:t>
            </w:r>
          </w:p>
          <w:p w:rsidR="004B640C" w:rsidRPr="00201A3F" w:rsidRDefault="004B640C" w:rsidP="00D43A9E">
            <w:pPr>
              <w:jc w:val="both"/>
              <w:rPr>
                <w:rFonts w:eastAsia="Calibri"/>
                <w:sz w:val="20"/>
              </w:rPr>
            </w:pPr>
            <w:r w:rsidRPr="00201A3F">
              <w:rPr>
                <w:rFonts w:eastAsia="Calibri"/>
                <w:sz w:val="20"/>
              </w:rPr>
              <w:t>Quebec Superior Court</w:t>
            </w:r>
          </w:p>
          <w:p w:rsidR="004B640C" w:rsidRPr="00201A3F" w:rsidRDefault="004B640C" w:rsidP="00D43A9E">
            <w:pPr>
              <w:jc w:val="both"/>
              <w:rPr>
                <w:rFonts w:eastAsia="Calibri"/>
                <w:sz w:val="20"/>
              </w:rPr>
            </w:pPr>
            <w:r w:rsidRPr="00201A3F">
              <w:rPr>
                <w:rFonts w:eastAsia="Calibri"/>
                <w:sz w:val="20"/>
              </w:rPr>
              <w:t>(Stober J.)</w:t>
            </w:r>
          </w:p>
          <w:p w:rsidR="004B640C" w:rsidRPr="00201A3F" w:rsidRDefault="004B640C" w:rsidP="00D43A9E">
            <w:pPr>
              <w:jc w:val="both"/>
              <w:rPr>
                <w:rFonts w:eastAsia="Calibri"/>
                <w:sz w:val="20"/>
              </w:rPr>
            </w:pPr>
          </w:p>
        </w:tc>
        <w:tc>
          <w:tcPr>
            <w:tcW w:w="243" w:type="pct"/>
          </w:tcPr>
          <w:p w:rsidR="004B640C" w:rsidRPr="00201A3F" w:rsidRDefault="004B640C" w:rsidP="00D43A9E">
            <w:pPr>
              <w:jc w:val="both"/>
              <w:rPr>
                <w:rFonts w:eastAsia="Calibri"/>
                <w:sz w:val="20"/>
              </w:rPr>
            </w:pPr>
          </w:p>
        </w:tc>
        <w:tc>
          <w:tcPr>
            <w:tcW w:w="2330" w:type="pct"/>
          </w:tcPr>
          <w:p w:rsidR="004B640C" w:rsidRPr="00201A3F" w:rsidRDefault="004B640C" w:rsidP="00D43A9E">
            <w:pPr>
              <w:jc w:val="both"/>
              <w:rPr>
                <w:rFonts w:eastAsia="Calibri"/>
                <w:sz w:val="20"/>
              </w:rPr>
            </w:pPr>
            <w:r w:rsidRPr="00201A3F">
              <w:rPr>
                <w:rFonts w:eastAsia="Calibri"/>
                <w:sz w:val="20"/>
              </w:rPr>
              <w:t>Motion to dismiss appeal from Municipal Court decision allowed; appeal dismissed</w:t>
            </w:r>
          </w:p>
          <w:p w:rsidR="004B640C" w:rsidRPr="00201A3F" w:rsidRDefault="004B640C" w:rsidP="00D43A9E">
            <w:pPr>
              <w:jc w:val="both"/>
              <w:rPr>
                <w:rFonts w:eastAsia="Calibri"/>
                <w:sz w:val="20"/>
              </w:rPr>
            </w:pPr>
          </w:p>
        </w:tc>
      </w:tr>
      <w:tr w:rsidR="004B640C" w:rsidRPr="00201A3F" w:rsidTr="00D43A9E">
        <w:tc>
          <w:tcPr>
            <w:tcW w:w="2427" w:type="pct"/>
          </w:tcPr>
          <w:p w:rsidR="004B640C" w:rsidRPr="00201A3F" w:rsidRDefault="004B640C" w:rsidP="00D43A9E">
            <w:pPr>
              <w:jc w:val="both"/>
              <w:rPr>
                <w:rFonts w:eastAsia="Calibri"/>
                <w:sz w:val="20"/>
              </w:rPr>
            </w:pPr>
            <w:r w:rsidRPr="00201A3F">
              <w:rPr>
                <w:rFonts w:eastAsia="Calibri"/>
                <w:sz w:val="20"/>
              </w:rPr>
              <w:t>August 8, 2012</w:t>
            </w:r>
          </w:p>
          <w:p w:rsidR="004B640C" w:rsidRPr="00201A3F" w:rsidRDefault="004B640C" w:rsidP="00D43A9E">
            <w:pPr>
              <w:jc w:val="both"/>
              <w:rPr>
                <w:rFonts w:eastAsia="Calibri"/>
                <w:sz w:val="20"/>
              </w:rPr>
            </w:pPr>
            <w:r w:rsidRPr="00201A3F">
              <w:rPr>
                <w:rFonts w:eastAsia="Calibri"/>
                <w:sz w:val="20"/>
              </w:rPr>
              <w:t>Quebec Court of Appeal (Montréal)</w:t>
            </w:r>
          </w:p>
          <w:p w:rsidR="004B640C" w:rsidRPr="00201A3F" w:rsidRDefault="004B640C" w:rsidP="00D43A9E">
            <w:pPr>
              <w:jc w:val="both"/>
              <w:rPr>
                <w:rFonts w:eastAsia="Calibri"/>
                <w:sz w:val="20"/>
              </w:rPr>
            </w:pPr>
            <w:r w:rsidRPr="00201A3F">
              <w:rPr>
                <w:rFonts w:eastAsia="Calibri"/>
                <w:sz w:val="20"/>
              </w:rPr>
              <w:t>(Dufresne J.A.)</w:t>
            </w:r>
          </w:p>
          <w:p w:rsidR="004B640C" w:rsidRPr="00201A3F" w:rsidRDefault="004B640C" w:rsidP="00D43A9E">
            <w:pPr>
              <w:jc w:val="both"/>
              <w:rPr>
                <w:rFonts w:eastAsia="Calibri"/>
                <w:sz w:val="20"/>
              </w:rPr>
            </w:pPr>
            <w:r w:rsidRPr="00201A3F">
              <w:rPr>
                <w:rFonts w:eastAsia="Calibri"/>
                <w:sz w:val="20"/>
              </w:rPr>
              <w:t>2012 QCCA 1410; 500-10-005204-126</w:t>
            </w:r>
          </w:p>
          <w:p w:rsidR="004B640C" w:rsidRPr="00201A3F" w:rsidRDefault="004B640C" w:rsidP="00D43A9E">
            <w:pPr>
              <w:jc w:val="both"/>
              <w:rPr>
                <w:rFonts w:eastAsia="Calibri"/>
                <w:sz w:val="20"/>
              </w:rPr>
            </w:pPr>
          </w:p>
        </w:tc>
        <w:tc>
          <w:tcPr>
            <w:tcW w:w="243" w:type="pct"/>
          </w:tcPr>
          <w:p w:rsidR="004B640C" w:rsidRPr="00201A3F" w:rsidRDefault="004B640C" w:rsidP="00D43A9E">
            <w:pPr>
              <w:jc w:val="both"/>
              <w:rPr>
                <w:rFonts w:eastAsia="Calibri"/>
                <w:sz w:val="20"/>
              </w:rPr>
            </w:pPr>
          </w:p>
        </w:tc>
        <w:tc>
          <w:tcPr>
            <w:tcW w:w="2330" w:type="pct"/>
          </w:tcPr>
          <w:p w:rsidR="004B640C" w:rsidRPr="00201A3F" w:rsidRDefault="004B640C" w:rsidP="00D43A9E">
            <w:pPr>
              <w:jc w:val="both"/>
              <w:rPr>
                <w:rFonts w:eastAsia="Calibri"/>
                <w:sz w:val="20"/>
              </w:rPr>
            </w:pPr>
            <w:r w:rsidRPr="00201A3F">
              <w:rPr>
                <w:rFonts w:eastAsia="Calibri"/>
                <w:sz w:val="20"/>
              </w:rPr>
              <w:t>Motion for leave to appeal dismissed</w:t>
            </w:r>
          </w:p>
          <w:p w:rsidR="004B640C" w:rsidRPr="00201A3F" w:rsidRDefault="004B640C" w:rsidP="00D43A9E">
            <w:pPr>
              <w:jc w:val="both"/>
              <w:rPr>
                <w:rFonts w:eastAsia="Calibri"/>
                <w:sz w:val="20"/>
              </w:rPr>
            </w:pPr>
          </w:p>
        </w:tc>
      </w:tr>
      <w:tr w:rsidR="004B640C" w:rsidRPr="00201A3F" w:rsidTr="00D43A9E">
        <w:tc>
          <w:tcPr>
            <w:tcW w:w="2427" w:type="pct"/>
          </w:tcPr>
          <w:p w:rsidR="004B640C" w:rsidRPr="00201A3F" w:rsidRDefault="004B640C" w:rsidP="00D43A9E">
            <w:pPr>
              <w:jc w:val="both"/>
              <w:rPr>
                <w:rFonts w:eastAsia="Calibri"/>
                <w:sz w:val="20"/>
              </w:rPr>
            </w:pPr>
            <w:r w:rsidRPr="00201A3F">
              <w:rPr>
                <w:rFonts w:eastAsia="Calibri"/>
                <w:sz w:val="20"/>
              </w:rPr>
              <w:t>August 22, 2012</w:t>
            </w:r>
          </w:p>
          <w:p w:rsidR="004B640C" w:rsidRPr="00201A3F" w:rsidRDefault="004B640C" w:rsidP="00D43A9E">
            <w:pPr>
              <w:jc w:val="both"/>
              <w:rPr>
                <w:rFonts w:eastAsia="Calibri"/>
                <w:sz w:val="20"/>
              </w:rPr>
            </w:pPr>
            <w:r w:rsidRPr="00201A3F">
              <w:rPr>
                <w:rFonts w:eastAsia="Calibri"/>
                <w:sz w:val="20"/>
              </w:rPr>
              <w:t>Supreme Court of Canada</w:t>
            </w:r>
          </w:p>
        </w:tc>
        <w:tc>
          <w:tcPr>
            <w:tcW w:w="243" w:type="pct"/>
          </w:tcPr>
          <w:p w:rsidR="004B640C" w:rsidRPr="00201A3F" w:rsidRDefault="004B640C" w:rsidP="00D43A9E">
            <w:pPr>
              <w:jc w:val="both"/>
              <w:rPr>
                <w:rFonts w:eastAsia="Calibri"/>
                <w:sz w:val="20"/>
              </w:rPr>
            </w:pPr>
          </w:p>
        </w:tc>
        <w:tc>
          <w:tcPr>
            <w:tcW w:w="2330" w:type="pct"/>
          </w:tcPr>
          <w:p w:rsidR="004B640C" w:rsidRPr="00201A3F" w:rsidRDefault="004B640C" w:rsidP="00D43A9E">
            <w:pPr>
              <w:jc w:val="both"/>
              <w:rPr>
                <w:rFonts w:eastAsia="Calibri"/>
                <w:sz w:val="20"/>
              </w:rPr>
            </w:pPr>
            <w:r w:rsidRPr="00201A3F">
              <w:rPr>
                <w:rFonts w:eastAsia="Calibri"/>
                <w:sz w:val="20"/>
              </w:rPr>
              <w:t>Application for leave to appeal filed</w:t>
            </w:r>
          </w:p>
          <w:p w:rsidR="004B640C" w:rsidRPr="00201A3F" w:rsidRDefault="004B640C" w:rsidP="00D43A9E">
            <w:pPr>
              <w:jc w:val="both"/>
              <w:rPr>
                <w:rFonts w:eastAsia="Calibri"/>
                <w:sz w:val="20"/>
              </w:rPr>
            </w:pPr>
          </w:p>
        </w:tc>
      </w:tr>
    </w:tbl>
    <w:p w:rsidR="00A740D1" w:rsidRDefault="00A740D1" w:rsidP="00A740D1">
      <w:pPr>
        <w:rPr>
          <w:sz w:val="20"/>
          <w:szCs w:val="20"/>
        </w:rPr>
      </w:pPr>
    </w:p>
    <w:p w:rsidR="00A740D1" w:rsidRPr="00C50A5C" w:rsidRDefault="00BF3B03" w:rsidP="00A740D1">
      <w:pPr>
        <w:rPr>
          <w:sz w:val="20"/>
          <w:szCs w:val="20"/>
        </w:rPr>
      </w:pPr>
      <w:r w:rsidRPr="00BF3B03">
        <w:rPr>
          <w:sz w:val="20"/>
          <w:szCs w:val="20"/>
          <w:lang w:val="fr-CA"/>
        </w:rPr>
        <w:pict>
          <v:rect id="_x0000_i1082" style="width:2in;height:1pt" o:hrpct="0" o:hralign="center" o:hrstd="t" o:hrnoshade="t" o:hr="t" fillcolor="black [3213]" stroked="f"/>
        </w:pict>
      </w:r>
    </w:p>
    <w:p w:rsidR="00A740D1" w:rsidRPr="001B157C" w:rsidRDefault="00A740D1" w:rsidP="00A740D1">
      <w:pPr>
        <w:rPr>
          <w:sz w:val="20"/>
          <w:szCs w:val="20"/>
          <w:u w:val="single"/>
          <w:lang w:val="fr-CA"/>
        </w:rPr>
      </w:pPr>
      <w:r w:rsidRPr="001B157C">
        <w:rPr>
          <w:sz w:val="20"/>
          <w:szCs w:val="20"/>
          <w:u w:val="single"/>
          <w:lang w:val="fr-CA"/>
        </w:rPr>
        <w:lastRenderedPageBreak/>
        <w:t>RÉSUMÉ DE L’AFFAIRE</w:t>
      </w:r>
    </w:p>
    <w:p w:rsidR="00A740D1" w:rsidRDefault="00A740D1" w:rsidP="00A740D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B640C" w:rsidRPr="00DC2D1F" w:rsidTr="00D43A9E">
        <w:tc>
          <w:tcPr>
            <w:tcW w:w="5000" w:type="pct"/>
            <w:gridSpan w:val="3"/>
          </w:tcPr>
          <w:p w:rsidR="004B640C" w:rsidRPr="00201A3F" w:rsidRDefault="004B640C" w:rsidP="00D43A9E">
            <w:pPr>
              <w:jc w:val="both"/>
              <w:rPr>
                <w:rFonts w:eastAsia="Calibri"/>
                <w:sz w:val="20"/>
                <w:lang w:val="fr-CA"/>
              </w:rPr>
            </w:pPr>
            <w:r w:rsidRPr="00201A3F">
              <w:rPr>
                <w:rFonts w:eastAsia="Calibri"/>
                <w:sz w:val="20"/>
                <w:lang w:val="fr-CA"/>
              </w:rPr>
              <w:t>Procédure civile — Permission d’appel — Requête pour permission d’appeler rejetée — Les instances inférieures auraient</w:t>
            </w:r>
            <w:r w:rsidRPr="00201A3F">
              <w:rPr>
                <w:rFonts w:eastAsia="Calibri"/>
                <w:sz w:val="20"/>
                <w:lang w:val="fr-CA"/>
              </w:rPr>
              <w:noBreakHyphen/>
              <w:t>elles dû se prononcer sur une objection constitutionnelle soulevée par le demandeur?</w:t>
            </w:r>
          </w:p>
        </w:tc>
      </w:tr>
      <w:tr w:rsidR="004B640C" w:rsidRPr="00DC2D1F" w:rsidTr="00D43A9E">
        <w:tc>
          <w:tcPr>
            <w:tcW w:w="5000" w:type="pct"/>
            <w:gridSpan w:val="3"/>
          </w:tcPr>
          <w:p w:rsidR="004B640C" w:rsidRPr="00201A3F" w:rsidRDefault="004B640C" w:rsidP="00D43A9E">
            <w:pPr>
              <w:jc w:val="both"/>
              <w:rPr>
                <w:rFonts w:eastAsia="Calibri"/>
                <w:sz w:val="20"/>
                <w:lang w:val="fr-CA"/>
              </w:rPr>
            </w:pPr>
          </w:p>
        </w:tc>
      </w:tr>
      <w:tr w:rsidR="004B640C" w:rsidRPr="00DC2D1F" w:rsidTr="00D43A9E">
        <w:tc>
          <w:tcPr>
            <w:tcW w:w="5000" w:type="pct"/>
            <w:gridSpan w:val="3"/>
          </w:tcPr>
          <w:p w:rsidR="004B640C" w:rsidRPr="00201A3F" w:rsidRDefault="004B640C" w:rsidP="00D43A9E">
            <w:pPr>
              <w:jc w:val="both"/>
              <w:rPr>
                <w:rFonts w:eastAsia="Calibri"/>
                <w:sz w:val="20"/>
                <w:lang w:val="fr-CA"/>
              </w:rPr>
            </w:pPr>
            <w:r w:rsidRPr="00201A3F">
              <w:rPr>
                <w:rFonts w:eastAsia="Calibri"/>
                <w:sz w:val="20"/>
                <w:lang w:val="fr-CA"/>
              </w:rPr>
              <w:t xml:space="preserve">M. Patenaude a été déclaré coupable d’une infraction au </w:t>
            </w:r>
            <w:r w:rsidRPr="00201A3F">
              <w:rPr>
                <w:rFonts w:eastAsia="Calibri"/>
                <w:i/>
                <w:sz w:val="20"/>
                <w:lang w:val="fr-CA"/>
              </w:rPr>
              <w:t>Code de la sécurité routière</w:t>
            </w:r>
            <w:r w:rsidRPr="00201A3F">
              <w:rPr>
                <w:rFonts w:eastAsia="Calibri"/>
                <w:sz w:val="20"/>
                <w:lang w:val="fr-CA"/>
              </w:rPr>
              <w:t xml:space="preserve"> (art. 482). Au stade de l’appel devant la Cour supérieure, le Procureur général du Québec a présenté une requête en rejet d’appel, faisant valoir, pour l’essentiel, que la demande de M. Patenaude pour une déclaration selon laquelle la disposition législative en cause ne respectait pas l’esprit et la lettre du par. 15(2) de la </w:t>
            </w:r>
            <w:r w:rsidRPr="00201A3F">
              <w:rPr>
                <w:rFonts w:eastAsia="Calibri"/>
                <w:i/>
                <w:sz w:val="20"/>
                <w:lang w:val="fr-CA"/>
              </w:rPr>
              <w:t>Charte canadienne des droits et libertés</w:t>
            </w:r>
            <w:r w:rsidRPr="00201A3F">
              <w:rPr>
                <w:rFonts w:eastAsia="Calibri"/>
                <w:sz w:val="20"/>
                <w:lang w:val="fr-CA"/>
              </w:rPr>
              <w:t xml:space="preserve"> était mal fondée vu la jurisprudence relative aux par. 15(1) et (2) de la </w:t>
            </w:r>
            <w:r w:rsidRPr="00201A3F">
              <w:rPr>
                <w:rFonts w:eastAsia="Calibri"/>
                <w:i/>
                <w:sz w:val="20"/>
                <w:lang w:val="fr-CA"/>
              </w:rPr>
              <w:t>Charte</w:t>
            </w:r>
            <w:r w:rsidRPr="00201A3F">
              <w:rPr>
                <w:rFonts w:eastAsia="Calibri"/>
                <w:sz w:val="20"/>
                <w:lang w:val="fr-CA"/>
              </w:rPr>
              <w:t xml:space="preserve">.  La Cour supérieure a fait </w:t>
            </w:r>
            <w:proofErr w:type="gramStart"/>
            <w:r w:rsidRPr="00201A3F">
              <w:rPr>
                <w:rFonts w:eastAsia="Calibri"/>
                <w:sz w:val="20"/>
                <w:lang w:val="fr-CA"/>
              </w:rPr>
              <w:t>droit</w:t>
            </w:r>
            <w:proofErr w:type="gramEnd"/>
            <w:r w:rsidRPr="00201A3F">
              <w:rPr>
                <w:rFonts w:eastAsia="Calibri"/>
                <w:sz w:val="20"/>
                <w:lang w:val="fr-CA"/>
              </w:rPr>
              <w:t xml:space="preserve"> à la requête en rejet d’appel.</w:t>
            </w:r>
          </w:p>
          <w:p w:rsidR="004B640C" w:rsidRPr="00201A3F" w:rsidRDefault="004B640C" w:rsidP="00D43A9E">
            <w:pPr>
              <w:jc w:val="both"/>
              <w:rPr>
                <w:rFonts w:eastAsia="Calibri"/>
                <w:sz w:val="20"/>
                <w:lang w:val="fr-CA"/>
              </w:rPr>
            </w:pPr>
          </w:p>
          <w:p w:rsidR="004B640C" w:rsidRPr="00201A3F" w:rsidRDefault="004B640C" w:rsidP="00D43A9E">
            <w:pPr>
              <w:jc w:val="both"/>
              <w:rPr>
                <w:rFonts w:eastAsia="Calibri"/>
                <w:sz w:val="20"/>
                <w:lang w:val="fr-CA"/>
              </w:rPr>
            </w:pPr>
            <w:r w:rsidRPr="00201A3F">
              <w:rPr>
                <w:rFonts w:eastAsia="Calibri"/>
                <w:sz w:val="20"/>
                <w:lang w:val="fr-CA"/>
              </w:rPr>
              <w:t>Le juge Dufresne de la Cour d’appel a refusé de permettre un appel, au motif que les questions de droit soulevées par M. Patenaude n’avaient aucune chance de succès.  M. Patenaude plaidait que la Cour supérieure devait statuer « de manière déclaratoire sur la contestation constitutionnelle présentée devant elle ».</w:t>
            </w:r>
          </w:p>
          <w:p w:rsidR="004B640C" w:rsidRPr="00201A3F" w:rsidRDefault="004B640C" w:rsidP="00D43A9E">
            <w:pPr>
              <w:jc w:val="both"/>
              <w:rPr>
                <w:rFonts w:eastAsia="Calibri"/>
                <w:sz w:val="20"/>
                <w:lang w:val="fr-CA"/>
              </w:rPr>
            </w:pPr>
          </w:p>
        </w:tc>
      </w:tr>
      <w:tr w:rsidR="004B640C" w:rsidRPr="00DC2D1F" w:rsidTr="00D43A9E">
        <w:tc>
          <w:tcPr>
            <w:tcW w:w="2427" w:type="pct"/>
          </w:tcPr>
          <w:p w:rsidR="004B640C" w:rsidRPr="00201A3F" w:rsidRDefault="004B640C" w:rsidP="00D43A9E">
            <w:pPr>
              <w:jc w:val="both"/>
              <w:rPr>
                <w:rFonts w:eastAsia="Calibri"/>
                <w:sz w:val="20"/>
                <w:lang w:val="fr-CA"/>
              </w:rPr>
            </w:pPr>
            <w:r w:rsidRPr="00201A3F">
              <w:rPr>
                <w:rFonts w:eastAsia="Calibri"/>
                <w:sz w:val="20"/>
                <w:lang w:val="fr-CA"/>
              </w:rPr>
              <w:t>Le 31 mai 2012</w:t>
            </w:r>
          </w:p>
          <w:p w:rsidR="004B640C" w:rsidRPr="00201A3F" w:rsidRDefault="004B640C" w:rsidP="00D43A9E">
            <w:pPr>
              <w:jc w:val="both"/>
              <w:rPr>
                <w:rFonts w:eastAsia="Calibri"/>
                <w:sz w:val="20"/>
                <w:lang w:val="fr-CA"/>
              </w:rPr>
            </w:pPr>
            <w:r w:rsidRPr="00201A3F">
              <w:rPr>
                <w:rFonts w:eastAsia="Calibri"/>
                <w:sz w:val="20"/>
                <w:lang w:val="fr-CA"/>
              </w:rPr>
              <w:t>Cour supérieure du Québec</w:t>
            </w:r>
          </w:p>
          <w:p w:rsidR="004B640C" w:rsidRPr="00201A3F" w:rsidRDefault="004B640C" w:rsidP="00D43A9E">
            <w:pPr>
              <w:jc w:val="both"/>
              <w:rPr>
                <w:rFonts w:eastAsia="Calibri"/>
                <w:sz w:val="20"/>
                <w:lang w:val="fr-CA"/>
              </w:rPr>
            </w:pPr>
            <w:r w:rsidRPr="00201A3F">
              <w:rPr>
                <w:rFonts w:eastAsia="Calibri"/>
                <w:sz w:val="20"/>
                <w:lang w:val="fr-CA"/>
              </w:rPr>
              <w:t>(Le juge Stober)</w:t>
            </w:r>
          </w:p>
          <w:p w:rsidR="004B640C" w:rsidRPr="00201A3F" w:rsidRDefault="004B640C" w:rsidP="00D43A9E">
            <w:pPr>
              <w:jc w:val="both"/>
              <w:rPr>
                <w:rFonts w:eastAsia="Calibri"/>
                <w:sz w:val="20"/>
              </w:rPr>
            </w:pPr>
          </w:p>
        </w:tc>
        <w:tc>
          <w:tcPr>
            <w:tcW w:w="243" w:type="pct"/>
          </w:tcPr>
          <w:p w:rsidR="004B640C" w:rsidRPr="00201A3F" w:rsidRDefault="004B640C" w:rsidP="00D43A9E">
            <w:pPr>
              <w:jc w:val="both"/>
              <w:rPr>
                <w:rFonts w:eastAsia="Calibri"/>
                <w:sz w:val="20"/>
              </w:rPr>
            </w:pPr>
          </w:p>
        </w:tc>
        <w:tc>
          <w:tcPr>
            <w:tcW w:w="2330" w:type="pct"/>
          </w:tcPr>
          <w:p w:rsidR="004B640C" w:rsidRPr="00201A3F" w:rsidRDefault="004B640C" w:rsidP="00D43A9E">
            <w:pPr>
              <w:jc w:val="both"/>
              <w:rPr>
                <w:rFonts w:eastAsia="Calibri"/>
                <w:sz w:val="20"/>
                <w:lang w:val="fr-CA"/>
              </w:rPr>
            </w:pPr>
            <w:r w:rsidRPr="00201A3F">
              <w:rPr>
                <w:rFonts w:eastAsia="Calibri"/>
                <w:sz w:val="20"/>
                <w:lang w:val="fr-CA"/>
              </w:rPr>
              <w:t>Requête en rejet d’appel d’une décision de la Cour municipale accueillie; appel rejeté</w:t>
            </w:r>
          </w:p>
          <w:p w:rsidR="004B640C" w:rsidRPr="00201A3F" w:rsidRDefault="004B640C" w:rsidP="00D43A9E">
            <w:pPr>
              <w:jc w:val="both"/>
              <w:rPr>
                <w:rFonts w:eastAsia="Calibri"/>
                <w:sz w:val="20"/>
                <w:lang w:val="fr-CA"/>
              </w:rPr>
            </w:pPr>
          </w:p>
        </w:tc>
      </w:tr>
      <w:tr w:rsidR="004B640C" w:rsidRPr="00201A3F" w:rsidTr="00D43A9E">
        <w:tc>
          <w:tcPr>
            <w:tcW w:w="2427" w:type="pct"/>
          </w:tcPr>
          <w:p w:rsidR="004B640C" w:rsidRPr="00201A3F" w:rsidRDefault="004B640C" w:rsidP="00D43A9E">
            <w:pPr>
              <w:jc w:val="both"/>
              <w:rPr>
                <w:rFonts w:eastAsia="Calibri"/>
                <w:sz w:val="20"/>
                <w:lang w:val="fr-CA"/>
              </w:rPr>
            </w:pPr>
            <w:r w:rsidRPr="00201A3F">
              <w:rPr>
                <w:rFonts w:eastAsia="Calibri"/>
                <w:sz w:val="20"/>
                <w:lang w:val="fr-CA"/>
              </w:rPr>
              <w:t>Le 8 août 2012</w:t>
            </w:r>
          </w:p>
          <w:p w:rsidR="004B640C" w:rsidRPr="00201A3F" w:rsidRDefault="004B640C" w:rsidP="00D43A9E">
            <w:pPr>
              <w:jc w:val="both"/>
              <w:rPr>
                <w:rFonts w:eastAsia="Calibri"/>
                <w:sz w:val="20"/>
                <w:lang w:val="fr-CA"/>
              </w:rPr>
            </w:pPr>
            <w:r w:rsidRPr="00201A3F">
              <w:rPr>
                <w:rFonts w:eastAsia="Calibri"/>
                <w:sz w:val="20"/>
                <w:lang w:val="fr-CA"/>
              </w:rPr>
              <w:t>Cour d’appel du Québec (Montréal)</w:t>
            </w:r>
          </w:p>
          <w:p w:rsidR="004B640C" w:rsidRPr="00201A3F" w:rsidRDefault="004B640C" w:rsidP="00D43A9E">
            <w:pPr>
              <w:jc w:val="both"/>
              <w:rPr>
                <w:rFonts w:eastAsia="Calibri"/>
                <w:sz w:val="20"/>
                <w:lang w:val="fr-CA"/>
              </w:rPr>
            </w:pPr>
            <w:r w:rsidRPr="00201A3F">
              <w:rPr>
                <w:rFonts w:eastAsia="Calibri"/>
                <w:sz w:val="20"/>
                <w:lang w:val="fr-CA"/>
              </w:rPr>
              <w:t>(Le juge Dufresne)</w:t>
            </w:r>
          </w:p>
          <w:p w:rsidR="004B640C" w:rsidRPr="00201A3F" w:rsidRDefault="004B640C" w:rsidP="00D43A9E">
            <w:pPr>
              <w:jc w:val="both"/>
              <w:rPr>
                <w:rFonts w:eastAsia="Calibri"/>
                <w:sz w:val="20"/>
                <w:lang w:val="fr-CA"/>
              </w:rPr>
            </w:pPr>
            <w:r w:rsidRPr="00201A3F">
              <w:rPr>
                <w:rFonts w:eastAsia="Calibri"/>
                <w:sz w:val="20"/>
                <w:lang w:val="fr-CA"/>
              </w:rPr>
              <w:t>2012 QCCA 1410; 500</w:t>
            </w:r>
            <w:r w:rsidRPr="00201A3F">
              <w:rPr>
                <w:rFonts w:eastAsia="Calibri"/>
                <w:sz w:val="20"/>
                <w:lang w:val="fr-CA"/>
              </w:rPr>
              <w:noBreakHyphen/>
              <w:t>10</w:t>
            </w:r>
            <w:r w:rsidRPr="00201A3F">
              <w:rPr>
                <w:rFonts w:eastAsia="Calibri"/>
                <w:sz w:val="20"/>
                <w:lang w:val="fr-CA"/>
              </w:rPr>
              <w:noBreakHyphen/>
              <w:t>005204</w:t>
            </w:r>
            <w:r w:rsidRPr="00201A3F">
              <w:rPr>
                <w:rFonts w:eastAsia="Calibri"/>
                <w:sz w:val="20"/>
                <w:lang w:val="fr-CA"/>
              </w:rPr>
              <w:noBreakHyphen/>
              <w:t>126</w:t>
            </w:r>
          </w:p>
          <w:p w:rsidR="004B640C" w:rsidRPr="00201A3F" w:rsidRDefault="004B640C" w:rsidP="00D43A9E">
            <w:pPr>
              <w:jc w:val="both"/>
              <w:rPr>
                <w:rFonts w:eastAsia="Calibri"/>
                <w:sz w:val="20"/>
              </w:rPr>
            </w:pPr>
          </w:p>
        </w:tc>
        <w:tc>
          <w:tcPr>
            <w:tcW w:w="243" w:type="pct"/>
          </w:tcPr>
          <w:p w:rsidR="004B640C" w:rsidRPr="00201A3F" w:rsidRDefault="004B640C" w:rsidP="00D43A9E">
            <w:pPr>
              <w:jc w:val="both"/>
              <w:rPr>
                <w:rFonts w:eastAsia="Calibri"/>
                <w:sz w:val="20"/>
              </w:rPr>
            </w:pPr>
          </w:p>
        </w:tc>
        <w:tc>
          <w:tcPr>
            <w:tcW w:w="2330" w:type="pct"/>
          </w:tcPr>
          <w:p w:rsidR="004B640C" w:rsidRPr="00201A3F" w:rsidRDefault="004B640C" w:rsidP="00D43A9E">
            <w:pPr>
              <w:jc w:val="both"/>
              <w:rPr>
                <w:rFonts w:eastAsia="Calibri"/>
                <w:sz w:val="20"/>
                <w:lang w:val="fr-CA"/>
              </w:rPr>
            </w:pPr>
            <w:r w:rsidRPr="00201A3F">
              <w:rPr>
                <w:rFonts w:eastAsia="Calibri"/>
                <w:sz w:val="20"/>
                <w:lang w:val="fr-CA"/>
              </w:rPr>
              <w:t>Requête pour permission d’appeler rejetée</w:t>
            </w:r>
          </w:p>
          <w:p w:rsidR="004B640C" w:rsidRPr="00201A3F" w:rsidRDefault="004B640C" w:rsidP="00D43A9E">
            <w:pPr>
              <w:jc w:val="both"/>
              <w:rPr>
                <w:rFonts w:eastAsia="Calibri"/>
                <w:sz w:val="20"/>
                <w:lang w:val="fr-CA"/>
              </w:rPr>
            </w:pPr>
          </w:p>
        </w:tc>
      </w:tr>
      <w:tr w:rsidR="004B640C" w:rsidRPr="00201A3F" w:rsidTr="00D43A9E">
        <w:tc>
          <w:tcPr>
            <w:tcW w:w="2427" w:type="pct"/>
          </w:tcPr>
          <w:p w:rsidR="004B640C" w:rsidRPr="00201A3F" w:rsidRDefault="004B640C" w:rsidP="00D43A9E">
            <w:pPr>
              <w:jc w:val="both"/>
              <w:rPr>
                <w:rFonts w:eastAsia="Calibri"/>
                <w:sz w:val="20"/>
                <w:lang w:val="fr-CA"/>
              </w:rPr>
            </w:pPr>
            <w:r w:rsidRPr="00201A3F">
              <w:rPr>
                <w:rFonts w:eastAsia="Calibri"/>
                <w:sz w:val="20"/>
                <w:lang w:val="fr-CA"/>
              </w:rPr>
              <w:t>Le 22 août 2012</w:t>
            </w:r>
          </w:p>
          <w:p w:rsidR="004B640C" w:rsidRPr="00201A3F" w:rsidRDefault="004B640C" w:rsidP="00D43A9E">
            <w:pPr>
              <w:jc w:val="both"/>
              <w:rPr>
                <w:rFonts w:eastAsia="Calibri"/>
                <w:sz w:val="20"/>
                <w:lang w:val="fr-CA"/>
              </w:rPr>
            </w:pPr>
            <w:r w:rsidRPr="00201A3F">
              <w:rPr>
                <w:rFonts w:eastAsia="Calibri"/>
                <w:sz w:val="20"/>
                <w:lang w:val="fr-CA"/>
              </w:rPr>
              <w:t>Cour suprême du Canada</w:t>
            </w:r>
          </w:p>
        </w:tc>
        <w:tc>
          <w:tcPr>
            <w:tcW w:w="243" w:type="pct"/>
          </w:tcPr>
          <w:p w:rsidR="004B640C" w:rsidRPr="00201A3F" w:rsidRDefault="004B640C" w:rsidP="00D43A9E">
            <w:pPr>
              <w:jc w:val="both"/>
              <w:rPr>
                <w:rFonts w:eastAsia="Calibri"/>
                <w:sz w:val="20"/>
                <w:lang w:val="fr-CA"/>
              </w:rPr>
            </w:pPr>
          </w:p>
        </w:tc>
        <w:tc>
          <w:tcPr>
            <w:tcW w:w="2330" w:type="pct"/>
          </w:tcPr>
          <w:p w:rsidR="004B640C" w:rsidRPr="00201A3F" w:rsidRDefault="004B640C" w:rsidP="00D43A9E">
            <w:pPr>
              <w:jc w:val="both"/>
              <w:rPr>
                <w:rFonts w:eastAsia="Calibri"/>
                <w:sz w:val="20"/>
                <w:lang w:val="fr-CA"/>
              </w:rPr>
            </w:pPr>
            <w:r w:rsidRPr="00201A3F">
              <w:rPr>
                <w:rFonts w:eastAsia="Calibri"/>
                <w:sz w:val="20"/>
                <w:lang w:val="fr-CA"/>
              </w:rPr>
              <w:t>Demande d'autorisation d'appel déposée</w:t>
            </w:r>
          </w:p>
          <w:p w:rsidR="004B640C" w:rsidRPr="00201A3F" w:rsidRDefault="004B640C" w:rsidP="00D43A9E">
            <w:pPr>
              <w:jc w:val="both"/>
              <w:rPr>
                <w:rFonts w:eastAsia="Calibri"/>
                <w:sz w:val="20"/>
                <w:lang w:val="fr-CA"/>
              </w:rPr>
            </w:pPr>
          </w:p>
        </w:tc>
      </w:tr>
    </w:tbl>
    <w:p w:rsidR="00A740D1" w:rsidRDefault="00A740D1" w:rsidP="00A740D1">
      <w:pPr>
        <w:rPr>
          <w:sz w:val="20"/>
          <w:szCs w:val="20"/>
        </w:rPr>
      </w:pPr>
    </w:p>
    <w:p w:rsidR="00A740D1" w:rsidRDefault="00BF3B03" w:rsidP="00A740D1">
      <w:pPr>
        <w:rPr>
          <w:sz w:val="20"/>
          <w:szCs w:val="20"/>
        </w:rPr>
      </w:pPr>
      <w:r w:rsidRPr="00BF3B03">
        <w:rPr>
          <w:sz w:val="20"/>
          <w:szCs w:val="20"/>
          <w:lang w:val="fr-CA"/>
        </w:rPr>
        <w:pict>
          <v:rect id="_x0000_i1083" style="width:2in;height:1pt" o:hrpct="0" o:hralign="center" o:hrstd="t" o:hrnoshade="t" o:hr="t" fillcolor="black [3213]" stroked="f"/>
        </w:pict>
      </w:r>
    </w:p>
    <w:p w:rsidR="00A740D1" w:rsidRDefault="00A740D1" w:rsidP="00A740D1">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4561E" w:rsidRPr="00DC2D1F" w:rsidTr="007A1180">
        <w:trPr>
          <w:cantSplit/>
        </w:trPr>
        <w:tc>
          <w:tcPr>
            <w:tcW w:w="1458" w:type="dxa"/>
          </w:tcPr>
          <w:p w:rsidR="00C4561E" w:rsidRPr="00B83D51" w:rsidRDefault="00C4561E" w:rsidP="007A1180">
            <w:pPr>
              <w:rPr>
                <w:sz w:val="20"/>
                <w:szCs w:val="20"/>
              </w:rPr>
            </w:pPr>
            <w:r w:rsidRPr="00B83D51">
              <w:rPr>
                <w:rStyle w:val="SCCFileNumberChar"/>
                <w:sz w:val="20"/>
                <w:szCs w:val="20"/>
              </w:rPr>
              <w:t>34974</w:t>
            </w:r>
          </w:p>
          <w:p w:rsidR="00C4561E" w:rsidRPr="00B83D51" w:rsidRDefault="00C4561E" w:rsidP="007A1180">
            <w:pPr>
              <w:rPr>
                <w:b/>
                <w:sz w:val="20"/>
                <w:szCs w:val="20"/>
                <w:lang w:val="fr-CA"/>
              </w:rPr>
            </w:pPr>
          </w:p>
        </w:tc>
        <w:tc>
          <w:tcPr>
            <w:tcW w:w="8118" w:type="dxa"/>
          </w:tcPr>
          <w:p w:rsidR="00C4561E" w:rsidRPr="00B83D51" w:rsidRDefault="00C4561E" w:rsidP="007A1180">
            <w:pPr>
              <w:jc w:val="both"/>
              <w:rPr>
                <w:sz w:val="20"/>
                <w:szCs w:val="20"/>
                <w:lang w:val="fr-CA"/>
              </w:rPr>
            </w:pPr>
            <w:r w:rsidRPr="00B83D51">
              <w:rPr>
                <w:rStyle w:val="SCCLsocChar"/>
                <w:sz w:val="20"/>
                <w:szCs w:val="20"/>
              </w:rPr>
              <w:t>Gilles Patenaude c. Ville de Montréal</w:t>
            </w:r>
            <w:r w:rsidR="00312CAC">
              <w:rPr>
                <w:rStyle w:val="SCCLsocChar"/>
                <w:sz w:val="20"/>
                <w:szCs w:val="20"/>
              </w:rPr>
              <w:t xml:space="preserve"> et</w:t>
            </w:r>
            <w:r w:rsidRPr="00B83D51">
              <w:rPr>
                <w:rStyle w:val="SCCLsocChar"/>
                <w:sz w:val="20"/>
                <w:szCs w:val="20"/>
              </w:rPr>
              <w:t xml:space="preserve"> Procureur général du Québec</w:t>
            </w:r>
            <w:r w:rsidRPr="00B83D51">
              <w:rPr>
                <w:sz w:val="20"/>
                <w:szCs w:val="20"/>
                <w:lang w:val="fr-CA"/>
              </w:rPr>
              <w:t xml:space="preserve"> (Qc) (Civile) (Autorisation)</w:t>
            </w:r>
          </w:p>
          <w:p w:rsidR="00C4561E" w:rsidRPr="00B83D51" w:rsidRDefault="00C4561E" w:rsidP="007A1180">
            <w:pPr>
              <w:jc w:val="both"/>
              <w:rPr>
                <w:sz w:val="20"/>
                <w:szCs w:val="20"/>
                <w:lang w:val="fr-CA"/>
              </w:rPr>
            </w:pPr>
          </w:p>
        </w:tc>
      </w:tr>
      <w:tr w:rsidR="00C4561E" w:rsidRPr="00DC2D1F" w:rsidTr="007A1180">
        <w:trPr>
          <w:cantSplit/>
        </w:trPr>
        <w:tc>
          <w:tcPr>
            <w:tcW w:w="1458" w:type="dxa"/>
          </w:tcPr>
          <w:p w:rsidR="00C4561E" w:rsidRPr="00B83D51" w:rsidRDefault="00C4561E" w:rsidP="007A1180">
            <w:pPr>
              <w:rPr>
                <w:sz w:val="20"/>
                <w:szCs w:val="20"/>
              </w:rPr>
            </w:pPr>
            <w:r w:rsidRPr="00B83D51">
              <w:rPr>
                <w:sz w:val="20"/>
                <w:szCs w:val="20"/>
              </w:rPr>
              <w:t>Coram :</w:t>
            </w:r>
          </w:p>
        </w:tc>
        <w:tc>
          <w:tcPr>
            <w:tcW w:w="8118" w:type="dxa"/>
          </w:tcPr>
          <w:p w:rsidR="00C4561E" w:rsidRPr="00B83D51" w:rsidRDefault="00C4561E" w:rsidP="007A1180">
            <w:pPr>
              <w:rPr>
                <w:sz w:val="20"/>
                <w:szCs w:val="20"/>
                <w:lang w:val="fr-CA"/>
              </w:rPr>
            </w:pPr>
            <w:r w:rsidRPr="00B83D51">
              <w:rPr>
                <w:rStyle w:val="SCCCoramChar"/>
                <w:sz w:val="20"/>
                <w:szCs w:val="20"/>
              </w:rPr>
              <w:t>Les juges LeBel, Abella et Cromwell</w:t>
            </w:r>
          </w:p>
          <w:p w:rsidR="00C4561E" w:rsidRPr="00B83D51" w:rsidRDefault="00C4561E" w:rsidP="007A1180">
            <w:pPr>
              <w:rPr>
                <w:sz w:val="20"/>
                <w:szCs w:val="20"/>
                <w:u w:val="single"/>
                <w:lang w:val="fr-CA"/>
              </w:rPr>
            </w:pPr>
          </w:p>
        </w:tc>
      </w:tr>
      <w:tr w:rsidR="00C4561E" w:rsidRPr="00B83D51" w:rsidTr="007A1180">
        <w:trPr>
          <w:cantSplit/>
        </w:trPr>
        <w:tc>
          <w:tcPr>
            <w:tcW w:w="9576" w:type="dxa"/>
            <w:gridSpan w:val="2"/>
          </w:tcPr>
          <w:p w:rsidR="00C4561E" w:rsidRPr="00B83D51" w:rsidRDefault="00C4561E" w:rsidP="007A1180">
            <w:pPr>
              <w:pStyle w:val="SCCShortJudgment"/>
              <w:rPr>
                <w:szCs w:val="20"/>
                <w:lang w:val="fr-CA"/>
              </w:rPr>
            </w:pPr>
            <w:r w:rsidRPr="00B83D51">
              <w:rPr>
                <w:szCs w:val="20"/>
                <w:lang w:val="fr-CA"/>
              </w:rPr>
              <w:t>La demande d’autorisation d’appel de l’arrêt de la Cour d’appel du Québec (Montréal), numéro 500-10-005143-126, 2012 QCCA 1404, daté du 8 août 2012, est rejetée sans dépens.</w:t>
            </w:r>
          </w:p>
          <w:p w:rsidR="00C4561E" w:rsidRPr="00B83D51" w:rsidRDefault="00C4561E" w:rsidP="007A1180">
            <w:pPr>
              <w:pStyle w:val="SCCShortJudgment"/>
              <w:ind w:firstLine="0"/>
              <w:rPr>
                <w:szCs w:val="20"/>
                <w:lang w:val="fr-CA"/>
              </w:rPr>
            </w:pPr>
          </w:p>
          <w:p w:rsidR="00C4561E" w:rsidRPr="00B83D51" w:rsidRDefault="00C4561E" w:rsidP="007A1180">
            <w:pPr>
              <w:pStyle w:val="SCCShortJudgment"/>
              <w:rPr>
                <w:szCs w:val="20"/>
              </w:rPr>
            </w:pPr>
            <w:r w:rsidRPr="00B83D51">
              <w:rPr>
                <w:szCs w:val="20"/>
              </w:rPr>
              <w:t>The application for leave to appeal from the judgment of the Court of Appeal of Quebec (Montréal), Number 500-10-005143-126, 2012 QCCA 1404, dated August 8, 2012, is dismissed without costs.</w:t>
            </w:r>
          </w:p>
        </w:tc>
      </w:tr>
    </w:tbl>
    <w:p w:rsidR="00A740D1" w:rsidRDefault="00A740D1" w:rsidP="00A740D1">
      <w:pPr>
        <w:rPr>
          <w:sz w:val="20"/>
          <w:szCs w:val="20"/>
        </w:rPr>
      </w:pPr>
    </w:p>
    <w:p w:rsidR="00A740D1" w:rsidRPr="001B157C" w:rsidRDefault="00A740D1" w:rsidP="00A740D1">
      <w:pPr>
        <w:rPr>
          <w:sz w:val="20"/>
          <w:szCs w:val="20"/>
          <w:u w:val="single"/>
        </w:rPr>
      </w:pPr>
      <w:r w:rsidRPr="001B157C">
        <w:rPr>
          <w:sz w:val="20"/>
          <w:szCs w:val="20"/>
          <w:u w:val="single"/>
        </w:rPr>
        <w:t>CASE SUMMARY</w:t>
      </w:r>
    </w:p>
    <w:p w:rsidR="00A740D1" w:rsidRDefault="00A740D1" w:rsidP="00A740D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B640C" w:rsidRPr="00201A3F" w:rsidTr="00D43A9E">
        <w:tc>
          <w:tcPr>
            <w:tcW w:w="5000" w:type="pct"/>
            <w:gridSpan w:val="3"/>
          </w:tcPr>
          <w:p w:rsidR="004B640C" w:rsidRPr="00201A3F" w:rsidRDefault="004B640C" w:rsidP="00D43A9E">
            <w:pPr>
              <w:jc w:val="both"/>
              <w:rPr>
                <w:rFonts w:eastAsia="Calibri"/>
                <w:sz w:val="20"/>
              </w:rPr>
            </w:pPr>
            <w:r w:rsidRPr="00201A3F">
              <w:rPr>
                <w:rFonts w:eastAsia="Calibri"/>
                <w:sz w:val="20"/>
              </w:rPr>
              <w:t>Civil procedure — Leave to appeal — Motion for leave to appeal dismissed — Whether courts below should have dealt with constitutional objection raised by applicant.</w:t>
            </w:r>
          </w:p>
        </w:tc>
      </w:tr>
      <w:tr w:rsidR="004B640C" w:rsidRPr="00201A3F" w:rsidTr="00D43A9E">
        <w:tc>
          <w:tcPr>
            <w:tcW w:w="5000" w:type="pct"/>
            <w:gridSpan w:val="3"/>
          </w:tcPr>
          <w:p w:rsidR="004B640C" w:rsidRPr="00201A3F" w:rsidRDefault="004B640C" w:rsidP="00D43A9E">
            <w:pPr>
              <w:jc w:val="both"/>
              <w:rPr>
                <w:rFonts w:eastAsia="Calibri"/>
                <w:sz w:val="20"/>
              </w:rPr>
            </w:pPr>
          </w:p>
        </w:tc>
      </w:tr>
      <w:tr w:rsidR="004B640C" w:rsidRPr="00201A3F" w:rsidTr="00D43A9E">
        <w:tc>
          <w:tcPr>
            <w:tcW w:w="5000" w:type="pct"/>
            <w:gridSpan w:val="3"/>
          </w:tcPr>
          <w:p w:rsidR="004B640C" w:rsidRPr="00201A3F" w:rsidRDefault="004B640C" w:rsidP="00D43A9E">
            <w:pPr>
              <w:jc w:val="both"/>
              <w:rPr>
                <w:rFonts w:eastAsia="Calibri"/>
                <w:sz w:val="20"/>
              </w:rPr>
            </w:pPr>
            <w:r w:rsidRPr="00201A3F">
              <w:rPr>
                <w:rFonts w:eastAsia="Calibri"/>
                <w:sz w:val="20"/>
              </w:rPr>
              <w:t xml:space="preserve">Mr. Patenaude was convicted of certain offences under the </w:t>
            </w:r>
            <w:r w:rsidRPr="00201A3F">
              <w:rPr>
                <w:rFonts w:eastAsia="Calibri"/>
                <w:i/>
                <w:sz w:val="20"/>
              </w:rPr>
              <w:t xml:space="preserve">Highway Safety Code </w:t>
            </w:r>
            <w:r w:rsidRPr="00201A3F">
              <w:rPr>
                <w:rFonts w:eastAsia="Calibri"/>
                <w:sz w:val="20"/>
              </w:rPr>
              <w:t xml:space="preserve">(s. 396) and the City of Montréal’s </w:t>
            </w:r>
            <w:r w:rsidRPr="00201A3F">
              <w:rPr>
                <w:rFonts w:eastAsia="Calibri"/>
                <w:i/>
                <w:sz w:val="20"/>
              </w:rPr>
              <w:t>By</w:t>
            </w:r>
            <w:r w:rsidRPr="00201A3F">
              <w:rPr>
                <w:rFonts w:eastAsia="Calibri"/>
                <w:i/>
                <w:sz w:val="20"/>
              </w:rPr>
              <w:noBreakHyphen/>
              <w:t>law concerning traffic and parking</w:t>
            </w:r>
            <w:r w:rsidRPr="00201A3F">
              <w:rPr>
                <w:rFonts w:eastAsia="Calibri"/>
                <w:sz w:val="20"/>
              </w:rPr>
              <w:t xml:space="preserve"> (art. 55).  In his defence in the Municipal Court, he had argued that he was not a member [</w:t>
            </w:r>
            <w:r w:rsidRPr="00201A3F">
              <w:rPr>
                <w:rFonts w:eastAsia="Calibri"/>
                <w:smallCaps/>
                <w:sz w:val="20"/>
              </w:rPr>
              <w:t>translation</w:t>
            </w:r>
            <w:r w:rsidRPr="00201A3F">
              <w:rPr>
                <w:rFonts w:eastAsia="Calibri"/>
                <w:sz w:val="20"/>
              </w:rPr>
              <w:t xml:space="preserve">] “of a disadvantaged group that would need this type of legislation to attain equality”. </w:t>
            </w:r>
          </w:p>
          <w:p w:rsidR="004B640C" w:rsidRPr="00201A3F" w:rsidRDefault="004B640C" w:rsidP="00D43A9E">
            <w:pPr>
              <w:jc w:val="both"/>
              <w:rPr>
                <w:rFonts w:eastAsia="Calibri"/>
                <w:sz w:val="20"/>
              </w:rPr>
            </w:pPr>
          </w:p>
          <w:p w:rsidR="004B640C" w:rsidRPr="00201A3F" w:rsidRDefault="004B640C" w:rsidP="00D43A9E">
            <w:pPr>
              <w:jc w:val="both"/>
              <w:rPr>
                <w:rFonts w:eastAsia="Calibri"/>
                <w:sz w:val="20"/>
              </w:rPr>
            </w:pPr>
            <w:r w:rsidRPr="00201A3F">
              <w:rPr>
                <w:rFonts w:eastAsia="Calibri"/>
                <w:sz w:val="20"/>
              </w:rPr>
              <w:lastRenderedPageBreak/>
              <w:t>On appeal to the Superior Court, the Attorney General of Quebec and the City of Montréal moved to dismiss the appeals, arguing essentially that Mr. Patenaude’s application for a declaration that the legislative and by</w:t>
            </w:r>
            <w:r w:rsidRPr="00201A3F">
              <w:rPr>
                <w:rFonts w:eastAsia="Calibri"/>
                <w:sz w:val="20"/>
              </w:rPr>
              <w:noBreakHyphen/>
              <w:t xml:space="preserve">law provisions at issue were contrary to the spirit and letter of s. 15(2) of the </w:t>
            </w:r>
            <w:r w:rsidRPr="00201A3F">
              <w:rPr>
                <w:rFonts w:eastAsia="Calibri"/>
                <w:i/>
                <w:sz w:val="20"/>
              </w:rPr>
              <w:t>Canadian Charter of Rights and Freedoms</w:t>
            </w:r>
            <w:r w:rsidRPr="00201A3F">
              <w:rPr>
                <w:rFonts w:eastAsia="Calibri"/>
                <w:sz w:val="20"/>
              </w:rPr>
              <w:t xml:space="preserve"> was unfounded in light of the case law relating to s. 15(1) and (2) of the </w:t>
            </w:r>
            <w:r w:rsidRPr="00201A3F">
              <w:rPr>
                <w:rFonts w:eastAsia="Calibri"/>
                <w:i/>
                <w:sz w:val="20"/>
              </w:rPr>
              <w:t>Charter</w:t>
            </w:r>
            <w:r w:rsidRPr="00201A3F">
              <w:rPr>
                <w:rFonts w:eastAsia="Calibri"/>
                <w:sz w:val="20"/>
              </w:rPr>
              <w:t>.  The Superior Court allowed the motions to dismiss the appeals.</w:t>
            </w:r>
          </w:p>
          <w:p w:rsidR="004B640C" w:rsidRPr="00201A3F" w:rsidRDefault="004B640C" w:rsidP="00D43A9E">
            <w:pPr>
              <w:jc w:val="both"/>
              <w:rPr>
                <w:rFonts w:eastAsia="Calibri"/>
                <w:sz w:val="20"/>
              </w:rPr>
            </w:pPr>
          </w:p>
          <w:p w:rsidR="004B640C" w:rsidRPr="00201A3F" w:rsidRDefault="004B640C" w:rsidP="00D43A9E">
            <w:pPr>
              <w:jc w:val="both"/>
              <w:rPr>
                <w:rFonts w:eastAsia="Calibri"/>
                <w:sz w:val="20"/>
              </w:rPr>
            </w:pPr>
            <w:r w:rsidRPr="00201A3F">
              <w:rPr>
                <w:rFonts w:eastAsia="Calibri"/>
                <w:sz w:val="20"/>
              </w:rPr>
              <w:t xml:space="preserve">Dufresne J.A. of the Court of Appeal refused leave to appeal on the ground that the questions of law raised by Mr. Patenaude had no chance of success.  Mr. Patenaude was arguing that the Superior Court had to make a declaratory ruling on the constitutional challenge before it. </w:t>
            </w:r>
          </w:p>
          <w:p w:rsidR="004B640C" w:rsidRPr="00201A3F" w:rsidRDefault="004B640C" w:rsidP="00D43A9E">
            <w:pPr>
              <w:jc w:val="both"/>
              <w:rPr>
                <w:rFonts w:eastAsia="Calibri"/>
                <w:sz w:val="20"/>
              </w:rPr>
            </w:pPr>
          </w:p>
        </w:tc>
      </w:tr>
      <w:tr w:rsidR="004B640C" w:rsidRPr="00201A3F" w:rsidTr="00D43A9E">
        <w:tc>
          <w:tcPr>
            <w:tcW w:w="2427" w:type="pct"/>
          </w:tcPr>
          <w:p w:rsidR="004B640C" w:rsidRPr="00201A3F" w:rsidRDefault="004B640C" w:rsidP="00D43A9E">
            <w:pPr>
              <w:jc w:val="both"/>
              <w:rPr>
                <w:rFonts w:eastAsia="Calibri"/>
                <w:sz w:val="20"/>
              </w:rPr>
            </w:pPr>
            <w:r w:rsidRPr="00201A3F">
              <w:rPr>
                <w:rFonts w:eastAsia="Calibri"/>
                <w:sz w:val="20"/>
              </w:rPr>
              <w:lastRenderedPageBreak/>
              <w:t>April 10, 2012</w:t>
            </w:r>
          </w:p>
          <w:p w:rsidR="004B640C" w:rsidRPr="00201A3F" w:rsidRDefault="004B640C" w:rsidP="00D43A9E">
            <w:pPr>
              <w:jc w:val="both"/>
              <w:rPr>
                <w:rFonts w:eastAsia="Calibri"/>
                <w:sz w:val="20"/>
              </w:rPr>
            </w:pPr>
            <w:r w:rsidRPr="00201A3F">
              <w:rPr>
                <w:rFonts w:eastAsia="Calibri"/>
                <w:sz w:val="20"/>
              </w:rPr>
              <w:t>Quebec Superior Court</w:t>
            </w:r>
          </w:p>
          <w:p w:rsidR="004B640C" w:rsidRPr="00201A3F" w:rsidRDefault="004B640C" w:rsidP="00D43A9E">
            <w:pPr>
              <w:jc w:val="both"/>
              <w:rPr>
                <w:rFonts w:eastAsia="Calibri"/>
                <w:sz w:val="20"/>
              </w:rPr>
            </w:pPr>
            <w:r w:rsidRPr="00201A3F">
              <w:rPr>
                <w:rFonts w:eastAsia="Calibri"/>
                <w:sz w:val="20"/>
              </w:rPr>
              <w:t>(Paul J.)</w:t>
            </w:r>
          </w:p>
          <w:p w:rsidR="004B640C" w:rsidRPr="00201A3F" w:rsidRDefault="004B640C" w:rsidP="00D43A9E">
            <w:pPr>
              <w:jc w:val="both"/>
              <w:rPr>
                <w:rFonts w:eastAsia="Calibri"/>
                <w:sz w:val="20"/>
              </w:rPr>
            </w:pPr>
          </w:p>
        </w:tc>
        <w:tc>
          <w:tcPr>
            <w:tcW w:w="243" w:type="pct"/>
          </w:tcPr>
          <w:p w:rsidR="004B640C" w:rsidRPr="00201A3F" w:rsidRDefault="004B640C" w:rsidP="00D43A9E">
            <w:pPr>
              <w:jc w:val="both"/>
              <w:rPr>
                <w:rFonts w:eastAsia="Calibri"/>
                <w:sz w:val="20"/>
              </w:rPr>
            </w:pPr>
          </w:p>
        </w:tc>
        <w:tc>
          <w:tcPr>
            <w:tcW w:w="2330" w:type="pct"/>
          </w:tcPr>
          <w:p w:rsidR="004B640C" w:rsidRPr="00201A3F" w:rsidRDefault="004B640C" w:rsidP="00D43A9E">
            <w:pPr>
              <w:jc w:val="both"/>
              <w:rPr>
                <w:rFonts w:eastAsia="Calibri"/>
                <w:sz w:val="20"/>
              </w:rPr>
            </w:pPr>
            <w:r w:rsidRPr="00201A3F">
              <w:rPr>
                <w:rFonts w:eastAsia="Calibri"/>
                <w:sz w:val="20"/>
              </w:rPr>
              <w:t>Motions to dismiss appeals from Municipal Court decisions allowed; appeals dismissed</w:t>
            </w:r>
          </w:p>
          <w:p w:rsidR="004B640C" w:rsidRPr="00201A3F" w:rsidRDefault="004B640C" w:rsidP="00D43A9E">
            <w:pPr>
              <w:jc w:val="both"/>
              <w:rPr>
                <w:rFonts w:eastAsia="Calibri"/>
                <w:sz w:val="20"/>
              </w:rPr>
            </w:pPr>
          </w:p>
        </w:tc>
      </w:tr>
      <w:tr w:rsidR="004B640C" w:rsidRPr="00201A3F" w:rsidTr="00D43A9E">
        <w:tc>
          <w:tcPr>
            <w:tcW w:w="2427" w:type="pct"/>
          </w:tcPr>
          <w:p w:rsidR="004B640C" w:rsidRPr="00201A3F" w:rsidRDefault="004B640C" w:rsidP="00D43A9E">
            <w:pPr>
              <w:jc w:val="both"/>
              <w:rPr>
                <w:rFonts w:eastAsia="Calibri"/>
                <w:sz w:val="20"/>
              </w:rPr>
            </w:pPr>
            <w:r w:rsidRPr="00201A3F">
              <w:rPr>
                <w:rFonts w:eastAsia="Calibri"/>
                <w:sz w:val="20"/>
              </w:rPr>
              <w:t>August 8, 2012</w:t>
            </w:r>
          </w:p>
          <w:p w:rsidR="004B640C" w:rsidRPr="00201A3F" w:rsidRDefault="004B640C" w:rsidP="00D43A9E">
            <w:pPr>
              <w:jc w:val="both"/>
              <w:rPr>
                <w:rFonts w:eastAsia="Calibri"/>
                <w:sz w:val="20"/>
              </w:rPr>
            </w:pPr>
            <w:r w:rsidRPr="00201A3F">
              <w:rPr>
                <w:rFonts w:eastAsia="Calibri"/>
                <w:sz w:val="20"/>
              </w:rPr>
              <w:t>Quebec Court of Appeal (Montréal)</w:t>
            </w:r>
          </w:p>
          <w:p w:rsidR="004B640C" w:rsidRPr="00201A3F" w:rsidRDefault="004B640C" w:rsidP="00D43A9E">
            <w:pPr>
              <w:jc w:val="both"/>
              <w:rPr>
                <w:rFonts w:eastAsia="Calibri"/>
                <w:sz w:val="20"/>
              </w:rPr>
            </w:pPr>
            <w:r w:rsidRPr="00201A3F">
              <w:rPr>
                <w:rFonts w:eastAsia="Calibri"/>
                <w:sz w:val="20"/>
              </w:rPr>
              <w:t>(Dufresne J.A.)</w:t>
            </w:r>
          </w:p>
          <w:p w:rsidR="004B640C" w:rsidRPr="00201A3F" w:rsidRDefault="004B640C" w:rsidP="00D43A9E">
            <w:pPr>
              <w:jc w:val="both"/>
              <w:rPr>
                <w:rFonts w:eastAsia="Calibri"/>
                <w:sz w:val="20"/>
              </w:rPr>
            </w:pPr>
            <w:r w:rsidRPr="00201A3F">
              <w:rPr>
                <w:rFonts w:eastAsia="Calibri"/>
                <w:sz w:val="20"/>
              </w:rPr>
              <w:t>2012 QCCA 1404; 500-10-005143-126</w:t>
            </w:r>
          </w:p>
          <w:p w:rsidR="004B640C" w:rsidRPr="00201A3F" w:rsidRDefault="004B640C" w:rsidP="00D43A9E">
            <w:pPr>
              <w:jc w:val="both"/>
              <w:rPr>
                <w:rFonts w:eastAsia="Calibri"/>
                <w:sz w:val="20"/>
              </w:rPr>
            </w:pPr>
          </w:p>
        </w:tc>
        <w:tc>
          <w:tcPr>
            <w:tcW w:w="243" w:type="pct"/>
          </w:tcPr>
          <w:p w:rsidR="004B640C" w:rsidRPr="00201A3F" w:rsidRDefault="004B640C" w:rsidP="00D43A9E">
            <w:pPr>
              <w:jc w:val="both"/>
              <w:rPr>
                <w:rFonts w:eastAsia="Calibri"/>
                <w:sz w:val="20"/>
              </w:rPr>
            </w:pPr>
          </w:p>
        </w:tc>
        <w:tc>
          <w:tcPr>
            <w:tcW w:w="2330" w:type="pct"/>
          </w:tcPr>
          <w:p w:rsidR="004B640C" w:rsidRPr="00201A3F" w:rsidRDefault="004B640C" w:rsidP="00D43A9E">
            <w:pPr>
              <w:jc w:val="both"/>
              <w:rPr>
                <w:rFonts w:eastAsia="Calibri"/>
                <w:sz w:val="20"/>
              </w:rPr>
            </w:pPr>
            <w:r w:rsidRPr="00201A3F">
              <w:rPr>
                <w:rFonts w:eastAsia="Calibri"/>
                <w:sz w:val="20"/>
              </w:rPr>
              <w:t>Motion for leave to appeal dismissed</w:t>
            </w:r>
          </w:p>
          <w:p w:rsidR="004B640C" w:rsidRPr="00201A3F" w:rsidRDefault="004B640C" w:rsidP="00D43A9E">
            <w:pPr>
              <w:jc w:val="both"/>
              <w:rPr>
                <w:rFonts w:eastAsia="Calibri"/>
                <w:sz w:val="20"/>
              </w:rPr>
            </w:pPr>
          </w:p>
        </w:tc>
      </w:tr>
      <w:tr w:rsidR="004B640C" w:rsidRPr="00201A3F" w:rsidTr="00D43A9E">
        <w:tc>
          <w:tcPr>
            <w:tcW w:w="2427" w:type="pct"/>
          </w:tcPr>
          <w:p w:rsidR="004B640C" w:rsidRPr="00201A3F" w:rsidRDefault="004B640C" w:rsidP="00D43A9E">
            <w:pPr>
              <w:jc w:val="both"/>
              <w:rPr>
                <w:rFonts w:eastAsia="Calibri"/>
                <w:sz w:val="20"/>
              </w:rPr>
            </w:pPr>
            <w:r w:rsidRPr="00201A3F">
              <w:rPr>
                <w:rFonts w:eastAsia="Calibri"/>
                <w:sz w:val="20"/>
              </w:rPr>
              <w:t>August 22, 2012</w:t>
            </w:r>
          </w:p>
          <w:p w:rsidR="004B640C" w:rsidRPr="00201A3F" w:rsidRDefault="004B640C" w:rsidP="00D43A9E">
            <w:pPr>
              <w:jc w:val="both"/>
              <w:rPr>
                <w:rFonts w:eastAsia="Calibri"/>
                <w:sz w:val="20"/>
              </w:rPr>
            </w:pPr>
            <w:r w:rsidRPr="00201A3F">
              <w:rPr>
                <w:rFonts w:eastAsia="Calibri"/>
                <w:sz w:val="20"/>
              </w:rPr>
              <w:t>Supreme Court of Canada</w:t>
            </w:r>
          </w:p>
        </w:tc>
        <w:tc>
          <w:tcPr>
            <w:tcW w:w="243" w:type="pct"/>
          </w:tcPr>
          <w:p w:rsidR="004B640C" w:rsidRPr="00201A3F" w:rsidRDefault="004B640C" w:rsidP="00D43A9E">
            <w:pPr>
              <w:jc w:val="both"/>
              <w:rPr>
                <w:rFonts w:eastAsia="Calibri"/>
                <w:sz w:val="20"/>
              </w:rPr>
            </w:pPr>
          </w:p>
        </w:tc>
        <w:tc>
          <w:tcPr>
            <w:tcW w:w="2330" w:type="pct"/>
          </w:tcPr>
          <w:p w:rsidR="004B640C" w:rsidRPr="00201A3F" w:rsidRDefault="004B640C" w:rsidP="00D43A9E">
            <w:pPr>
              <w:jc w:val="both"/>
              <w:rPr>
                <w:rFonts w:eastAsia="Calibri"/>
                <w:sz w:val="20"/>
              </w:rPr>
            </w:pPr>
            <w:r w:rsidRPr="00201A3F">
              <w:rPr>
                <w:rFonts w:eastAsia="Calibri"/>
                <w:sz w:val="20"/>
              </w:rPr>
              <w:t>Application for leave to appeal filed</w:t>
            </w:r>
          </w:p>
          <w:p w:rsidR="004B640C" w:rsidRPr="00201A3F" w:rsidRDefault="004B640C" w:rsidP="00D43A9E">
            <w:pPr>
              <w:jc w:val="both"/>
              <w:rPr>
                <w:rFonts w:eastAsia="Calibri"/>
                <w:sz w:val="20"/>
              </w:rPr>
            </w:pPr>
          </w:p>
        </w:tc>
      </w:tr>
    </w:tbl>
    <w:p w:rsidR="00A740D1" w:rsidRDefault="00A740D1" w:rsidP="00A740D1">
      <w:pPr>
        <w:rPr>
          <w:sz w:val="20"/>
          <w:szCs w:val="20"/>
        </w:rPr>
      </w:pPr>
    </w:p>
    <w:p w:rsidR="00A740D1" w:rsidRPr="00C50A5C" w:rsidRDefault="00BF3B03" w:rsidP="00A740D1">
      <w:pPr>
        <w:rPr>
          <w:sz w:val="20"/>
          <w:szCs w:val="20"/>
        </w:rPr>
      </w:pPr>
      <w:r w:rsidRPr="00BF3B03">
        <w:rPr>
          <w:sz w:val="20"/>
          <w:szCs w:val="20"/>
          <w:lang w:val="fr-CA"/>
        </w:rPr>
        <w:pict>
          <v:rect id="_x0000_i1084" style="width:2in;height:1pt" o:hrpct="0" o:hralign="center" o:hrstd="t" o:hrnoshade="t" o:hr="t" fillcolor="black [3213]" stroked="f"/>
        </w:pict>
      </w:r>
    </w:p>
    <w:p w:rsidR="00A740D1" w:rsidRDefault="00A740D1" w:rsidP="00A740D1">
      <w:pPr>
        <w:rPr>
          <w:sz w:val="20"/>
          <w:szCs w:val="20"/>
        </w:rPr>
      </w:pPr>
    </w:p>
    <w:p w:rsidR="00A740D1" w:rsidRPr="001B157C" w:rsidRDefault="00A740D1" w:rsidP="00A740D1">
      <w:pPr>
        <w:rPr>
          <w:sz w:val="20"/>
          <w:szCs w:val="20"/>
          <w:u w:val="single"/>
          <w:lang w:val="fr-CA"/>
        </w:rPr>
      </w:pPr>
      <w:r w:rsidRPr="001B157C">
        <w:rPr>
          <w:sz w:val="20"/>
          <w:szCs w:val="20"/>
          <w:u w:val="single"/>
          <w:lang w:val="fr-CA"/>
        </w:rPr>
        <w:t>RÉSUMÉ DE L’AFFAIRE</w:t>
      </w:r>
    </w:p>
    <w:p w:rsidR="00A740D1" w:rsidRDefault="00A740D1" w:rsidP="00A740D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B640C" w:rsidRPr="00DC2D1F" w:rsidTr="00D43A9E">
        <w:tc>
          <w:tcPr>
            <w:tcW w:w="5000" w:type="pct"/>
            <w:gridSpan w:val="3"/>
          </w:tcPr>
          <w:p w:rsidR="004B640C" w:rsidRPr="00201A3F" w:rsidRDefault="004B640C" w:rsidP="00D43A9E">
            <w:pPr>
              <w:jc w:val="both"/>
              <w:rPr>
                <w:rFonts w:eastAsia="Calibri"/>
                <w:sz w:val="20"/>
                <w:lang w:val="fr-CA"/>
              </w:rPr>
            </w:pPr>
            <w:r w:rsidRPr="00201A3F">
              <w:rPr>
                <w:rFonts w:eastAsia="Calibri"/>
                <w:sz w:val="20"/>
                <w:lang w:val="fr-CA"/>
              </w:rPr>
              <w:t>Procédure civile — Permission d’appel — Requête pour permission d’appeler rejetée — Les instances inférieures auraient</w:t>
            </w:r>
            <w:r w:rsidRPr="00201A3F">
              <w:rPr>
                <w:rFonts w:eastAsia="Calibri"/>
                <w:sz w:val="20"/>
                <w:lang w:val="fr-CA"/>
              </w:rPr>
              <w:noBreakHyphen/>
              <w:t>elles dû se prononcer sur une objection constitutionnelle soulevée par le demandeur?</w:t>
            </w:r>
          </w:p>
        </w:tc>
      </w:tr>
      <w:tr w:rsidR="004B640C" w:rsidRPr="00DC2D1F" w:rsidTr="00D43A9E">
        <w:tc>
          <w:tcPr>
            <w:tcW w:w="5000" w:type="pct"/>
            <w:gridSpan w:val="3"/>
          </w:tcPr>
          <w:p w:rsidR="004B640C" w:rsidRPr="00201A3F" w:rsidRDefault="004B640C" w:rsidP="00D43A9E">
            <w:pPr>
              <w:jc w:val="both"/>
              <w:rPr>
                <w:rFonts w:eastAsia="Calibri"/>
                <w:sz w:val="20"/>
                <w:lang w:val="fr-CA"/>
              </w:rPr>
            </w:pPr>
          </w:p>
        </w:tc>
      </w:tr>
      <w:tr w:rsidR="004B640C" w:rsidRPr="00DC2D1F" w:rsidTr="00D43A9E">
        <w:tc>
          <w:tcPr>
            <w:tcW w:w="5000" w:type="pct"/>
            <w:gridSpan w:val="3"/>
          </w:tcPr>
          <w:p w:rsidR="004B640C" w:rsidRPr="00201A3F" w:rsidRDefault="004B640C" w:rsidP="00D43A9E">
            <w:pPr>
              <w:jc w:val="both"/>
              <w:rPr>
                <w:rFonts w:eastAsia="Calibri"/>
                <w:sz w:val="20"/>
                <w:lang w:val="fr-CA"/>
              </w:rPr>
            </w:pPr>
            <w:r w:rsidRPr="00201A3F">
              <w:rPr>
                <w:rFonts w:eastAsia="Calibri"/>
                <w:sz w:val="20"/>
                <w:lang w:val="fr-CA"/>
              </w:rPr>
              <w:t xml:space="preserve">M. Patenaude a été déclaré coupable de certaines infractions au </w:t>
            </w:r>
            <w:r w:rsidRPr="00201A3F">
              <w:rPr>
                <w:rFonts w:eastAsia="Calibri"/>
                <w:i/>
                <w:sz w:val="20"/>
                <w:lang w:val="fr-CA"/>
              </w:rPr>
              <w:t>Code de la sécurité routière</w:t>
            </w:r>
            <w:r w:rsidRPr="00201A3F">
              <w:rPr>
                <w:rFonts w:eastAsia="Calibri"/>
                <w:sz w:val="20"/>
                <w:lang w:val="fr-CA"/>
              </w:rPr>
              <w:t xml:space="preserve"> (art. 396) et au </w:t>
            </w:r>
            <w:r w:rsidRPr="00201A3F">
              <w:rPr>
                <w:rFonts w:eastAsia="Calibri"/>
                <w:i/>
                <w:sz w:val="20"/>
                <w:lang w:val="fr-CA"/>
              </w:rPr>
              <w:t>Règlement sur la circulation et le stationnement</w:t>
            </w:r>
            <w:r w:rsidRPr="00201A3F">
              <w:rPr>
                <w:rFonts w:eastAsia="Calibri"/>
                <w:sz w:val="20"/>
                <w:lang w:val="fr-CA"/>
              </w:rPr>
              <w:t xml:space="preserve"> de la Ville de Montréal (art. 55). Dans sa défense en Cour municipale, M. Patenaude avait soutenu ne pas faire partie « d’un groupe défavorisé qui aurait besoin de ce genre de législation pour accéder à l’égalité ». </w:t>
            </w:r>
          </w:p>
          <w:p w:rsidR="004B640C" w:rsidRPr="00201A3F" w:rsidRDefault="004B640C" w:rsidP="00D43A9E">
            <w:pPr>
              <w:jc w:val="both"/>
              <w:rPr>
                <w:rFonts w:eastAsia="Calibri"/>
                <w:sz w:val="20"/>
                <w:lang w:val="fr-CA"/>
              </w:rPr>
            </w:pPr>
          </w:p>
          <w:p w:rsidR="004B640C" w:rsidRPr="00201A3F" w:rsidRDefault="004B640C" w:rsidP="00D43A9E">
            <w:pPr>
              <w:jc w:val="both"/>
              <w:rPr>
                <w:rFonts w:eastAsia="Calibri"/>
                <w:sz w:val="20"/>
                <w:lang w:val="fr-CA"/>
              </w:rPr>
            </w:pPr>
            <w:r w:rsidRPr="00201A3F">
              <w:rPr>
                <w:rFonts w:eastAsia="Calibri"/>
                <w:sz w:val="20"/>
                <w:lang w:val="fr-CA"/>
              </w:rPr>
              <w:t xml:space="preserve">Au stade de l’appel devant la Cour supérieure, le procureur général du Québec et la Ville de Montréal ont présenté des requêtes en rejet d’appel, faisant valoir, pour l’essentiel, que la demande de M. Patenaude pour une déclaration selon laquelle les dispositions législative et réglementaire en cause ne respectaient pas l’esprit et la lettre du par. 15(2) de la </w:t>
            </w:r>
            <w:r w:rsidRPr="00201A3F">
              <w:rPr>
                <w:rFonts w:eastAsia="Calibri"/>
                <w:i/>
                <w:sz w:val="20"/>
                <w:lang w:val="fr-CA"/>
              </w:rPr>
              <w:t>Charte canadienne des droits et libertés</w:t>
            </w:r>
            <w:r w:rsidRPr="00201A3F">
              <w:rPr>
                <w:rFonts w:eastAsia="Calibri"/>
                <w:sz w:val="20"/>
                <w:lang w:val="fr-CA"/>
              </w:rPr>
              <w:t xml:space="preserve"> était mal fondée vu la jurisprudence relative aux par. 15(1) et (2) de la </w:t>
            </w:r>
            <w:r w:rsidRPr="00201A3F">
              <w:rPr>
                <w:rFonts w:eastAsia="Calibri"/>
                <w:i/>
                <w:sz w:val="20"/>
                <w:lang w:val="fr-CA"/>
              </w:rPr>
              <w:t>Charte</w:t>
            </w:r>
            <w:r w:rsidRPr="00201A3F">
              <w:rPr>
                <w:rFonts w:eastAsia="Calibri"/>
                <w:sz w:val="20"/>
                <w:lang w:val="fr-CA"/>
              </w:rPr>
              <w:t xml:space="preserve">.  La Cour supérieure a fait </w:t>
            </w:r>
            <w:proofErr w:type="gramStart"/>
            <w:r w:rsidRPr="00201A3F">
              <w:rPr>
                <w:rFonts w:eastAsia="Calibri"/>
                <w:sz w:val="20"/>
                <w:lang w:val="fr-CA"/>
              </w:rPr>
              <w:t>droit</w:t>
            </w:r>
            <w:proofErr w:type="gramEnd"/>
            <w:r w:rsidRPr="00201A3F">
              <w:rPr>
                <w:rFonts w:eastAsia="Calibri"/>
                <w:sz w:val="20"/>
                <w:lang w:val="fr-CA"/>
              </w:rPr>
              <w:t xml:space="preserve"> aux requêtes en rejet d’appel.</w:t>
            </w:r>
          </w:p>
          <w:p w:rsidR="004B640C" w:rsidRPr="00201A3F" w:rsidRDefault="004B640C" w:rsidP="00D43A9E">
            <w:pPr>
              <w:jc w:val="both"/>
              <w:rPr>
                <w:rFonts w:eastAsia="Calibri"/>
                <w:sz w:val="20"/>
                <w:lang w:val="fr-CA"/>
              </w:rPr>
            </w:pPr>
          </w:p>
          <w:p w:rsidR="004B640C" w:rsidRPr="00201A3F" w:rsidRDefault="004B640C" w:rsidP="00D43A9E">
            <w:pPr>
              <w:jc w:val="both"/>
              <w:rPr>
                <w:rFonts w:eastAsia="Calibri"/>
                <w:sz w:val="20"/>
                <w:lang w:val="fr-CA"/>
              </w:rPr>
            </w:pPr>
            <w:r w:rsidRPr="00201A3F">
              <w:rPr>
                <w:rFonts w:eastAsia="Calibri"/>
                <w:sz w:val="20"/>
                <w:lang w:val="fr-CA"/>
              </w:rPr>
              <w:t xml:space="preserve">Le juge Dufresne de la Cour d’appel a refusé de permettre un appel, au motif que les questions de droit soulevées par M. Patenaude n’avaient aucune chance de succès.  M. Patenaude plaidait que la Cour supérieure devait statuer « de manière déclaratoire sur la contestation constitutionnelle présentée devant elle ». </w:t>
            </w:r>
          </w:p>
          <w:p w:rsidR="004B640C" w:rsidRPr="00201A3F" w:rsidRDefault="004B640C" w:rsidP="00D43A9E">
            <w:pPr>
              <w:jc w:val="both"/>
              <w:rPr>
                <w:rFonts w:eastAsia="Calibri"/>
                <w:sz w:val="20"/>
                <w:lang w:val="fr-CA"/>
              </w:rPr>
            </w:pPr>
          </w:p>
        </w:tc>
      </w:tr>
      <w:tr w:rsidR="004B640C" w:rsidRPr="00DC2D1F" w:rsidTr="00D43A9E">
        <w:tc>
          <w:tcPr>
            <w:tcW w:w="2427" w:type="pct"/>
          </w:tcPr>
          <w:p w:rsidR="004B640C" w:rsidRPr="00201A3F" w:rsidRDefault="004B640C" w:rsidP="00D43A9E">
            <w:pPr>
              <w:jc w:val="both"/>
              <w:rPr>
                <w:rFonts w:eastAsia="Calibri"/>
                <w:sz w:val="20"/>
                <w:lang w:val="fr-CA"/>
              </w:rPr>
            </w:pPr>
            <w:r w:rsidRPr="00201A3F">
              <w:rPr>
                <w:rFonts w:eastAsia="Calibri"/>
                <w:sz w:val="20"/>
                <w:lang w:val="fr-CA"/>
              </w:rPr>
              <w:t>Le 10 avril 2012</w:t>
            </w:r>
          </w:p>
          <w:p w:rsidR="004B640C" w:rsidRPr="00201A3F" w:rsidRDefault="004B640C" w:rsidP="00D43A9E">
            <w:pPr>
              <w:jc w:val="both"/>
              <w:rPr>
                <w:rFonts w:eastAsia="Calibri"/>
                <w:sz w:val="20"/>
                <w:lang w:val="fr-CA"/>
              </w:rPr>
            </w:pPr>
            <w:r w:rsidRPr="00201A3F">
              <w:rPr>
                <w:rFonts w:eastAsia="Calibri"/>
                <w:sz w:val="20"/>
                <w:lang w:val="fr-CA"/>
              </w:rPr>
              <w:t>Cour supérieure du Québec</w:t>
            </w:r>
          </w:p>
          <w:p w:rsidR="004B640C" w:rsidRPr="00201A3F" w:rsidRDefault="004B640C" w:rsidP="00D43A9E">
            <w:pPr>
              <w:jc w:val="both"/>
              <w:rPr>
                <w:rFonts w:eastAsia="Calibri"/>
                <w:sz w:val="20"/>
                <w:lang w:val="fr-CA"/>
              </w:rPr>
            </w:pPr>
            <w:r w:rsidRPr="00201A3F">
              <w:rPr>
                <w:rFonts w:eastAsia="Calibri"/>
                <w:sz w:val="20"/>
                <w:lang w:val="fr-CA"/>
              </w:rPr>
              <w:t>(Le juge Paul)</w:t>
            </w:r>
          </w:p>
          <w:p w:rsidR="004B640C" w:rsidRPr="00201A3F" w:rsidRDefault="004B640C" w:rsidP="00D43A9E">
            <w:pPr>
              <w:jc w:val="both"/>
              <w:rPr>
                <w:rFonts w:eastAsia="Calibri"/>
                <w:sz w:val="20"/>
              </w:rPr>
            </w:pPr>
          </w:p>
        </w:tc>
        <w:tc>
          <w:tcPr>
            <w:tcW w:w="243" w:type="pct"/>
          </w:tcPr>
          <w:p w:rsidR="004B640C" w:rsidRPr="00201A3F" w:rsidRDefault="004B640C" w:rsidP="00D43A9E">
            <w:pPr>
              <w:jc w:val="both"/>
              <w:rPr>
                <w:rFonts w:eastAsia="Calibri"/>
                <w:sz w:val="20"/>
              </w:rPr>
            </w:pPr>
          </w:p>
        </w:tc>
        <w:tc>
          <w:tcPr>
            <w:tcW w:w="2330" w:type="pct"/>
          </w:tcPr>
          <w:p w:rsidR="004B640C" w:rsidRPr="00201A3F" w:rsidRDefault="004B640C" w:rsidP="00D43A9E">
            <w:pPr>
              <w:jc w:val="both"/>
              <w:rPr>
                <w:rFonts w:eastAsia="Calibri"/>
                <w:sz w:val="20"/>
                <w:lang w:val="fr-CA"/>
              </w:rPr>
            </w:pPr>
            <w:r w:rsidRPr="00201A3F">
              <w:rPr>
                <w:rFonts w:eastAsia="Calibri"/>
                <w:sz w:val="20"/>
                <w:lang w:val="fr-CA"/>
              </w:rPr>
              <w:t>Requêtes en rejet d’appel de décisions de la Cour municipale accueillies; appels rejetés</w:t>
            </w:r>
          </w:p>
          <w:p w:rsidR="004B640C" w:rsidRPr="00201A3F" w:rsidRDefault="004B640C" w:rsidP="00D43A9E">
            <w:pPr>
              <w:jc w:val="both"/>
              <w:rPr>
                <w:rFonts w:eastAsia="Calibri"/>
                <w:sz w:val="20"/>
                <w:lang w:val="fr-CA"/>
              </w:rPr>
            </w:pPr>
          </w:p>
        </w:tc>
      </w:tr>
      <w:tr w:rsidR="004B640C" w:rsidRPr="00201A3F" w:rsidTr="003F697D">
        <w:trPr>
          <w:cantSplit/>
        </w:trPr>
        <w:tc>
          <w:tcPr>
            <w:tcW w:w="2427" w:type="pct"/>
          </w:tcPr>
          <w:p w:rsidR="004B640C" w:rsidRPr="00201A3F" w:rsidRDefault="004B640C" w:rsidP="00D43A9E">
            <w:pPr>
              <w:jc w:val="both"/>
              <w:rPr>
                <w:rFonts w:eastAsia="Calibri"/>
                <w:sz w:val="20"/>
                <w:lang w:val="fr-CA"/>
              </w:rPr>
            </w:pPr>
            <w:r w:rsidRPr="00201A3F">
              <w:rPr>
                <w:rFonts w:eastAsia="Calibri"/>
                <w:sz w:val="20"/>
                <w:lang w:val="fr-CA"/>
              </w:rPr>
              <w:lastRenderedPageBreak/>
              <w:t>Le 8 août 2012</w:t>
            </w:r>
          </w:p>
          <w:p w:rsidR="004B640C" w:rsidRPr="00201A3F" w:rsidRDefault="004B640C" w:rsidP="00D43A9E">
            <w:pPr>
              <w:jc w:val="both"/>
              <w:rPr>
                <w:rFonts w:eastAsia="Calibri"/>
                <w:sz w:val="20"/>
                <w:lang w:val="fr-CA"/>
              </w:rPr>
            </w:pPr>
            <w:r w:rsidRPr="00201A3F">
              <w:rPr>
                <w:rFonts w:eastAsia="Calibri"/>
                <w:sz w:val="20"/>
                <w:lang w:val="fr-CA"/>
              </w:rPr>
              <w:t>Cour d’appel du Québec (Montréal)</w:t>
            </w:r>
          </w:p>
          <w:p w:rsidR="004B640C" w:rsidRPr="00201A3F" w:rsidRDefault="004B640C" w:rsidP="00D43A9E">
            <w:pPr>
              <w:jc w:val="both"/>
              <w:rPr>
                <w:rFonts w:eastAsia="Calibri"/>
                <w:sz w:val="20"/>
                <w:lang w:val="fr-CA"/>
              </w:rPr>
            </w:pPr>
            <w:r w:rsidRPr="00201A3F">
              <w:rPr>
                <w:rFonts w:eastAsia="Calibri"/>
                <w:sz w:val="20"/>
                <w:lang w:val="fr-CA"/>
              </w:rPr>
              <w:t>(Le juge Dufresne)</w:t>
            </w:r>
          </w:p>
          <w:p w:rsidR="004B640C" w:rsidRPr="00201A3F" w:rsidRDefault="004B640C" w:rsidP="00D43A9E">
            <w:pPr>
              <w:jc w:val="both"/>
              <w:rPr>
                <w:rFonts w:eastAsia="Calibri"/>
                <w:sz w:val="20"/>
                <w:lang w:val="fr-CA"/>
              </w:rPr>
            </w:pPr>
            <w:r w:rsidRPr="00201A3F">
              <w:rPr>
                <w:rFonts w:eastAsia="Calibri"/>
                <w:sz w:val="20"/>
                <w:lang w:val="fr-CA"/>
              </w:rPr>
              <w:t>2012 QCCA 1404; 500</w:t>
            </w:r>
            <w:r w:rsidRPr="00201A3F">
              <w:rPr>
                <w:rFonts w:eastAsia="Calibri"/>
                <w:sz w:val="20"/>
                <w:lang w:val="fr-CA"/>
              </w:rPr>
              <w:noBreakHyphen/>
              <w:t>10</w:t>
            </w:r>
            <w:r w:rsidRPr="00201A3F">
              <w:rPr>
                <w:rFonts w:eastAsia="Calibri"/>
                <w:sz w:val="20"/>
                <w:lang w:val="fr-CA"/>
              </w:rPr>
              <w:noBreakHyphen/>
              <w:t>005143</w:t>
            </w:r>
            <w:r w:rsidRPr="00201A3F">
              <w:rPr>
                <w:rFonts w:eastAsia="Calibri"/>
                <w:sz w:val="20"/>
                <w:lang w:val="fr-CA"/>
              </w:rPr>
              <w:noBreakHyphen/>
              <w:t>126</w:t>
            </w:r>
          </w:p>
          <w:p w:rsidR="004B640C" w:rsidRPr="00201A3F" w:rsidRDefault="004B640C" w:rsidP="00D43A9E">
            <w:pPr>
              <w:jc w:val="both"/>
              <w:rPr>
                <w:rFonts w:eastAsia="Calibri"/>
                <w:sz w:val="20"/>
              </w:rPr>
            </w:pPr>
          </w:p>
        </w:tc>
        <w:tc>
          <w:tcPr>
            <w:tcW w:w="243" w:type="pct"/>
          </w:tcPr>
          <w:p w:rsidR="004B640C" w:rsidRPr="00201A3F" w:rsidRDefault="004B640C" w:rsidP="00D43A9E">
            <w:pPr>
              <w:jc w:val="both"/>
              <w:rPr>
                <w:rFonts w:eastAsia="Calibri"/>
                <w:sz w:val="20"/>
              </w:rPr>
            </w:pPr>
          </w:p>
        </w:tc>
        <w:tc>
          <w:tcPr>
            <w:tcW w:w="2330" w:type="pct"/>
          </w:tcPr>
          <w:p w:rsidR="004B640C" w:rsidRPr="00201A3F" w:rsidRDefault="004B640C" w:rsidP="00D43A9E">
            <w:pPr>
              <w:jc w:val="both"/>
              <w:rPr>
                <w:rFonts w:eastAsia="Calibri"/>
                <w:sz w:val="20"/>
                <w:lang w:val="fr-CA"/>
              </w:rPr>
            </w:pPr>
            <w:r w:rsidRPr="00201A3F">
              <w:rPr>
                <w:rFonts w:eastAsia="Calibri"/>
                <w:sz w:val="20"/>
                <w:lang w:val="fr-CA"/>
              </w:rPr>
              <w:t>Requête pour permission d’appeler rejetée</w:t>
            </w:r>
          </w:p>
          <w:p w:rsidR="004B640C" w:rsidRPr="00201A3F" w:rsidRDefault="004B640C" w:rsidP="00D43A9E">
            <w:pPr>
              <w:jc w:val="both"/>
              <w:rPr>
                <w:rFonts w:eastAsia="Calibri"/>
                <w:sz w:val="20"/>
                <w:lang w:val="fr-CA"/>
              </w:rPr>
            </w:pPr>
          </w:p>
        </w:tc>
      </w:tr>
      <w:tr w:rsidR="004B640C" w:rsidRPr="00201A3F" w:rsidTr="003F697D">
        <w:trPr>
          <w:cantSplit/>
        </w:trPr>
        <w:tc>
          <w:tcPr>
            <w:tcW w:w="2427" w:type="pct"/>
          </w:tcPr>
          <w:p w:rsidR="004B640C" w:rsidRPr="00201A3F" w:rsidRDefault="004B640C" w:rsidP="00D43A9E">
            <w:pPr>
              <w:jc w:val="both"/>
              <w:rPr>
                <w:rFonts w:eastAsia="Calibri"/>
                <w:sz w:val="20"/>
                <w:lang w:val="fr-CA"/>
              </w:rPr>
            </w:pPr>
            <w:r w:rsidRPr="00201A3F">
              <w:rPr>
                <w:rFonts w:eastAsia="Calibri"/>
                <w:sz w:val="20"/>
                <w:lang w:val="fr-CA"/>
              </w:rPr>
              <w:t>Le 22 août 2012</w:t>
            </w:r>
          </w:p>
          <w:p w:rsidR="004B640C" w:rsidRPr="00201A3F" w:rsidRDefault="004B640C" w:rsidP="00D43A9E">
            <w:pPr>
              <w:jc w:val="both"/>
              <w:rPr>
                <w:rFonts w:eastAsia="Calibri"/>
                <w:sz w:val="20"/>
                <w:lang w:val="fr-CA"/>
              </w:rPr>
            </w:pPr>
            <w:r w:rsidRPr="00201A3F">
              <w:rPr>
                <w:rFonts w:eastAsia="Calibri"/>
                <w:sz w:val="20"/>
                <w:lang w:val="fr-CA"/>
              </w:rPr>
              <w:t>Cour suprême du Canada</w:t>
            </w:r>
          </w:p>
        </w:tc>
        <w:tc>
          <w:tcPr>
            <w:tcW w:w="243" w:type="pct"/>
          </w:tcPr>
          <w:p w:rsidR="004B640C" w:rsidRPr="00201A3F" w:rsidRDefault="004B640C" w:rsidP="00D43A9E">
            <w:pPr>
              <w:jc w:val="both"/>
              <w:rPr>
                <w:rFonts w:eastAsia="Calibri"/>
                <w:sz w:val="20"/>
                <w:lang w:val="fr-CA"/>
              </w:rPr>
            </w:pPr>
          </w:p>
        </w:tc>
        <w:tc>
          <w:tcPr>
            <w:tcW w:w="2330" w:type="pct"/>
          </w:tcPr>
          <w:p w:rsidR="004B640C" w:rsidRPr="00201A3F" w:rsidRDefault="004B640C" w:rsidP="00D43A9E">
            <w:pPr>
              <w:jc w:val="both"/>
              <w:rPr>
                <w:rFonts w:eastAsia="Calibri"/>
                <w:sz w:val="20"/>
                <w:lang w:val="fr-CA"/>
              </w:rPr>
            </w:pPr>
            <w:r w:rsidRPr="00201A3F">
              <w:rPr>
                <w:rFonts w:eastAsia="Calibri"/>
                <w:sz w:val="20"/>
                <w:lang w:val="fr-CA"/>
              </w:rPr>
              <w:t>Demande d'autorisation d'appel déposée</w:t>
            </w:r>
          </w:p>
          <w:p w:rsidR="004B640C" w:rsidRPr="00201A3F" w:rsidRDefault="004B640C" w:rsidP="00D43A9E">
            <w:pPr>
              <w:jc w:val="both"/>
              <w:rPr>
                <w:rFonts w:eastAsia="Calibri"/>
                <w:sz w:val="20"/>
                <w:lang w:val="fr-CA"/>
              </w:rPr>
            </w:pPr>
          </w:p>
        </w:tc>
      </w:tr>
    </w:tbl>
    <w:p w:rsidR="00A740D1" w:rsidRDefault="00A740D1" w:rsidP="00A740D1">
      <w:pPr>
        <w:rPr>
          <w:sz w:val="20"/>
          <w:szCs w:val="20"/>
        </w:rPr>
      </w:pPr>
    </w:p>
    <w:p w:rsidR="00A740D1" w:rsidRDefault="00BF3B03" w:rsidP="00A740D1">
      <w:pPr>
        <w:rPr>
          <w:sz w:val="20"/>
          <w:szCs w:val="20"/>
        </w:rPr>
      </w:pPr>
      <w:r w:rsidRPr="00BF3B03">
        <w:rPr>
          <w:sz w:val="20"/>
          <w:szCs w:val="20"/>
          <w:lang w:val="fr-CA"/>
        </w:rPr>
        <w:pict>
          <v:rect id="_x0000_i1085" style="width:2in;height:1pt" o:hrpct="0" o:hralign="center" o:hrstd="t" o:hrnoshade="t" o:hr="t" fillcolor="black [3213]" stroked="f"/>
        </w:pict>
      </w:r>
    </w:p>
    <w:p w:rsidR="00A740D1" w:rsidRDefault="00A740D1" w:rsidP="00A740D1">
      <w:pPr>
        <w:rPr>
          <w:sz w:val="20"/>
          <w:szCs w:val="20"/>
        </w:rPr>
      </w:pPr>
    </w:p>
    <w:p w:rsidR="00A740D1" w:rsidRPr="00A740D1" w:rsidRDefault="00A740D1" w:rsidP="008D292F">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9"/>
          <w:headerReference w:type="default" r:id="rId30"/>
          <w:footerReference w:type="even" r:id="rId31"/>
          <w:footerReference w:type="default" r:id="rId32"/>
          <w:headerReference w:type="first" r:id="rId33"/>
          <w:footerReference w:type="first" r:id="rId3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E823AA" w:rsidRPr="00E823AA" w:rsidRDefault="00E823AA" w:rsidP="00E823AA">
      <w:pPr>
        <w:tabs>
          <w:tab w:val="left" w:pos="-1440"/>
          <w:tab w:val="left" w:pos="-720"/>
        </w:tabs>
        <w:jc w:val="both"/>
        <w:rPr>
          <w:sz w:val="20"/>
          <w:szCs w:val="20"/>
          <w:lang w:val="fr-CA"/>
        </w:rPr>
      </w:pPr>
      <w:r w:rsidRPr="00E823AA">
        <w:rPr>
          <w:sz w:val="20"/>
          <w:szCs w:val="20"/>
          <w:lang w:val="fr-CA"/>
        </w:rPr>
        <w:t>31.10.2012</w:t>
      </w:r>
    </w:p>
    <w:p w:rsidR="00E823AA" w:rsidRPr="00E823AA" w:rsidRDefault="00E823AA" w:rsidP="00E823AA">
      <w:pPr>
        <w:tabs>
          <w:tab w:val="left" w:pos="-1440"/>
          <w:tab w:val="left" w:pos="-720"/>
        </w:tabs>
        <w:jc w:val="both"/>
        <w:rPr>
          <w:sz w:val="20"/>
          <w:szCs w:val="20"/>
          <w:lang w:val="fr-CA"/>
        </w:rPr>
      </w:pPr>
    </w:p>
    <w:p w:rsidR="00E823AA" w:rsidRPr="00E823AA" w:rsidRDefault="00E823AA" w:rsidP="00E823AA">
      <w:pPr>
        <w:tabs>
          <w:tab w:val="left" w:pos="-1440"/>
          <w:tab w:val="left" w:pos="-720"/>
        </w:tabs>
        <w:jc w:val="both"/>
        <w:rPr>
          <w:sz w:val="20"/>
          <w:szCs w:val="20"/>
          <w:lang w:val="fr-CA"/>
        </w:rPr>
      </w:pPr>
      <w:r w:rsidRPr="00E823AA">
        <w:rPr>
          <w:sz w:val="20"/>
          <w:szCs w:val="20"/>
          <w:lang w:val="fr-CA"/>
        </w:rPr>
        <w:t>Before / Devant :   THE REGISTRAR / LE REGISTRAIRE</w:t>
      </w:r>
    </w:p>
    <w:p w:rsidR="00E823AA" w:rsidRPr="00E823AA" w:rsidRDefault="00E823AA" w:rsidP="00E823AA">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E823AA" w:rsidRPr="00DC2D1F" w:rsidTr="0077555D">
        <w:tc>
          <w:tcPr>
            <w:tcW w:w="4338" w:type="dxa"/>
          </w:tcPr>
          <w:p w:rsidR="00E823AA" w:rsidRPr="00E823AA" w:rsidRDefault="00BF3B03" w:rsidP="0077555D">
            <w:pPr>
              <w:tabs>
                <w:tab w:val="left" w:pos="-1440"/>
                <w:tab w:val="left" w:pos="-720"/>
              </w:tabs>
              <w:jc w:val="both"/>
              <w:rPr>
                <w:b/>
                <w:sz w:val="20"/>
                <w:szCs w:val="20"/>
              </w:rPr>
            </w:pPr>
            <w:r w:rsidRPr="00E823AA">
              <w:rPr>
                <w:sz w:val="20"/>
                <w:szCs w:val="20"/>
              </w:rPr>
              <w:fldChar w:fldCharType="begin"/>
            </w:r>
            <w:r w:rsidR="00E823AA" w:rsidRPr="00E823AA">
              <w:rPr>
                <w:sz w:val="20"/>
                <w:szCs w:val="20"/>
              </w:rPr>
              <w:instrText xml:space="preserve"> SEQ CHAPTER \h \r 1</w:instrText>
            </w:r>
            <w:r w:rsidRPr="00E823AA">
              <w:rPr>
                <w:sz w:val="20"/>
                <w:szCs w:val="20"/>
              </w:rPr>
              <w:fldChar w:fldCharType="end"/>
            </w:r>
            <w:r w:rsidRPr="00E823AA">
              <w:rPr>
                <w:sz w:val="20"/>
                <w:szCs w:val="20"/>
              </w:rPr>
              <w:fldChar w:fldCharType="begin"/>
            </w:r>
            <w:r w:rsidR="00E823AA" w:rsidRPr="00E823AA">
              <w:rPr>
                <w:sz w:val="20"/>
                <w:szCs w:val="20"/>
              </w:rPr>
              <w:instrText xml:space="preserve"> SEQ CHAPTER \h \r 1</w:instrText>
            </w:r>
            <w:r w:rsidRPr="00E823AA">
              <w:rPr>
                <w:sz w:val="20"/>
                <w:szCs w:val="20"/>
              </w:rPr>
              <w:fldChar w:fldCharType="end"/>
            </w:r>
            <w:r w:rsidR="00E823AA" w:rsidRPr="00E823AA">
              <w:rPr>
                <w:b/>
                <w:bCs/>
                <w:sz w:val="20"/>
                <w:szCs w:val="20"/>
              </w:rPr>
              <w:t>Motion to extend the time to serve and file the applicant’s reply to October 18, 2012</w:t>
            </w:r>
          </w:p>
        </w:tc>
        <w:tc>
          <w:tcPr>
            <w:tcW w:w="1170" w:type="dxa"/>
          </w:tcPr>
          <w:p w:rsidR="00E823AA" w:rsidRPr="00E823AA" w:rsidRDefault="00E823AA" w:rsidP="0077555D">
            <w:pPr>
              <w:tabs>
                <w:tab w:val="left" w:pos="-1440"/>
                <w:tab w:val="left" w:pos="-720"/>
              </w:tabs>
              <w:jc w:val="both"/>
              <w:rPr>
                <w:sz w:val="20"/>
                <w:szCs w:val="20"/>
              </w:rPr>
            </w:pPr>
          </w:p>
          <w:p w:rsidR="00E823AA" w:rsidRPr="00E823AA" w:rsidRDefault="00E823AA" w:rsidP="0077555D">
            <w:pPr>
              <w:tabs>
                <w:tab w:val="left" w:pos="-1440"/>
                <w:tab w:val="left" w:pos="-720"/>
              </w:tabs>
              <w:jc w:val="both"/>
              <w:rPr>
                <w:sz w:val="20"/>
                <w:szCs w:val="20"/>
              </w:rPr>
            </w:pPr>
          </w:p>
          <w:p w:rsidR="00E823AA" w:rsidRPr="00E823AA" w:rsidRDefault="00E823AA" w:rsidP="0077555D">
            <w:pPr>
              <w:tabs>
                <w:tab w:val="left" w:pos="-1440"/>
                <w:tab w:val="left" w:pos="-720"/>
              </w:tabs>
              <w:jc w:val="both"/>
              <w:rPr>
                <w:sz w:val="20"/>
                <w:szCs w:val="20"/>
              </w:rPr>
            </w:pPr>
          </w:p>
          <w:p w:rsidR="00E823AA" w:rsidRPr="00E823AA" w:rsidRDefault="00E823AA" w:rsidP="0077555D">
            <w:pPr>
              <w:tabs>
                <w:tab w:val="left" w:pos="-1440"/>
                <w:tab w:val="left" w:pos="-720"/>
              </w:tabs>
              <w:jc w:val="both"/>
              <w:rPr>
                <w:sz w:val="20"/>
                <w:szCs w:val="20"/>
              </w:rPr>
            </w:pPr>
          </w:p>
        </w:tc>
        <w:tc>
          <w:tcPr>
            <w:tcW w:w="4327" w:type="dxa"/>
          </w:tcPr>
          <w:p w:rsidR="00E823AA" w:rsidRPr="00E823AA" w:rsidRDefault="00BF3B03" w:rsidP="0077555D">
            <w:pPr>
              <w:tabs>
                <w:tab w:val="left" w:pos="-1440"/>
                <w:tab w:val="left" w:pos="-720"/>
              </w:tabs>
              <w:jc w:val="both"/>
              <w:rPr>
                <w:sz w:val="20"/>
                <w:szCs w:val="20"/>
                <w:lang w:val="fr-CA"/>
              </w:rPr>
            </w:pPr>
            <w:r w:rsidRPr="00E823AA">
              <w:rPr>
                <w:sz w:val="20"/>
                <w:szCs w:val="20"/>
              </w:rPr>
              <w:fldChar w:fldCharType="begin"/>
            </w:r>
            <w:r w:rsidR="00E823AA" w:rsidRPr="00E823AA">
              <w:rPr>
                <w:sz w:val="20"/>
                <w:szCs w:val="20"/>
                <w:lang w:val="fr-CA"/>
              </w:rPr>
              <w:instrText xml:space="preserve"> SEQ CHAPTER \h \r 1</w:instrText>
            </w:r>
            <w:r w:rsidRPr="00E823AA">
              <w:rPr>
                <w:sz w:val="20"/>
                <w:szCs w:val="20"/>
              </w:rPr>
              <w:fldChar w:fldCharType="end"/>
            </w:r>
            <w:r w:rsidRPr="00E823AA">
              <w:rPr>
                <w:sz w:val="20"/>
                <w:szCs w:val="20"/>
              </w:rPr>
              <w:fldChar w:fldCharType="begin"/>
            </w:r>
            <w:r w:rsidR="00E823AA" w:rsidRPr="00E823AA">
              <w:rPr>
                <w:sz w:val="20"/>
                <w:szCs w:val="20"/>
                <w:lang w:val="fr-CA"/>
              </w:rPr>
              <w:instrText xml:space="preserve"> SEQ CHAPTER \h \r 1</w:instrText>
            </w:r>
            <w:r w:rsidRPr="00E823AA">
              <w:rPr>
                <w:sz w:val="20"/>
                <w:szCs w:val="20"/>
              </w:rPr>
              <w:fldChar w:fldCharType="end"/>
            </w:r>
            <w:r w:rsidR="00E823AA" w:rsidRPr="00E823AA">
              <w:rPr>
                <w:b/>
                <w:bCs/>
                <w:sz w:val="20"/>
                <w:szCs w:val="20"/>
                <w:lang w:val="fr-CA"/>
              </w:rPr>
              <w:t>Requête en prorogation du délai de signification et de dépôt de la réplique de la demanderesse jusqu’au 18 octobre 2012</w:t>
            </w:r>
            <w:r w:rsidR="00E823AA" w:rsidRPr="00E823AA">
              <w:rPr>
                <w:sz w:val="20"/>
                <w:szCs w:val="20"/>
                <w:lang w:val="fr-CA"/>
              </w:rPr>
              <w:t xml:space="preserve"> </w:t>
            </w:r>
            <w:r w:rsidRPr="00E823AA">
              <w:rPr>
                <w:sz w:val="20"/>
                <w:szCs w:val="20"/>
              </w:rPr>
              <w:fldChar w:fldCharType="begin"/>
            </w:r>
            <w:r w:rsidR="00E823AA" w:rsidRPr="00E823AA">
              <w:rPr>
                <w:sz w:val="20"/>
                <w:szCs w:val="20"/>
                <w:lang w:val="fr-CA"/>
              </w:rPr>
              <w:instrText xml:space="preserve"> SEQ CHAPTER \h \r 1</w:instrText>
            </w:r>
            <w:r w:rsidRPr="00E823AA">
              <w:rPr>
                <w:sz w:val="20"/>
                <w:szCs w:val="20"/>
              </w:rPr>
              <w:fldChar w:fldCharType="end"/>
            </w:r>
            <w:r w:rsidRPr="00E823AA">
              <w:rPr>
                <w:sz w:val="20"/>
                <w:szCs w:val="20"/>
              </w:rPr>
              <w:fldChar w:fldCharType="begin"/>
            </w:r>
            <w:r w:rsidR="00E823AA" w:rsidRPr="00E823AA">
              <w:rPr>
                <w:sz w:val="20"/>
                <w:szCs w:val="20"/>
                <w:lang w:val="fr-CA"/>
              </w:rPr>
              <w:instrText xml:space="preserve"> SEQ CHAPTER \h \r 1</w:instrText>
            </w:r>
            <w:r w:rsidRPr="00E823AA">
              <w:rPr>
                <w:sz w:val="20"/>
                <w:szCs w:val="20"/>
              </w:rPr>
              <w:fldChar w:fldCharType="end"/>
            </w:r>
          </w:p>
        </w:tc>
      </w:tr>
      <w:tr w:rsidR="00E823AA" w:rsidRPr="00E823AA" w:rsidTr="0077555D">
        <w:tc>
          <w:tcPr>
            <w:tcW w:w="4338" w:type="dxa"/>
          </w:tcPr>
          <w:p w:rsidR="00E823AA" w:rsidRPr="00E823AA" w:rsidRDefault="00E823AA" w:rsidP="0077555D">
            <w:pPr>
              <w:tabs>
                <w:tab w:val="left" w:pos="-1440"/>
                <w:tab w:val="left" w:pos="-720"/>
              </w:tabs>
              <w:jc w:val="both"/>
              <w:rPr>
                <w:sz w:val="20"/>
                <w:szCs w:val="20"/>
              </w:rPr>
            </w:pPr>
            <w:r w:rsidRPr="00E823AA">
              <w:rPr>
                <w:sz w:val="20"/>
                <w:szCs w:val="20"/>
              </w:rPr>
              <w:t>Her Majesty the Queen</w:t>
            </w:r>
          </w:p>
          <w:p w:rsidR="00E823AA" w:rsidRPr="00E823AA" w:rsidRDefault="00E823AA" w:rsidP="0077555D">
            <w:pPr>
              <w:tabs>
                <w:tab w:val="left" w:pos="-1440"/>
                <w:tab w:val="left" w:pos="-720"/>
              </w:tabs>
              <w:jc w:val="both"/>
              <w:rPr>
                <w:sz w:val="20"/>
                <w:szCs w:val="20"/>
              </w:rPr>
            </w:pPr>
          </w:p>
          <w:p w:rsidR="00E823AA" w:rsidRPr="00E823AA" w:rsidRDefault="00E823AA" w:rsidP="0077555D">
            <w:pPr>
              <w:tabs>
                <w:tab w:val="left" w:pos="-1440"/>
                <w:tab w:val="left" w:pos="-720"/>
              </w:tabs>
              <w:jc w:val="both"/>
              <w:rPr>
                <w:sz w:val="20"/>
                <w:szCs w:val="20"/>
              </w:rPr>
            </w:pPr>
            <w:r w:rsidRPr="00E823AA">
              <w:rPr>
                <w:sz w:val="20"/>
                <w:szCs w:val="20"/>
              </w:rPr>
              <w:tab/>
              <w:t>v. (34953)</w:t>
            </w:r>
          </w:p>
          <w:p w:rsidR="00E823AA" w:rsidRPr="00E823AA" w:rsidRDefault="00E823AA" w:rsidP="0077555D">
            <w:pPr>
              <w:tabs>
                <w:tab w:val="left" w:pos="-1440"/>
                <w:tab w:val="left" w:pos="-720"/>
              </w:tabs>
              <w:jc w:val="both"/>
              <w:rPr>
                <w:sz w:val="20"/>
                <w:szCs w:val="20"/>
              </w:rPr>
            </w:pPr>
          </w:p>
          <w:p w:rsidR="00E823AA" w:rsidRPr="00E823AA" w:rsidRDefault="00E823AA" w:rsidP="0077555D">
            <w:pPr>
              <w:tabs>
                <w:tab w:val="left" w:pos="-1440"/>
                <w:tab w:val="left" w:pos="-720"/>
              </w:tabs>
              <w:jc w:val="both"/>
              <w:rPr>
                <w:sz w:val="20"/>
                <w:szCs w:val="20"/>
                <w:lang w:val="fr-CA"/>
              </w:rPr>
            </w:pPr>
            <w:r w:rsidRPr="00E823AA">
              <w:rPr>
                <w:sz w:val="20"/>
                <w:szCs w:val="20"/>
                <w:lang w:val="fr-CA"/>
              </w:rPr>
              <w:t>Mackenzie McDonald (Crim.) (Ont.)</w:t>
            </w:r>
          </w:p>
        </w:tc>
        <w:tc>
          <w:tcPr>
            <w:tcW w:w="1170" w:type="dxa"/>
          </w:tcPr>
          <w:p w:rsidR="00E823AA" w:rsidRPr="00E823AA" w:rsidRDefault="00E823AA" w:rsidP="0077555D">
            <w:pPr>
              <w:tabs>
                <w:tab w:val="left" w:pos="-1440"/>
                <w:tab w:val="left" w:pos="-720"/>
              </w:tabs>
              <w:jc w:val="both"/>
              <w:rPr>
                <w:sz w:val="20"/>
                <w:szCs w:val="20"/>
                <w:lang w:val="fr-CA"/>
              </w:rPr>
            </w:pPr>
          </w:p>
        </w:tc>
        <w:tc>
          <w:tcPr>
            <w:tcW w:w="4327" w:type="dxa"/>
          </w:tcPr>
          <w:p w:rsidR="00E823AA" w:rsidRPr="00E823AA" w:rsidRDefault="00E823AA" w:rsidP="0077555D">
            <w:pPr>
              <w:tabs>
                <w:tab w:val="left" w:pos="-1440"/>
                <w:tab w:val="left" w:pos="-720"/>
              </w:tabs>
              <w:jc w:val="both"/>
              <w:rPr>
                <w:sz w:val="20"/>
                <w:szCs w:val="20"/>
                <w:lang w:val="fr-CA"/>
              </w:rPr>
            </w:pPr>
          </w:p>
        </w:tc>
      </w:tr>
    </w:tbl>
    <w:p w:rsidR="00E823AA" w:rsidRPr="00E823AA" w:rsidRDefault="00E823AA" w:rsidP="00E823AA">
      <w:pPr>
        <w:tabs>
          <w:tab w:val="left" w:pos="-1440"/>
          <w:tab w:val="left" w:pos="-720"/>
        </w:tabs>
        <w:jc w:val="both"/>
        <w:rPr>
          <w:sz w:val="20"/>
          <w:szCs w:val="20"/>
          <w:lang w:val="fr-CA"/>
        </w:rPr>
      </w:pPr>
    </w:p>
    <w:p w:rsidR="00E823AA" w:rsidRPr="00E823AA" w:rsidRDefault="00E823AA" w:rsidP="00E823AA">
      <w:pPr>
        <w:tabs>
          <w:tab w:val="left" w:pos="-1440"/>
          <w:tab w:val="left" w:pos="-720"/>
        </w:tabs>
        <w:jc w:val="both"/>
        <w:rPr>
          <w:b/>
          <w:sz w:val="20"/>
          <w:szCs w:val="20"/>
          <w:lang w:val="fr-CA"/>
        </w:rPr>
      </w:pPr>
      <w:r w:rsidRPr="00E823AA">
        <w:rPr>
          <w:b/>
          <w:sz w:val="20"/>
          <w:szCs w:val="20"/>
          <w:lang w:val="fr-CA"/>
        </w:rPr>
        <w:t>GRANTED / ACCORDÉE</w:t>
      </w:r>
    </w:p>
    <w:p w:rsidR="00E823AA" w:rsidRPr="00E823AA" w:rsidRDefault="00E823AA" w:rsidP="00E823AA">
      <w:pPr>
        <w:tabs>
          <w:tab w:val="left" w:pos="-1440"/>
          <w:tab w:val="left" w:pos="-720"/>
        </w:tabs>
        <w:jc w:val="both"/>
        <w:rPr>
          <w:sz w:val="20"/>
          <w:szCs w:val="20"/>
          <w:lang w:val="fr-CA"/>
        </w:rPr>
      </w:pPr>
    </w:p>
    <w:p w:rsidR="00E823AA" w:rsidRPr="00E823AA" w:rsidRDefault="00BF3B03" w:rsidP="00E823AA">
      <w:pPr>
        <w:tabs>
          <w:tab w:val="left" w:pos="-1440"/>
          <w:tab w:val="left" w:pos="-720"/>
        </w:tabs>
        <w:jc w:val="both"/>
        <w:rPr>
          <w:sz w:val="20"/>
          <w:szCs w:val="20"/>
          <w:lang w:val="fr-CA"/>
        </w:rPr>
      </w:pPr>
      <w:r w:rsidRPr="00BF3B03">
        <w:rPr>
          <w:sz w:val="20"/>
          <w:szCs w:val="20"/>
          <w:lang w:val="fr-CA"/>
        </w:rPr>
        <w:pict>
          <v:rect id="_x0000_i1088" style="width:2in;height:1pt" o:hrpct="0" o:hralign="center" o:hrstd="t" o:hrnoshade="t" o:hr="t" fillcolor="black [3213]" stroked="f"/>
        </w:pict>
      </w:r>
    </w:p>
    <w:p w:rsidR="00E823AA" w:rsidRPr="00E823AA" w:rsidRDefault="00E823AA" w:rsidP="00E823AA">
      <w:pPr>
        <w:tabs>
          <w:tab w:val="left" w:pos="-1440"/>
          <w:tab w:val="left" w:pos="-720"/>
        </w:tabs>
        <w:jc w:val="both"/>
        <w:rPr>
          <w:sz w:val="20"/>
          <w:szCs w:val="20"/>
          <w:lang w:val="fr-CA"/>
        </w:rPr>
      </w:pPr>
    </w:p>
    <w:p w:rsidR="00E823AA" w:rsidRPr="00E823AA" w:rsidRDefault="00E823AA" w:rsidP="00E823AA">
      <w:pPr>
        <w:tabs>
          <w:tab w:val="left" w:pos="-1440"/>
          <w:tab w:val="left" w:pos="-720"/>
        </w:tabs>
        <w:jc w:val="both"/>
        <w:rPr>
          <w:sz w:val="20"/>
          <w:szCs w:val="20"/>
          <w:lang w:val="fr-CA"/>
        </w:rPr>
      </w:pPr>
      <w:r w:rsidRPr="00E823AA">
        <w:rPr>
          <w:sz w:val="20"/>
          <w:szCs w:val="20"/>
          <w:lang w:val="fr-CA"/>
        </w:rPr>
        <w:t>31.10.2012</w:t>
      </w:r>
    </w:p>
    <w:p w:rsidR="00E823AA" w:rsidRPr="00E823AA" w:rsidRDefault="00E823AA" w:rsidP="00E823AA">
      <w:pPr>
        <w:tabs>
          <w:tab w:val="left" w:pos="-1440"/>
          <w:tab w:val="left" w:pos="-720"/>
        </w:tabs>
        <w:jc w:val="both"/>
        <w:rPr>
          <w:sz w:val="20"/>
          <w:szCs w:val="20"/>
          <w:lang w:val="fr-CA"/>
        </w:rPr>
      </w:pPr>
    </w:p>
    <w:p w:rsidR="00E823AA" w:rsidRPr="00E823AA" w:rsidRDefault="00E823AA" w:rsidP="00E823AA">
      <w:pPr>
        <w:tabs>
          <w:tab w:val="left" w:pos="-1440"/>
          <w:tab w:val="left" w:pos="-720"/>
        </w:tabs>
        <w:jc w:val="both"/>
        <w:rPr>
          <w:sz w:val="20"/>
          <w:szCs w:val="20"/>
          <w:lang w:val="fr-CA"/>
        </w:rPr>
      </w:pPr>
      <w:r w:rsidRPr="00E823AA">
        <w:rPr>
          <w:sz w:val="20"/>
          <w:szCs w:val="20"/>
          <w:lang w:val="fr-CA"/>
        </w:rPr>
        <w:t>Before / Devant :   THE REGISTRAR / LE REGISTRAIRE</w:t>
      </w:r>
    </w:p>
    <w:p w:rsidR="00E823AA" w:rsidRPr="00E823AA" w:rsidRDefault="00E823AA" w:rsidP="00E823AA">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E823AA" w:rsidRPr="00DC2D1F" w:rsidTr="0077555D">
        <w:tc>
          <w:tcPr>
            <w:tcW w:w="4338" w:type="dxa"/>
          </w:tcPr>
          <w:p w:rsidR="00E823AA" w:rsidRPr="00E823AA" w:rsidRDefault="00BF3B03" w:rsidP="0077555D">
            <w:pPr>
              <w:tabs>
                <w:tab w:val="left" w:pos="-1440"/>
                <w:tab w:val="left" w:pos="-720"/>
              </w:tabs>
              <w:jc w:val="both"/>
              <w:rPr>
                <w:b/>
                <w:sz w:val="20"/>
                <w:szCs w:val="20"/>
              </w:rPr>
            </w:pPr>
            <w:r w:rsidRPr="00E823AA">
              <w:rPr>
                <w:sz w:val="20"/>
                <w:szCs w:val="20"/>
              </w:rPr>
              <w:fldChar w:fldCharType="begin"/>
            </w:r>
            <w:r w:rsidR="00E823AA" w:rsidRPr="00E823AA">
              <w:rPr>
                <w:sz w:val="20"/>
                <w:szCs w:val="20"/>
              </w:rPr>
              <w:instrText xml:space="preserve"> SEQ CHAPTER \h \r 1</w:instrText>
            </w:r>
            <w:r w:rsidRPr="00E823AA">
              <w:rPr>
                <w:sz w:val="20"/>
                <w:szCs w:val="20"/>
              </w:rPr>
              <w:fldChar w:fldCharType="end"/>
            </w:r>
            <w:r w:rsidRPr="00E823AA">
              <w:rPr>
                <w:sz w:val="20"/>
                <w:szCs w:val="20"/>
              </w:rPr>
              <w:fldChar w:fldCharType="begin"/>
            </w:r>
            <w:r w:rsidR="00E823AA" w:rsidRPr="00E823AA">
              <w:rPr>
                <w:sz w:val="20"/>
                <w:szCs w:val="20"/>
              </w:rPr>
              <w:instrText xml:space="preserve"> SEQ CHAPTER \h \r 1</w:instrText>
            </w:r>
            <w:r w:rsidRPr="00E823AA">
              <w:rPr>
                <w:sz w:val="20"/>
                <w:szCs w:val="20"/>
              </w:rPr>
              <w:fldChar w:fldCharType="end"/>
            </w:r>
            <w:r w:rsidR="00E823AA" w:rsidRPr="00E823AA">
              <w:rPr>
                <w:b/>
                <w:bCs/>
                <w:sz w:val="20"/>
                <w:szCs w:val="20"/>
              </w:rPr>
              <w:t>Motion to extend the time to file the applicant’s reply</w:t>
            </w:r>
          </w:p>
        </w:tc>
        <w:tc>
          <w:tcPr>
            <w:tcW w:w="1170" w:type="dxa"/>
          </w:tcPr>
          <w:p w:rsidR="00E823AA" w:rsidRPr="00E823AA" w:rsidRDefault="00E823AA" w:rsidP="0077555D">
            <w:pPr>
              <w:tabs>
                <w:tab w:val="left" w:pos="-1440"/>
                <w:tab w:val="left" w:pos="-720"/>
              </w:tabs>
              <w:jc w:val="both"/>
              <w:rPr>
                <w:sz w:val="20"/>
                <w:szCs w:val="20"/>
              </w:rPr>
            </w:pPr>
          </w:p>
          <w:p w:rsidR="00E823AA" w:rsidRPr="00E823AA" w:rsidRDefault="00E823AA" w:rsidP="0077555D">
            <w:pPr>
              <w:tabs>
                <w:tab w:val="left" w:pos="-1440"/>
                <w:tab w:val="left" w:pos="-720"/>
              </w:tabs>
              <w:jc w:val="both"/>
              <w:rPr>
                <w:sz w:val="20"/>
                <w:szCs w:val="20"/>
              </w:rPr>
            </w:pPr>
          </w:p>
          <w:p w:rsidR="00E823AA" w:rsidRPr="00E823AA" w:rsidRDefault="00E823AA" w:rsidP="0077555D">
            <w:pPr>
              <w:tabs>
                <w:tab w:val="left" w:pos="-1440"/>
                <w:tab w:val="left" w:pos="-720"/>
              </w:tabs>
              <w:jc w:val="both"/>
              <w:rPr>
                <w:sz w:val="20"/>
                <w:szCs w:val="20"/>
              </w:rPr>
            </w:pPr>
          </w:p>
        </w:tc>
        <w:tc>
          <w:tcPr>
            <w:tcW w:w="4327" w:type="dxa"/>
          </w:tcPr>
          <w:p w:rsidR="00E823AA" w:rsidRPr="00E823AA" w:rsidRDefault="00BF3B03" w:rsidP="0077555D">
            <w:pPr>
              <w:tabs>
                <w:tab w:val="left" w:pos="-1440"/>
                <w:tab w:val="left" w:pos="-720"/>
              </w:tabs>
              <w:jc w:val="both"/>
              <w:rPr>
                <w:sz w:val="20"/>
                <w:szCs w:val="20"/>
                <w:lang w:val="fr-CA"/>
              </w:rPr>
            </w:pPr>
            <w:r w:rsidRPr="00E823AA">
              <w:rPr>
                <w:sz w:val="20"/>
                <w:szCs w:val="20"/>
              </w:rPr>
              <w:fldChar w:fldCharType="begin"/>
            </w:r>
            <w:r w:rsidR="00E823AA" w:rsidRPr="00E823AA">
              <w:rPr>
                <w:sz w:val="20"/>
                <w:szCs w:val="20"/>
                <w:lang w:val="fr-CA"/>
              </w:rPr>
              <w:instrText xml:space="preserve"> SEQ CHAPTER \h \r 1</w:instrText>
            </w:r>
            <w:r w:rsidRPr="00E823AA">
              <w:rPr>
                <w:sz w:val="20"/>
                <w:szCs w:val="20"/>
              </w:rPr>
              <w:fldChar w:fldCharType="end"/>
            </w:r>
            <w:r w:rsidRPr="00E823AA">
              <w:rPr>
                <w:sz w:val="20"/>
                <w:szCs w:val="20"/>
              </w:rPr>
              <w:fldChar w:fldCharType="begin"/>
            </w:r>
            <w:r w:rsidR="00E823AA" w:rsidRPr="00E823AA">
              <w:rPr>
                <w:sz w:val="20"/>
                <w:szCs w:val="20"/>
                <w:lang w:val="fr-CA"/>
              </w:rPr>
              <w:instrText xml:space="preserve"> SEQ CHAPTER \h \r 1</w:instrText>
            </w:r>
            <w:r w:rsidRPr="00E823AA">
              <w:rPr>
                <w:sz w:val="20"/>
                <w:szCs w:val="20"/>
              </w:rPr>
              <w:fldChar w:fldCharType="end"/>
            </w:r>
            <w:r w:rsidR="00E823AA" w:rsidRPr="00E823AA">
              <w:rPr>
                <w:b/>
                <w:bCs/>
                <w:sz w:val="20"/>
                <w:szCs w:val="20"/>
                <w:lang w:val="fr-CA"/>
              </w:rPr>
              <w:t>Requête en prorogation du délai imparti au demandeur pour déposer une réplique</w:t>
            </w:r>
            <w:r w:rsidRPr="00E823AA">
              <w:rPr>
                <w:sz w:val="20"/>
                <w:szCs w:val="20"/>
              </w:rPr>
              <w:fldChar w:fldCharType="begin"/>
            </w:r>
            <w:r w:rsidR="00E823AA" w:rsidRPr="00E823AA">
              <w:rPr>
                <w:sz w:val="20"/>
                <w:szCs w:val="20"/>
                <w:lang w:val="fr-CA"/>
              </w:rPr>
              <w:instrText xml:space="preserve"> SEQ CHAPTER \h \r 1</w:instrText>
            </w:r>
            <w:r w:rsidRPr="00E823AA">
              <w:rPr>
                <w:sz w:val="20"/>
                <w:szCs w:val="20"/>
              </w:rPr>
              <w:fldChar w:fldCharType="end"/>
            </w:r>
            <w:r w:rsidRPr="00E823AA">
              <w:rPr>
                <w:sz w:val="20"/>
                <w:szCs w:val="20"/>
              </w:rPr>
              <w:fldChar w:fldCharType="begin"/>
            </w:r>
            <w:r w:rsidR="00E823AA" w:rsidRPr="00E823AA">
              <w:rPr>
                <w:sz w:val="20"/>
                <w:szCs w:val="20"/>
                <w:lang w:val="fr-CA"/>
              </w:rPr>
              <w:instrText xml:space="preserve"> SEQ CHAPTER \h \r 1</w:instrText>
            </w:r>
            <w:r w:rsidRPr="00E823AA">
              <w:rPr>
                <w:sz w:val="20"/>
                <w:szCs w:val="20"/>
              </w:rPr>
              <w:fldChar w:fldCharType="end"/>
            </w:r>
          </w:p>
        </w:tc>
      </w:tr>
      <w:tr w:rsidR="00E823AA" w:rsidRPr="00E823AA" w:rsidTr="0077555D">
        <w:tc>
          <w:tcPr>
            <w:tcW w:w="4338" w:type="dxa"/>
          </w:tcPr>
          <w:p w:rsidR="00E823AA" w:rsidRPr="00E823AA" w:rsidRDefault="00E823AA" w:rsidP="0077555D">
            <w:pPr>
              <w:tabs>
                <w:tab w:val="left" w:pos="-1440"/>
                <w:tab w:val="left" w:pos="-720"/>
              </w:tabs>
              <w:jc w:val="both"/>
              <w:rPr>
                <w:sz w:val="20"/>
                <w:szCs w:val="20"/>
              </w:rPr>
            </w:pPr>
            <w:r w:rsidRPr="00E823AA">
              <w:rPr>
                <w:sz w:val="20"/>
                <w:szCs w:val="20"/>
              </w:rPr>
              <w:t>Emrah Bulatci</w:t>
            </w:r>
          </w:p>
          <w:p w:rsidR="00E823AA" w:rsidRPr="00E823AA" w:rsidRDefault="00E823AA" w:rsidP="0077555D">
            <w:pPr>
              <w:tabs>
                <w:tab w:val="left" w:pos="-1440"/>
                <w:tab w:val="left" w:pos="-720"/>
              </w:tabs>
              <w:jc w:val="both"/>
              <w:rPr>
                <w:sz w:val="20"/>
                <w:szCs w:val="20"/>
              </w:rPr>
            </w:pPr>
          </w:p>
          <w:p w:rsidR="00E823AA" w:rsidRPr="00E823AA" w:rsidRDefault="00E823AA" w:rsidP="0077555D">
            <w:pPr>
              <w:tabs>
                <w:tab w:val="left" w:pos="-1440"/>
                <w:tab w:val="left" w:pos="-720"/>
              </w:tabs>
              <w:jc w:val="both"/>
              <w:rPr>
                <w:sz w:val="20"/>
                <w:szCs w:val="20"/>
              </w:rPr>
            </w:pPr>
            <w:r w:rsidRPr="00E823AA">
              <w:rPr>
                <w:sz w:val="20"/>
                <w:szCs w:val="20"/>
              </w:rPr>
              <w:tab/>
              <w:t>v. (34910)</w:t>
            </w:r>
          </w:p>
          <w:p w:rsidR="00E823AA" w:rsidRPr="00E823AA" w:rsidRDefault="00E823AA" w:rsidP="0077555D">
            <w:pPr>
              <w:tabs>
                <w:tab w:val="left" w:pos="-1440"/>
                <w:tab w:val="left" w:pos="-720"/>
              </w:tabs>
              <w:jc w:val="both"/>
              <w:rPr>
                <w:sz w:val="20"/>
                <w:szCs w:val="20"/>
              </w:rPr>
            </w:pPr>
          </w:p>
          <w:p w:rsidR="00E823AA" w:rsidRPr="00E823AA" w:rsidRDefault="00E823AA" w:rsidP="0077555D">
            <w:pPr>
              <w:tabs>
                <w:tab w:val="left" w:pos="-1440"/>
                <w:tab w:val="left" w:pos="-720"/>
              </w:tabs>
              <w:jc w:val="both"/>
              <w:rPr>
                <w:sz w:val="20"/>
                <w:szCs w:val="20"/>
              </w:rPr>
            </w:pPr>
            <w:r w:rsidRPr="00E823AA">
              <w:rPr>
                <w:sz w:val="20"/>
                <w:szCs w:val="20"/>
              </w:rPr>
              <w:t>Her Majesty the Queen (Crim.) (N.W.T.)</w:t>
            </w:r>
          </w:p>
        </w:tc>
        <w:tc>
          <w:tcPr>
            <w:tcW w:w="1170" w:type="dxa"/>
          </w:tcPr>
          <w:p w:rsidR="00E823AA" w:rsidRPr="00E823AA" w:rsidRDefault="00E823AA" w:rsidP="0077555D">
            <w:pPr>
              <w:tabs>
                <w:tab w:val="left" w:pos="-1440"/>
                <w:tab w:val="left" w:pos="-720"/>
              </w:tabs>
              <w:jc w:val="both"/>
              <w:rPr>
                <w:sz w:val="20"/>
                <w:szCs w:val="20"/>
              </w:rPr>
            </w:pPr>
          </w:p>
        </w:tc>
        <w:tc>
          <w:tcPr>
            <w:tcW w:w="4327" w:type="dxa"/>
          </w:tcPr>
          <w:p w:rsidR="00E823AA" w:rsidRPr="00E823AA" w:rsidRDefault="00E823AA" w:rsidP="0077555D">
            <w:pPr>
              <w:tabs>
                <w:tab w:val="left" w:pos="-1440"/>
                <w:tab w:val="left" w:pos="-720"/>
              </w:tabs>
              <w:jc w:val="both"/>
              <w:rPr>
                <w:sz w:val="20"/>
                <w:szCs w:val="20"/>
              </w:rPr>
            </w:pPr>
          </w:p>
        </w:tc>
      </w:tr>
    </w:tbl>
    <w:p w:rsidR="00E823AA" w:rsidRPr="00E823AA" w:rsidRDefault="00E823AA" w:rsidP="00E823AA">
      <w:pPr>
        <w:tabs>
          <w:tab w:val="left" w:pos="-1440"/>
          <w:tab w:val="left" w:pos="-720"/>
        </w:tabs>
        <w:jc w:val="both"/>
        <w:rPr>
          <w:sz w:val="20"/>
          <w:szCs w:val="20"/>
        </w:rPr>
      </w:pPr>
    </w:p>
    <w:p w:rsidR="00E823AA" w:rsidRPr="00E823AA" w:rsidRDefault="00E823AA" w:rsidP="00E823AA">
      <w:pPr>
        <w:tabs>
          <w:tab w:val="left" w:pos="-1440"/>
          <w:tab w:val="left" w:pos="-720"/>
        </w:tabs>
        <w:jc w:val="both"/>
        <w:rPr>
          <w:b/>
          <w:sz w:val="20"/>
          <w:szCs w:val="20"/>
          <w:lang w:val="fr-CA"/>
        </w:rPr>
      </w:pPr>
      <w:r w:rsidRPr="00E823AA">
        <w:rPr>
          <w:b/>
          <w:sz w:val="20"/>
          <w:szCs w:val="20"/>
          <w:lang w:val="fr-CA"/>
        </w:rPr>
        <w:t>GRANTED / ACCORDÉE</w:t>
      </w:r>
    </w:p>
    <w:p w:rsidR="00E823AA" w:rsidRPr="00E823AA" w:rsidRDefault="00E823AA" w:rsidP="00E823AA">
      <w:pPr>
        <w:tabs>
          <w:tab w:val="left" w:pos="-1440"/>
          <w:tab w:val="left" w:pos="-720"/>
        </w:tabs>
        <w:jc w:val="both"/>
        <w:rPr>
          <w:sz w:val="20"/>
          <w:szCs w:val="20"/>
          <w:lang w:val="fr-CA"/>
        </w:rPr>
      </w:pPr>
    </w:p>
    <w:p w:rsidR="00E823AA" w:rsidRPr="00E823AA" w:rsidRDefault="00E823AA" w:rsidP="00E823AA">
      <w:pPr>
        <w:pStyle w:val="BodyText"/>
        <w:spacing w:after="0"/>
        <w:jc w:val="both"/>
        <w:rPr>
          <w:sz w:val="20"/>
          <w:szCs w:val="20"/>
          <w:lang w:val="en-US"/>
        </w:rPr>
      </w:pPr>
      <w:r w:rsidRPr="00E823AA">
        <w:rPr>
          <w:b/>
          <w:sz w:val="20"/>
          <w:szCs w:val="20"/>
          <w:lang w:val="en-US"/>
        </w:rPr>
        <w:t>UPON APPLICATION</w:t>
      </w:r>
      <w:r w:rsidRPr="00E823AA">
        <w:rPr>
          <w:sz w:val="20"/>
          <w:szCs w:val="20"/>
          <w:lang w:val="en-US"/>
        </w:rPr>
        <w:t xml:space="preserve"> by counsel on behalf of the applicant, for an order extending the time within which to file its reply to September 21, 2012.</w:t>
      </w:r>
    </w:p>
    <w:p w:rsidR="00E823AA" w:rsidRPr="00E823AA" w:rsidRDefault="00E823AA" w:rsidP="00E823AA">
      <w:pPr>
        <w:pStyle w:val="BodyText"/>
        <w:spacing w:after="0"/>
        <w:jc w:val="both"/>
        <w:rPr>
          <w:b/>
          <w:sz w:val="20"/>
          <w:szCs w:val="20"/>
          <w:lang w:val="en-US"/>
        </w:rPr>
      </w:pPr>
    </w:p>
    <w:p w:rsidR="00E823AA" w:rsidRPr="00E823AA" w:rsidRDefault="00E823AA" w:rsidP="00E823AA">
      <w:pPr>
        <w:pStyle w:val="BodyText"/>
        <w:spacing w:after="0"/>
        <w:jc w:val="both"/>
        <w:rPr>
          <w:sz w:val="20"/>
          <w:szCs w:val="20"/>
          <w:lang w:val="en-US"/>
        </w:rPr>
      </w:pPr>
      <w:r w:rsidRPr="00E823AA">
        <w:rPr>
          <w:b/>
          <w:sz w:val="20"/>
          <w:szCs w:val="20"/>
          <w:lang w:val="en-US"/>
        </w:rPr>
        <w:t>IT IS ORDERED</w:t>
      </w:r>
      <w:r w:rsidRPr="00E823AA">
        <w:rPr>
          <w:sz w:val="20"/>
          <w:szCs w:val="20"/>
          <w:lang w:val="en-US"/>
        </w:rPr>
        <w:t xml:space="preserve"> that the motion is granted.</w:t>
      </w:r>
    </w:p>
    <w:p w:rsidR="00E823AA" w:rsidRPr="00E823AA" w:rsidRDefault="00E823AA" w:rsidP="00E823AA">
      <w:pPr>
        <w:tabs>
          <w:tab w:val="left" w:pos="-1440"/>
          <w:tab w:val="left" w:pos="-720"/>
        </w:tabs>
        <w:jc w:val="both"/>
        <w:rPr>
          <w:sz w:val="20"/>
          <w:szCs w:val="20"/>
        </w:rPr>
      </w:pPr>
    </w:p>
    <w:p w:rsidR="00E823AA" w:rsidRPr="00E823AA" w:rsidRDefault="00E823AA" w:rsidP="00E823AA">
      <w:pPr>
        <w:tabs>
          <w:tab w:val="left" w:pos="-1440"/>
          <w:tab w:val="left" w:pos="-720"/>
        </w:tabs>
        <w:jc w:val="both"/>
        <w:rPr>
          <w:sz w:val="20"/>
          <w:szCs w:val="20"/>
        </w:rPr>
      </w:pPr>
    </w:p>
    <w:p w:rsidR="00E823AA" w:rsidRPr="00E823AA" w:rsidRDefault="00E823AA" w:rsidP="00E823AA">
      <w:pPr>
        <w:tabs>
          <w:tab w:val="left" w:pos="-1440"/>
          <w:tab w:val="left" w:pos="-720"/>
        </w:tabs>
        <w:jc w:val="both"/>
        <w:rPr>
          <w:sz w:val="20"/>
          <w:szCs w:val="20"/>
        </w:rPr>
      </w:pPr>
    </w:p>
    <w:p w:rsidR="00E823AA" w:rsidRPr="00E823AA" w:rsidRDefault="00E823AA" w:rsidP="00E823AA">
      <w:pPr>
        <w:spacing w:line="233" w:lineRule="auto"/>
        <w:jc w:val="both"/>
        <w:rPr>
          <w:rFonts w:cs="Times New Roman"/>
          <w:sz w:val="20"/>
          <w:szCs w:val="20"/>
          <w:lang w:val="fr-CA"/>
        </w:rPr>
      </w:pPr>
      <w:r w:rsidRPr="00E823AA">
        <w:rPr>
          <w:rFonts w:cs="Times New Roman"/>
          <w:b/>
          <w:sz w:val="20"/>
          <w:szCs w:val="20"/>
          <w:lang w:val="fr-CA"/>
        </w:rPr>
        <w:t>À LA SUITE DE LA DEMANDE</w:t>
      </w:r>
      <w:r w:rsidRPr="00E823AA">
        <w:rPr>
          <w:rFonts w:cs="Times New Roman"/>
          <w:sz w:val="20"/>
          <w:szCs w:val="20"/>
          <w:lang w:val="fr-CA"/>
        </w:rPr>
        <w:t xml:space="preserve"> présentée au nom du demandeur en prorogation du délai de dépôt de sa réplique jusqu’au 21 septembre 2012. </w:t>
      </w:r>
    </w:p>
    <w:p w:rsidR="00E823AA" w:rsidRPr="00E823AA" w:rsidRDefault="00E823AA" w:rsidP="00E823AA">
      <w:pPr>
        <w:spacing w:line="233" w:lineRule="auto"/>
        <w:jc w:val="both"/>
        <w:rPr>
          <w:rFonts w:cs="Times New Roman"/>
          <w:sz w:val="20"/>
          <w:szCs w:val="20"/>
          <w:lang w:val="fr-CA"/>
        </w:rPr>
      </w:pPr>
    </w:p>
    <w:p w:rsidR="00E823AA" w:rsidRPr="00E823AA" w:rsidRDefault="00E823AA" w:rsidP="00E823AA">
      <w:pPr>
        <w:spacing w:line="233" w:lineRule="auto"/>
        <w:jc w:val="both"/>
        <w:rPr>
          <w:rFonts w:cs="Times New Roman"/>
          <w:sz w:val="20"/>
          <w:szCs w:val="20"/>
          <w:lang w:val="fr-CA"/>
        </w:rPr>
      </w:pPr>
      <w:r w:rsidRPr="00E823AA">
        <w:rPr>
          <w:rFonts w:cs="Times New Roman"/>
          <w:b/>
          <w:sz w:val="20"/>
          <w:szCs w:val="20"/>
          <w:lang w:val="fr-CA"/>
        </w:rPr>
        <w:t>IL EST ORDONNÉ</w:t>
      </w:r>
      <w:r w:rsidRPr="00E823AA">
        <w:rPr>
          <w:rFonts w:cs="Times New Roman"/>
          <w:sz w:val="20"/>
          <w:szCs w:val="20"/>
          <w:lang w:val="fr-CA"/>
        </w:rPr>
        <w:t xml:space="preserve"> que la requête </w:t>
      </w:r>
      <w:proofErr w:type="gramStart"/>
      <w:r w:rsidRPr="00E823AA">
        <w:rPr>
          <w:rFonts w:cs="Times New Roman"/>
          <w:sz w:val="20"/>
          <w:szCs w:val="20"/>
          <w:lang w:val="fr-CA"/>
        </w:rPr>
        <w:t>est</w:t>
      </w:r>
      <w:proofErr w:type="gramEnd"/>
      <w:r w:rsidRPr="00E823AA">
        <w:rPr>
          <w:rFonts w:cs="Times New Roman"/>
          <w:sz w:val="20"/>
          <w:szCs w:val="20"/>
          <w:lang w:val="fr-CA"/>
        </w:rPr>
        <w:t xml:space="preserve"> accueillie.</w:t>
      </w:r>
    </w:p>
    <w:p w:rsidR="00E823AA" w:rsidRPr="00E823AA" w:rsidRDefault="00E823AA" w:rsidP="00E823AA">
      <w:pPr>
        <w:spacing w:line="233" w:lineRule="auto"/>
        <w:jc w:val="both"/>
        <w:rPr>
          <w:rFonts w:cs="Times New Roman"/>
          <w:sz w:val="20"/>
          <w:szCs w:val="20"/>
          <w:lang w:val="fr-CA"/>
        </w:rPr>
      </w:pPr>
    </w:p>
    <w:p w:rsidR="00E823AA" w:rsidRPr="00E823AA" w:rsidRDefault="00E823AA" w:rsidP="00E823AA">
      <w:pPr>
        <w:tabs>
          <w:tab w:val="left" w:pos="-1440"/>
          <w:tab w:val="left" w:pos="-720"/>
        </w:tabs>
        <w:jc w:val="both"/>
        <w:rPr>
          <w:sz w:val="20"/>
          <w:szCs w:val="20"/>
          <w:lang w:val="fr-CA"/>
        </w:rPr>
      </w:pPr>
    </w:p>
    <w:p w:rsidR="00E823AA" w:rsidRPr="00E823AA" w:rsidRDefault="00BF3B03" w:rsidP="00E823AA">
      <w:pPr>
        <w:tabs>
          <w:tab w:val="left" w:pos="-1440"/>
          <w:tab w:val="left" w:pos="-720"/>
        </w:tabs>
        <w:jc w:val="both"/>
        <w:rPr>
          <w:sz w:val="20"/>
          <w:szCs w:val="20"/>
          <w:lang w:val="fr-CA"/>
        </w:rPr>
      </w:pPr>
      <w:r w:rsidRPr="00BF3B03">
        <w:rPr>
          <w:sz w:val="20"/>
          <w:szCs w:val="20"/>
          <w:lang w:val="fr-CA"/>
        </w:rPr>
        <w:pict>
          <v:rect id="_x0000_i1089" style="width:2in;height:1pt" o:hrpct="0" o:hralign="center" o:hrstd="t" o:hrnoshade="t" o:hr="t" fillcolor="black [3213]" stroked="f"/>
        </w:pict>
      </w:r>
    </w:p>
    <w:p w:rsidR="00E823AA" w:rsidRPr="00E823AA" w:rsidRDefault="00E823AA" w:rsidP="00E823AA">
      <w:pPr>
        <w:tabs>
          <w:tab w:val="left" w:pos="-1440"/>
          <w:tab w:val="left" w:pos="-720"/>
        </w:tabs>
        <w:jc w:val="both"/>
        <w:rPr>
          <w:sz w:val="20"/>
          <w:szCs w:val="20"/>
          <w:lang w:val="fr-CA"/>
        </w:rPr>
      </w:pPr>
    </w:p>
    <w:p w:rsidR="00E823AA" w:rsidRPr="00E823AA" w:rsidRDefault="00E823AA" w:rsidP="00E823AA">
      <w:pPr>
        <w:rPr>
          <w:sz w:val="20"/>
          <w:szCs w:val="20"/>
          <w:lang w:val="fr-CA"/>
        </w:rPr>
      </w:pPr>
      <w:r w:rsidRPr="00E823AA">
        <w:rPr>
          <w:sz w:val="20"/>
          <w:szCs w:val="20"/>
          <w:lang w:val="fr-CA"/>
        </w:rPr>
        <w:br w:type="page"/>
      </w:r>
    </w:p>
    <w:p w:rsidR="00E823AA" w:rsidRPr="00E823AA" w:rsidRDefault="00E823AA" w:rsidP="00E823AA">
      <w:pPr>
        <w:tabs>
          <w:tab w:val="left" w:pos="-1440"/>
          <w:tab w:val="left" w:pos="-720"/>
        </w:tabs>
        <w:jc w:val="both"/>
        <w:rPr>
          <w:sz w:val="20"/>
          <w:szCs w:val="20"/>
          <w:lang w:val="fr-CA"/>
        </w:rPr>
      </w:pPr>
      <w:r w:rsidRPr="00E823AA">
        <w:rPr>
          <w:sz w:val="20"/>
          <w:szCs w:val="20"/>
          <w:lang w:val="fr-CA"/>
        </w:rPr>
        <w:lastRenderedPageBreak/>
        <w:t>02.11.2012</w:t>
      </w:r>
    </w:p>
    <w:p w:rsidR="00E823AA" w:rsidRPr="00E823AA" w:rsidRDefault="00E823AA" w:rsidP="00E823AA">
      <w:pPr>
        <w:tabs>
          <w:tab w:val="left" w:pos="-1440"/>
          <w:tab w:val="left" w:pos="-720"/>
        </w:tabs>
        <w:jc w:val="both"/>
        <w:rPr>
          <w:sz w:val="20"/>
          <w:szCs w:val="20"/>
          <w:lang w:val="fr-CA"/>
        </w:rPr>
      </w:pPr>
    </w:p>
    <w:p w:rsidR="00E823AA" w:rsidRPr="00E823AA" w:rsidRDefault="00E823AA" w:rsidP="00E823AA">
      <w:pPr>
        <w:tabs>
          <w:tab w:val="left" w:pos="-1440"/>
          <w:tab w:val="left" w:pos="-720"/>
        </w:tabs>
        <w:jc w:val="both"/>
        <w:rPr>
          <w:sz w:val="20"/>
          <w:szCs w:val="20"/>
          <w:lang w:val="fr-CA"/>
        </w:rPr>
      </w:pPr>
      <w:r w:rsidRPr="00E823AA">
        <w:rPr>
          <w:sz w:val="20"/>
          <w:szCs w:val="20"/>
          <w:lang w:val="fr-CA"/>
        </w:rPr>
        <w:t>Before / Devant :   LEBEL J. / LE JUGE LEBEL</w:t>
      </w:r>
    </w:p>
    <w:p w:rsidR="00E823AA" w:rsidRPr="00E823AA" w:rsidRDefault="00E823AA" w:rsidP="00E823AA">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E823AA" w:rsidRPr="00E823AA" w:rsidTr="0077555D">
        <w:tc>
          <w:tcPr>
            <w:tcW w:w="4338" w:type="dxa"/>
            <w:gridSpan w:val="2"/>
          </w:tcPr>
          <w:p w:rsidR="00E823AA" w:rsidRPr="00E823AA" w:rsidRDefault="00E823AA" w:rsidP="0077555D">
            <w:pPr>
              <w:rPr>
                <w:b/>
                <w:sz w:val="20"/>
                <w:szCs w:val="20"/>
              </w:rPr>
            </w:pPr>
            <w:r w:rsidRPr="00E823AA">
              <w:rPr>
                <w:b/>
                <w:sz w:val="20"/>
                <w:szCs w:val="20"/>
              </w:rPr>
              <w:t>Motion for leave to intervene</w:t>
            </w:r>
            <w:r w:rsidRPr="00E823AA">
              <w:rPr>
                <w:sz w:val="20"/>
                <w:szCs w:val="20"/>
              </w:rPr>
              <w:t xml:space="preserve"> </w:t>
            </w:r>
            <w:r w:rsidR="00BF3B03" w:rsidRPr="00E823AA">
              <w:rPr>
                <w:sz w:val="20"/>
                <w:szCs w:val="20"/>
              </w:rPr>
              <w:fldChar w:fldCharType="begin"/>
            </w:r>
            <w:r w:rsidRPr="00E823AA">
              <w:rPr>
                <w:sz w:val="20"/>
                <w:szCs w:val="20"/>
              </w:rPr>
              <w:instrText xml:space="preserve"> SEQ CHAPTER \h \r 1</w:instrText>
            </w:r>
            <w:r w:rsidR="00BF3B03" w:rsidRPr="00E823AA">
              <w:rPr>
                <w:sz w:val="20"/>
                <w:szCs w:val="20"/>
              </w:rPr>
              <w:fldChar w:fldCharType="end"/>
            </w:r>
          </w:p>
        </w:tc>
        <w:tc>
          <w:tcPr>
            <w:tcW w:w="1170" w:type="dxa"/>
          </w:tcPr>
          <w:p w:rsidR="00E823AA" w:rsidRPr="00E823AA" w:rsidRDefault="00E823AA" w:rsidP="0077555D">
            <w:pPr>
              <w:rPr>
                <w:sz w:val="20"/>
                <w:szCs w:val="20"/>
              </w:rPr>
            </w:pPr>
          </w:p>
          <w:p w:rsidR="00E823AA" w:rsidRPr="00E823AA" w:rsidRDefault="00E823AA" w:rsidP="0077555D">
            <w:pPr>
              <w:rPr>
                <w:sz w:val="20"/>
                <w:szCs w:val="20"/>
              </w:rPr>
            </w:pPr>
          </w:p>
        </w:tc>
        <w:tc>
          <w:tcPr>
            <w:tcW w:w="4327" w:type="dxa"/>
          </w:tcPr>
          <w:p w:rsidR="00E823AA" w:rsidRPr="00E823AA" w:rsidRDefault="00E823AA" w:rsidP="0077555D">
            <w:pPr>
              <w:rPr>
                <w:b/>
                <w:sz w:val="20"/>
                <w:szCs w:val="20"/>
              </w:rPr>
            </w:pPr>
            <w:r w:rsidRPr="00E823AA">
              <w:rPr>
                <w:b/>
                <w:bCs/>
                <w:sz w:val="20"/>
                <w:szCs w:val="20"/>
                <w:lang w:val="fr-CA"/>
              </w:rPr>
              <w:t>Requête en autorisation d’intervenir</w:t>
            </w:r>
            <w:r w:rsidRPr="00E823AA">
              <w:rPr>
                <w:sz w:val="20"/>
                <w:szCs w:val="20"/>
              </w:rPr>
              <w:t xml:space="preserve"> </w:t>
            </w:r>
            <w:r w:rsidR="00BF3B03" w:rsidRPr="00E823AA">
              <w:rPr>
                <w:sz w:val="20"/>
                <w:szCs w:val="20"/>
              </w:rPr>
              <w:fldChar w:fldCharType="begin"/>
            </w:r>
            <w:r w:rsidRPr="00E823AA">
              <w:rPr>
                <w:sz w:val="20"/>
                <w:szCs w:val="20"/>
              </w:rPr>
              <w:instrText xml:space="preserve"> SEQ CHAPTER \h \r 1</w:instrText>
            </w:r>
            <w:r w:rsidR="00BF3B03" w:rsidRPr="00E823AA">
              <w:rPr>
                <w:sz w:val="20"/>
                <w:szCs w:val="20"/>
              </w:rPr>
              <w:fldChar w:fldCharType="end"/>
            </w:r>
          </w:p>
        </w:tc>
      </w:tr>
      <w:tr w:rsidR="00E823AA" w:rsidRPr="00E823AA" w:rsidTr="0077555D">
        <w:tc>
          <w:tcPr>
            <w:tcW w:w="1368" w:type="dxa"/>
          </w:tcPr>
          <w:p w:rsidR="00E823AA" w:rsidRPr="00E823AA" w:rsidRDefault="00E823AA" w:rsidP="0077555D">
            <w:pPr>
              <w:rPr>
                <w:sz w:val="20"/>
                <w:szCs w:val="20"/>
              </w:rPr>
            </w:pPr>
            <w:r w:rsidRPr="00E823AA">
              <w:rPr>
                <w:sz w:val="20"/>
                <w:szCs w:val="20"/>
              </w:rPr>
              <w:t>BY / PAR</w:t>
            </w:r>
          </w:p>
        </w:tc>
        <w:tc>
          <w:tcPr>
            <w:tcW w:w="2970" w:type="dxa"/>
          </w:tcPr>
          <w:p w:rsidR="00E823AA" w:rsidRPr="00E823AA" w:rsidRDefault="00E823AA" w:rsidP="0077555D">
            <w:pPr>
              <w:rPr>
                <w:sz w:val="20"/>
                <w:szCs w:val="20"/>
              </w:rPr>
            </w:pPr>
            <w:r w:rsidRPr="00E823AA">
              <w:rPr>
                <w:sz w:val="20"/>
                <w:szCs w:val="20"/>
              </w:rPr>
              <w:t>Workers' Compensation Board of British Columbia</w:t>
            </w:r>
          </w:p>
        </w:tc>
        <w:tc>
          <w:tcPr>
            <w:tcW w:w="1170" w:type="dxa"/>
          </w:tcPr>
          <w:p w:rsidR="00E823AA" w:rsidRPr="00E823AA" w:rsidRDefault="00E823AA" w:rsidP="0077555D">
            <w:pPr>
              <w:rPr>
                <w:sz w:val="20"/>
                <w:szCs w:val="20"/>
              </w:rPr>
            </w:pPr>
          </w:p>
        </w:tc>
        <w:tc>
          <w:tcPr>
            <w:tcW w:w="4327" w:type="dxa"/>
          </w:tcPr>
          <w:p w:rsidR="00E823AA" w:rsidRPr="00E823AA" w:rsidRDefault="00E823AA" w:rsidP="0077555D">
            <w:pPr>
              <w:rPr>
                <w:sz w:val="20"/>
                <w:szCs w:val="20"/>
              </w:rPr>
            </w:pPr>
          </w:p>
        </w:tc>
      </w:tr>
      <w:tr w:rsidR="00E823AA" w:rsidRPr="00E823AA" w:rsidTr="0077555D">
        <w:tc>
          <w:tcPr>
            <w:tcW w:w="1368" w:type="dxa"/>
          </w:tcPr>
          <w:p w:rsidR="00E823AA" w:rsidRPr="00E823AA" w:rsidRDefault="00E823AA" w:rsidP="0077555D">
            <w:pPr>
              <w:rPr>
                <w:sz w:val="20"/>
                <w:szCs w:val="20"/>
              </w:rPr>
            </w:pPr>
          </w:p>
        </w:tc>
        <w:tc>
          <w:tcPr>
            <w:tcW w:w="2970" w:type="dxa"/>
          </w:tcPr>
          <w:p w:rsidR="00E823AA" w:rsidRPr="00E823AA" w:rsidRDefault="00E823AA" w:rsidP="0077555D">
            <w:pPr>
              <w:rPr>
                <w:sz w:val="20"/>
                <w:szCs w:val="20"/>
              </w:rPr>
            </w:pPr>
          </w:p>
        </w:tc>
        <w:tc>
          <w:tcPr>
            <w:tcW w:w="1170" w:type="dxa"/>
          </w:tcPr>
          <w:p w:rsidR="00E823AA" w:rsidRPr="00E823AA" w:rsidRDefault="00E823AA" w:rsidP="0077555D">
            <w:pPr>
              <w:rPr>
                <w:sz w:val="20"/>
                <w:szCs w:val="20"/>
              </w:rPr>
            </w:pPr>
          </w:p>
        </w:tc>
        <w:tc>
          <w:tcPr>
            <w:tcW w:w="4327" w:type="dxa"/>
          </w:tcPr>
          <w:p w:rsidR="00E823AA" w:rsidRPr="00E823AA" w:rsidRDefault="00E823AA" w:rsidP="0077555D">
            <w:pPr>
              <w:rPr>
                <w:sz w:val="20"/>
                <w:szCs w:val="20"/>
              </w:rPr>
            </w:pPr>
          </w:p>
        </w:tc>
      </w:tr>
      <w:tr w:rsidR="00E823AA" w:rsidRPr="00DC2D1F" w:rsidTr="0077555D">
        <w:tc>
          <w:tcPr>
            <w:tcW w:w="1368" w:type="dxa"/>
          </w:tcPr>
          <w:p w:rsidR="00E823AA" w:rsidRPr="00E823AA" w:rsidRDefault="00E823AA" w:rsidP="0077555D">
            <w:pPr>
              <w:rPr>
                <w:sz w:val="20"/>
                <w:szCs w:val="20"/>
              </w:rPr>
            </w:pPr>
            <w:r w:rsidRPr="00E823AA">
              <w:rPr>
                <w:sz w:val="20"/>
                <w:szCs w:val="20"/>
              </w:rPr>
              <w:t>IN / DANS :</w:t>
            </w:r>
          </w:p>
        </w:tc>
        <w:tc>
          <w:tcPr>
            <w:tcW w:w="2970" w:type="dxa"/>
          </w:tcPr>
          <w:p w:rsidR="00E823AA" w:rsidRPr="00E823AA" w:rsidRDefault="00E823AA" w:rsidP="0077555D">
            <w:pPr>
              <w:rPr>
                <w:sz w:val="20"/>
                <w:szCs w:val="20"/>
                <w:lang w:val="fr-CA"/>
              </w:rPr>
            </w:pPr>
            <w:r w:rsidRPr="00E823AA">
              <w:rPr>
                <w:sz w:val="20"/>
                <w:szCs w:val="20"/>
                <w:lang w:val="fr-CA"/>
              </w:rPr>
              <w:t>Marine Services International Limited et al.</w:t>
            </w:r>
          </w:p>
          <w:p w:rsidR="00E823AA" w:rsidRPr="00E823AA" w:rsidRDefault="00E823AA" w:rsidP="0077555D">
            <w:pPr>
              <w:rPr>
                <w:sz w:val="20"/>
                <w:szCs w:val="20"/>
                <w:lang w:val="fr-CA"/>
              </w:rPr>
            </w:pPr>
          </w:p>
        </w:tc>
        <w:tc>
          <w:tcPr>
            <w:tcW w:w="1170" w:type="dxa"/>
          </w:tcPr>
          <w:p w:rsidR="00E823AA" w:rsidRPr="00E823AA" w:rsidRDefault="00E823AA" w:rsidP="0077555D">
            <w:pPr>
              <w:rPr>
                <w:sz w:val="20"/>
                <w:szCs w:val="20"/>
                <w:lang w:val="fr-CA"/>
              </w:rPr>
            </w:pPr>
          </w:p>
        </w:tc>
        <w:tc>
          <w:tcPr>
            <w:tcW w:w="4327" w:type="dxa"/>
          </w:tcPr>
          <w:p w:rsidR="00E823AA" w:rsidRPr="00E823AA" w:rsidRDefault="00E823AA" w:rsidP="0077555D">
            <w:pPr>
              <w:rPr>
                <w:sz w:val="20"/>
                <w:szCs w:val="20"/>
                <w:lang w:val="fr-CA"/>
              </w:rPr>
            </w:pPr>
          </w:p>
        </w:tc>
      </w:tr>
      <w:tr w:rsidR="00E823AA" w:rsidRPr="00E823AA" w:rsidTr="0077555D">
        <w:tc>
          <w:tcPr>
            <w:tcW w:w="1368" w:type="dxa"/>
          </w:tcPr>
          <w:p w:rsidR="00E823AA" w:rsidRPr="00E823AA" w:rsidRDefault="00E823AA" w:rsidP="0077555D">
            <w:pPr>
              <w:rPr>
                <w:sz w:val="20"/>
                <w:szCs w:val="20"/>
                <w:lang w:val="fr-CA"/>
              </w:rPr>
            </w:pPr>
          </w:p>
        </w:tc>
        <w:tc>
          <w:tcPr>
            <w:tcW w:w="2970" w:type="dxa"/>
          </w:tcPr>
          <w:p w:rsidR="00E823AA" w:rsidRPr="00E823AA" w:rsidRDefault="00E823AA" w:rsidP="0077555D">
            <w:pPr>
              <w:rPr>
                <w:sz w:val="20"/>
                <w:szCs w:val="20"/>
              </w:rPr>
            </w:pPr>
            <w:r w:rsidRPr="00E823AA">
              <w:rPr>
                <w:sz w:val="20"/>
                <w:szCs w:val="20"/>
                <w:lang w:val="fr-CA"/>
              </w:rPr>
              <w:tab/>
            </w:r>
            <w:r w:rsidRPr="00E823AA">
              <w:rPr>
                <w:sz w:val="20"/>
                <w:szCs w:val="20"/>
              </w:rPr>
              <w:t>v. (34429)</w:t>
            </w:r>
          </w:p>
          <w:p w:rsidR="00E823AA" w:rsidRPr="00E823AA" w:rsidRDefault="00E823AA" w:rsidP="0077555D">
            <w:pPr>
              <w:rPr>
                <w:sz w:val="20"/>
                <w:szCs w:val="20"/>
              </w:rPr>
            </w:pPr>
          </w:p>
        </w:tc>
        <w:tc>
          <w:tcPr>
            <w:tcW w:w="1170" w:type="dxa"/>
          </w:tcPr>
          <w:p w:rsidR="00E823AA" w:rsidRPr="00E823AA" w:rsidRDefault="00E823AA" w:rsidP="0077555D">
            <w:pPr>
              <w:rPr>
                <w:sz w:val="20"/>
                <w:szCs w:val="20"/>
              </w:rPr>
            </w:pPr>
          </w:p>
        </w:tc>
        <w:tc>
          <w:tcPr>
            <w:tcW w:w="4327" w:type="dxa"/>
          </w:tcPr>
          <w:p w:rsidR="00E823AA" w:rsidRPr="00E823AA" w:rsidRDefault="00E823AA" w:rsidP="0077555D">
            <w:pPr>
              <w:rPr>
                <w:sz w:val="20"/>
                <w:szCs w:val="20"/>
              </w:rPr>
            </w:pPr>
          </w:p>
        </w:tc>
      </w:tr>
      <w:tr w:rsidR="00E823AA" w:rsidRPr="00E823AA" w:rsidTr="0077555D">
        <w:tc>
          <w:tcPr>
            <w:tcW w:w="1368" w:type="dxa"/>
          </w:tcPr>
          <w:p w:rsidR="00E823AA" w:rsidRPr="00E823AA" w:rsidRDefault="00E823AA" w:rsidP="0077555D">
            <w:pPr>
              <w:rPr>
                <w:sz w:val="20"/>
                <w:szCs w:val="20"/>
              </w:rPr>
            </w:pPr>
          </w:p>
        </w:tc>
        <w:tc>
          <w:tcPr>
            <w:tcW w:w="2970" w:type="dxa"/>
          </w:tcPr>
          <w:p w:rsidR="00E823AA" w:rsidRPr="00E823AA" w:rsidRDefault="00E823AA" w:rsidP="0077555D">
            <w:pPr>
              <w:jc w:val="both"/>
              <w:rPr>
                <w:sz w:val="20"/>
                <w:szCs w:val="20"/>
              </w:rPr>
            </w:pPr>
            <w:r w:rsidRPr="00E823AA">
              <w:rPr>
                <w:sz w:val="20"/>
                <w:szCs w:val="20"/>
              </w:rPr>
              <w:t>Estate of Joseph Ryan, by its Administratrix, Yvonne Ryan et al. (N.L.)</w:t>
            </w:r>
          </w:p>
        </w:tc>
        <w:tc>
          <w:tcPr>
            <w:tcW w:w="1170" w:type="dxa"/>
          </w:tcPr>
          <w:p w:rsidR="00E823AA" w:rsidRPr="00E823AA" w:rsidRDefault="00E823AA" w:rsidP="0077555D">
            <w:pPr>
              <w:rPr>
                <w:sz w:val="20"/>
                <w:szCs w:val="20"/>
              </w:rPr>
            </w:pPr>
          </w:p>
        </w:tc>
        <w:tc>
          <w:tcPr>
            <w:tcW w:w="4327" w:type="dxa"/>
          </w:tcPr>
          <w:p w:rsidR="00E823AA" w:rsidRPr="00E823AA" w:rsidRDefault="00E823AA" w:rsidP="0077555D">
            <w:pPr>
              <w:rPr>
                <w:sz w:val="20"/>
                <w:szCs w:val="20"/>
              </w:rPr>
            </w:pPr>
          </w:p>
        </w:tc>
      </w:tr>
    </w:tbl>
    <w:p w:rsidR="00E823AA" w:rsidRPr="00E823AA" w:rsidRDefault="00E823AA" w:rsidP="00E823AA">
      <w:pPr>
        <w:tabs>
          <w:tab w:val="left" w:pos="-1440"/>
          <w:tab w:val="left" w:pos="-720"/>
        </w:tabs>
        <w:jc w:val="both"/>
        <w:rPr>
          <w:sz w:val="20"/>
          <w:szCs w:val="20"/>
        </w:rPr>
      </w:pPr>
    </w:p>
    <w:p w:rsidR="00E823AA" w:rsidRPr="00E823AA" w:rsidRDefault="00E823AA" w:rsidP="00E823AA">
      <w:pPr>
        <w:tabs>
          <w:tab w:val="left" w:pos="-1440"/>
          <w:tab w:val="left" w:pos="-720"/>
        </w:tabs>
        <w:jc w:val="both"/>
        <w:rPr>
          <w:sz w:val="20"/>
          <w:szCs w:val="20"/>
        </w:rPr>
      </w:pPr>
      <w:r w:rsidRPr="00E823AA">
        <w:rPr>
          <w:b/>
          <w:sz w:val="20"/>
          <w:szCs w:val="20"/>
        </w:rPr>
        <w:t>GRANTED / ACCORDÉE</w:t>
      </w:r>
    </w:p>
    <w:p w:rsidR="00E823AA" w:rsidRPr="00E823AA" w:rsidRDefault="00E823AA" w:rsidP="00E823AA">
      <w:pPr>
        <w:tabs>
          <w:tab w:val="left" w:pos="-1440"/>
          <w:tab w:val="left" w:pos="-720"/>
        </w:tabs>
        <w:jc w:val="both"/>
        <w:rPr>
          <w:sz w:val="20"/>
          <w:szCs w:val="20"/>
        </w:rPr>
      </w:pPr>
    </w:p>
    <w:p w:rsidR="00E823AA" w:rsidRPr="00E823AA" w:rsidRDefault="00E823AA" w:rsidP="00E823AA">
      <w:pPr>
        <w:spacing w:line="233" w:lineRule="auto"/>
        <w:jc w:val="both"/>
        <w:rPr>
          <w:sz w:val="20"/>
          <w:szCs w:val="20"/>
        </w:rPr>
      </w:pPr>
      <w:r w:rsidRPr="00E823AA">
        <w:rPr>
          <w:b/>
          <w:bCs/>
          <w:sz w:val="20"/>
          <w:szCs w:val="20"/>
        </w:rPr>
        <w:t xml:space="preserve">UPON APPLICATION </w:t>
      </w:r>
      <w:r w:rsidRPr="00E823AA">
        <w:rPr>
          <w:sz w:val="20"/>
          <w:szCs w:val="20"/>
        </w:rPr>
        <w:t>by the Workers' Compensation Board of British Columbia for leave to intervene in the above appeal;</w:t>
      </w:r>
    </w:p>
    <w:p w:rsidR="00E823AA" w:rsidRPr="00E823AA" w:rsidRDefault="00E823AA" w:rsidP="00E823AA">
      <w:pPr>
        <w:spacing w:line="233" w:lineRule="auto"/>
        <w:jc w:val="both"/>
        <w:rPr>
          <w:sz w:val="20"/>
          <w:szCs w:val="20"/>
        </w:rPr>
      </w:pPr>
    </w:p>
    <w:p w:rsidR="00E823AA" w:rsidRPr="00E823AA" w:rsidRDefault="00E823AA" w:rsidP="00E823AA">
      <w:pPr>
        <w:spacing w:line="233" w:lineRule="auto"/>
        <w:jc w:val="both"/>
        <w:rPr>
          <w:sz w:val="20"/>
          <w:szCs w:val="20"/>
        </w:rPr>
      </w:pPr>
      <w:r w:rsidRPr="00E823AA">
        <w:rPr>
          <w:b/>
          <w:bCs/>
          <w:sz w:val="20"/>
          <w:szCs w:val="20"/>
        </w:rPr>
        <w:t>AND THE MATERIAL FILED</w:t>
      </w:r>
      <w:r w:rsidRPr="00E823AA">
        <w:rPr>
          <w:sz w:val="20"/>
          <w:szCs w:val="20"/>
        </w:rPr>
        <w:t xml:space="preserve"> having been read;</w:t>
      </w:r>
    </w:p>
    <w:p w:rsidR="00E823AA" w:rsidRPr="00E823AA" w:rsidRDefault="00E823AA" w:rsidP="00E823AA">
      <w:pPr>
        <w:spacing w:line="233" w:lineRule="auto"/>
        <w:jc w:val="both"/>
        <w:rPr>
          <w:sz w:val="20"/>
          <w:szCs w:val="20"/>
        </w:rPr>
      </w:pPr>
    </w:p>
    <w:p w:rsidR="00E823AA" w:rsidRPr="00E823AA" w:rsidRDefault="00E823AA" w:rsidP="00E823AA">
      <w:pPr>
        <w:spacing w:line="233" w:lineRule="auto"/>
        <w:jc w:val="both"/>
        <w:rPr>
          <w:sz w:val="20"/>
          <w:szCs w:val="20"/>
        </w:rPr>
      </w:pPr>
      <w:r w:rsidRPr="00E823AA">
        <w:rPr>
          <w:b/>
          <w:bCs/>
          <w:sz w:val="20"/>
          <w:szCs w:val="20"/>
        </w:rPr>
        <w:t>IT IS HEREBY ORDERED THAT:</w:t>
      </w:r>
    </w:p>
    <w:p w:rsidR="00E823AA" w:rsidRPr="00E823AA" w:rsidRDefault="00E823AA" w:rsidP="00E823AA">
      <w:pPr>
        <w:spacing w:line="233" w:lineRule="auto"/>
        <w:jc w:val="both"/>
        <w:rPr>
          <w:sz w:val="20"/>
          <w:szCs w:val="20"/>
        </w:rPr>
      </w:pPr>
    </w:p>
    <w:p w:rsidR="00E823AA" w:rsidRPr="00E823AA" w:rsidRDefault="00E823AA" w:rsidP="00E823AA">
      <w:pPr>
        <w:spacing w:line="233" w:lineRule="auto"/>
        <w:jc w:val="both"/>
        <w:rPr>
          <w:sz w:val="20"/>
          <w:szCs w:val="20"/>
        </w:rPr>
      </w:pPr>
      <w:r w:rsidRPr="00E823AA">
        <w:rPr>
          <w:sz w:val="20"/>
          <w:szCs w:val="20"/>
        </w:rPr>
        <w:t>The motion for leave to intervene of the Workers' Compensation Board of British Columbia is granted and the said intervener shall be entitled to serve and file a factum not to exceed 10 pages in length on or before December 18, 2012.</w:t>
      </w:r>
    </w:p>
    <w:p w:rsidR="00E823AA" w:rsidRPr="00E823AA" w:rsidRDefault="00E823AA" w:rsidP="00E823AA">
      <w:pPr>
        <w:spacing w:line="233" w:lineRule="auto"/>
        <w:jc w:val="both"/>
        <w:rPr>
          <w:sz w:val="20"/>
          <w:szCs w:val="20"/>
        </w:rPr>
      </w:pPr>
    </w:p>
    <w:p w:rsidR="00E823AA" w:rsidRPr="00E823AA" w:rsidRDefault="00E823AA" w:rsidP="00E823AA">
      <w:pPr>
        <w:spacing w:line="233" w:lineRule="auto"/>
        <w:jc w:val="both"/>
        <w:rPr>
          <w:sz w:val="20"/>
          <w:szCs w:val="20"/>
        </w:rPr>
      </w:pPr>
      <w:r w:rsidRPr="00E823AA">
        <w:rPr>
          <w:sz w:val="20"/>
          <w:szCs w:val="20"/>
        </w:rPr>
        <w:t>The request to present oral argument is deferred to a date following receipt and consideration of the written arguments of the parties and the intervener.</w:t>
      </w:r>
    </w:p>
    <w:p w:rsidR="00E823AA" w:rsidRPr="00E823AA" w:rsidRDefault="00E823AA" w:rsidP="00E823AA">
      <w:pPr>
        <w:spacing w:line="233" w:lineRule="auto"/>
        <w:jc w:val="both"/>
        <w:rPr>
          <w:sz w:val="20"/>
          <w:szCs w:val="20"/>
        </w:rPr>
      </w:pPr>
    </w:p>
    <w:p w:rsidR="00E823AA" w:rsidRPr="00E823AA" w:rsidRDefault="00E823AA" w:rsidP="00E823AA">
      <w:pPr>
        <w:spacing w:line="233" w:lineRule="auto"/>
        <w:jc w:val="both"/>
        <w:rPr>
          <w:sz w:val="20"/>
          <w:szCs w:val="20"/>
        </w:rPr>
      </w:pPr>
      <w:r w:rsidRPr="00E823AA">
        <w:rPr>
          <w:sz w:val="20"/>
          <w:szCs w:val="20"/>
        </w:rPr>
        <w:t>The intervener is not entitled to raise new issues or to adduce further evidence or otherwise to supplement the record of the parties.</w:t>
      </w:r>
    </w:p>
    <w:p w:rsidR="00E823AA" w:rsidRPr="00E823AA" w:rsidRDefault="00E823AA" w:rsidP="00E823AA">
      <w:pPr>
        <w:spacing w:line="233" w:lineRule="auto"/>
        <w:jc w:val="both"/>
        <w:rPr>
          <w:sz w:val="20"/>
          <w:szCs w:val="20"/>
        </w:rPr>
      </w:pPr>
    </w:p>
    <w:p w:rsidR="00E823AA" w:rsidRPr="00E823AA" w:rsidRDefault="00E823AA" w:rsidP="00E823AA">
      <w:pPr>
        <w:spacing w:line="233" w:lineRule="auto"/>
        <w:jc w:val="both"/>
        <w:rPr>
          <w:sz w:val="20"/>
          <w:szCs w:val="20"/>
        </w:rPr>
      </w:pPr>
      <w:r w:rsidRPr="00E823AA">
        <w:rPr>
          <w:sz w:val="20"/>
          <w:szCs w:val="20"/>
        </w:rPr>
        <w:t>Pursuant to Rule 59(1</w:t>
      </w:r>
      <w:proofErr w:type="gramStart"/>
      <w:r w:rsidRPr="00E823AA">
        <w:rPr>
          <w:sz w:val="20"/>
          <w:szCs w:val="20"/>
        </w:rPr>
        <w:t>)(</w:t>
      </w:r>
      <w:proofErr w:type="gramEnd"/>
      <w:r w:rsidRPr="00E823AA">
        <w:rPr>
          <w:i/>
          <w:iCs/>
          <w:sz w:val="20"/>
          <w:szCs w:val="20"/>
        </w:rPr>
        <w:t>a</w:t>
      </w:r>
      <w:r w:rsidRPr="00E823AA">
        <w:rPr>
          <w:sz w:val="20"/>
          <w:szCs w:val="20"/>
        </w:rPr>
        <w:t xml:space="preserve">) of the </w:t>
      </w:r>
      <w:r w:rsidRPr="00E823AA">
        <w:rPr>
          <w:i/>
          <w:iCs/>
          <w:sz w:val="20"/>
          <w:szCs w:val="20"/>
        </w:rPr>
        <w:t>Rules of the Supreme Court of Canada</w:t>
      </w:r>
      <w:r w:rsidRPr="00E823AA">
        <w:rPr>
          <w:sz w:val="20"/>
          <w:szCs w:val="20"/>
        </w:rPr>
        <w:t xml:space="preserve">, the intervener shall pay to the appellants and respondents any additional disbursements occasioned to the appellants and respondents by its intervention. </w:t>
      </w:r>
    </w:p>
    <w:p w:rsidR="00E823AA" w:rsidRPr="00E823AA" w:rsidRDefault="00E823AA" w:rsidP="00E823AA">
      <w:pPr>
        <w:tabs>
          <w:tab w:val="left" w:pos="-1440"/>
          <w:tab w:val="left" w:pos="-720"/>
        </w:tabs>
        <w:jc w:val="both"/>
        <w:rPr>
          <w:sz w:val="20"/>
          <w:szCs w:val="20"/>
        </w:rPr>
      </w:pPr>
    </w:p>
    <w:p w:rsidR="00E823AA" w:rsidRPr="00E823AA" w:rsidRDefault="00E823AA" w:rsidP="00E823AA">
      <w:pPr>
        <w:tabs>
          <w:tab w:val="left" w:pos="-1440"/>
          <w:tab w:val="left" w:pos="-720"/>
        </w:tabs>
        <w:jc w:val="both"/>
        <w:rPr>
          <w:sz w:val="20"/>
          <w:szCs w:val="20"/>
        </w:rPr>
      </w:pPr>
    </w:p>
    <w:p w:rsidR="00E823AA" w:rsidRPr="00E823AA" w:rsidRDefault="00E823AA" w:rsidP="00E823AA">
      <w:pPr>
        <w:tabs>
          <w:tab w:val="left" w:pos="-1440"/>
          <w:tab w:val="left" w:pos="-720"/>
        </w:tabs>
        <w:jc w:val="both"/>
        <w:rPr>
          <w:sz w:val="20"/>
          <w:szCs w:val="20"/>
        </w:rPr>
      </w:pPr>
    </w:p>
    <w:p w:rsidR="00E823AA" w:rsidRPr="00E823AA" w:rsidRDefault="00E823AA" w:rsidP="00E823AA">
      <w:pPr>
        <w:jc w:val="both"/>
        <w:rPr>
          <w:rFonts w:cs="Times New Roman"/>
          <w:bCs/>
          <w:sz w:val="20"/>
          <w:szCs w:val="20"/>
          <w:lang w:val="fr-CA"/>
        </w:rPr>
      </w:pPr>
      <w:r w:rsidRPr="00E823AA">
        <w:rPr>
          <w:rFonts w:cs="Times New Roman"/>
          <w:b/>
          <w:bCs/>
          <w:sz w:val="20"/>
          <w:szCs w:val="20"/>
          <w:lang w:val="fr-CA"/>
        </w:rPr>
        <w:t>À LA SUITE DE LA DEMANDE</w:t>
      </w:r>
      <w:r w:rsidRPr="00E823AA">
        <w:rPr>
          <w:rFonts w:cs="Times New Roman"/>
          <w:bCs/>
          <w:sz w:val="20"/>
          <w:szCs w:val="20"/>
          <w:lang w:val="fr-CA"/>
        </w:rPr>
        <w:t xml:space="preserve"> présentée par la </w:t>
      </w:r>
      <w:r w:rsidRPr="00E823AA">
        <w:rPr>
          <w:rFonts w:cs="Times New Roman"/>
          <w:sz w:val="20"/>
          <w:szCs w:val="20"/>
          <w:lang w:val="fr-CA"/>
        </w:rPr>
        <w:t xml:space="preserve">Workers' Compensation Board of British Columbia </w:t>
      </w:r>
      <w:r w:rsidRPr="00E823AA">
        <w:rPr>
          <w:rFonts w:cs="Times New Roman"/>
          <w:bCs/>
          <w:sz w:val="20"/>
          <w:szCs w:val="20"/>
          <w:lang w:val="fr-CA"/>
        </w:rPr>
        <w:t>en autorisation d'intervenir dans l'appel;</w:t>
      </w:r>
    </w:p>
    <w:p w:rsidR="00E823AA" w:rsidRPr="00E823AA" w:rsidRDefault="00E823AA" w:rsidP="00E823AA">
      <w:pPr>
        <w:jc w:val="both"/>
        <w:rPr>
          <w:rFonts w:cs="Times New Roman"/>
          <w:bCs/>
          <w:sz w:val="20"/>
          <w:szCs w:val="20"/>
          <w:lang w:val="fr-CA"/>
        </w:rPr>
      </w:pPr>
    </w:p>
    <w:p w:rsidR="00E823AA" w:rsidRPr="00E823AA" w:rsidRDefault="00E823AA" w:rsidP="00E823AA">
      <w:pPr>
        <w:jc w:val="both"/>
        <w:rPr>
          <w:rFonts w:cs="Times New Roman"/>
          <w:bCs/>
          <w:sz w:val="20"/>
          <w:szCs w:val="20"/>
          <w:lang w:val="fr-CA"/>
        </w:rPr>
      </w:pPr>
      <w:r w:rsidRPr="00E823AA">
        <w:rPr>
          <w:rFonts w:cs="Times New Roman"/>
          <w:b/>
          <w:bCs/>
          <w:sz w:val="20"/>
          <w:szCs w:val="20"/>
          <w:lang w:val="fr-CA"/>
        </w:rPr>
        <w:t>ET APRÈS EXAMEN</w:t>
      </w:r>
      <w:r w:rsidRPr="00E823AA">
        <w:rPr>
          <w:rFonts w:cs="Times New Roman"/>
          <w:bCs/>
          <w:sz w:val="20"/>
          <w:szCs w:val="20"/>
          <w:lang w:val="fr-CA"/>
        </w:rPr>
        <w:t xml:space="preserve"> des documents déposés; </w:t>
      </w:r>
    </w:p>
    <w:p w:rsidR="00E823AA" w:rsidRPr="00E823AA" w:rsidRDefault="00E823AA" w:rsidP="00E823AA">
      <w:pPr>
        <w:jc w:val="both"/>
        <w:rPr>
          <w:rFonts w:cs="Times New Roman"/>
          <w:bCs/>
          <w:sz w:val="20"/>
          <w:szCs w:val="20"/>
          <w:lang w:val="fr-CA"/>
        </w:rPr>
      </w:pPr>
    </w:p>
    <w:p w:rsidR="00E823AA" w:rsidRPr="00E823AA" w:rsidRDefault="00E823AA" w:rsidP="00E823AA">
      <w:pPr>
        <w:jc w:val="both"/>
        <w:rPr>
          <w:rFonts w:cs="Times New Roman"/>
          <w:b/>
          <w:bCs/>
          <w:sz w:val="20"/>
          <w:szCs w:val="20"/>
          <w:lang w:val="fr-CA"/>
        </w:rPr>
      </w:pPr>
      <w:r w:rsidRPr="00E823AA">
        <w:rPr>
          <w:rFonts w:cs="Times New Roman"/>
          <w:b/>
          <w:bCs/>
          <w:sz w:val="20"/>
          <w:szCs w:val="20"/>
          <w:lang w:val="fr-CA"/>
        </w:rPr>
        <w:t xml:space="preserve">IL EST ORDONNÉ CE QUI SUIT : </w:t>
      </w:r>
    </w:p>
    <w:p w:rsidR="00E823AA" w:rsidRPr="00E823AA" w:rsidRDefault="00E823AA" w:rsidP="00E823AA">
      <w:pPr>
        <w:jc w:val="both"/>
        <w:rPr>
          <w:rFonts w:cs="Times New Roman"/>
          <w:bCs/>
          <w:sz w:val="20"/>
          <w:szCs w:val="20"/>
          <w:lang w:val="fr-CA"/>
        </w:rPr>
      </w:pPr>
    </w:p>
    <w:p w:rsidR="00E823AA" w:rsidRPr="00E823AA" w:rsidRDefault="00E823AA" w:rsidP="00E823AA">
      <w:pPr>
        <w:jc w:val="both"/>
        <w:rPr>
          <w:rFonts w:cs="Times New Roman"/>
          <w:bCs/>
          <w:sz w:val="20"/>
          <w:szCs w:val="20"/>
          <w:lang w:val="fr-CA"/>
        </w:rPr>
      </w:pPr>
      <w:r w:rsidRPr="00E823AA">
        <w:rPr>
          <w:rFonts w:cs="Times New Roman"/>
          <w:bCs/>
          <w:sz w:val="20"/>
          <w:szCs w:val="20"/>
          <w:lang w:val="fr-CA"/>
        </w:rPr>
        <w:t xml:space="preserve">La requête en autorisation d'intervenir présentée par la </w:t>
      </w:r>
      <w:r w:rsidRPr="00E823AA">
        <w:rPr>
          <w:rFonts w:cs="Times New Roman"/>
          <w:sz w:val="20"/>
          <w:szCs w:val="20"/>
          <w:lang w:val="fr-CA"/>
        </w:rPr>
        <w:t>Workers' Compensation Board of British Columbia</w:t>
      </w:r>
      <w:r w:rsidRPr="00E823AA">
        <w:rPr>
          <w:rFonts w:cs="Times New Roman"/>
          <w:bCs/>
          <w:sz w:val="20"/>
          <w:szCs w:val="20"/>
          <w:lang w:val="fr-CA"/>
        </w:rPr>
        <w:t xml:space="preserve"> est accordée et la requérante pourra signifier et déposer un mémoire d'au plus dix (10) pages au plus tard le 18 décembre 2012. </w:t>
      </w:r>
    </w:p>
    <w:p w:rsidR="00E823AA" w:rsidRPr="00E823AA" w:rsidRDefault="00E823AA" w:rsidP="00E823AA">
      <w:pPr>
        <w:jc w:val="both"/>
        <w:rPr>
          <w:rFonts w:cs="Times New Roman"/>
          <w:bCs/>
          <w:sz w:val="20"/>
          <w:szCs w:val="20"/>
          <w:lang w:val="fr-CA"/>
        </w:rPr>
      </w:pPr>
    </w:p>
    <w:p w:rsidR="00E823AA" w:rsidRPr="00E823AA" w:rsidRDefault="00E823AA" w:rsidP="00E823AA">
      <w:pPr>
        <w:jc w:val="both"/>
        <w:rPr>
          <w:rFonts w:cs="Times New Roman"/>
          <w:bCs/>
          <w:sz w:val="20"/>
          <w:szCs w:val="20"/>
          <w:lang w:val="fr-CA"/>
        </w:rPr>
      </w:pPr>
      <w:r w:rsidRPr="00E823AA">
        <w:rPr>
          <w:rFonts w:cs="Times New Roman"/>
          <w:bCs/>
          <w:sz w:val="20"/>
          <w:szCs w:val="20"/>
          <w:lang w:val="fr-CA"/>
        </w:rPr>
        <w:t xml:space="preserve">La décision sur la demande en vue de présenter une plaidoirie orale sera rendue après réception et examen des arguments écrits des parties et de l'intervenante. </w:t>
      </w:r>
    </w:p>
    <w:p w:rsidR="00E823AA" w:rsidRPr="00E823AA" w:rsidRDefault="00E823AA" w:rsidP="00E823AA">
      <w:pPr>
        <w:jc w:val="both"/>
        <w:rPr>
          <w:rFonts w:cs="Times New Roman"/>
          <w:b/>
          <w:bCs/>
          <w:sz w:val="20"/>
          <w:szCs w:val="20"/>
          <w:lang w:val="fr-CA"/>
        </w:rPr>
      </w:pPr>
    </w:p>
    <w:p w:rsidR="00E823AA" w:rsidRPr="00E823AA" w:rsidRDefault="00E823AA" w:rsidP="00E823AA">
      <w:pPr>
        <w:jc w:val="both"/>
        <w:rPr>
          <w:rFonts w:cs="Times New Roman"/>
          <w:bCs/>
          <w:sz w:val="20"/>
          <w:szCs w:val="20"/>
          <w:lang w:val="fr-CA"/>
        </w:rPr>
      </w:pPr>
      <w:r w:rsidRPr="00E823AA">
        <w:rPr>
          <w:rFonts w:cs="Times New Roman"/>
          <w:bCs/>
          <w:sz w:val="20"/>
          <w:szCs w:val="20"/>
          <w:lang w:val="fr-CA"/>
        </w:rPr>
        <w:t>L'intervenante n'a pas le droit de soulever de nouvelles questions, de produire d'autres éléments de preuve ni de compléter de quelque autre façon le dossier des parties.</w:t>
      </w:r>
    </w:p>
    <w:p w:rsidR="00E823AA" w:rsidRPr="00E823AA" w:rsidRDefault="00E823AA" w:rsidP="00E823AA">
      <w:pPr>
        <w:jc w:val="both"/>
        <w:rPr>
          <w:rFonts w:cs="Times New Roman"/>
          <w:b/>
          <w:bCs/>
          <w:sz w:val="20"/>
          <w:szCs w:val="20"/>
          <w:lang w:val="fr-CA"/>
        </w:rPr>
      </w:pPr>
    </w:p>
    <w:p w:rsidR="00E823AA" w:rsidRPr="00E823AA" w:rsidRDefault="00E823AA" w:rsidP="00E823AA">
      <w:pPr>
        <w:jc w:val="both"/>
        <w:rPr>
          <w:rFonts w:cs="Times New Roman"/>
          <w:bCs/>
          <w:sz w:val="20"/>
          <w:szCs w:val="20"/>
          <w:lang w:val="fr-CA"/>
        </w:rPr>
      </w:pPr>
      <w:r w:rsidRPr="00E823AA">
        <w:rPr>
          <w:rFonts w:cs="Times New Roman"/>
          <w:bCs/>
          <w:sz w:val="20"/>
          <w:szCs w:val="20"/>
          <w:lang w:val="fr-CA"/>
        </w:rPr>
        <w:t>Conformément à l'alinéa 59(1)</w:t>
      </w:r>
      <w:r w:rsidRPr="00E823AA">
        <w:rPr>
          <w:rFonts w:cs="Times New Roman"/>
          <w:bCs/>
          <w:i/>
          <w:sz w:val="20"/>
          <w:szCs w:val="20"/>
          <w:lang w:val="fr-CA"/>
        </w:rPr>
        <w:t>a</w:t>
      </w:r>
      <w:r w:rsidRPr="00E823AA">
        <w:rPr>
          <w:rFonts w:cs="Times New Roman"/>
          <w:bCs/>
          <w:sz w:val="20"/>
          <w:szCs w:val="20"/>
          <w:lang w:val="fr-CA"/>
        </w:rPr>
        <w:t xml:space="preserve">) des </w:t>
      </w:r>
      <w:r w:rsidRPr="00E823AA">
        <w:rPr>
          <w:rFonts w:cs="Times New Roman"/>
          <w:bCs/>
          <w:i/>
          <w:sz w:val="20"/>
          <w:szCs w:val="20"/>
          <w:lang w:val="fr-CA"/>
        </w:rPr>
        <w:t>Règles de la Cour suprême du Canada</w:t>
      </w:r>
      <w:r w:rsidRPr="00E823AA">
        <w:rPr>
          <w:rFonts w:cs="Times New Roman"/>
          <w:bCs/>
          <w:sz w:val="20"/>
          <w:szCs w:val="20"/>
          <w:lang w:val="fr-CA"/>
        </w:rPr>
        <w:t>, l'intervenante paiera aux appelants et aux intimés tous débours supplémentaires résultant de son intervention.</w:t>
      </w:r>
    </w:p>
    <w:p w:rsidR="00E823AA" w:rsidRPr="00E823AA" w:rsidRDefault="00E823AA" w:rsidP="0010587F">
      <w:pPr>
        <w:tabs>
          <w:tab w:val="left" w:pos="-1440"/>
          <w:tab w:val="left" w:pos="-720"/>
        </w:tabs>
        <w:jc w:val="both"/>
        <w:rPr>
          <w:sz w:val="20"/>
          <w:szCs w:val="20"/>
          <w:lang w:val="fr-CA"/>
        </w:rPr>
      </w:pPr>
    </w:p>
    <w:p w:rsidR="0010587F" w:rsidRPr="003B3977" w:rsidRDefault="00BF3B03" w:rsidP="0010587F">
      <w:pPr>
        <w:tabs>
          <w:tab w:val="left" w:pos="-1440"/>
          <w:tab w:val="left" w:pos="-720"/>
        </w:tabs>
        <w:jc w:val="both"/>
        <w:rPr>
          <w:sz w:val="20"/>
          <w:szCs w:val="20"/>
          <w:lang w:val="fr-CA"/>
        </w:rPr>
      </w:pPr>
      <w:r w:rsidRPr="00BF3B03">
        <w:rPr>
          <w:sz w:val="20"/>
          <w:szCs w:val="20"/>
          <w:lang w:val="fr-CA"/>
        </w:rPr>
        <w:pict>
          <v:rect id="_x0000_i1090" style="width:2in;height:1pt" o:hrpct="0" o:hralign="center" o:hrstd="t" o:hrnoshade="t" o:hr="t" fillcolor="black [3213]" stroked="f"/>
        </w:pict>
      </w:r>
    </w:p>
    <w:p w:rsidR="0010587F" w:rsidRPr="003B3977" w:rsidRDefault="0010587F"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tblPr>
      <w:tblGrid>
        <w:gridCol w:w="4230"/>
        <w:gridCol w:w="1080"/>
        <w:gridCol w:w="4410"/>
      </w:tblGrid>
      <w:tr w:rsidR="00802863" w:rsidRPr="00DC2D1F" w:rsidTr="0085476B">
        <w:tc>
          <w:tcPr>
            <w:tcW w:w="4230" w:type="dxa"/>
            <w:shd w:val="clear" w:color="auto" w:fill="auto"/>
            <w:tcMar>
              <w:left w:w="0" w:type="dxa"/>
              <w:right w:w="0" w:type="dxa"/>
            </w:tcMar>
          </w:tcPr>
          <w:p w:rsidR="00802863" w:rsidRPr="00C1697B" w:rsidRDefault="00802863" w:rsidP="00697C62">
            <w:pPr>
              <w:rPr>
                <w:b/>
                <w:szCs w:val="24"/>
              </w:rPr>
            </w:pPr>
            <w:r w:rsidRPr="00C1697B">
              <w:rPr>
                <w:b/>
                <w:szCs w:val="24"/>
              </w:rPr>
              <w:lastRenderedPageBreak/>
              <w:t>NOTICES OF DISCONTINUANCE FILED SINCE LAST ISSUE</w:t>
            </w:r>
          </w:p>
        </w:tc>
        <w:tc>
          <w:tcPr>
            <w:tcW w:w="1080" w:type="dxa"/>
            <w:shd w:val="clear" w:color="auto" w:fill="auto"/>
            <w:tcMar>
              <w:left w:w="0" w:type="dxa"/>
              <w:right w:w="0" w:type="dxa"/>
            </w:tcMar>
          </w:tcPr>
          <w:p w:rsidR="00802863" w:rsidRPr="00C1697B" w:rsidRDefault="00802863" w:rsidP="00802863">
            <w:pPr>
              <w:jc w:val="center"/>
              <w:rPr>
                <w:b/>
                <w:szCs w:val="24"/>
              </w:rPr>
            </w:pPr>
          </w:p>
          <w:p w:rsidR="00802863" w:rsidRPr="00C1697B" w:rsidRDefault="00802863" w:rsidP="00802863">
            <w:pPr>
              <w:jc w:val="center"/>
              <w:rPr>
                <w:b/>
                <w:szCs w:val="24"/>
              </w:rPr>
            </w:pPr>
          </w:p>
          <w:p w:rsidR="00802863" w:rsidRPr="00C1697B" w:rsidRDefault="00802863" w:rsidP="00802863">
            <w:pPr>
              <w:jc w:val="center"/>
              <w:rPr>
                <w:b/>
                <w:szCs w:val="24"/>
              </w:rPr>
            </w:pPr>
          </w:p>
        </w:tc>
        <w:tc>
          <w:tcPr>
            <w:tcW w:w="4410" w:type="dxa"/>
            <w:shd w:val="clear" w:color="auto" w:fill="auto"/>
            <w:tcMar>
              <w:left w:w="0" w:type="dxa"/>
              <w:right w:w="0" w:type="dxa"/>
            </w:tcMar>
          </w:tcPr>
          <w:p w:rsidR="00802863" w:rsidRPr="00C1697B" w:rsidRDefault="00802863" w:rsidP="00697C62">
            <w:pPr>
              <w:rPr>
                <w:b/>
                <w:szCs w:val="24"/>
                <w:lang w:val="fr-CA"/>
              </w:rPr>
            </w:pPr>
            <w:r w:rsidRPr="00C1697B">
              <w:rPr>
                <w:b/>
                <w:szCs w:val="24"/>
                <w:lang w:val="fr-CA"/>
              </w:rPr>
              <w:t>AVIS DE DÉSISTEMENT DÉPOSÉS DEPUIS LA DERNIÈRE PARUTION</w:t>
            </w:r>
          </w:p>
        </w:tc>
      </w:tr>
    </w:tbl>
    <w:p w:rsidR="00802863" w:rsidRPr="00C50A5C"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080"/>
        <w:gridCol w:w="4417"/>
      </w:tblGrid>
      <w:tr w:rsidR="00802863" w:rsidRPr="00C50A5C" w:rsidTr="00C1697B">
        <w:trPr>
          <w:cantSplit/>
        </w:trPr>
        <w:tc>
          <w:tcPr>
            <w:tcW w:w="4338" w:type="dxa"/>
            <w:shd w:val="clear" w:color="auto" w:fill="auto"/>
          </w:tcPr>
          <w:p w:rsidR="00C1697B" w:rsidRPr="003C4E56" w:rsidRDefault="009B199B" w:rsidP="00C1697B">
            <w:pPr>
              <w:rPr>
                <w:sz w:val="20"/>
                <w:szCs w:val="20"/>
                <w:lang w:val="fr-CA"/>
              </w:rPr>
            </w:pPr>
            <w:r w:rsidRPr="003C4E56">
              <w:rPr>
                <w:sz w:val="20"/>
                <w:szCs w:val="20"/>
                <w:lang w:val="fr-CA"/>
              </w:rPr>
              <w:t>30</w:t>
            </w:r>
            <w:r w:rsidR="00C1697B" w:rsidRPr="003C4E56">
              <w:rPr>
                <w:sz w:val="20"/>
                <w:szCs w:val="20"/>
                <w:lang w:val="fr-CA"/>
              </w:rPr>
              <w:t>.</w:t>
            </w:r>
            <w:r w:rsidRPr="003C4E56">
              <w:rPr>
                <w:sz w:val="20"/>
                <w:szCs w:val="20"/>
                <w:lang w:val="fr-CA"/>
              </w:rPr>
              <w:t>1</w:t>
            </w:r>
            <w:r w:rsidR="00C1697B" w:rsidRPr="003C4E56">
              <w:rPr>
                <w:sz w:val="20"/>
                <w:szCs w:val="20"/>
                <w:lang w:val="fr-CA"/>
              </w:rPr>
              <w:t>0.201</w:t>
            </w:r>
            <w:r w:rsidRPr="003C4E56">
              <w:rPr>
                <w:sz w:val="20"/>
                <w:szCs w:val="20"/>
                <w:lang w:val="fr-CA"/>
              </w:rPr>
              <w:t>2</w:t>
            </w:r>
          </w:p>
          <w:p w:rsidR="00C1697B" w:rsidRPr="003C4E56" w:rsidRDefault="00C1697B" w:rsidP="00C1697B">
            <w:pPr>
              <w:rPr>
                <w:sz w:val="20"/>
                <w:szCs w:val="20"/>
                <w:lang w:val="fr-CA"/>
              </w:rPr>
            </w:pPr>
          </w:p>
          <w:p w:rsidR="00C1697B" w:rsidRPr="009B199B" w:rsidRDefault="009B199B" w:rsidP="00C1697B">
            <w:pPr>
              <w:rPr>
                <w:b/>
                <w:sz w:val="20"/>
                <w:szCs w:val="20"/>
                <w:lang w:val="fr-CA"/>
              </w:rPr>
            </w:pPr>
            <w:r w:rsidRPr="009B199B">
              <w:rPr>
                <w:b/>
                <w:sz w:val="20"/>
                <w:szCs w:val="20"/>
                <w:lang w:val="fr-CA"/>
              </w:rPr>
              <w:t>SNC-Lavalin E</w:t>
            </w:r>
            <w:r w:rsidR="00C1697B" w:rsidRPr="009B199B">
              <w:rPr>
                <w:b/>
                <w:sz w:val="20"/>
                <w:szCs w:val="20"/>
                <w:lang w:val="fr-CA"/>
              </w:rPr>
              <w:t>n</w:t>
            </w:r>
            <w:r w:rsidRPr="009B199B">
              <w:rPr>
                <w:b/>
                <w:sz w:val="20"/>
                <w:szCs w:val="20"/>
                <w:lang w:val="fr-CA"/>
              </w:rPr>
              <w:t>vironnemen</w:t>
            </w:r>
            <w:r w:rsidR="00C1697B" w:rsidRPr="009B199B">
              <w:rPr>
                <w:b/>
                <w:sz w:val="20"/>
                <w:szCs w:val="20"/>
                <w:lang w:val="fr-CA"/>
              </w:rPr>
              <w:t>t</w:t>
            </w:r>
            <w:r w:rsidRPr="009B199B">
              <w:rPr>
                <w:b/>
                <w:sz w:val="20"/>
                <w:szCs w:val="20"/>
                <w:lang w:val="fr-CA"/>
              </w:rPr>
              <w:t xml:space="preserve"> i</w:t>
            </w:r>
            <w:r w:rsidR="00C1697B" w:rsidRPr="009B199B">
              <w:rPr>
                <w:b/>
                <w:sz w:val="20"/>
                <w:szCs w:val="20"/>
                <w:lang w:val="fr-CA"/>
              </w:rPr>
              <w:t>nc.</w:t>
            </w:r>
            <w:r w:rsidRPr="009B199B">
              <w:rPr>
                <w:b/>
                <w:sz w:val="20"/>
                <w:szCs w:val="20"/>
                <w:lang w:val="fr-CA"/>
              </w:rPr>
              <w:t xml:space="preserve"> et autre</w:t>
            </w:r>
          </w:p>
          <w:p w:rsidR="00C1697B" w:rsidRPr="009B199B" w:rsidRDefault="00C1697B" w:rsidP="00C1697B">
            <w:pPr>
              <w:rPr>
                <w:b/>
                <w:sz w:val="20"/>
                <w:szCs w:val="20"/>
                <w:lang w:val="fr-CA"/>
              </w:rPr>
            </w:pPr>
          </w:p>
          <w:p w:rsidR="00C1697B" w:rsidRPr="003C4E56" w:rsidRDefault="00C1697B" w:rsidP="00C1697B">
            <w:pPr>
              <w:rPr>
                <w:b/>
                <w:sz w:val="20"/>
                <w:szCs w:val="20"/>
                <w:lang w:val="fr-CA"/>
              </w:rPr>
            </w:pPr>
            <w:r w:rsidRPr="009B199B">
              <w:rPr>
                <w:b/>
                <w:sz w:val="20"/>
                <w:szCs w:val="20"/>
                <w:lang w:val="fr-CA"/>
              </w:rPr>
              <w:tab/>
            </w:r>
            <w:r w:rsidR="009B199B" w:rsidRPr="003C4E56">
              <w:rPr>
                <w:b/>
                <w:sz w:val="20"/>
                <w:szCs w:val="20"/>
                <w:lang w:val="fr-CA"/>
              </w:rPr>
              <w:t>c</w:t>
            </w:r>
            <w:r w:rsidRPr="003C4E56">
              <w:rPr>
                <w:b/>
                <w:sz w:val="20"/>
                <w:szCs w:val="20"/>
                <w:lang w:val="fr-CA"/>
              </w:rPr>
              <w:t>. (3</w:t>
            </w:r>
            <w:r w:rsidR="009B199B" w:rsidRPr="003C4E56">
              <w:rPr>
                <w:b/>
                <w:sz w:val="20"/>
                <w:szCs w:val="20"/>
                <w:lang w:val="fr-CA"/>
              </w:rPr>
              <w:t>5</w:t>
            </w:r>
            <w:r w:rsidRPr="003C4E56">
              <w:rPr>
                <w:b/>
                <w:sz w:val="20"/>
                <w:szCs w:val="20"/>
                <w:lang w:val="fr-CA"/>
              </w:rPr>
              <w:t>0</w:t>
            </w:r>
            <w:r w:rsidR="009B199B" w:rsidRPr="003C4E56">
              <w:rPr>
                <w:b/>
                <w:sz w:val="20"/>
                <w:szCs w:val="20"/>
                <w:lang w:val="fr-CA"/>
              </w:rPr>
              <w:t>04</w:t>
            </w:r>
            <w:r w:rsidRPr="003C4E56">
              <w:rPr>
                <w:b/>
                <w:sz w:val="20"/>
                <w:szCs w:val="20"/>
                <w:lang w:val="fr-CA"/>
              </w:rPr>
              <w:t>)</w:t>
            </w:r>
          </w:p>
          <w:p w:rsidR="00C1697B" w:rsidRPr="003C4E56" w:rsidRDefault="00C1697B" w:rsidP="00C1697B">
            <w:pPr>
              <w:rPr>
                <w:b/>
                <w:sz w:val="20"/>
                <w:szCs w:val="20"/>
                <w:lang w:val="fr-CA"/>
              </w:rPr>
            </w:pPr>
          </w:p>
          <w:p w:rsidR="00C1697B" w:rsidRPr="009B199B" w:rsidRDefault="009B199B" w:rsidP="00C1697B">
            <w:pPr>
              <w:rPr>
                <w:b/>
                <w:sz w:val="20"/>
                <w:szCs w:val="20"/>
                <w:lang w:val="fr-CA"/>
              </w:rPr>
            </w:pPr>
            <w:r w:rsidRPr="009B199B">
              <w:rPr>
                <w:b/>
                <w:sz w:val="20"/>
                <w:szCs w:val="20"/>
                <w:lang w:val="fr-CA"/>
              </w:rPr>
              <w:t>Laf</w:t>
            </w:r>
            <w:r w:rsidR="00C1697B" w:rsidRPr="009B199B">
              <w:rPr>
                <w:b/>
                <w:sz w:val="20"/>
                <w:szCs w:val="20"/>
                <w:lang w:val="fr-CA"/>
              </w:rPr>
              <w:t>a</w:t>
            </w:r>
            <w:r w:rsidRPr="009B199B">
              <w:rPr>
                <w:b/>
                <w:sz w:val="20"/>
                <w:szCs w:val="20"/>
                <w:lang w:val="fr-CA"/>
              </w:rPr>
              <w:t>rge Ca</w:t>
            </w:r>
            <w:r w:rsidR="00C1697B" w:rsidRPr="009B199B">
              <w:rPr>
                <w:b/>
                <w:sz w:val="20"/>
                <w:szCs w:val="20"/>
                <w:lang w:val="fr-CA"/>
              </w:rPr>
              <w:t>n</w:t>
            </w:r>
            <w:r w:rsidRPr="009B199B">
              <w:rPr>
                <w:b/>
                <w:sz w:val="20"/>
                <w:szCs w:val="20"/>
                <w:lang w:val="fr-CA"/>
              </w:rPr>
              <w:t>ada inc. et autres</w:t>
            </w:r>
            <w:r w:rsidR="00C1697B" w:rsidRPr="009B199B">
              <w:rPr>
                <w:b/>
                <w:sz w:val="20"/>
                <w:szCs w:val="20"/>
                <w:lang w:val="fr-CA"/>
              </w:rPr>
              <w:t xml:space="preserve"> (</w:t>
            </w:r>
            <w:r w:rsidRPr="009B199B">
              <w:rPr>
                <w:b/>
                <w:sz w:val="20"/>
                <w:szCs w:val="20"/>
                <w:lang w:val="fr-CA"/>
              </w:rPr>
              <w:t>Qc</w:t>
            </w:r>
            <w:r w:rsidR="00C1697B" w:rsidRPr="009B199B">
              <w:rPr>
                <w:b/>
                <w:sz w:val="20"/>
                <w:szCs w:val="20"/>
                <w:lang w:val="fr-CA"/>
              </w:rPr>
              <w:t xml:space="preserve">) </w:t>
            </w:r>
          </w:p>
          <w:p w:rsidR="00C1697B" w:rsidRPr="009B199B" w:rsidRDefault="00C1697B" w:rsidP="00C1697B">
            <w:pPr>
              <w:rPr>
                <w:sz w:val="20"/>
                <w:szCs w:val="20"/>
                <w:lang w:val="fr-CA"/>
              </w:rPr>
            </w:pPr>
          </w:p>
          <w:p w:rsidR="00C1697B" w:rsidRPr="00C50A5C" w:rsidRDefault="00C1697B" w:rsidP="00C1697B">
            <w:pPr>
              <w:rPr>
                <w:sz w:val="20"/>
                <w:szCs w:val="20"/>
              </w:rPr>
            </w:pPr>
            <w:r w:rsidRPr="00C50A5C">
              <w:rPr>
                <w:sz w:val="20"/>
                <w:szCs w:val="20"/>
              </w:rPr>
              <w:t>(</w:t>
            </w:r>
            <w:r w:rsidR="009B199B">
              <w:rPr>
                <w:sz w:val="20"/>
                <w:szCs w:val="20"/>
              </w:rPr>
              <w:t>Autorisation</w:t>
            </w:r>
            <w:r w:rsidRPr="00C50A5C">
              <w:rPr>
                <w:sz w:val="20"/>
                <w:szCs w:val="20"/>
              </w:rPr>
              <w:t>)</w:t>
            </w:r>
          </w:p>
          <w:p w:rsidR="00802863" w:rsidRPr="00C50A5C" w:rsidRDefault="00802863" w:rsidP="00697C62">
            <w:pPr>
              <w:rPr>
                <w:sz w:val="20"/>
                <w:szCs w:val="20"/>
              </w:rPr>
            </w:pPr>
          </w:p>
          <w:p w:rsidR="00802863" w:rsidRPr="009B199B" w:rsidRDefault="00BF3B03" w:rsidP="00697C62">
            <w:pPr>
              <w:rPr>
                <w:sz w:val="20"/>
                <w:szCs w:val="20"/>
              </w:rPr>
            </w:pPr>
            <w:r w:rsidRPr="00BF3B03">
              <w:rPr>
                <w:sz w:val="20"/>
                <w:szCs w:val="20"/>
                <w:lang w:val="fr-CA"/>
              </w:rPr>
              <w:pict>
                <v:rect id="_x0000_i1093" style="width:108pt;height:1pt" o:hrpct="0" o:hralign="center" o:hrstd="t" o:hrnoshade="t" o:hr="t" fillcolor="black [3213]" stroked="f"/>
              </w:pict>
            </w:r>
          </w:p>
        </w:tc>
        <w:tc>
          <w:tcPr>
            <w:tcW w:w="1080" w:type="dxa"/>
            <w:shd w:val="clear" w:color="auto" w:fill="auto"/>
          </w:tcPr>
          <w:p w:rsidR="00802863" w:rsidRPr="009B199B" w:rsidRDefault="00802863" w:rsidP="00802863">
            <w:pPr>
              <w:jc w:val="center"/>
              <w:rPr>
                <w:sz w:val="20"/>
                <w:szCs w:val="20"/>
              </w:rPr>
            </w:pPr>
          </w:p>
          <w:p w:rsidR="003B3977" w:rsidRPr="009B199B" w:rsidRDefault="003B3977" w:rsidP="00802863">
            <w:pPr>
              <w:jc w:val="center"/>
              <w:rPr>
                <w:sz w:val="20"/>
                <w:szCs w:val="20"/>
              </w:rPr>
            </w:pPr>
          </w:p>
          <w:p w:rsidR="003B3977" w:rsidRPr="009B199B" w:rsidRDefault="003B3977" w:rsidP="00802863">
            <w:pPr>
              <w:jc w:val="center"/>
              <w:rPr>
                <w:sz w:val="20"/>
                <w:szCs w:val="20"/>
              </w:rPr>
            </w:pPr>
          </w:p>
          <w:p w:rsidR="003B3977" w:rsidRPr="009B199B" w:rsidRDefault="003B3977" w:rsidP="00802863">
            <w:pPr>
              <w:jc w:val="center"/>
              <w:rPr>
                <w:sz w:val="20"/>
                <w:szCs w:val="20"/>
              </w:rPr>
            </w:pPr>
          </w:p>
          <w:p w:rsidR="003B3977" w:rsidRPr="009B199B" w:rsidRDefault="003B3977" w:rsidP="00802863">
            <w:pPr>
              <w:jc w:val="center"/>
              <w:rPr>
                <w:sz w:val="20"/>
                <w:szCs w:val="20"/>
              </w:rPr>
            </w:pPr>
          </w:p>
          <w:p w:rsidR="003B3977" w:rsidRPr="009B199B" w:rsidRDefault="003B3977" w:rsidP="00802863">
            <w:pPr>
              <w:jc w:val="center"/>
              <w:rPr>
                <w:sz w:val="20"/>
                <w:szCs w:val="20"/>
              </w:rPr>
            </w:pPr>
          </w:p>
          <w:p w:rsidR="003B3977" w:rsidRPr="009B199B" w:rsidRDefault="003B3977" w:rsidP="00802863">
            <w:pPr>
              <w:jc w:val="center"/>
              <w:rPr>
                <w:sz w:val="20"/>
                <w:szCs w:val="20"/>
              </w:rPr>
            </w:pPr>
          </w:p>
          <w:p w:rsidR="003B3977" w:rsidRPr="009B199B" w:rsidRDefault="003B3977" w:rsidP="00802863">
            <w:pPr>
              <w:jc w:val="center"/>
              <w:rPr>
                <w:sz w:val="20"/>
                <w:szCs w:val="20"/>
              </w:rPr>
            </w:pPr>
          </w:p>
          <w:p w:rsidR="003B3977" w:rsidRPr="009B199B" w:rsidRDefault="003B3977" w:rsidP="00802863">
            <w:pPr>
              <w:jc w:val="center"/>
              <w:rPr>
                <w:sz w:val="20"/>
                <w:szCs w:val="20"/>
              </w:rPr>
            </w:pPr>
          </w:p>
          <w:p w:rsidR="003B3977" w:rsidRPr="009B199B" w:rsidRDefault="003B3977" w:rsidP="00802863">
            <w:pPr>
              <w:jc w:val="center"/>
              <w:rPr>
                <w:sz w:val="20"/>
                <w:szCs w:val="20"/>
              </w:rPr>
            </w:pPr>
          </w:p>
          <w:p w:rsidR="003B3977" w:rsidRPr="009B199B" w:rsidRDefault="003B3977" w:rsidP="00802863">
            <w:pPr>
              <w:jc w:val="center"/>
              <w:rPr>
                <w:sz w:val="20"/>
                <w:szCs w:val="20"/>
              </w:rPr>
            </w:pPr>
          </w:p>
          <w:p w:rsidR="003B3977" w:rsidRPr="009B199B" w:rsidRDefault="003B3977" w:rsidP="00802863">
            <w:pPr>
              <w:jc w:val="center"/>
              <w:rPr>
                <w:sz w:val="20"/>
                <w:szCs w:val="20"/>
              </w:rPr>
            </w:pPr>
          </w:p>
        </w:tc>
        <w:tc>
          <w:tcPr>
            <w:tcW w:w="4417" w:type="dxa"/>
            <w:shd w:val="clear" w:color="auto" w:fill="auto"/>
          </w:tcPr>
          <w:p w:rsidR="00802863" w:rsidRPr="009B199B" w:rsidRDefault="00802863" w:rsidP="00802863">
            <w:pPr>
              <w:rPr>
                <w:sz w:val="20"/>
                <w:szCs w:val="20"/>
              </w:rPr>
            </w:pPr>
          </w:p>
        </w:tc>
      </w:tr>
    </w:tbl>
    <w:p w:rsidR="00802863" w:rsidRPr="00C50A5C" w:rsidRDefault="00802863" w:rsidP="00802863">
      <w:pPr>
        <w:rPr>
          <w:sz w:val="20"/>
          <w:szCs w:val="20"/>
          <w:lang w:val="fr-CA"/>
        </w:rPr>
      </w:pPr>
    </w:p>
    <w:p w:rsidR="00802863" w:rsidRPr="00C50A5C" w:rsidRDefault="00802863" w:rsidP="00802863">
      <w:pPr>
        <w:rPr>
          <w:sz w:val="20"/>
          <w:szCs w:val="20"/>
        </w:rPr>
      </w:pPr>
    </w:p>
    <w:p w:rsidR="00802863" w:rsidRPr="00C50A5C" w:rsidRDefault="00802863" w:rsidP="00831CA9">
      <w:pPr>
        <w:jc w:val="both"/>
        <w:rPr>
          <w:sz w:val="20"/>
          <w:szCs w:val="20"/>
        </w:rPr>
        <w:sectPr w:rsidR="00802863" w:rsidRPr="00C50A5C" w:rsidSect="00802863">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DC2D1F"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32DB7" w:rsidRPr="00C50A5C" w:rsidRDefault="00B670AC" w:rsidP="00732DB7">
      <w:pPr>
        <w:widowControl w:val="0"/>
        <w:rPr>
          <w:sz w:val="20"/>
          <w:szCs w:val="20"/>
        </w:rPr>
      </w:pPr>
      <w:r>
        <w:rPr>
          <w:sz w:val="20"/>
          <w:szCs w:val="20"/>
        </w:rPr>
        <w:t>06</w:t>
      </w:r>
      <w:r w:rsidR="00732DB7" w:rsidRPr="00C50A5C">
        <w:rPr>
          <w:sz w:val="20"/>
          <w:szCs w:val="20"/>
        </w:rPr>
        <w:t>.</w:t>
      </w:r>
      <w:r>
        <w:rPr>
          <w:sz w:val="20"/>
          <w:szCs w:val="20"/>
        </w:rPr>
        <w:t>11</w:t>
      </w:r>
      <w:r w:rsidR="00732DB7" w:rsidRPr="00C50A5C">
        <w:rPr>
          <w:sz w:val="20"/>
          <w:szCs w:val="20"/>
        </w:rPr>
        <w:t>.201</w:t>
      </w:r>
      <w:r>
        <w:rPr>
          <w:sz w:val="20"/>
          <w:szCs w:val="20"/>
        </w:rPr>
        <w:t>2</w:t>
      </w:r>
    </w:p>
    <w:p w:rsidR="00732DB7" w:rsidRDefault="00732DB7" w:rsidP="00732DB7">
      <w:pPr>
        <w:widowControl w:val="0"/>
        <w:rPr>
          <w:sz w:val="20"/>
          <w:szCs w:val="20"/>
        </w:rPr>
      </w:pPr>
    </w:p>
    <w:p w:rsidR="00D8701C" w:rsidRPr="001637CA" w:rsidRDefault="00D8701C" w:rsidP="00D8701C">
      <w:pPr>
        <w:widowControl w:val="0"/>
        <w:tabs>
          <w:tab w:val="left" w:pos="720"/>
          <w:tab w:val="left" w:pos="1110"/>
          <w:tab w:val="left" w:pos="2851"/>
          <w:tab w:val="left" w:pos="4320"/>
          <w:tab w:val="left" w:pos="10224"/>
          <w:tab w:val="left" w:pos="11376"/>
        </w:tabs>
        <w:ind w:left="1110" w:hanging="1110"/>
        <w:rPr>
          <w:rFonts w:eastAsia="Calibri" w:cs="Times New Roman"/>
          <w:sz w:val="20"/>
          <w:szCs w:val="20"/>
        </w:rPr>
      </w:pPr>
      <w:r w:rsidRPr="001637CA">
        <w:rPr>
          <w:rFonts w:eastAsia="Calibri" w:cs="Times New Roman"/>
          <w:sz w:val="20"/>
          <w:szCs w:val="20"/>
        </w:rPr>
        <w:t xml:space="preserve">Coram: </w:t>
      </w:r>
      <w:r w:rsidRPr="001637CA">
        <w:rPr>
          <w:rFonts w:eastAsia="Calibri" w:cs="Times New Roman"/>
          <w:sz w:val="20"/>
          <w:szCs w:val="20"/>
        </w:rPr>
        <w:tab/>
      </w:r>
      <w:r w:rsidRPr="001637CA">
        <w:rPr>
          <w:rFonts w:eastAsia="Calibri" w:cs="Times New Roman"/>
          <w:sz w:val="20"/>
          <w:szCs w:val="20"/>
          <w:u w:val="single"/>
        </w:rPr>
        <w:t>McLachlin C.J. and LeBel, Abella, Rothstein, Cromwell, Moldaver and Karakatsanis JJ.</w:t>
      </w:r>
    </w:p>
    <w:p w:rsidR="00732DB7" w:rsidRPr="00C50A5C" w:rsidRDefault="00732DB7" w:rsidP="00732DB7">
      <w:pPr>
        <w:widowControl w:val="0"/>
        <w:rPr>
          <w:b/>
          <w:sz w:val="20"/>
          <w:szCs w:val="20"/>
        </w:rPr>
      </w:pPr>
    </w:p>
    <w:tbl>
      <w:tblPr>
        <w:tblW w:w="0" w:type="auto"/>
        <w:tblLayout w:type="fixed"/>
        <w:tblCellMar>
          <w:left w:w="0" w:type="dxa"/>
          <w:right w:w="0" w:type="dxa"/>
        </w:tblCellMar>
        <w:tblLook w:val="0000"/>
      </w:tblPr>
      <w:tblGrid>
        <w:gridCol w:w="4380"/>
        <w:gridCol w:w="720"/>
        <w:gridCol w:w="4380"/>
      </w:tblGrid>
      <w:tr w:rsidR="00732DB7" w:rsidRPr="00C50A5C" w:rsidTr="00697C62">
        <w:tc>
          <w:tcPr>
            <w:tcW w:w="4380" w:type="dxa"/>
            <w:tcMar>
              <w:left w:w="0" w:type="dxa"/>
              <w:right w:w="0" w:type="dxa"/>
            </w:tcMar>
          </w:tcPr>
          <w:p w:rsidR="00732DB7" w:rsidRPr="00C50A5C" w:rsidRDefault="00B670AC" w:rsidP="00C1697B">
            <w:pPr>
              <w:widowControl w:val="0"/>
              <w:jc w:val="both"/>
              <w:rPr>
                <w:b/>
                <w:sz w:val="20"/>
                <w:szCs w:val="20"/>
              </w:rPr>
            </w:pPr>
            <w:r>
              <w:rPr>
                <w:b/>
                <w:sz w:val="20"/>
                <w:szCs w:val="20"/>
              </w:rPr>
              <w:t>Attorney General of Canada</w:t>
            </w:r>
          </w:p>
          <w:p w:rsidR="00732DB7" w:rsidRPr="00C50A5C" w:rsidRDefault="00732DB7" w:rsidP="00C1697B">
            <w:pPr>
              <w:widowControl w:val="0"/>
              <w:jc w:val="both"/>
              <w:rPr>
                <w:b/>
                <w:sz w:val="20"/>
                <w:szCs w:val="20"/>
              </w:rPr>
            </w:pPr>
          </w:p>
          <w:p w:rsidR="00732DB7" w:rsidRPr="00C50A5C" w:rsidRDefault="00732DB7" w:rsidP="00C1697B">
            <w:pPr>
              <w:widowControl w:val="0"/>
              <w:tabs>
                <w:tab w:val="left" w:pos="736"/>
              </w:tabs>
              <w:jc w:val="both"/>
              <w:rPr>
                <w:b/>
                <w:sz w:val="20"/>
                <w:szCs w:val="20"/>
              </w:rPr>
            </w:pPr>
            <w:r w:rsidRPr="00C50A5C">
              <w:rPr>
                <w:b/>
                <w:sz w:val="20"/>
                <w:szCs w:val="20"/>
              </w:rPr>
              <w:tab/>
              <w:t>v. (3</w:t>
            </w:r>
            <w:r w:rsidR="00B670AC">
              <w:rPr>
                <w:b/>
                <w:sz w:val="20"/>
                <w:szCs w:val="20"/>
              </w:rPr>
              <w:t>4147</w:t>
            </w:r>
            <w:r w:rsidRPr="00C50A5C">
              <w:rPr>
                <w:b/>
                <w:sz w:val="20"/>
                <w:szCs w:val="20"/>
              </w:rPr>
              <w:t>)</w:t>
            </w:r>
          </w:p>
          <w:p w:rsidR="00732DB7" w:rsidRPr="00C50A5C" w:rsidRDefault="00732DB7" w:rsidP="00C1697B">
            <w:pPr>
              <w:widowControl w:val="0"/>
              <w:jc w:val="both"/>
              <w:rPr>
                <w:b/>
                <w:sz w:val="20"/>
                <w:szCs w:val="20"/>
              </w:rPr>
            </w:pPr>
          </w:p>
          <w:p w:rsidR="00732DB7" w:rsidRPr="00B670AC" w:rsidRDefault="00B670AC" w:rsidP="00B670AC">
            <w:pPr>
              <w:widowControl w:val="0"/>
              <w:jc w:val="both"/>
              <w:rPr>
                <w:sz w:val="20"/>
                <w:szCs w:val="20"/>
              </w:rPr>
            </w:pPr>
            <w:r>
              <w:rPr>
                <w:b/>
                <w:sz w:val="20"/>
                <w:szCs w:val="20"/>
              </w:rPr>
              <w:t xml:space="preserve">Robert Kane </w:t>
            </w:r>
            <w:r w:rsidR="00732DB7" w:rsidRPr="00C50A5C">
              <w:rPr>
                <w:b/>
                <w:sz w:val="20"/>
                <w:szCs w:val="20"/>
              </w:rPr>
              <w:t>(</w:t>
            </w:r>
            <w:r>
              <w:rPr>
                <w:b/>
                <w:sz w:val="20"/>
                <w:szCs w:val="20"/>
              </w:rPr>
              <w:t>F</w:t>
            </w:r>
            <w:r w:rsidR="00732DB7" w:rsidRPr="00C50A5C">
              <w:rPr>
                <w:b/>
                <w:sz w:val="20"/>
                <w:szCs w:val="20"/>
              </w:rPr>
              <w:t>.C.) (Civil) (By Leave)</w:t>
            </w:r>
          </w:p>
        </w:tc>
        <w:tc>
          <w:tcPr>
            <w:tcW w:w="720" w:type="dxa"/>
            <w:tcMar>
              <w:left w:w="0" w:type="dxa"/>
              <w:right w:w="0" w:type="dxa"/>
            </w:tcMar>
          </w:tcPr>
          <w:p w:rsidR="00732DB7" w:rsidRPr="00B670AC" w:rsidRDefault="00732DB7" w:rsidP="00732DB7">
            <w:pPr>
              <w:widowControl w:val="0"/>
              <w:jc w:val="center"/>
              <w:rPr>
                <w:sz w:val="20"/>
                <w:szCs w:val="20"/>
              </w:rPr>
            </w:pPr>
          </w:p>
        </w:tc>
        <w:tc>
          <w:tcPr>
            <w:tcW w:w="4380" w:type="dxa"/>
            <w:tcMar>
              <w:left w:w="0" w:type="dxa"/>
              <w:right w:w="0" w:type="dxa"/>
            </w:tcMar>
          </w:tcPr>
          <w:p w:rsidR="00D8701C" w:rsidRPr="00601BB3" w:rsidRDefault="00D8701C" w:rsidP="00D8701C">
            <w:pPr>
              <w:tabs>
                <w:tab w:val="left" w:pos="-2970"/>
              </w:tabs>
              <w:jc w:val="both"/>
              <w:rPr>
                <w:sz w:val="20"/>
                <w:szCs w:val="20"/>
                <w:lang w:val="en-US"/>
              </w:rPr>
            </w:pPr>
            <w:r w:rsidRPr="00601BB3">
              <w:rPr>
                <w:sz w:val="20"/>
                <w:szCs w:val="20"/>
                <w:lang w:val="en-US"/>
              </w:rPr>
              <w:t>Christopher Rupar</w:t>
            </w:r>
            <w:r>
              <w:rPr>
                <w:sz w:val="20"/>
                <w:szCs w:val="20"/>
                <w:lang w:val="en-US"/>
              </w:rPr>
              <w:t xml:space="preserve"> and </w:t>
            </w:r>
            <w:r w:rsidRPr="00601BB3">
              <w:rPr>
                <w:sz w:val="20"/>
                <w:szCs w:val="20"/>
                <w:lang w:val="en-US"/>
              </w:rPr>
              <w:t>Fran</w:t>
            </w:r>
            <w:r w:rsidRPr="00601BB3">
              <w:rPr>
                <w:sz w:val="20"/>
                <w:szCs w:val="20"/>
              </w:rPr>
              <w:t>çois Joyal f</w:t>
            </w:r>
            <w:r w:rsidRPr="00601BB3">
              <w:rPr>
                <w:sz w:val="20"/>
                <w:szCs w:val="20"/>
                <w:lang w:val="en-US"/>
              </w:rPr>
              <w:t xml:space="preserve">or the </w:t>
            </w:r>
            <w:r>
              <w:rPr>
                <w:sz w:val="20"/>
                <w:szCs w:val="20"/>
                <w:lang w:val="en-US"/>
              </w:rPr>
              <w:t>a</w:t>
            </w:r>
            <w:r w:rsidRPr="00601BB3">
              <w:rPr>
                <w:sz w:val="20"/>
                <w:szCs w:val="20"/>
                <w:lang w:val="en-US"/>
              </w:rPr>
              <w:t>ppellant.</w:t>
            </w:r>
          </w:p>
          <w:p w:rsidR="00D8701C" w:rsidRPr="00601BB3" w:rsidRDefault="00D8701C" w:rsidP="00D8701C">
            <w:pPr>
              <w:tabs>
                <w:tab w:val="left" w:pos="-2970"/>
              </w:tabs>
              <w:jc w:val="both"/>
              <w:rPr>
                <w:sz w:val="20"/>
                <w:szCs w:val="20"/>
              </w:rPr>
            </w:pPr>
          </w:p>
          <w:p w:rsidR="00732DB7" w:rsidRPr="00C50A5C" w:rsidRDefault="00D8701C" w:rsidP="00D8701C">
            <w:pPr>
              <w:widowControl w:val="0"/>
              <w:jc w:val="both"/>
              <w:rPr>
                <w:sz w:val="20"/>
                <w:szCs w:val="20"/>
              </w:rPr>
            </w:pPr>
            <w:r w:rsidRPr="00601BB3">
              <w:rPr>
                <w:sz w:val="20"/>
                <w:szCs w:val="20"/>
                <w:lang w:val="en-US"/>
              </w:rPr>
              <w:t>Andrew Raven</w:t>
            </w:r>
            <w:r>
              <w:rPr>
                <w:sz w:val="20"/>
                <w:szCs w:val="20"/>
                <w:lang w:val="en-US"/>
              </w:rPr>
              <w:t xml:space="preserve"> and </w:t>
            </w:r>
            <w:r w:rsidRPr="00601BB3">
              <w:rPr>
                <w:sz w:val="20"/>
                <w:szCs w:val="20"/>
                <w:lang w:val="en-US"/>
              </w:rPr>
              <w:t>Andrew A</w:t>
            </w:r>
            <w:r w:rsidR="00AF31B3">
              <w:rPr>
                <w:sz w:val="20"/>
                <w:szCs w:val="20"/>
                <w:lang w:val="en-US"/>
              </w:rPr>
              <w:t>s</w:t>
            </w:r>
            <w:r w:rsidRPr="00601BB3">
              <w:rPr>
                <w:sz w:val="20"/>
                <w:szCs w:val="20"/>
                <w:lang w:val="en-US"/>
              </w:rPr>
              <w:t>tritis</w:t>
            </w:r>
            <w:r>
              <w:rPr>
                <w:sz w:val="20"/>
                <w:szCs w:val="20"/>
                <w:lang w:val="en-US"/>
              </w:rPr>
              <w:t xml:space="preserve"> f</w:t>
            </w:r>
            <w:r w:rsidRPr="00601BB3">
              <w:rPr>
                <w:sz w:val="20"/>
                <w:szCs w:val="20"/>
                <w:lang w:val="en-US"/>
              </w:rPr>
              <w:t xml:space="preserve">or the </w:t>
            </w:r>
            <w:r>
              <w:rPr>
                <w:sz w:val="20"/>
                <w:szCs w:val="20"/>
                <w:lang w:val="en-US"/>
              </w:rPr>
              <w:t>r</w:t>
            </w:r>
            <w:r w:rsidRPr="00601BB3">
              <w:rPr>
                <w:sz w:val="20"/>
                <w:szCs w:val="20"/>
                <w:lang w:val="en-US"/>
              </w:rPr>
              <w:t>espondent</w:t>
            </w:r>
            <w:r>
              <w:rPr>
                <w:sz w:val="20"/>
                <w:szCs w:val="20"/>
                <w:lang w:val="en-US"/>
              </w:rPr>
              <w:t>.</w:t>
            </w:r>
          </w:p>
        </w:tc>
      </w:tr>
    </w:tbl>
    <w:p w:rsidR="00C1697B" w:rsidRDefault="00C1697B" w:rsidP="00C1697B">
      <w:pPr>
        <w:widowControl w:val="0"/>
      </w:pPr>
    </w:p>
    <w:p w:rsidR="00C1697B" w:rsidRPr="0085476B" w:rsidRDefault="00C1697B" w:rsidP="00C1697B">
      <w:pPr>
        <w:widowControl w:val="0"/>
        <w:rPr>
          <w:sz w:val="20"/>
          <w:szCs w:val="20"/>
        </w:rPr>
      </w:pPr>
      <w:r w:rsidRPr="0085476B">
        <w:rPr>
          <w:b/>
          <w:sz w:val="20"/>
          <w:szCs w:val="20"/>
        </w:rPr>
        <w:t xml:space="preserve">RESERVED / </w:t>
      </w:r>
      <w:r w:rsidRPr="0085476B">
        <w:rPr>
          <w:b/>
          <w:sz w:val="20"/>
          <w:szCs w:val="20"/>
          <w:lang w:val="fr-CA"/>
        </w:rPr>
        <w:t>EN DÉLIBÉRÉ</w:t>
      </w:r>
    </w:p>
    <w:p w:rsidR="00C1697B" w:rsidRDefault="00C1697B"/>
    <w:tbl>
      <w:tblPr>
        <w:tblW w:w="0" w:type="auto"/>
        <w:tblLayout w:type="fixed"/>
        <w:tblCellMar>
          <w:left w:w="0" w:type="dxa"/>
          <w:right w:w="0" w:type="dxa"/>
        </w:tblCellMar>
        <w:tblLook w:val="0000"/>
      </w:tblPr>
      <w:tblGrid>
        <w:gridCol w:w="4380"/>
        <w:gridCol w:w="720"/>
        <w:gridCol w:w="4380"/>
      </w:tblGrid>
      <w:tr w:rsidR="00C1697B" w:rsidRPr="00DC2D1F" w:rsidTr="00C1697B">
        <w:tc>
          <w:tcPr>
            <w:tcW w:w="4380" w:type="dxa"/>
            <w:tcMar>
              <w:left w:w="0" w:type="dxa"/>
              <w:right w:w="0" w:type="dxa"/>
            </w:tcMar>
          </w:tcPr>
          <w:p w:rsidR="00C1697B" w:rsidRPr="00CC4D84" w:rsidRDefault="00C1697B" w:rsidP="00C1697B">
            <w:pPr>
              <w:widowControl w:val="0"/>
              <w:jc w:val="both"/>
              <w:rPr>
                <w:b/>
                <w:sz w:val="20"/>
                <w:szCs w:val="20"/>
                <w:u w:val="single"/>
              </w:rPr>
            </w:pPr>
            <w:r w:rsidRPr="00CC4D84">
              <w:rPr>
                <w:b/>
                <w:sz w:val="20"/>
                <w:szCs w:val="20"/>
                <w:u w:val="single"/>
              </w:rPr>
              <w:t>Nature of the case:</w:t>
            </w:r>
          </w:p>
          <w:p w:rsidR="00C1697B" w:rsidRPr="00C1697B" w:rsidRDefault="00C1697B" w:rsidP="00C1697B">
            <w:pPr>
              <w:widowControl w:val="0"/>
              <w:jc w:val="both"/>
              <w:rPr>
                <w:b/>
                <w:sz w:val="20"/>
                <w:szCs w:val="20"/>
              </w:rPr>
            </w:pPr>
          </w:p>
          <w:p w:rsidR="00C1697B" w:rsidRPr="00C1697B" w:rsidRDefault="000851FB" w:rsidP="000851FB">
            <w:pPr>
              <w:widowControl w:val="0"/>
              <w:jc w:val="both"/>
              <w:rPr>
                <w:b/>
                <w:sz w:val="20"/>
                <w:szCs w:val="20"/>
              </w:rPr>
            </w:pPr>
            <w:r w:rsidRPr="00E00139">
              <w:rPr>
                <w:sz w:val="20"/>
                <w:szCs w:val="20"/>
              </w:rPr>
              <w:t xml:space="preserve">Administrative law </w:t>
            </w:r>
            <w:r w:rsidRPr="00E00139">
              <w:rPr>
                <w:sz w:val="20"/>
                <w:szCs w:val="20"/>
              </w:rPr>
              <w:noBreakHyphen/>
              <w:t xml:space="preserve"> Standard of review </w:t>
            </w:r>
            <w:r w:rsidRPr="00E00139">
              <w:rPr>
                <w:sz w:val="20"/>
                <w:szCs w:val="20"/>
              </w:rPr>
              <w:noBreakHyphen/>
              <w:t xml:space="preserve"> Whether the Court of Appeal failed to provide proper deference to the Tribunal’s decision that there was no abuse of authority </w:t>
            </w:r>
            <w:r w:rsidRPr="00E00139">
              <w:rPr>
                <w:sz w:val="20"/>
                <w:szCs w:val="20"/>
              </w:rPr>
              <w:noBreakHyphen/>
              <w:t xml:space="preserve"> Whether the Court of Appeal erred in broadly interpreting and applying the term “abuse of authority” as found in para. 77(1</w:t>
            </w:r>
            <w:proofErr w:type="gramStart"/>
            <w:r w:rsidRPr="00E00139">
              <w:rPr>
                <w:sz w:val="20"/>
                <w:szCs w:val="20"/>
              </w:rPr>
              <w:t>)(</w:t>
            </w:r>
            <w:proofErr w:type="gramEnd"/>
            <w:r w:rsidRPr="00E00139">
              <w:rPr>
                <w:sz w:val="20"/>
                <w:szCs w:val="20"/>
              </w:rPr>
              <w:t xml:space="preserve">b) of the </w:t>
            </w:r>
            <w:r w:rsidRPr="00E00139">
              <w:rPr>
                <w:i/>
                <w:sz w:val="20"/>
                <w:szCs w:val="20"/>
              </w:rPr>
              <w:t>Public Service Employment Act</w:t>
            </w:r>
            <w:r w:rsidRPr="00E00139">
              <w:rPr>
                <w:sz w:val="20"/>
                <w:szCs w:val="20"/>
              </w:rPr>
              <w:t xml:space="preserve">. </w:t>
            </w:r>
          </w:p>
        </w:tc>
        <w:tc>
          <w:tcPr>
            <w:tcW w:w="720" w:type="dxa"/>
            <w:tcMar>
              <w:left w:w="0" w:type="dxa"/>
              <w:right w:w="0" w:type="dxa"/>
            </w:tcMar>
          </w:tcPr>
          <w:p w:rsidR="00C1697B" w:rsidRPr="00C1697B" w:rsidRDefault="00C1697B" w:rsidP="00C1697B">
            <w:pPr>
              <w:widowControl w:val="0"/>
              <w:jc w:val="center"/>
              <w:rPr>
                <w:sz w:val="20"/>
                <w:szCs w:val="20"/>
              </w:rPr>
            </w:pPr>
          </w:p>
        </w:tc>
        <w:tc>
          <w:tcPr>
            <w:tcW w:w="4380" w:type="dxa"/>
            <w:tcMar>
              <w:left w:w="0" w:type="dxa"/>
              <w:right w:w="0" w:type="dxa"/>
            </w:tcMar>
          </w:tcPr>
          <w:p w:rsidR="00C1697B" w:rsidRPr="00CC4D84" w:rsidRDefault="00C1697B" w:rsidP="00C1697B">
            <w:pPr>
              <w:widowControl w:val="0"/>
              <w:jc w:val="both"/>
              <w:rPr>
                <w:b/>
                <w:sz w:val="20"/>
                <w:szCs w:val="20"/>
                <w:u w:val="single"/>
                <w:lang w:val="fr-CA"/>
              </w:rPr>
            </w:pPr>
            <w:r w:rsidRPr="00CC4D84">
              <w:rPr>
                <w:b/>
                <w:sz w:val="20"/>
                <w:szCs w:val="20"/>
                <w:u w:val="single"/>
                <w:lang w:val="fr-CA"/>
              </w:rPr>
              <w:t>Nature de la cause :</w:t>
            </w:r>
          </w:p>
          <w:p w:rsidR="00C1697B" w:rsidRPr="00C1697B" w:rsidRDefault="00C1697B" w:rsidP="00C1697B">
            <w:pPr>
              <w:widowControl w:val="0"/>
              <w:jc w:val="both"/>
              <w:rPr>
                <w:sz w:val="20"/>
                <w:szCs w:val="20"/>
                <w:lang w:val="fr-CA"/>
              </w:rPr>
            </w:pPr>
          </w:p>
          <w:p w:rsidR="00C1697B" w:rsidRPr="00C1697B" w:rsidRDefault="000851FB" w:rsidP="000851FB">
            <w:pPr>
              <w:widowControl w:val="0"/>
              <w:jc w:val="both"/>
              <w:rPr>
                <w:sz w:val="20"/>
                <w:szCs w:val="20"/>
                <w:lang w:val="fr-CA"/>
              </w:rPr>
            </w:pPr>
            <w:r w:rsidRPr="00E934C0">
              <w:rPr>
                <w:sz w:val="20"/>
                <w:szCs w:val="20"/>
                <w:lang w:val="fr-CA"/>
              </w:rPr>
              <w:t xml:space="preserve">Droit administratif </w:t>
            </w:r>
            <w:r w:rsidRPr="00E934C0">
              <w:rPr>
                <w:sz w:val="20"/>
                <w:szCs w:val="20"/>
                <w:lang w:val="fr-CA"/>
              </w:rPr>
              <w:noBreakHyphen/>
              <w:t xml:space="preserve"> Norme de contrôle </w:t>
            </w:r>
            <w:r w:rsidRPr="00E934C0">
              <w:rPr>
                <w:sz w:val="20"/>
                <w:szCs w:val="20"/>
                <w:lang w:val="fr-CA"/>
              </w:rPr>
              <w:noBreakHyphen/>
              <w:t xml:space="preserve"> La Cour d’appel a</w:t>
            </w:r>
            <w:r w:rsidRPr="00E934C0">
              <w:rPr>
                <w:sz w:val="20"/>
                <w:szCs w:val="20"/>
                <w:lang w:val="fr-CA"/>
              </w:rPr>
              <w:noBreakHyphen/>
              <w:t>t</w:t>
            </w:r>
            <w:r w:rsidRPr="00E934C0">
              <w:rPr>
                <w:sz w:val="20"/>
                <w:szCs w:val="20"/>
                <w:lang w:val="fr-CA"/>
              </w:rPr>
              <w:noBreakHyphen/>
              <w:t xml:space="preserve">elle omis de faire preuve de déférence à l’égard de la décision du Tribunal selon laquelle il n’y avait pas eu d’abus de pouvoir? </w:t>
            </w:r>
            <w:r w:rsidRPr="00E934C0">
              <w:rPr>
                <w:sz w:val="20"/>
                <w:szCs w:val="20"/>
                <w:lang w:val="fr-CA"/>
              </w:rPr>
              <w:noBreakHyphen/>
              <w:t xml:space="preserve"> La Cour d’appel a</w:t>
            </w:r>
            <w:r w:rsidRPr="00E934C0">
              <w:rPr>
                <w:sz w:val="20"/>
                <w:szCs w:val="20"/>
                <w:lang w:val="fr-CA"/>
              </w:rPr>
              <w:noBreakHyphen/>
              <w:t>t</w:t>
            </w:r>
            <w:r w:rsidRPr="00E934C0">
              <w:rPr>
                <w:sz w:val="20"/>
                <w:szCs w:val="20"/>
                <w:lang w:val="fr-CA"/>
              </w:rPr>
              <w:noBreakHyphen/>
              <w:t xml:space="preserve">elle commis une erreur en interprétant et en appliquant libéralement l’expression « abus de pouvoir » prévue à l’al. 77(1)b) de la </w:t>
            </w:r>
            <w:r w:rsidRPr="00E934C0">
              <w:rPr>
                <w:i/>
                <w:sz w:val="20"/>
                <w:szCs w:val="20"/>
                <w:lang w:val="fr-CA"/>
              </w:rPr>
              <w:t>Loi sur l’emploi dans la fonction publique</w:t>
            </w:r>
            <w:r w:rsidRPr="00E934C0">
              <w:rPr>
                <w:sz w:val="20"/>
                <w:szCs w:val="20"/>
                <w:lang w:val="fr-CA"/>
              </w:rPr>
              <w:t xml:space="preserve">? </w:t>
            </w:r>
          </w:p>
        </w:tc>
      </w:tr>
    </w:tbl>
    <w:p w:rsidR="00732DB7" w:rsidRDefault="00732DB7" w:rsidP="00732DB7">
      <w:pPr>
        <w:widowControl w:val="0"/>
        <w:rPr>
          <w:sz w:val="20"/>
          <w:szCs w:val="20"/>
          <w:lang w:val="fr-CA"/>
        </w:rPr>
      </w:pPr>
    </w:p>
    <w:p w:rsidR="002A27D1" w:rsidRDefault="00BF3B03" w:rsidP="002A27D1">
      <w:pPr>
        <w:widowControl w:val="0"/>
        <w:rPr>
          <w:sz w:val="20"/>
          <w:szCs w:val="20"/>
        </w:rPr>
      </w:pPr>
      <w:r w:rsidRPr="00BF3B03">
        <w:rPr>
          <w:sz w:val="20"/>
          <w:szCs w:val="20"/>
          <w:lang w:val="fr-CA"/>
        </w:rPr>
        <w:pict>
          <v:rect id="_x0000_i1096" style="width:2in;height:1pt" o:hrpct="0" o:hralign="center" o:hrstd="t" o:hrnoshade="t" o:hr="t" fillcolor="black [3213]" stroked="f"/>
        </w:pict>
      </w:r>
    </w:p>
    <w:p w:rsidR="002A27D1" w:rsidRDefault="002A27D1" w:rsidP="002A27D1">
      <w:pPr>
        <w:widowControl w:val="0"/>
        <w:rPr>
          <w:sz w:val="20"/>
          <w:szCs w:val="20"/>
        </w:rPr>
      </w:pPr>
    </w:p>
    <w:p w:rsidR="00B670AC" w:rsidRPr="00C50A5C" w:rsidRDefault="00B670AC" w:rsidP="00B670AC">
      <w:pPr>
        <w:widowControl w:val="0"/>
        <w:rPr>
          <w:sz w:val="20"/>
          <w:szCs w:val="20"/>
        </w:rPr>
      </w:pPr>
      <w:r>
        <w:rPr>
          <w:sz w:val="20"/>
          <w:szCs w:val="20"/>
        </w:rPr>
        <w:t>07</w:t>
      </w:r>
      <w:r w:rsidRPr="00C50A5C">
        <w:rPr>
          <w:sz w:val="20"/>
          <w:szCs w:val="20"/>
        </w:rPr>
        <w:t>.</w:t>
      </w:r>
      <w:r>
        <w:rPr>
          <w:sz w:val="20"/>
          <w:szCs w:val="20"/>
        </w:rPr>
        <w:t>11</w:t>
      </w:r>
      <w:r w:rsidRPr="00C50A5C">
        <w:rPr>
          <w:sz w:val="20"/>
          <w:szCs w:val="20"/>
        </w:rPr>
        <w:t>.201</w:t>
      </w:r>
      <w:r>
        <w:rPr>
          <w:sz w:val="20"/>
          <w:szCs w:val="20"/>
        </w:rPr>
        <w:t>2</w:t>
      </w:r>
    </w:p>
    <w:p w:rsidR="00B670AC" w:rsidRDefault="00B670AC" w:rsidP="00B670AC">
      <w:pPr>
        <w:widowControl w:val="0"/>
        <w:rPr>
          <w:sz w:val="20"/>
          <w:szCs w:val="20"/>
        </w:rPr>
      </w:pPr>
    </w:p>
    <w:p w:rsidR="00D8701C" w:rsidRPr="00B0645D" w:rsidRDefault="00D8701C" w:rsidP="00D8701C">
      <w:pPr>
        <w:widowControl w:val="0"/>
        <w:tabs>
          <w:tab w:val="left" w:pos="720"/>
          <w:tab w:val="left" w:pos="1110"/>
          <w:tab w:val="left" w:pos="2851"/>
          <w:tab w:val="left" w:pos="4320"/>
          <w:tab w:val="left" w:pos="10224"/>
          <w:tab w:val="left" w:pos="11376"/>
        </w:tabs>
        <w:ind w:left="1110" w:hanging="1110"/>
        <w:rPr>
          <w:rFonts w:eastAsia="Calibri" w:cs="Times New Roman"/>
          <w:sz w:val="20"/>
          <w:szCs w:val="20"/>
        </w:rPr>
      </w:pPr>
      <w:r w:rsidRPr="00B0645D">
        <w:rPr>
          <w:rFonts w:eastAsia="Calibri" w:cs="Times New Roman"/>
          <w:sz w:val="20"/>
          <w:szCs w:val="20"/>
        </w:rPr>
        <w:t xml:space="preserve">Coram: </w:t>
      </w:r>
      <w:r w:rsidRPr="00B0645D">
        <w:rPr>
          <w:rFonts w:eastAsia="Calibri" w:cs="Times New Roman"/>
          <w:sz w:val="20"/>
          <w:szCs w:val="20"/>
        </w:rPr>
        <w:tab/>
      </w:r>
      <w:r w:rsidRPr="00B0645D">
        <w:rPr>
          <w:rFonts w:eastAsia="Calibri" w:cs="Times New Roman"/>
          <w:sz w:val="20"/>
          <w:szCs w:val="20"/>
          <w:u w:val="single"/>
        </w:rPr>
        <w:t>McLachlin C.J. and LeBel, Fish, Abella, Rothstein, Cromwell, Moldaver, Karakatsanis and Wagner JJ.</w:t>
      </w:r>
    </w:p>
    <w:p w:rsidR="00B670AC" w:rsidRPr="00C50A5C" w:rsidRDefault="00B670AC" w:rsidP="00B670AC">
      <w:pPr>
        <w:widowControl w:val="0"/>
        <w:rPr>
          <w:b/>
          <w:sz w:val="20"/>
          <w:szCs w:val="20"/>
        </w:rPr>
      </w:pPr>
    </w:p>
    <w:tbl>
      <w:tblPr>
        <w:tblW w:w="0" w:type="auto"/>
        <w:tblLayout w:type="fixed"/>
        <w:tblCellMar>
          <w:left w:w="0" w:type="dxa"/>
          <w:right w:w="0" w:type="dxa"/>
        </w:tblCellMar>
        <w:tblLook w:val="0000"/>
      </w:tblPr>
      <w:tblGrid>
        <w:gridCol w:w="4380"/>
        <w:gridCol w:w="720"/>
        <w:gridCol w:w="4380"/>
      </w:tblGrid>
      <w:tr w:rsidR="00B670AC" w:rsidRPr="00C50A5C" w:rsidTr="00B670AC">
        <w:tc>
          <w:tcPr>
            <w:tcW w:w="4380" w:type="dxa"/>
            <w:tcMar>
              <w:left w:w="0" w:type="dxa"/>
              <w:right w:w="0" w:type="dxa"/>
            </w:tcMar>
          </w:tcPr>
          <w:p w:rsidR="00B670AC" w:rsidRPr="00C50A5C" w:rsidRDefault="00B670AC" w:rsidP="00B670AC">
            <w:pPr>
              <w:widowControl w:val="0"/>
              <w:jc w:val="both"/>
              <w:rPr>
                <w:b/>
                <w:sz w:val="20"/>
                <w:szCs w:val="20"/>
              </w:rPr>
            </w:pPr>
            <w:r>
              <w:rPr>
                <w:b/>
                <w:sz w:val="20"/>
                <w:szCs w:val="20"/>
              </w:rPr>
              <w:t>Her Majesty the Queen</w:t>
            </w:r>
          </w:p>
          <w:p w:rsidR="00B670AC" w:rsidRPr="00C50A5C" w:rsidRDefault="00B670AC" w:rsidP="00B670AC">
            <w:pPr>
              <w:widowControl w:val="0"/>
              <w:jc w:val="both"/>
              <w:rPr>
                <w:b/>
                <w:sz w:val="20"/>
                <w:szCs w:val="20"/>
              </w:rPr>
            </w:pPr>
          </w:p>
          <w:p w:rsidR="00B670AC" w:rsidRPr="00C50A5C" w:rsidRDefault="00B670AC" w:rsidP="00B670AC">
            <w:pPr>
              <w:widowControl w:val="0"/>
              <w:tabs>
                <w:tab w:val="left" w:pos="736"/>
              </w:tabs>
              <w:jc w:val="both"/>
              <w:rPr>
                <w:b/>
                <w:sz w:val="20"/>
                <w:szCs w:val="20"/>
              </w:rPr>
            </w:pPr>
            <w:r w:rsidRPr="00C50A5C">
              <w:rPr>
                <w:b/>
                <w:sz w:val="20"/>
                <w:szCs w:val="20"/>
              </w:rPr>
              <w:tab/>
              <w:t>v. (3</w:t>
            </w:r>
            <w:r>
              <w:rPr>
                <w:b/>
                <w:sz w:val="20"/>
                <w:szCs w:val="20"/>
              </w:rPr>
              <w:t>4754</w:t>
            </w:r>
            <w:r w:rsidRPr="00C50A5C">
              <w:rPr>
                <w:b/>
                <w:sz w:val="20"/>
                <w:szCs w:val="20"/>
              </w:rPr>
              <w:t>)</w:t>
            </w:r>
          </w:p>
          <w:p w:rsidR="00B670AC" w:rsidRPr="00C50A5C" w:rsidRDefault="00B670AC" w:rsidP="00B670AC">
            <w:pPr>
              <w:widowControl w:val="0"/>
              <w:jc w:val="both"/>
              <w:rPr>
                <w:b/>
                <w:sz w:val="20"/>
                <w:szCs w:val="20"/>
              </w:rPr>
            </w:pPr>
          </w:p>
          <w:p w:rsidR="00516FD5" w:rsidRDefault="00B670AC" w:rsidP="00516FD5">
            <w:pPr>
              <w:widowControl w:val="0"/>
              <w:jc w:val="both"/>
              <w:rPr>
                <w:b/>
                <w:sz w:val="20"/>
                <w:szCs w:val="20"/>
              </w:rPr>
            </w:pPr>
            <w:r>
              <w:rPr>
                <w:b/>
                <w:sz w:val="20"/>
                <w:szCs w:val="20"/>
              </w:rPr>
              <w:t xml:space="preserve">Christopher Baldree </w:t>
            </w:r>
            <w:r w:rsidRPr="00C50A5C">
              <w:rPr>
                <w:b/>
                <w:sz w:val="20"/>
                <w:szCs w:val="20"/>
              </w:rPr>
              <w:t>(</w:t>
            </w:r>
            <w:r w:rsidR="00516FD5">
              <w:rPr>
                <w:b/>
                <w:sz w:val="20"/>
                <w:szCs w:val="20"/>
              </w:rPr>
              <w:t>Ont</w:t>
            </w:r>
            <w:r w:rsidRPr="00C50A5C">
              <w:rPr>
                <w:b/>
                <w:sz w:val="20"/>
                <w:szCs w:val="20"/>
              </w:rPr>
              <w:t>.) (</w:t>
            </w:r>
            <w:r w:rsidR="00516FD5">
              <w:rPr>
                <w:b/>
                <w:sz w:val="20"/>
                <w:szCs w:val="20"/>
              </w:rPr>
              <w:t>Crim</w:t>
            </w:r>
            <w:r w:rsidRPr="00C50A5C">
              <w:rPr>
                <w:b/>
                <w:sz w:val="20"/>
                <w:szCs w:val="20"/>
              </w:rPr>
              <w:t>i</w:t>
            </w:r>
            <w:r w:rsidR="00516FD5">
              <w:rPr>
                <w:b/>
                <w:sz w:val="20"/>
                <w:szCs w:val="20"/>
              </w:rPr>
              <w:t>na</w:t>
            </w:r>
            <w:r w:rsidRPr="00C50A5C">
              <w:rPr>
                <w:b/>
                <w:sz w:val="20"/>
                <w:szCs w:val="20"/>
              </w:rPr>
              <w:t>l)</w:t>
            </w:r>
          </w:p>
          <w:p w:rsidR="00B670AC" w:rsidRPr="00B670AC" w:rsidRDefault="00B670AC" w:rsidP="00516FD5">
            <w:pPr>
              <w:widowControl w:val="0"/>
              <w:jc w:val="both"/>
              <w:rPr>
                <w:sz w:val="20"/>
                <w:szCs w:val="20"/>
              </w:rPr>
            </w:pPr>
            <w:r w:rsidRPr="00C50A5C">
              <w:rPr>
                <w:b/>
                <w:sz w:val="20"/>
                <w:szCs w:val="20"/>
              </w:rPr>
              <w:t>(</w:t>
            </w:r>
            <w:r w:rsidR="00516FD5">
              <w:rPr>
                <w:b/>
                <w:sz w:val="20"/>
                <w:szCs w:val="20"/>
              </w:rPr>
              <w:t>As of Right</w:t>
            </w:r>
            <w:r w:rsidRPr="00C50A5C">
              <w:rPr>
                <w:b/>
                <w:sz w:val="20"/>
                <w:szCs w:val="20"/>
              </w:rPr>
              <w:t>)</w:t>
            </w:r>
          </w:p>
        </w:tc>
        <w:tc>
          <w:tcPr>
            <w:tcW w:w="720" w:type="dxa"/>
            <w:tcMar>
              <w:left w:w="0" w:type="dxa"/>
              <w:right w:w="0" w:type="dxa"/>
            </w:tcMar>
          </w:tcPr>
          <w:p w:rsidR="00B670AC" w:rsidRPr="00B670AC" w:rsidRDefault="00B670AC" w:rsidP="00B670AC">
            <w:pPr>
              <w:widowControl w:val="0"/>
              <w:jc w:val="center"/>
              <w:rPr>
                <w:sz w:val="20"/>
                <w:szCs w:val="20"/>
              </w:rPr>
            </w:pPr>
          </w:p>
        </w:tc>
        <w:tc>
          <w:tcPr>
            <w:tcW w:w="4380" w:type="dxa"/>
            <w:tcMar>
              <w:left w:w="0" w:type="dxa"/>
              <w:right w:w="0" w:type="dxa"/>
            </w:tcMar>
          </w:tcPr>
          <w:p w:rsidR="002E1AA8" w:rsidRPr="00973534" w:rsidRDefault="002E1AA8" w:rsidP="002E1AA8">
            <w:pPr>
              <w:jc w:val="both"/>
              <w:rPr>
                <w:sz w:val="20"/>
                <w:szCs w:val="20"/>
              </w:rPr>
            </w:pPr>
            <w:r w:rsidRPr="00973534">
              <w:rPr>
                <w:sz w:val="20"/>
                <w:szCs w:val="20"/>
              </w:rPr>
              <w:t>James Martin</w:t>
            </w:r>
            <w:r>
              <w:rPr>
                <w:sz w:val="20"/>
                <w:szCs w:val="20"/>
              </w:rPr>
              <w:t xml:space="preserve"> and </w:t>
            </w:r>
            <w:r w:rsidRPr="00973534">
              <w:rPr>
                <w:sz w:val="20"/>
                <w:szCs w:val="20"/>
              </w:rPr>
              <w:t>Brian G. Puddington</w:t>
            </w:r>
            <w:r>
              <w:rPr>
                <w:sz w:val="20"/>
                <w:szCs w:val="20"/>
              </w:rPr>
              <w:t xml:space="preserve"> f</w:t>
            </w:r>
            <w:r w:rsidRPr="00973534">
              <w:rPr>
                <w:sz w:val="20"/>
                <w:szCs w:val="20"/>
              </w:rPr>
              <w:t xml:space="preserve">or the </w:t>
            </w:r>
            <w:r>
              <w:rPr>
                <w:sz w:val="20"/>
                <w:szCs w:val="20"/>
              </w:rPr>
              <w:t>a</w:t>
            </w:r>
            <w:r w:rsidRPr="00973534">
              <w:rPr>
                <w:sz w:val="20"/>
                <w:szCs w:val="20"/>
              </w:rPr>
              <w:t>ppellant.</w:t>
            </w:r>
          </w:p>
          <w:p w:rsidR="002E1AA8" w:rsidRPr="00973534" w:rsidRDefault="002E1AA8" w:rsidP="002E1AA8">
            <w:pPr>
              <w:jc w:val="both"/>
              <w:rPr>
                <w:sz w:val="20"/>
                <w:szCs w:val="20"/>
              </w:rPr>
            </w:pPr>
          </w:p>
          <w:p w:rsidR="002E1AA8" w:rsidRPr="00973534" w:rsidRDefault="002E1AA8" w:rsidP="002E1AA8">
            <w:pPr>
              <w:jc w:val="both"/>
              <w:rPr>
                <w:sz w:val="20"/>
                <w:szCs w:val="20"/>
              </w:rPr>
            </w:pPr>
            <w:r w:rsidRPr="00973534">
              <w:rPr>
                <w:sz w:val="20"/>
                <w:szCs w:val="20"/>
              </w:rPr>
              <w:t>John McInnes</w:t>
            </w:r>
            <w:r>
              <w:rPr>
                <w:sz w:val="20"/>
                <w:szCs w:val="20"/>
              </w:rPr>
              <w:t xml:space="preserve"> f</w:t>
            </w:r>
            <w:r w:rsidRPr="00973534">
              <w:rPr>
                <w:sz w:val="20"/>
                <w:szCs w:val="20"/>
              </w:rPr>
              <w:t xml:space="preserve">or the </w:t>
            </w:r>
            <w:r>
              <w:rPr>
                <w:sz w:val="20"/>
                <w:szCs w:val="20"/>
              </w:rPr>
              <w:t>i</w:t>
            </w:r>
            <w:r w:rsidRPr="00973534">
              <w:rPr>
                <w:sz w:val="20"/>
                <w:szCs w:val="20"/>
              </w:rPr>
              <w:t>ntervener</w:t>
            </w:r>
            <w:r>
              <w:rPr>
                <w:sz w:val="20"/>
                <w:szCs w:val="20"/>
              </w:rPr>
              <w:t xml:space="preserve"> </w:t>
            </w:r>
            <w:r w:rsidRPr="00973534">
              <w:rPr>
                <w:sz w:val="20"/>
                <w:szCs w:val="20"/>
              </w:rPr>
              <w:t>Attorney General of Ontario</w:t>
            </w:r>
            <w:r>
              <w:rPr>
                <w:sz w:val="20"/>
                <w:szCs w:val="20"/>
              </w:rPr>
              <w:t>.</w:t>
            </w:r>
          </w:p>
          <w:p w:rsidR="002E1AA8" w:rsidRPr="00973534" w:rsidRDefault="002E1AA8" w:rsidP="002E1AA8">
            <w:pPr>
              <w:jc w:val="both"/>
              <w:rPr>
                <w:sz w:val="20"/>
                <w:szCs w:val="20"/>
              </w:rPr>
            </w:pPr>
          </w:p>
          <w:p w:rsidR="00B670AC" w:rsidRPr="00C50A5C" w:rsidRDefault="002E1AA8" w:rsidP="002E1AA8">
            <w:pPr>
              <w:widowControl w:val="0"/>
              <w:jc w:val="both"/>
              <w:rPr>
                <w:sz w:val="20"/>
                <w:szCs w:val="20"/>
              </w:rPr>
            </w:pPr>
            <w:r w:rsidRPr="00973534">
              <w:rPr>
                <w:sz w:val="20"/>
                <w:szCs w:val="20"/>
              </w:rPr>
              <w:t>Michael Davies</w:t>
            </w:r>
            <w:r>
              <w:rPr>
                <w:sz w:val="20"/>
                <w:szCs w:val="20"/>
              </w:rPr>
              <w:t xml:space="preserve"> and </w:t>
            </w:r>
            <w:r w:rsidRPr="00973534">
              <w:rPr>
                <w:sz w:val="20"/>
                <w:szCs w:val="20"/>
              </w:rPr>
              <w:t>James Foord</w:t>
            </w:r>
            <w:r>
              <w:rPr>
                <w:sz w:val="20"/>
                <w:szCs w:val="20"/>
              </w:rPr>
              <w:t xml:space="preserve"> f</w:t>
            </w:r>
            <w:r w:rsidRPr="00973534">
              <w:rPr>
                <w:sz w:val="20"/>
                <w:szCs w:val="20"/>
              </w:rPr>
              <w:t xml:space="preserve">or the </w:t>
            </w:r>
            <w:r>
              <w:rPr>
                <w:sz w:val="20"/>
                <w:szCs w:val="20"/>
              </w:rPr>
              <w:t>r</w:t>
            </w:r>
            <w:r w:rsidRPr="00973534">
              <w:rPr>
                <w:sz w:val="20"/>
                <w:szCs w:val="20"/>
              </w:rPr>
              <w:t>espondent</w:t>
            </w:r>
            <w:r>
              <w:rPr>
                <w:sz w:val="20"/>
                <w:szCs w:val="20"/>
              </w:rPr>
              <w:t>.</w:t>
            </w:r>
          </w:p>
        </w:tc>
      </w:tr>
    </w:tbl>
    <w:p w:rsidR="00B670AC" w:rsidRDefault="00B670AC" w:rsidP="00B670AC">
      <w:pPr>
        <w:widowControl w:val="0"/>
      </w:pPr>
    </w:p>
    <w:p w:rsidR="00B670AC" w:rsidRPr="0085476B" w:rsidRDefault="00B670AC" w:rsidP="00B670AC">
      <w:pPr>
        <w:widowControl w:val="0"/>
        <w:rPr>
          <w:sz w:val="20"/>
          <w:szCs w:val="20"/>
        </w:rPr>
      </w:pPr>
      <w:r w:rsidRPr="0085476B">
        <w:rPr>
          <w:b/>
          <w:sz w:val="20"/>
          <w:szCs w:val="20"/>
        </w:rPr>
        <w:t xml:space="preserve">RESERVED / </w:t>
      </w:r>
      <w:r w:rsidRPr="0085476B">
        <w:rPr>
          <w:b/>
          <w:sz w:val="20"/>
          <w:szCs w:val="20"/>
          <w:lang w:val="fr-CA"/>
        </w:rPr>
        <w:t>EN DÉLIBÉRÉ</w:t>
      </w:r>
    </w:p>
    <w:p w:rsidR="00B670AC" w:rsidRDefault="00B670AC" w:rsidP="00B670AC"/>
    <w:tbl>
      <w:tblPr>
        <w:tblW w:w="0" w:type="auto"/>
        <w:tblLayout w:type="fixed"/>
        <w:tblCellMar>
          <w:left w:w="0" w:type="dxa"/>
          <w:right w:w="0" w:type="dxa"/>
        </w:tblCellMar>
        <w:tblLook w:val="0000"/>
      </w:tblPr>
      <w:tblGrid>
        <w:gridCol w:w="4380"/>
        <w:gridCol w:w="720"/>
        <w:gridCol w:w="4380"/>
      </w:tblGrid>
      <w:tr w:rsidR="00B670AC" w:rsidRPr="00DC2D1F" w:rsidTr="00B670AC">
        <w:tc>
          <w:tcPr>
            <w:tcW w:w="4380" w:type="dxa"/>
            <w:tcMar>
              <w:left w:w="0" w:type="dxa"/>
              <w:right w:w="0" w:type="dxa"/>
            </w:tcMar>
          </w:tcPr>
          <w:p w:rsidR="00B670AC" w:rsidRPr="00CC4D84" w:rsidRDefault="00B670AC" w:rsidP="00B670AC">
            <w:pPr>
              <w:widowControl w:val="0"/>
              <w:jc w:val="both"/>
              <w:rPr>
                <w:b/>
                <w:sz w:val="20"/>
                <w:szCs w:val="20"/>
                <w:u w:val="single"/>
              </w:rPr>
            </w:pPr>
            <w:r w:rsidRPr="00CC4D84">
              <w:rPr>
                <w:b/>
                <w:sz w:val="20"/>
                <w:szCs w:val="20"/>
                <w:u w:val="single"/>
              </w:rPr>
              <w:t>Nature of the case:</w:t>
            </w:r>
          </w:p>
          <w:p w:rsidR="00B670AC" w:rsidRPr="00C1697B" w:rsidRDefault="00B670AC" w:rsidP="00B670AC">
            <w:pPr>
              <w:widowControl w:val="0"/>
              <w:jc w:val="both"/>
              <w:rPr>
                <w:b/>
                <w:sz w:val="20"/>
                <w:szCs w:val="20"/>
              </w:rPr>
            </w:pPr>
          </w:p>
          <w:p w:rsidR="00B670AC" w:rsidRPr="00C1697B" w:rsidRDefault="00D8701C" w:rsidP="00B670AC">
            <w:pPr>
              <w:widowControl w:val="0"/>
              <w:jc w:val="both"/>
              <w:rPr>
                <w:b/>
                <w:sz w:val="20"/>
                <w:szCs w:val="20"/>
              </w:rPr>
            </w:pPr>
            <w:r w:rsidRPr="003B481A">
              <w:rPr>
                <w:sz w:val="20"/>
                <w:szCs w:val="20"/>
              </w:rPr>
              <w:t xml:space="preserve">Criminal law </w:t>
            </w:r>
            <w:r w:rsidRPr="003B481A">
              <w:rPr>
                <w:sz w:val="20"/>
                <w:szCs w:val="20"/>
              </w:rPr>
              <w:noBreakHyphen/>
              <w:t xml:space="preserve"> Evidence </w:t>
            </w:r>
            <w:r w:rsidRPr="003B481A">
              <w:rPr>
                <w:sz w:val="20"/>
                <w:szCs w:val="20"/>
              </w:rPr>
              <w:noBreakHyphen/>
              <w:t xml:space="preserve"> Admissibility </w:t>
            </w:r>
            <w:r w:rsidRPr="003B481A">
              <w:rPr>
                <w:sz w:val="20"/>
                <w:szCs w:val="20"/>
              </w:rPr>
              <w:noBreakHyphen/>
              <w:t xml:space="preserve"> Hearsay </w:t>
            </w:r>
            <w:r w:rsidRPr="003B481A">
              <w:rPr>
                <w:sz w:val="20"/>
                <w:szCs w:val="20"/>
              </w:rPr>
              <w:noBreakHyphen/>
              <w:t xml:space="preserve"> Drug purchase calls </w:t>
            </w:r>
            <w:r w:rsidRPr="003B481A">
              <w:rPr>
                <w:sz w:val="20"/>
                <w:szCs w:val="20"/>
              </w:rPr>
              <w:noBreakHyphen/>
              <w:t xml:space="preserve"> Whether evidence of the telephone conversation between the police and a caller to the respondent’s cell phone was hearsay and admissible into evidence </w:t>
            </w:r>
            <w:r w:rsidRPr="003B481A">
              <w:rPr>
                <w:sz w:val="20"/>
                <w:szCs w:val="20"/>
              </w:rPr>
              <w:noBreakHyphen/>
              <w:t xml:space="preserve"> Whether the prejudicial effect of the evidence outweighed its probative value.</w:t>
            </w:r>
          </w:p>
        </w:tc>
        <w:tc>
          <w:tcPr>
            <w:tcW w:w="720" w:type="dxa"/>
            <w:tcMar>
              <w:left w:w="0" w:type="dxa"/>
              <w:right w:w="0" w:type="dxa"/>
            </w:tcMar>
          </w:tcPr>
          <w:p w:rsidR="00B670AC" w:rsidRPr="00C1697B" w:rsidRDefault="00B670AC" w:rsidP="00B670AC">
            <w:pPr>
              <w:widowControl w:val="0"/>
              <w:jc w:val="center"/>
              <w:rPr>
                <w:sz w:val="20"/>
                <w:szCs w:val="20"/>
              </w:rPr>
            </w:pPr>
          </w:p>
        </w:tc>
        <w:tc>
          <w:tcPr>
            <w:tcW w:w="4380" w:type="dxa"/>
            <w:tcMar>
              <w:left w:w="0" w:type="dxa"/>
              <w:right w:w="0" w:type="dxa"/>
            </w:tcMar>
          </w:tcPr>
          <w:p w:rsidR="00B670AC" w:rsidRPr="00CC4D84" w:rsidRDefault="00B670AC" w:rsidP="00B670AC">
            <w:pPr>
              <w:widowControl w:val="0"/>
              <w:jc w:val="both"/>
              <w:rPr>
                <w:b/>
                <w:sz w:val="20"/>
                <w:szCs w:val="20"/>
                <w:u w:val="single"/>
                <w:lang w:val="fr-CA"/>
              </w:rPr>
            </w:pPr>
            <w:r w:rsidRPr="00CC4D84">
              <w:rPr>
                <w:b/>
                <w:sz w:val="20"/>
                <w:szCs w:val="20"/>
                <w:u w:val="single"/>
                <w:lang w:val="fr-CA"/>
              </w:rPr>
              <w:t>Nature de la cause :</w:t>
            </w:r>
          </w:p>
          <w:p w:rsidR="00B670AC" w:rsidRPr="00C1697B" w:rsidRDefault="00B670AC" w:rsidP="00B670AC">
            <w:pPr>
              <w:widowControl w:val="0"/>
              <w:jc w:val="both"/>
              <w:rPr>
                <w:sz w:val="20"/>
                <w:szCs w:val="20"/>
                <w:lang w:val="fr-CA"/>
              </w:rPr>
            </w:pPr>
          </w:p>
          <w:p w:rsidR="00B670AC" w:rsidRPr="00C1697B" w:rsidRDefault="00D8701C" w:rsidP="00B670AC">
            <w:pPr>
              <w:widowControl w:val="0"/>
              <w:jc w:val="both"/>
              <w:rPr>
                <w:sz w:val="20"/>
                <w:szCs w:val="20"/>
                <w:lang w:val="fr-CA"/>
              </w:rPr>
            </w:pPr>
            <w:r w:rsidRPr="00F96657">
              <w:rPr>
                <w:sz w:val="20"/>
                <w:szCs w:val="20"/>
                <w:lang w:val="fr-CA"/>
              </w:rPr>
              <w:t xml:space="preserve">Droit criminel </w:t>
            </w:r>
            <w:r w:rsidRPr="00F96657">
              <w:rPr>
                <w:sz w:val="20"/>
                <w:szCs w:val="20"/>
                <w:lang w:val="fr-CA"/>
              </w:rPr>
              <w:noBreakHyphen/>
              <w:t xml:space="preserve"> Preuve </w:t>
            </w:r>
            <w:r w:rsidRPr="00F96657">
              <w:rPr>
                <w:sz w:val="20"/>
                <w:szCs w:val="20"/>
                <w:lang w:val="fr-CA"/>
              </w:rPr>
              <w:noBreakHyphen/>
              <w:t xml:space="preserve"> Admissibilité </w:t>
            </w:r>
            <w:r w:rsidRPr="00F96657">
              <w:rPr>
                <w:sz w:val="20"/>
                <w:szCs w:val="20"/>
                <w:lang w:val="fr-CA"/>
              </w:rPr>
              <w:noBreakHyphen/>
              <w:t xml:space="preserve"> Ouï</w:t>
            </w:r>
            <w:r w:rsidRPr="00F96657">
              <w:rPr>
                <w:sz w:val="20"/>
                <w:szCs w:val="20"/>
                <w:lang w:val="fr-CA"/>
              </w:rPr>
              <w:noBreakHyphen/>
              <w:t xml:space="preserve">dire </w:t>
            </w:r>
            <w:r w:rsidRPr="00F96657">
              <w:rPr>
                <w:sz w:val="20"/>
                <w:szCs w:val="20"/>
                <w:lang w:val="fr-CA"/>
              </w:rPr>
              <w:noBreakHyphen/>
              <w:t xml:space="preserve"> Communications téléphoniques relatives à l’achat de drogue </w:t>
            </w:r>
            <w:r w:rsidRPr="00F96657">
              <w:rPr>
                <w:sz w:val="20"/>
                <w:szCs w:val="20"/>
                <w:lang w:val="fr-CA"/>
              </w:rPr>
              <w:noBreakHyphen/>
              <w:t xml:space="preserve"> La preuve de la conversation téléphonique entre un policier et l’auteur de la communication qui avait joint le téléphone cellulaire de l’intimé était</w:t>
            </w:r>
            <w:r w:rsidRPr="00F96657">
              <w:rPr>
                <w:sz w:val="20"/>
                <w:szCs w:val="20"/>
                <w:lang w:val="fr-CA"/>
              </w:rPr>
              <w:noBreakHyphen/>
              <w:t>elle du ouï</w:t>
            </w:r>
            <w:r w:rsidRPr="00F96657">
              <w:rPr>
                <w:sz w:val="20"/>
                <w:szCs w:val="20"/>
                <w:lang w:val="fr-CA"/>
              </w:rPr>
              <w:noBreakHyphen/>
              <w:t xml:space="preserve">dire et admissible en preuve? </w:t>
            </w:r>
            <w:r w:rsidRPr="00F96657">
              <w:rPr>
                <w:sz w:val="20"/>
                <w:szCs w:val="20"/>
                <w:lang w:val="fr-CA"/>
              </w:rPr>
              <w:noBreakHyphen/>
              <w:t xml:space="preserve"> L’effet préjudiciable de la preuve l’emportait</w:t>
            </w:r>
            <w:r w:rsidRPr="00F96657">
              <w:rPr>
                <w:sz w:val="20"/>
                <w:szCs w:val="20"/>
                <w:lang w:val="fr-CA"/>
              </w:rPr>
              <w:noBreakHyphen/>
              <w:t>il sur sa valeur probante?</w:t>
            </w:r>
          </w:p>
        </w:tc>
      </w:tr>
    </w:tbl>
    <w:p w:rsidR="00B670AC" w:rsidRDefault="00B670AC" w:rsidP="00B670AC">
      <w:pPr>
        <w:widowControl w:val="0"/>
        <w:rPr>
          <w:sz w:val="20"/>
          <w:szCs w:val="20"/>
          <w:lang w:val="fr-CA"/>
        </w:rPr>
      </w:pPr>
    </w:p>
    <w:p w:rsidR="00B670AC" w:rsidRDefault="00BF3B03" w:rsidP="00B670AC">
      <w:pPr>
        <w:widowControl w:val="0"/>
        <w:rPr>
          <w:sz w:val="20"/>
          <w:szCs w:val="20"/>
        </w:rPr>
      </w:pPr>
      <w:r w:rsidRPr="00BF3B03">
        <w:rPr>
          <w:sz w:val="20"/>
          <w:szCs w:val="20"/>
          <w:lang w:val="fr-CA"/>
        </w:rPr>
        <w:pict>
          <v:rect id="_x0000_i1097" style="width:2in;height:1pt" o:hrpct="0" o:hralign="center" o:hrstd="t" o:hrnoshade="t" o:hr="t" fillcolor="black [3213]" stroked="f"/>
        </w:pict>
      </w:r>
    </w:p>
    <w:p w:rsidR="00B670AC" w:rsidRDefault="00B670AC" w:rsidP="00B670AC">
      <w:pPr>
        <w:widowControl w:val="0"/>
        <w:rPr>
          <w:sz w:val="20"/>
          <w:szCs w:val="20"/>
        </w:rPr>
      </w:pPr>
    </w:p>
    <w:p w:rsidR="00B670AC" w:rsidRPr="00676BD5" w:rsidRDefault="00B670AC" w:rsidP="00B670AC">
      <w:pPr>
        <w:widowControl w:val="0"/>
        <w:rPr>
          <w:sz w:val="20"/>
          <w:szCs w:val="20"/>
          <w:lang w:val="fr-CA"/>
        </w:rPr>
      </w:pPr>
      <w:r w:rsidRPr="00676BD5">
        <w:rPr>
          <w:sz w:val="20"/>
          <w:szCs w:val="20"/>
          <w:lang w:val="fr-CA"/>
        </w:rPr>
        <w:lastRenderedPageBreak/>
        <w:t>08.11.2012</w:t>
      </w:r>
    </w:p>
    <w:p w:rsidR="00B670AC" w:rsidRPr="00676BD5" w:rsidRDefault="00B670AC" w:rsidP="00B670AC">
      <w:pPr>
        <w:widowControl w:val="0"/>
        <w:rPr>
          <w:sz w:val="20"/>
          <w:szCs w:val="20"/>
          <w:lang w:val="fr-CA"/>
        </w:rPr>
      </w:pPr>
    </w:p>
    <w:p w:rsidR="0036566A" w:rsidRPr="002535B3" w:rsidRDefault="0036566A" w:rsidP="0036566A">
      <w:pPr>
        <w:widowControl w:val="0"/>
        <w:ind w:left="720" w:hanging="720"/>
        <w:rPr>
          <w:sz w:val="20"/>
          <w:szCs w:val="20"/>
          <w:lang w:val="fr-CA"/>
        </w:rPr>
      </w:pPr>
      <w:r w:rsidRPr="002535B3">
        <w:rPr>
          <w:sz w:val="20"/>
          <w:szCs w:val="20"/>
          <w:lang w:val="fr-CA"/>
        </w:rPr>
        <w:t xml:space="preserve">Coram: </w:t>
      </w:r>
      <w:r w:rsidRPr="002535B3">
        <w:rPr>
          <w:sz w:val="20"/>
          <w:szCs w:val="20"/>
          <w:lang w:val="fr-CA"/>
        </w:rPr>
        <w:tab/>
      </w:r>
      <w:r w:rsidRPr="002535B3">
        <w:rPr>
          <w:sz w:val="20"/>
          <w:szCs w:val="20"/>
          <w:u w:val="single"/>
          <w:lang w:val="fr-CA"/>
        </w:rPr>
        <w:t>La juge en chef McLachlin et les juges LeBel, Fish, Abella, Rothstein, Cromwell et Karakatsanis</w:t>
      </w:r>
    </w:p>
    <w:p w:rsidR="00B670AC" w:rsidRPr="00676BD5" w:rsidRDefault="00B670AC" w:rsidP="00B670AC">
      <w:pPr>
        <w:widowControl w:val="0"/>
        <w:rPr>
          <w:b/>
          <w:sz w:val="20"/>
          <w:szCs w:val="20"/>
          <w:lang w:val="fr-CA"/>
        </w:rPr>
      </w:pPr>
    </w:p>
    <w:tbl>
      <w:tblPr>
        <w:tblW w:w="0" w:type="auto"/>
        <w:tblLayout w:type="fixed"/>
        <w:tblCellMar>
          <w:left w:w="0" w:type="dxa"/>
          <w:right w:w="0" w:type="dxa"/>
        </w:tblCellMar>
        <w:tblLook w:val="0000"/>
      </w:tblPr>
      <w:tblGrid>
        <w:gridCol w:w="4380"/>
        <w:gridCol w:w="720"/>
        <w:gridCol w:w="4380"/>
      </w:tblGrid>
      <w:tr w:rsidR="00B670AC" w:rsidRPr="00DC2D1F" w:rsidTr="00B670AC">
        <w:tc>
          <w:tcPr>
            <w:tcW w:w="4380" w:type="dxa"/>
            <w:tcMar>
              <w:left w:w="0" w:type="dxa"/>
              <w:right w:w="0" w:type="dxa"/>
            </w:tcMar>
          </w:tcPr>
          <w:p w:rsidR="00B670AC" w:rsidRPr="00516FD5" w:rsidRDefault="00516FD5" w:rsidP="00B670AC">
            <w:pPr>
              <w:widowControl w:val="0"/>
              <w:jc w:val="both"/>
              <w:rPr>
                <w:b/>
                <w:sz w:val="20"/>
                <w:szCs w:val="20"/>
                <w:lang w:val="fr-CA"/>
              </w:rPr>
            </w:pPr>
            <w:r w:rsidRPr="00516FD5">
              <w:rPr>
                <w:b/>
                <w:sz w:val="20"/>
                <w:szCs w:val="20"/>
                <w:lang w:val="fr-CA"/>
              </w:rPr>
              <w:t>Agence du Revenu du Québec</w:t>
            </w:r>
            <w:r w:rsidR="0036566A">
              <w:rPr>
                <w:b/>
                <w:sz w:val="20"/>
                <w:szCs w:val="20"/>
                <w:lang w:val="fr-CA"/>
              </w:rPr>
              <w:t xml:space="preserve"> </w:t>
            </w:r>
            <w:r w:rsidR="0036566A" w:rsidRPr="002535B3">
              <w:rPr>
                <w:b/>
                <w:iCs/>
                <w:sz w:val="20"/>
                <w:szCs w:val="20"/>
                <w:lang w:val="fr-CA"/>
              </w:rPr>
              <w:t>(anciennement le Sous-ministre du Revenu du Québec)</w:t>
            </w:r>
          </w:p>
          <w:p w:rsidR="00B670AC" w:rsidRPr="00516FD5" w:rsidRDefault="00B670AC" w:rsidP="00B670AC">
            <w:pPr>
              <w:widowControl w:val="0"/>
              <w:jc w:val="both"/>
              <w:rPr>
                <w:b/>
                <w:sz w:val="20"/>
                <w:szCs w:val="20"/>
                <w:lang w:val="fr-CA"/>
              </w:rPr>
            </w:pPr>
          </w:p>
          <w:p w:rsidR="00B670AC" w:rsidRPr="00516FD5" w:rsidRDefault="00B670AC" w:rsidP="00B670AC">
            <w:pPr>
              <w:widowControl w:val="0"/>
              <w:tabs>
                <w:tab w:val="left" w:pos="736"/>
              </w:tabs>
              <w:jc w:val="both"/>
              <w:rPr>
                <w:b/>
                <w:sz w:val="20"/>
                <w:szCs w:val="20"/>
                <w:lang w:val="fr-CA"/>
              </w:rPr>
            </w:pPr>
            <w:r w:rsidRPr="00516FD5">
              <w:rPr>
                <w:b/>
                <w:sz w:val="20"/>
                <w:szCs w:val="20"/>
                <w:lang w:val="fr-CA"/>
              </w:rPr>
              <w:tab/>
            </w:r>
            <w:r w:rsidR="00516FD5" w:rsidRPr="00516FD5">
              <w:rPr>
                <w:b/>
                <w:sz w:val="20"/>
                <w:szCs w:val="20"/>
                <w:lang w:val="fr-CA"/>
              </w:rPr>
              <w:t>c</w:t>
            </w:r>
            <w:r w:rsidRPr="00516FD5">
              <w:rPr>
                <w:b/>
                <w:sz w:val="20"/>
                <w:szCs w:val="20"/>
                <w:lang w:val="fr-CA"/>
              </w:rPr>
              <w:t>. (34</w:t>
            </w:r>
            <w:r w:rsidR="00516FD5" w:rsidRPr="00516FD5">
              <w:rPr>
                <w:b/>
                <w:sz w:val="20"/>
                <w:szCs w:val="20"/>
                <w:lang w:val="fr-CA"/>
              </w:rPr>
              <w:t>235</w:t>
            </w:r>
            <w:r w:rsidRPr="00516FD5">
              <w:rPr>
                <w:b/>
                <w:sz w:val="20"/>
                <w:szCs w:val="20"/>
                <w:lang w:val="fr-CA"/>
              </w:rPr>
              <w:t>)</w:t>
            </w:r>
          </w:p>
          <w:p w:rsidR="00B670AC" w:rsidRPr="00516FD5" w:rsidRDefault="00B670AC" w:rsidP="00B670AC">
            <w:pPr>
              <w:widowControl w:val="0"/>
              <w:jc w:val="both"/>
              <w:rPr>
                <w:b/>
                <w:sz w:val="20"/>
                <w:szCs w:val="20"/>
                <w:lang w:val="fr-CA"/>
              </w:rPr>
            </w:pPr>
          </w:p>
          <w:p w:rsidR="00B670AC" w:rsidRPr="00516FD5" w:rsidRDefault="00516FD5" w:rsidP="00516FD5">
            <w:pPr>
              <w:widowControl w:val="0"/>
              <w:jc w:val="both"/>
              <w:rPr>
                <w:b/>
                <w:sz w:val="20"/>
                <w:szCs w:val="20"/>
                <w:lang w:val="fr-CA"/>
              </w:rPr>
            </w:pPr>
            <w:r w:rsidRPr="00516FD5">
              <w:rPr>
                <w:b/>
                <w:sz w:val="20"/>
                <w:szCs w:val="20"/>
                <w:lang w:val="fr-CA"/>
              </w:rPr>
              <w:t>Service Environnementaux AES Inc.</w:t>
            </w:r>
            <w:r>
              <w:rPr>
                <w:b/>
                <w:sz w:val="20"/>
                <w:szCs w:val="20"/>
                <w:lang w:val="fr-CA"/>
              </w:rPr>
              <w:t xml:space="preserve"> et autre </w:t>
            </w:r>
            <w:r w:rsidR="00B670AC" w:rsidRPr="00516FD5">
              <w:rPr>
                <w:b/>
                <w:sz w:val="20"/>
                <w:szCs w:val="20"/>
                <w:lang w:val="fr-CA"/>
              </w:rPr>
              <w:t>(</w:t>
            </w:r>
            <w:r>
              <w:rPr>
                <w:b/>
                <w:sz w:val="20"/>
                <w:szCs w:val="20"/>
                <w:lang w:val="fr-CA"/>
              </w:rPr>
              <w:t>Qc</w:t>
            </w:r>
            <w:r w:rsidR="00B670AC" w:rsidRPr="00516FD5">
              <w:rPr>
                <w:b/>
                <w:sz w:val="20"/>
                <w:szCs w:val="20"/>
                <w:lang w:val="fr-CA"/>
              </w:rPr>
              <w:t>) (Civil</w:t>
            </w:r>
            <w:r w:rsidRPr="00516FD5">
              <w:rPr>
                <w:b/>
                <w:sz w:val="20"/>
                <w:szCs w:val="20"/>
                <w:lang w:val="fr-CA"/>
              </w:rPr>
              <w:t>e</w:t>
            </w:r>
            <w:r w:rsidR="00B670AC" w:rsidRPr="00516FD5">
              <w:rPr>
                <w:b/>
                <w:sz w:val="20"/>
                <w:szCs w:val="20"/>
                <w:lang w:val="fr-CA"/>
              </w:rPr>
              <w:t>) (</w:t>
            </w:r>
            <w:r w:rsidRPr="00516FD5">
              <w:rPr>
                <w:b/>
                <w:sz w:val="20"/>
                <w:szCs w:val="20"/>
                <w:lang w:val="fr-CA"/>
              </w:rPr>
              <w:t>Autorisation</w:t>
            </w:r>
            <w:r w:rsidR="00B670AC" w:rsidRPr="00516FD5">
              <w:rPr>
                <w:b/>
                <w:sz w:val="20"/>
                <w:szCs w:val="20"/>
                <w:lang w:val="fr-CA"/>
              </w:rPr>
              <w:t>)</w:t>
            </w:r>
          </w:p>
          <w:p w:rsidR="00516FD5" w:rsidRDefault="00516FD5" w:rsidP="00516FD5">
            <w:pPr>
              <w:widowControl w:val="0"/>
              <w:jc w:val="both"/>
              <w:rPr>
                <w:b/>
                <w:sz w:val="20"/>
                <w:szCs w:val="20"/>
                <w:lang w:val="fr-CA"/>
              </w:rPr>
            </w:pPr>
          </w:p>
          <w:p w:rsidR="00516FD5" w:rsidRDefault="00516FD5" w:rsidP="00516FD5">
            <w:pPr>
              <w:widowControl w:val="0"/>
              <w:jc w:val="both"/>
              <w:rPr>
                <w:b/>
                <w:sz w:val="20"/>
                <w:szCs w:val="20"/>
                <w:lang w:val="fr-CA"/>
              </w:rPr>
            </w:pPr>
            <w:r>
              <w:rPr>
                <w:b/>
                <w:sz w:val="20"/>
                <w:szCs w:val="20"/>
                <w:lang w:val="fr-CA"/>
              </w:rPr>
              <w:t xml:space="preserve">- et entre </w:t>
            </w:r>
            <w:r w:rsidR="003957EF">
              <w:rPr>
                <w:b/>
                <w:sz w:val="20"/>
                <w:szCs w:val="20"/>
                <w:lang w:val="fr-CA"/>
              </w:rPr>
              <w:t>-</w:t>
            </w:r>
          </w:p>
          <w:p w:rsidR="003957EF" w:rsidRDefault="003957EF" w:rsidP="00516FD5">
            <w:pPr>
              <w:widowControl w:val="0"/>
              <w:jc w:val="both"/>
              <w:rPr>
                <w:b/>
                <w:sz w:val="20"/>
                <w:szCs w:val="20"/>
                <w:lang w:val="fr-CA"/>
              </w:rPr>
            </w:pPr>
          </w:p>
          <w:p w:rsidR="003957EF" w:rsidRPr="00516FD5" w:rsidRDefault="003957EF" w:rsidP="003957EF">
            <w:pPr>
              <w:widowControl w:val="0"/>
              <w:jc w:val="both"/>
              <w:rPr>
                <w:b/>
                <w:sz w:val="20"/>
                <w:szCs w:val="20"/>
                <w:lang w:val="fr-CA"/>
              </w:rPr>
            </w:pPr>
            <w:r w:rsidRPr="00516FD5">
              <w:rPr>
                <w:b/>
                <w:sz w:val="20"/>
                <w:szCs w:val="20"/>
                <w:lang w:val="fr-CA"/>
              </w:rPr>
              <w:t>Agence du Revenu du Québec</w:t>
            </w:r>
          </w:p>
          <w:p w:rsidR="003957EF" w:rsidRPr="00516FD5" w:rsidRDefault="003957EF" w:rsidP="003957EF">
            <w:pPr>
              <w:widowControl w:val="0"/>
              <w:jc w:val="both"/>
              <w:rPr>
                <w:b/>
                <w:sz w:val="20"/>
                <w:szCs w:val="20"/>
                <w:lang w:val="fr-CA"/>
              </w:rPr>
            </w:pPr>
          </w:p>
          <w:p w:rsidR="003957EF" w:rsidRPr="00516FD5" w:rsidRDefault="003957EF" w:rsidP="003957EF">
            <w:pPr>
              <w:widowControl w:val="0"/>
              <w:tabs>
                <w:tab w:val="left" w:pos="736"/>
              </w:tabs>
              <w:jc w:val="both"/>
              <w:rPr>
                <w:b/>
                <w:sz w:val="20"/>
                <w:szCs w:val="20"/>
                <w:lang w:val="fr-CA"/>
              </w:rPr>
            </w:pPr>
            <w:r w:rsidRPr="00516FD5">
              <w:rPr>
                <w:b/>
                <w:sz w:val="20"/>
                <w:szCs w:val="20"/>
                <w:lang w:val="fr-CA"/>
              </w:rPr>
              <w:tab/>
              <w:t>c. (343</w:t>
            </w:r>
            <w:r>
              <w:rPr>
                <w:b/>
                <w:sz w:val="20"/>
                <w:szCs w:val="20"/>
                <w:lang w:val="fr-CA"/>
              </w:rPr>
              <w:t>93</w:t>
            </w:r>
            <w:r w:rsidRPr="00516FD5">
              <w:rPr>
                <w:b/>
                <w:sz w:val="20"/>
                <w:szCs w:val="20"/>
                <w:lang w:val="fr-CA"/>
              </w:rPr>
              <w:t>)</w:t>
            </w:r>
          </w:p>
          <w:p w:rsidR="003957EF" w:rsidRPr="00516FD5" w:rsidRDefault="003957EF" w:rsidP="003957EF">
            <w:pPr>
              <w:widowControl w:val="0"/>
              <w:jc w:val="both"/>
              <w:rPr>
                <w:b/>
                <w:sz w:val="20"/>
                <w:szCs w:val="20"/>
                <w:lang w:val="fr-CA"/>
              </w:rPr>
            </w:pPr>
          </w:p>
          <w:p w:rsidR="00516FD5" w:rsidRPr="00516FD5" w:rsidRDefault="003957EF" w:rsidP="003957EF">
            <w:pPr>
              <w:widowControl w:val="0"/>
              <w:jc w:val="both"/>
              <w:rPr>
                <w:sz w:val="20"/>
                <w:szCs w:val="20"/>
                <w:lang w:val="fr-CA"/>
              </w:rPr>
            </w:pPr>
            <w:r>
              <w:rPr>
                <w:b/>
                <w:sz w:val="20"/>
                <w:szCs w:val="20"/>
                <w:lang w:val="fr-CA"/>
              </w:rPr>
              <w:t>J</w:t>
            </w:r>
            <w:r w:rsidRPr="00516FD5">
              <w:rPr>
                <w:b/>
                <w:sz w:val="20"/>
                <w:szCs w:val="20"/>
                <w:lang w:val="fr-CA"/>
              </w:rPr>
              <w:t>e</w:t>
            </w:r>
            <w:r>
              <w:rPr>
                <w:b/>
                <w:sz w:val="20"/>
                <w:szCs w:val="20"/>
                <w:lang w:val="fr-CA"/>
              </w:rPr>
              <w:t>a</w:t>
            </w:r>
            <w:r w:rsidRPr="00516FD5">
              <w:rPr>
                <w:b/>
                <w:sz w:val="20"/>
                <w:szCs w:val="20"/>
                <w:lang w:val="fr-CA"/>
              </w:rPr>
              <w:t>n</w:t>
            </w:r>
            <w:r>
              <w:rPr>
                <w:b/>
                <w:sz w:val="20"/>
                <w:szCs w:val="20"/>
                <w:lang w:val="fr-CA"/>
              </w:rPr>
              <w:t xml:space="preserve"> Riop</w:t>
            </w:r>
            <w:r w:rsidRPr="00516FD5">
              <w:rPr>
                <w:b/>
                <w:sz w:val="20"/>
                <w:szCs w:val="20"/>
                <w:lang w:val="fr-CA"/>
              </w:rPr>
              <w:t>e</w:t>
            </w:r>
            <w:r>
              <w:rPr>
                <w:b/>
                <w:sz w:val="20"/>
                <w:szCs w:val="20"/>
                <w:lang w:val="fr-CA"/>
              </w:rPr>
              <w:t xml:space="preserve">l </w:t>
            </w:r>
            <w:r w:rsidRPr="00516FD5">
              <w:rPr>
                <w:b/>
                <w:sz w:val="20"/>
                <w:szCs w:val="20"/>
                <w:lang w:val="fr-CA"/>
              </w:rPr>
              <w:t>et</w:t>
            </w:r>
            <w:r>
              <w:rPr>
                <w:b/>
                <w:sz w:val="20"/>
                <w:szCs w:val="20"/>
                <w:lang w:val="fr-CA"/>
              </w:rPr>
              <w:t xml:space="preserve"> </w:t>
            </w:r>
            <w:r w:rsidRPr="00516FD5">
              <w:rPr>
                <w:b/>
                <w:sz w:val="20"/>
                <w:szCs w:val="20"/>
                <w:lang w:val="fr-CA"/>
              </w:rPr>
              <w:t>au</w:t>
            </w:r>
            <w:r>
              <w:rPr>
                <w:b/>
                <w:sz w:val="20"/>
                <w:szCs w:val="20"/>
                <w:lang w:val="fr-CA"/>
              </w:rPr>
              <w:t xml:space="preserve">tres </w:t>
            </w:r>
            <w:r w:rsidRPr="00516FD5">
              <w:rPr>
                <w:b/>
                <w:sz w:val="20"/>
                <w:szCs w:val="20"/>
                <w:lang w:val="fr-CA"/>
              </w:rPr>
              <w:t>(</w:t>
            </w:r>
            <w:r>
              <w:rPr>
                <w:b/>
                <w:sz w:val="20"/>
                <w:szCs w:val="20"/>
                <w:lang w:val="fr-CA"/>
              </w:rPr>
              <w:t>Qc</w:t>
            </w:r>
            <w:r w:rsidRPr="00516FD5">
              <w:rPr>
                <w:b/>
                <w:sz w:val="20"/>
                <w:szCs w:val="20"/>
                <w:lang w:val="fr-CA"/>
              </w:rPr>
              <w:t>) (Civile) (Autorisation)</w:t>
            </w:r>
          </w:p>
        </w:tc>
        <w:tc>
          <w:tcPr>
            <w:tcW w:w="720" w:type="dxa"/>
            <w:tcMar>
              <w:left w:w="0" w:type="dxa"/>
              <w:right w:w="0" w:type="dxa"/>
            </w:tcMar>
          </w:tcPr>
          <w:p w:rsidR="00B670AC" w:rsidRPr="00516FD5" w:rsidRDefault="00B670AC" w:rsidP="00B670AC">
            <w:pPr>
              <w:widowControl w:val="0"/>
              <w:jc w:val="center"/>
              <w:rPr>
                <w:sz w:val="20"/>
                <w:szCs w:val="20"/>
                <w:lang w:val="fr-CA"/>
              </w:rPr>
            </w:pPr>
          </w:p>
        </w:tc>
        <w:tc>
          <w:tcPr>
            <w:tcW w:w="4380" w:type="dxa"/>
            <w:tcMar>
              <w:left w:w="0" w:type="dxa"/>
              <w:right w:w="0" w:type="dxa"/>
            </w:tcMar>
          </w:tcPr>
          <w:p w:rsidR="0036566A" w:rsidRPr="0018283C" w:rsidRDefault="0036566A" w:rsidP="0036566A">
            <w:pPr>
              <w:jc w:val="both"/>
              <w:rPr>
                <w:sz w:val="20"/>
                <w:szCs w:val="20"/>
                <w:lang w:val="fr-CA"/>
              </w:rPr>
            </w:pPr>
            <w:r w:rsidRPr="0018283C">
              <w:rPr>
                <w:sz w:val="20"/>
                <w:szCs w:val="20"/>
                <w:lang w:val="fr-CA"/>
              </w:rPr>
              <w:t>Pierre Zemaitis</w:t>
            </w:r>
            <w:r>
              <w:rPr>
                <w:sz w:val="20"/>
                <w:szCs w:val="20"/>
                <w:lang w:val="fr-CA"/>
              </w:rPr>
              <w:t xml:space="preserve">, </w:t>
            </w:r>
            <w:r w:rsidRPr="0018283C">
              <w:rPr>
                <w:sz w:val="20"/>
                <w:szCs w:val="20"/>
                <w:lang w:val="fr-CA"/>
              </w:rPr>
              <w:t>Christian Boutin</w:t>
            </w:r>
            <w:r>
              <w:rPr>
                <w:sz w:val="20"/>
                <w:szCs w:val="20"/>
                <w:lang w:val="fr-CA"/>
              </w:rPr>
              <w:t xml:space="preserve"> and </w:t>
            </w:r>
            <w:r w:rsidRPr="0018283C">
              <w:rPr>
                <w:sz w:val="20"/>
                <w:szCs w:val="20"/>
                <w:lang w:val="fr-CA"/>
              </w:rPr>
              <w:t>Khashayar Haghgouyan</w:t>
            </w:r>
            <w:r>
              <w:rPr>
                <w:sz w:val="20"/>
                <w:szCs w:val="20"/>
                <w:lang w:val="fr-CA"/>
              </w:rPr>
              <w:t xml:space="preserve"> pour </w:t>
            </w:r>
            <w:r w:rsidRPr="0018283C">
              <w:rPr>
                <w:sz w:val="20"/>
                <w:szCs w:val="20"/>
                <w:lang w:val="fr-CA"/>
              </w:rPr>
              <w:t>l’appelante (34235-34393).</w:t>
            </w:r>
          </w:p>
          <w:p w:rsidR="0036566A" w:rsidRPr="0018283C" w:rsidRDefault="0036566A" w:rsidP="0036566A">
            <w:pPr>
              <w:jc w:val="both"/>
              <w:rPr>
                <w:sz w:val="20"/>
                <w:szCs w:val="20"/>
                <w:lang w:val="fr-CA"/>
              </w:rPr>
            </w:pPr>
          </w:p>
          <w:p w:rsidR="0036566A" w:rsidRPr="0018283C" w:rsidRDefault="0036566A" w:rsidP="0036566A">
            <w:pPr>
              <w:jc w:val="both"/>
              <w:rPr>
                <w:sz w:val="20"/>
                <w:szCs w:val="20"/>
                <w:lang w:val="fr-CA"/>
              </w:rPr>
            </w:pPr>
            <w:r w:rsidRPr="0018283C">
              <w:rPr>
                <w:sz w:val="20"/>
                <w:szCs w:val="20"/>
                <w:lang w:val="fr-CA"/>
              </w:rPr>
              <w:t>Pierre Cossette</w:t>
            </w:r>
            <w:r>
              <w:rPr>
                <w:sz w:val="20"/>
                <w:szCs w:val="20"/>
                <w:lang w:val="fr-CA"/>
              </w:rPr>
              <w:t xml:space="preserve"> et </w:t>
            </w:r>
            <w:r w:rsidRPr="0018283C">
              <w:rPr>
                <w:sz w:val="20"/>
                <w:szCs w:val="20"/>
                <w:lang w:val="fr-CA"/>
              </w:rPr>
              <w:t>Susan Shaughnessy</w:t>
            </w:r>
            <w:r>
              <w:rPr>
                <w:sz w:val="20"/>
                <w:szCs w:val="20"/>
                <w:lang w:val="fr-CA"/>
              </w:rPr>
              <w:t xml:space="preserve"> p</w:t>
            </w:r>
            <w:r w:rsidRPr="0018283C">
              <w:rPr>
                <w:sz w:val="20"/>
                <w:szCs w:val="20"/>
                <w:lang w:val="fr-CA"/>
              </w:rPr>
              <w:t>our l’intervenant (34235-34393)</w:t>
            </w:r>
            <w:r>
              <w:rPr>
                <w:sz w:val="20"/>
                <w:szCs w:val="20"/>
                <w:lang w:val="fr-CA"/>
              </w:rPr>
              <w:t>.</w:t>
            </w:r>
          </w:p>
          <w:p w:rsidR="0036566A" w:rsidRPr="0018283C" w:rsidRDefault="0036566A" w:rsidP="0036566A">
            <w:pPr>
              <w:jc w:val="both"/>
              <w:rPr>
                <w:sz w:val="20"/>
                <w:szCs w:val="20"/>
                <w:lang w:val="fr-CA"/>
              </w:rPr>
            </w:pPr>
          </w:p>
          <w:p w:rsidR="0036566A" w:rsidRPr="0018283C" w:rsidRDefault="0036566A" w:rsidP="0036566A">
            <w:pPr>
              <w:jc w:val="both"/>
              <w:rPr>
                <w:sz w:val="20"/>
                <w:szCs w:val="20"/>
                <w:lang w:val="fr-CA"/>
              </w:rPr>
            </w:pPr>
            <w:r w:rsidRPr="0018283C">
              <w:rPr>
                <w:sz w:val="20"/>
                <w:szCs w:val="20"/>
                <w:lang w:val="fr-CA"/>
              </w:rPr>
              <w:t>Dominic Belley</w:t>
            </w:r>
            <w:r>
              <w:rPr>
                <w:sz w:val="20"/>
                <w:szCs w:val="20"/>
                <w:lang w:val="fr-CA"/>
              </w:rPr>
              <w:t xml:space="preserve"> p</w:t>
            </w:r>
            <w:r w:rsidRPr="0018283C">
              <w:rPr>
                <w:sz w:val="20"/>
                <w:szCs w:val="20"/>
                <w:lang w:val="fr-CA"/>
              </w:rPr>
              <w:t>our les intimés (34235).</w:t>
            </w:r>
          </w:p>
          <w:p w:rsidR="0036566A" w:rsidRPr="0018283C" w:rsidRDefault="0036566A" w:rsidP="0036566A">
            <w:pPr>
              <w:jc w:val="both"/>
              <w:rPr>
                <w:sz w:val="20"/>
                <w:szCs w:val="20"/>
                <w:lang w:val="fr-CA"/>
              </w:rPr>
            </w:pPr>
          </w:p>
          <w:p w:rsidR="00B670AC" w:rsidRPr="00516FD5" w:rsidRDefault="0036566A" w:rsidP="0036566A">
            <w:pPr>
              <w:widowControl w:val="0"/>
              <w:jc w:val="both"/>
              <w:rPr>
                <w:sz w:val="20"/>
                <w:szCs w:val="20"/>
                <w:lang w:val="fr-CA"/>
              </w:rPr>
            </w:pPr>
            <w:r w:rsidRPr="0018283C">
              <w:rPr>
                <w:sz w:val="20"/>
                <w:szCs w:val="20"/>
                <w:lang w:val="fr-CA"/>
              </w:rPr>
              <w:t>Bruno Racine</w:t>
            </w:r>
            <w:r>
              <w:rPr>
                <w:sz w:val="20"/>
                <w:szCs w:val="20"/>
                <w:lang w:val="fr-CA"/>
              </w:rPr>
              <w:t xml:space="preserve"> et </w:t>
            </w:r>
            <w:r w:rsidRPr="0018283C">
              <w:rPr>
                <w:sz w:val="20"/>
                <w:szCs w:val="20"/>
                <w:lang w:val="fr-CA"/>
              </w:rPr>
              <w:t>Marc-Antoine St-Pierre</w:t>
            </w:r>
            <w:r>
              <w:rPr>
                <w:sz w:val="20"/>
                <w:szCs w:val="20"/>
                <w:lang w:val="fr-CA"/>
              </w:rPr>
              <w:t xml:space="preserve"> p</w:t>
            </w:r>
            <w:r w:rsidRPr="0018283C">
              <w:rPr>
                <w:sz w:val="20"/>
                <w:szCs w:val="20"/>
                <w:lang w:val="fr-CA"/>
              </w:rPr>
              <w:t>our les intimés (34393).</w:t>
            </w:r>
          </w:p>
        </w:tc>
      </w:tr>
    </w:tbl>
    <w:p w:rsidR="00B670AC" w:rsidRPr="00516FD5" w:rsidRDefault="00B670AC" w:rsidP="00B670AC">
      <w:pPr>
        <w:widowControl w:val="0"/>
        <w:rPr>
          <w:lang w:val="fr-CA"/>
        </w:rPr>
      </w:pPr>
    </w:p>
    <w:p w:rsidR="00B670AC" w:rsidRPr="0085476B" w:rsidRDefault="00B670AC" w:rsidP="00B670AC">
      <w:pPr>
        <w:widowControl w:val="0"/>
        <w:rPr>
          <w:sz w:val="20"/>
          <w:szCs w:val="20"/>
        </w:rPr>
      </w:pPr>
      <w:r w:rsidRPr="0085476B">
        <w:rPr>
          <w:b/>
          <w:sz w:val="20"/>
          <w:szCs w:val="20"/>
        </w:rPr>
        <w:t xml:space="preserve">RESERVED / </w:t>
      </w:r>
      <w:r w:rsidRPr="0085476B">
        <w:rPr>
          <w:b/>
          <w:sz w:val="20"/>
          <w:szCs w:val="20"/>
          <w:lang w:val="fr-CA"/>
        </w:rPr>
        <w:t>EN DÉLIBÉRÉ</w:t>
      </w:r>
    </w:p>
    <w:p w:rsidR="00B670AC" w:rsidRDefault="00B670AC" w:rsidP="00B670AC"/>
    <w:tbl>
      <w:tblPr>
        <w:tblW w:w="0" w:type="auto"/>
        <w:tblLayout w:type="fixed"/>
        <w:tblCellMar>
          <w:left w:w="0" w:type="dxa"/>
          <w:right w:w="0" w:type="dxa"/>
        </w:tblCellMar>
        <w:tblLook w:val="0000"/>
      </w:tblPr>
      <w:tblGrid>
        <w:gridCol w:w="4380"/>
        <w:gridCol w:w="720"/>
        <w:gridCol w:w="4380"/>
      </w:tblGrid>
      <w:tr w:rsidR="00B670AC" w:rsidRPr="005324FE" w:rsidTr="00B670AC">
        <w:tc>
          <w:tcPr>
            <w:tcW w:w="4380" w:type="dxa"/>
            <w:tcMar>
              <w:left w:w="0" w:type="dxa"/>
              <w:right w:w="0" w:type="dxa"/>
            </w:tcMar>
          </w:tcPr>
          <w:p w:rsidR="00B670AC" w:rsidRPr="00CC4D84" w:rsidRDefault="00B670AC" w:rsidP="00B670AC">
            <w:pPr>
              <w:widowControl w:val="0"/>
              <w:jc w:val="both"/>
              <w:rPr>
                <w:b/>
                <w:sz w:val="20"/>
                <w:szCs w:val="20"/>
                <w:u w:val="single"/>
              </w:rPr>
            </w:pPr>
            <w:r w:rsidRPr="00CC4D84">
              <w:rPr>
                <w:b/>
                <w:sz w:val="20"/>
                <w:szCs w:val="20"/>
                <w:u w:val="single"/>
              </w:rPr>
              <w:t>Nature of the case</w:t>
            </w:r>
            <w:r w:rsidR="002C4A64">
              <w:rPr>
                <w:b/>
                <w:sz w:val="20"/>
                <w:szCs w:val="20"/>
                <w:u w:val="single"/>
              </w:rPr>
              <w:t xml:space="preserve"> - 34235</w:t>
            </w:r>
            <w:r w:rsidRPr="00CC4D84">
              <w:rPr>
                <w:b/>
                <w:sz w:val="20"/>
                <w:szCs w:val="20"/>
                <w:u w:val="single"/>
              </w:rPr>
              <w:t>:</w:t>
            </w:r>
          </w:p>
          <w:p w:rsidR="00B670AC" w:rsidRPr="00C1697B" w:rsidRDefault="00B670AC" w:rsidP="00B670AC">
            <w:pPr>
              <w:widowControl w:val="0"/>
              <w:jc w:val="both"/>
              <w:rPr>
                <w:b/>
                <w:sz w:val="20"/>
                <w:szCs w:val="20"/>
              </w:rPr>
            </w:pPr>
          </w:p>
          <w:p w:rsidR="00B670AC" w:rsidRPr="00C1697B" w:rsidRDefault="002C4A64" w:rsidP="00B670AC">
            <w:pPr>
              <w:widowControl w:val="0"/>
              <w:jc w:val="both"/>
              <w:rPr>
                <w:b/>
                <w:sz w:val="20"/>
                <w:szCs w:val="20"/>
              </w:rPr>
            </w:pPr>
            <w:r w:rsidRPr="00E51554">
              <w:rPr>
                <w:sz w:val="20"/>
                <w:szCs w:val="20"/>
              </w:rPr>
              <w:t xml:space="preserve">Contracts </w:t>
            </w:r>
            <w:r w:rsidRPr="00E51554">
              <w:rPr>
                <w:sz w:val="20"/>
                <w:szCs w:val="20"/>
              </w:rPr>
              <w:noBreakHyphen/>
              <w:t xml:space="preserve"> Interpretation </w:t>
            </w:r>
            <w:r w:rsidRPr="00E51554">
              <w:rPr>
                <w:sz w:val="20"/>
                <w:szCs w:val="20"/>
              </w:rPr>
              <w:noBreakHyphen/>
              <w:t xml:space="preserve"> Error </w:t>
            </w:r>
            <w:r w:rsidRPr="00E51554">
              <w:rPr>
                <w:sz w:val="20"/>
                <w:szCs w:val="20"/>
              </w:rPr>
              <w:noBreakHyphen/>
              <w:t xml:space="preserve"> Rectification </w:t>
            </w:r>
            <w:r w:rsidRPr="00E51554">
              <w:rPr>
                <w:sz w:val="20"/>
                <w:szCs w:val="20"/>
              </w:rPr>
              <w:noBreakHyphen/>
              <w:t xml:space="preserve"> Whether, under Quebec civil law, court may rectify or amend written instrument or contractual document because of unforeseen tax consequences </w:t>
            </w:r>
            <w:r w:rsidRPr="00E51554">
              <w:rPr>
                <w:sz w:val="20"/>
                <w:szCs w:val="20"/>
              </w:rPr>
              <w:noBreakHyphen/>
              <w:t xml:space="preserve"> </w:t>
            </w:r>
            <w:r w:rsidRPr="00E51554">
              <w:rPr>
                <w:i/>
                <w:iCs/>
                <w:sz w:val="20"/>
                <w:szCs w:val="20"/>
              </w:rPr>
              <w:t>Civil Code of Québec</w:t>
            </w:r>
            <w:r w:rsidRPr="00E51554">
              <w:rPr>
                <w:sz w:val="20"/>
                <w:szCs w:val="20"/>
              </w:rPr>
              <w:t>, S.Q. 1991, c. 64, art. 1425.</w:t>
            </w:r>
          </w:p>
        </w:tc>
        <w:tc>
          <w:tcPr>
            <w:tcW w:w="720" w:type="dxa"/>
            <w:tcMar>
              <w:left w:w="0" w:type="dxa"/>
              <w:right w:w="0" w:type="dxa"/>
            </w:tcMar>
          </w:tcPr>
          <w:p w:rsidR="00B670AC" w:rsidRPr="00C1697B" w:rsidRDefault="00B670AC" w:rsidP="00B670AC">
            <w:pPr>
              <w:widowControl w:val="0"/>
              <w:jc w:val="center"/>
              <w:rPr>
                <w:sz w:val="20"/>
                <w:szCs w:val="20"/>
              </w:rPr>
            </w:pPr>
          </w:p>
        </w:tc>
        <w:tc>
          <w:tcPr>
            <w:tcW w:w="4380" w:type="dxa"/>
            <w:tcMar>
              <w:left w:w="0" w:type="dxa"/>
              <w:right w:w="0" w:type="dxa"/>
            </w:tcMar>
          </w:tcPr>
          <w:p w:rsidR="00B670AC" w:rsidRPr="00CC4D84" w:rsidRDefault="00B670AC" w:rsidP="00B670AC">
            <w:pPr>
              <w:widowControl w:val="0"/>
              <w:jc w:val="both"/>
              <w:rPr>
                <w:b/>
                <w:sz w:val="20"/>
                <w:szCs w:val="20"/>
                <w:u w:val="single"/>
                <w:lang w:val="fr-CA"/>
              </w:rPr>
            </w:pPr>
            <w:r w:rsidRPr="00CC4D84">
              <w:rPr>
                <w:b/>
                <w:sz w:val="20"/>
                <w:szCs w:val="20"/>
                <w:u w:val="single"/>
                <w:lang w:val="fr-CA"/>
              </w:rPr>
              <w:t xml:space="preserve">Nature de la cause </w:t>
            </w:r>
            <w:r w:rsidR="002C4A64">
              <w:rPr>
                <w:b/>
                <w:sz w:val="20"/>
                <w:szCs w:val="20"/>
                <w:u w:val="single"/>
                <w:lang w:val="fr-CA"/>
              </w:rPr>
              <w:t xml:space="preserve">- 34235 </w:t>
            </w:r>
            <w:r w:rsidRPr="00CC4D84">
              <w:rPr>
                <w:b/>
                <w:sz w:val="20"/>
                <w:szCs w:val="20"/>
                <w:u w:val="single"/>
                <w:lang w:val="fr-CA"/>
              </w:rPr>
              <w:t>:</w:t>
            </w:r>
          </w:p>
          <w:p w:rsidR="00B670AC" w:rsidRPr="00C1697B" w:rsidRDefault="00B670AC" w:rsidP="00B670AC">
            <w:pPr>
              <w:widowControl w:val="0"/>
              <w:jc w:val="both"/>
              <w:rPr>
                <w:sz w:val="20"/>
                <w:szCs w:val="20"/>
                <w:lang w:val="fr-CA"/>
              </w:rPr>
            </w:pPr>
          </w:p>
          <w:p w:rsidR="00B670AC" w:rsidRPr="00C1697B" w:rsidRDefault="002C4A64" w:rsidP="00B670AC">
            <w:pPr>
              <w:widowControl w:val="0"/>
              <w:jc w:val="both"/>
              <w:rPr>
                <w:sz w:val="20"/>
                <w:szCs w:val="20"/>
                <w:lang w:val="fr-CA"/>
              </w:rPr>
            </w:pPr>
            <w:r w:rsidRPr="009D76FA">
              <w:rPr>
                <w:sz w:val="20"/>
                <w:szCs w:val="20"/>
                <w:lang w:val="fr-CA"/>
              </w:rPr>
              <w:t xml:space="preserve">Contrats </w:t>
            </w:r>
            <w:r w:rsidRPr="009D76FA">
              <w:rPr>
                <w:sz w:val="20"/>
                <w:szCs w:val="20"/>
                <w:lang w:val="fr-CA"/>
              </w:rPr>
              <w:noBreakHyphen/>
              <w:t xml:space="preserve"> Interprétation </w:t>
            </w:r>
            <w:r w:rsidRPr="009D76FA">
              <w:rPr>
                <w:sz w:val="20"/>
                <w:szCs w:val="20"/>
                <w:lang w:val="fr-CA"/>
              </w:rPr>
              <w:noBreakHyphen/>
              <w:t xml:space="preserve"> Erreur </w:t>
            </w:r>
            <w:r w:rsidRPr="009D76FA">
              <w:rPr>
                <w:sz w:val="20"/>
                <w:szCs w:val="20"/>
                <w:lang w:val="fr-CA"/>
              </w:rPr>
              <w:noBreakHyphen/>
              <w:t xml:space="preserve"> Rectification </w:t>
            </w:r>
            <w:r w:rsidRPr="009D76FA">
              <w:rPr>
                <w:sz w:val="20"/>
                <w:szCs w:val="20"/>
                <w:lang w:val="fr-CA"/>
              </w:rPr>
              <w:noBreakHyphen/>
              <w:t xml:space="preserve"> Un tribunal peut</w:t>
            </w:r>
            <w:r w:rsidRPr="009D76FA">
              <w:rPr>
                <w:sz w:val="20"/>
                <w:szCs w:val="20"/>
                <w:lang w:val="fr-CA"/>
              </w:rPr>
              <w:noBreakHyphen/>
              <w:t xml:space="preserve">il, en vertu du droit civil québécois, rectifier ou modifier un écrit ou un document contractuel au motif de conséquences fiscales inattendues? </w:t>
            </w:r>
            <w:r w:rsidRPr="009D76FA">
              <w:rPr>
                <w:sz w:val="20"/>
                <w:szCs w:val="20"/>
                <w:lang w:val="fr-CA"/>
              </w:rPr>
              <w:noBreakHyphen/>
              <w:t xml:space="preserve"> </w:t>
            </w:r>
            <w:r w:rsidRPr="009D76FA">
              <w:rPr>
                <w:i/>
                <w:sz w:val="20"/>
                <w:szCs w:val="20"/>
                <w:lang w:val="fr-CA"/>
              </w:rPr>
              <w:t>Code civil du Québec</w:t>
            </w:r>
            <w:r w:rsidRPr="009D76FA">
              <w:rPr>
                <w:sz w:val="20"/>
                <w:szCs w:val="20"/>
                <w:lang w:val="fr-CA"/>
              </w:rPr>
              <w:t>, L.Q. 1991, ch. 64, art. 1425.</w:t>
            </w:r>
          </w:p>
        </w:tc>
      </w:tr>
    </w:tbl>
    <w:p w:rsidR="00B670AC" w:rsidRDefault="00B670AC" w:rsidP="00B670AC">
      <w:pPr>
        <w:widowControl w:val="0"/>
        <w:rPr>
          <w:sz w:val="20"/>
          <w:szCs w:val="20"/>
          <w:lang w:val="fr-CA"/>
        </w:rPr>
      </w:pPr>
    </w:p>
    <w:tbl>
      <w:tblPr>
        <w:tblW w:w="0" w:type="auto"/>
        <w:tblLayout w:type="fixed"/>
        <w:tblCellMar>
          <w:left w:w="0" w:type="dxa"/>
          <w:right w:w="0" w:type="dxa"/>
        </w:tblCellMar>
        <w:tblLook w:val="0000"/>
      </w:tblPr>
      <w:tblGrid>
        <w:gridCol w:w="4380"/>
        <w:gridCol w:w="720"/>
        <w:gridCol w:w="4380"/>
      </w:tblGrid>
      <w:tr w:rsidR="002C4A64" w:rsidRPr="005324FE" w:rsidTr="002C4A64">
        <w:tc>
          <w:tcPr>
            <w:tcW w:w="4380" w:type="dxa"/>
            <w:tcMar>
              <w:left w:w="0" w:type="dxa"/>
              <w:right w:w="0" w:type="dxa"/>
            </w:tcMar>
          </w:tcPr>
          <w:p w:rsidR="002C4A64" w:rsidRPr="00CC4D84" w:rsidRDefault="002C4A64" w:rsidP="002C4A64">
            <w:pPr>
              <w:widowControl w:val="0"/>
              <w:jc w:val="both"/>
              <w:rPr>
                <w:b/>
                <w:sz w:val="20"/>
                <w:szCs w:val="20"/>
                <w:u w:val="single"/>
              </w:rPr>
            </w:pPr>
            <w:r w:rsidRPr="00CC4D84">
              <w:rPr>
                <w:b/>
                <w:sz w:val="20"/>
                <w:szCs w:val="20"/>
                <w:u w:val="single"/>
              </w:rPr>
              <w:t>Nature of the case</w:t>
            </w:r>
            <w:r>
              <w:rPr>
                <w:b/>
                <w:sz w:val="20"/>
                <w:szCs w:val="20"/>
                <w:u w:val="single"/>
              </w:rPr>
              <w:t xml:space="preserve"> - 34393</w:t>
            </w:r>
            <w:r w:rsidRPr="00CC4D84">
              <w:rPr>
                <w:b/>
                <w:sz w:val="20"/>
                <w:szCs w:val="20"/>
                <w:u w:val="single"/>
              </w:rPr>
              <w:t>:</w:t>
            </w:r>
          </w:p>
          <w:p w:rsidR="002C4A64" w:rsidRPr="00C1697B" w:rsidRDefault="002C4A64" w:rsidP="002C4A64">
            <w:pPr>
              <w:widowControl w:val="0"/>
              <w:jc w:val="both"/>
              <w:rPr>
                <w:b/>
                <w:sz w:val="20"/>
                <w:szCs w:val="20"/>
              </w:rPr>
            </w:pPr>
          </w:p>
          <w:p w:rsidR="002C4A64" w:rsidRPr="00C1697B" w:rsidRDefault="002C4A64" w:rsidP="002C4A64">
            <w:pPr>
              <w:widowControl w:val="0"/>
              <w:jc w:val="both"/>
              <w:rPr>
                <w:b/>
                <w:sz w:val="20"/>
                <w:szCs w:val="20"/>
              </w:rPr>
            </w:pPr>
            <w:r w:rsidRPr="009F7D49">
              <w:rPr>
                <w:sz w:val="20"/>
                <w:szCs w:val="20"/>
              </w:rPr>
              <w:t xml:space="preserve">Contracts </w:t>
            </w:r>
            <w:r w:rsidRPr="009F7D49">
              <w:rPr>
                <w:sz w:val="20"/>
                <w:szCs w:val="20"/>
              </w:rPr>
              <w:noBreakHyphen/>
              <w:t xml:space="preserve"> Interpretation </w:t>
            </w:r>
            <w:r w:rsidRPr="009F7D49">
              <w:rPr>
                <w:sz w:val="20"/>
                <w:szCs w:val="20"/>
              </w:rPr>
              <w:noBreakHyphen/>
              <w:t xml:space="preserve"> Error </w:t>
            </w:r>
            <w:r w:rsidRPr="009F7D49">
              <w:rPr>
                <w:sz w:val="20"/>
                <w:szCs w:val="20"/>
              </w:rPr>
              <w:noBreakHyphen/>
              <w:t xml:space="preserve"> Rectification </w:t>
            </w:r>
            <w:r w:rsidRPr="009F7D49">
              <w:rPr>
                <w:sz w:val="20"/>
                <w:szCs w:val="20"/>
              </w:rPr>
              <w:noBreakHyphen/>
              <w:t xml:space="preserve"> Whether, under Quebec civil law, court can rectify or amend contractual document or writing on ground of unintended tax consequences </w:t>
            </w:r>
            <w:r w:rsidRPr="009F7D49">
              <w:rPr>
                <w:sz w:val="20"/>
                <w:szCs w:val="20"/>
              </w:rPr>
              <w:noBreakHyphen/>
              <w:t xml:space="preserve"> Whether, under Quebec civil law, court can annul contractual document or writing on ground of unintended tax consequences </w:t>
            </w:r>
            <w:r w:rsidRPr="009F7D49">
              <w:rPr>
                <w:sz w:val="20"/>
                <w:szCs w:val="20"/>
              </w:rPr>
              <w:noBreakHyphen/>
              <w:t xml:space="preserve"> </w:t>
            </w:r>
            <w:r w:rsidRPr="009F7D49">
              <w:rPr>
                <w:i/>
                <w:sz w:val="20"/>
                <w:szCs w:val="20"/>
              </w:rPr>
              <w:t>Civil Code of Québec</w:t>
            </w:r>
            <w:r w:rsidRPr="009F7D49">
              <w:rPr>
                <w:sz w:val="20"/>
                <w:szCs w:val="20"/>
              </w:rPr>
              <w:t>, S.Q. 1991, c. 91, arts. 1400 and 1425.</w:t>
            </w:r>
          </w:p>
        </w:tc>
        <w:tc>
          <w:tcPr>
            <w:tcW w:w="720" w:type="dxa"/>
            <w:tcMar>
              <w:left w:w="0" w:type="dxa"/>
              <w:right w:w="0" w:type="dxa"/>
            </w:tcMar>
          </w:tcPr>
          <w:p w:rsidR="002C4A64" w:rsidRPr="00C1697B" w:rsidRDefault="002C4A64" w:rsidP="002C4A64">
            <w:pPr>
              <w:widowControl w:val="0"/>
              <w:jc w:val="center"/>
              <w:rPr>
                <w:sz w:val="20"/>
                <w:szCs w:val="20"/>
              </w:rPr>
            </w:pPr>
          </w:p>
        </w:tc>
        <w:tc>
          <w:tcPr>
            <w:tcW w:w="4380" w:type="dxa"/>
            <w:tcMar>
              <w:left w:w="0" w:type="dxa"/>
              <w:right w:w="0" w:type="dxa"/>
            </w:tcMar>
          </w:tcPr>
          <w:p w:rsidR="002C4A64" w:rsidRPr="00CC4D84" w:rsidRDefault="002C4A64" w:rsidP="002C4A64">
            <w:pPr>
              <w:widowControl w:val="0"/>
              <w:jc w:val="both"/>
              <w:rPr>
                <w:b/>
                <w:sz w:val="20"/>
                <w:szCs w:val="20"/>
                <w:u w:val="single"/>
                <w:lang w:val="fr-CA"/>
              </w:rPr>
            </w:pPr>
            <w:r w:rsidRPr="00CC4D84">
              <w:rPr>
                <w:b/>
                <w:sz w:val="20"/>
                <w:szCs w:val="20"/>
                <w:u w:val="single"/>
                <w:lang w:val="fr-CA"/>
              </w:rPr>
              <w:t>Nature de la cause</w:t>
            </w:r>
            <w:r>
              <w:rPr>
                <w:b/>
                <w:sz w:val="20"/>
                <w:szCs w:val="20"/>
                <w:u w:val="single"/>
                <w:lang w:val="fr-CA"/>
              </w:rPr>
              <w:t xml:space="preserve"> -</w:t>
            </w:r>
            <w:r w:rsidRPr="00CC4D84">
              <w:rPr>
                <w:b/>
                <w:sz w:val="20"/>
                <w:szCs w:val="20"/>
                <w:u w:val="single"/>
                <w:lang w:val="fr-CA"/>
              </w:rPr>
              <w:t xml:space="preserve"> </w:t>
            </w:r>
            <w:r>
              <w:rPr>
                <w:b/>
                <w:sz w:val="20"/>
                <w:szCs w:val="20"/>
                <w:u w:val="single"/>
                <w:lang w:val="fr-CA"/>
              </w:rPr>
              <w:t xml:space="preserve">34393 </w:t>
            </w:r>
            <w:r w:rsidRPr="00CC4D84">
              <w:rPr>
                <w:b/>
                <w:sz w:val="20"/>
                <w:szCs w:val="20"/>
                <w:u w:val="single"/>
                <w:lang w:val="fr-CA"/>
              </w:rPr>
              <w:t>:</w:t>
            </w:r>
          </w:p>
          <w:p w:rsidR="002C4A64" w:rsidRPr="00C1697B" w:rsidRDefault="002C4A64" w:rsidP="002C4A64">
            <w:pPr>
              <w:widowControl w:val="0"/>
              <w:jc w:val="both"/>
              <w:rPr>
                <w:sz w:val="20"/>
                <w:szCs w:val="20"/>
                <w:lang w:val="fr-CA"/>
              </w:rPr>
            </w:pPr>
          </w:p>
          <w:p w:rsidR="002C4A64" w:rsidRPr="00C1697B" w:rsidRDefault="002C4A64" w:rsidP="002C4A64">
            <w:pPr>
              <w:widowControl w:val="0"/>
              <w:jc w:val="both"/>
              <w:rPr>
                <w:sz w:val="20"/>
                <w:szCs w:val="20"/>
                <w:lang w:val="fr-CA"/>
              </w:rPr>
            </w:pPr>
            <w:r w:rsidRPr="00366388">
              <w:rPr>
                <w:sz w:val="20"/>
                <w:szCs w:val="20"/>
                <w:lang w:val="fr-CA"/>
              </w:rPr>
              <w:t xml:space="preserve">Contrats </w:t>
            </w:r>
            <w:r w:rsidRPr="00366388">
              <w:rPr>
                <w:sz w:val="20"/>
                <w:szCs w:val="20"/>
                <w:lang w:val="fr-CA"/>
              </w:rPr>
              <w:noBreakHyphen/>
              <w:t xml:space="preserve"> Interprétation </w:t>
            </w:r>
            <w:r w:rsidRPr="00366388">
              <w:rPr>
                <w:sz w:val="20"/>
                <w:szCs w:val="20"/>
                <w:lang w:val="fr-CA"/>
              </w:rPr>
              <w:noBreakHyphen/>
              <w:t xml:space="preserve"> Erreur </w:t>
            </w:r>
            <w:r w:rsidRPr="00366388">
              <w:rPr>
                <w:sz w:val="20"/>
                <w:szCs w:val="20"/>
                <w:lang w:val="fr-CA"/>
              </w:rPr>
              <w:noBreakHyphen/>
              <w:t xml:space="preserve"> Rectification </w:t>
            </w:r>
            <w:r w:rsidRPr="00366388">
              <w:rPr>
                <w:sz w:val="20"/>
                <w:szCs w:val="20"/>
                <w:lang w:val="fr-CA"/>
              </w:rPr>
              <w:noBreakHyphen/>
              <w:t xml:space="preserve"> Un tribunal peut</w:t>
            </w:r>
            <w:r w:rsidRPr="00366388">
              <w:rPr>
                <w:sz w:val="20"/>
                <w:szCs w:val="20"/>
                <w:lang w:val="fr-CA"/>
              </w:rPr>
              <w:noBreakHyphen/>
              <w:t xml:space="preserve">il, en vertu du droit civil québécois, rectifier ou modifier un écrit ou un document contractuel au motif de conséquences fiscales inattendues? </w:t>
            </w:r>
            <w:r w:rsidRPr="00366388">
              <w:rPr>
                <w:sz w:val="20"/>
                <w:szCs w:val="20"/>
                <w:lang w:val="fr-CA"/>
              </w:rPr>
              <w:noBreakHyphen/>
              <w:t xml:space="preserve"> Un tribunal peut</w:t>
            </w:r>
            <w:r w:rsidRPr="00366388">
              <w:rPr>
                <w:sz w:val="20"/>
                <w:szCs w:val="20"/>
                <w:lang w:val="fr-CA"/>
              </w:rPr>
              <w:noBreakHyphen/>
              <w:t xml:space="preserve">il, en vertu du droit civil québécois, annuler un écrit ou un document contractuel au motif de conséquences fiscales inattendues? </w:t>
            </w:r>
            <w:r w:rsidRPr="00366388">
              <w:rPr>
                <w:sz w:val="20"/>
                <w:szCs w:val="20"/>
                <w:lang w:val="fr-CA"/>
              </w:rPr>
              <w:noBreakHyphen/>
              <w:t xml:space="preserve"> </w:t>
            </w:r>
            <w:r w:rsidRPr="00366388">
              <w:rPr>
                <w:i/>
                <w:sz w:val="20"/>
                <w:szCs w:val="20"/>
                <w:lang w:val="fr-CA"/>
              </w:rPr>
              <w:t>Code civil du Québec</w:t>
            </w:r>
            <w:r w:rsidRPr="00366388">
              <w:rPr>
                <w:sz w:val="20"/>
                <w:szCs w:val="20"/>
                <w:lang w:val="fr-CA"/>
              </w:rPr>
              <w:t>, L.Q. 1991, ch. 91, art. 1400 et 1425.</w:t>
            </w:r>
          </w:p>
        </w:tc>
      </w:tr>
    </w:tbl>
    <w:p w:rsidR="002C4A64" w:rsidRDefault="002C4A64" w:rsidP="00B670AC">
      <w:pPr>
        <w:widowControl w:val="0"/>
        <w:rPr>
          <w:sz w:val="20"/>
          <w:szCs w:val="20"/>
          <w:lang w:val="fr-CA"/>
        </w:rPr>
      </w:pPr>
    </w:p>
    <w:p w:rsidR="00B670AC" w:rsidRDefault="00BF3B03" w:rsidP="00B670AC">
      <w:pPr>
        <w:widowControl w:val="0"/>
        <w:rPr>
          <w:sz w:val="20"/>
          <w:szCs w:val="20"/>
        </w:rPr>
      </w:pPr>
      <w:r w:rsidRPr="00BF3B03">
        <w:rPr>
          <w:sz w:val="20"/>
          <w:szCs w:val="20"/>
          <w:lang w:val="fr-CA"/>
        </w:rPr>
        <w:pict>
          <v:rect id="_x0000_i1098" style="width:2in;height:1pt" o:hrpct="0" o:hralign="center" o:hrstd="t" o:hrnoshade="t" o:hr="t" fillcolor="black [3213]" stroked="f"/>
        </w:pict>
      </w:r>
    </w:p>
    <w:p w:rsidR="00B670AC" w:rsidRDefault="00B670AC" w:rsidP="00B670AC">
      <w:pPr>
        <w:widowControl w:val="0"/>
        <w:rPr>
          <w:sz w:val="20"/>
          <w:szCs w:val="20"/>
        </w:rPr>
      </w:pPr>
    </w:p>
    <w:p w:rsidR="00E940EB" w:rsidRPr="00C1697B" w:rsidRDefault="00E940EB"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DC2D1F"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3957EF" w:rsidP="00AF1715">
      <w:pPr>
        <w:rPr>
          <w:b/>
          <w:sz w:val="20"/>
          <w:szCs w:val="20"/>
        </w:rPr>
      </w:pPr>
      <w:r>
        <w:rPr>
          <w:b/>
          <w:sz w:val="20"/>
          <w:szCs w:val="20"/>
        </w:rPr>
        <w:t>NOVEM</w:t>
      </w:r>
      <w:r w:rsidR="00AF1715" w:rsidRPr="003B3977">
        <w:rPr>
          <w:b/>
          <w:sz w:val="20"/>
          <w:szCs w:val="20"/>
        </w:rPr>
        <w:t xml:space="preserve">BER </w:t>
      </w:r>
      <w:r>
        <w:rPr>
          <w:b/>
          <w:sz w:val="20"/>
          <w:szCs w:val="20"/>
        </w:rPr>
        <w:t>7</w:t>
      </w:r>
      <w:r w:rsidR="00AF1715" w:rsidRPr="003B3977">
        <w:rPr>
          <w:b/>
          <w:sz w:val="20"/>
          <w:szCs w:val="20"/>
        </w:rPr>
        <w:t>, 201</w:t>
      </w:r>
      <w:r w:rsidR="004E1E0A">
        <w:rPr>
          <w:b/>
          <w:sz w:val="20"/>
          <w:szCs w:val="20"/>
        </w:rPr>
        <w:t>2</w:t>
      </w:r>
      <w:r w:rsidR="00AF1715" w:rsidRPr="003B3977">
        <w:rPr>
          <w:b/>
          <w:sz w:val="20"/>
          <w:szCs w:val="20"/>
        </w:rPr>
        <w:t xml:space="preserve"> / LE </w:t>
      </w:r>
      <w:r>
        <w:rPr>
          <w:b/>
          <w:sz w:val="20"/>
          <w:szCs w:val="20"/>
        </w:rPr>
        <w:t>7 NOVEM</w:t>
      </w:r>
      <w:r w:rsidR="00AF1715" w:rsidRPr="003B3977">
        <w:rPr>
          <w:b/>
          <w:sz w:val="20"/>
          <w:szCs w:val="20"/>
        </w:rPr>
        <w:t>BRE 201</w:t>
      </w:r>
      <w:r w:rsidR="004E1E0A">
        <w:rPr>
          <w:b/>
          <w:sz w:val="20"/>
          <w:szCs w:val="20"/>
        </w:rPr>
        <w:t>2</w:t>
      </w:r>
    </w:p>
    <w:p w:rsidR="00AF1715" w:rsidRDefault="00AF1715" w:rsidP="00AF1715">
      <w:pPr>
        <w:rPr>
          <w:sz w:val="20"/>
          <w:szCs w:val="20"/>
        </w:rPr>
      </w:pPr>
    </w:p>
    <w:p w:rsidR="00680B0A" w:rsidRPr="00680B0A" w:rsidRDefault="00680B0A" w:rsidP="00680B0A">
      <w:pPr>
        <w:pStyle w:val="SCCLsocParty"/>
        <w:ind w:left="1440" w:hanging="1440"/>
        <w:rPr>
          <w:rStyle w:val="Hyperlink"/>
          <w:i w:val="0"/>
          <w:color w:val="auto"/>
          <w:sz w:val="20"/>
          <w:szCs w:val="20"/>
          <w:lang w:val="en-US"/>
        </w:rPr>
      </w:pPr>
      <w:r w:rsidRPr="00680B0A">
        <w:rPr>
          <w:b/>
          <w:i w:val="0"/>
          <w:sz w:val="20"/>
          <w:szCs w:val="20"/>
          <w:lang w:val="en-US"/>
        </w:rPr>
        <w:t>34228</w:t>
      </w:r>
      <w:r w:rsidRPr="00680B0A">
        <w:rPr>
          <w:b/>
          <w:i w:val="0"/>
          <w:sz w:val="20"/>
          <w:szCs w:val="20"/>
          <w:lang w:val="en-US"/>
        </w:rPr>
        <w:tab/>
      </w:r>
      <w:r w:rsidRPr="00680B0A">
        <w:rPr>
          <w:b/>
          <w:i w:val="0"/>
          <w:sz w:val="20"/>
          <w:szCs w:val="20"/>
          <w:u w:val="single"/>
          <w:lang w:val="en-US"/>
        </w:rPr>
        <w:t xml:space="preserve">Her Majesty </w:t>
      </w:r>
      <w:proofErr w:type="gramStart"/>
      <w:r w:rsidRPr="00680B0A">
        <w:rPr>
          <w:b/>
          <w:i w:val="0"/>
          <w:sz w:val="20"/>
          <w:szCs w:val="20"/>
          <w:u w:val="single"/>
          <w:lang w:val="en-US"/>
        </w:rPr>
        <w:t>The</w:t>
      </w:r>
      <w:proofErr w:type="gramEnd"/>
      <w:r w:rsidRPr="00680B0A">
        <w:rPr>
          <w:b/>
          <w:i w:val="0"/>
          <w:sz w:val="20"/>
          <w:szCs w:val="20"/>
          <w:u w:val="single"/>
          <w:lang w:val="en-US"/>
        </w:rPr>
        <w:t xml:space="preserve"> Queen v. Marius Nedelcu – and – Attorney General of Quebec, Advocates’ Society and Criminal Lawyers’ Association (Ontario)</w:t>
      </w:r>
      <w:r w:rsidRPr="00680B0A">
        <w:rPr>
          <w:b/>
          <w:i w:val="0"/>
          <w:sz w:val="20"/>
          <w:szCs w:val="20"/>
          <w:lang w:val="en-US"/>
        </w:rPr>
        <w:t xml:space="preserve"> </w:t>
      </w:r>
      <w:r w:rsidRPr="00680B0A">
        <w:rPr>
          <w:i w:val="0"/>
          <w:iCs/>
          <w:sz w:val="20"/>
          <w:szCs w:val="20"/>
          <w:lang w:val="en-US"/>
        </w:rPr>
        <w:t xml:space="preserve">(Ont.) </w:t>
      </w:r>
    </w:p>
    <w:p w:rsidR="00680B0A" w:rsidRPr="00B05EBA" w:rsidRDefault="00680B0A" w:rsidP="00680B0A">
      <w:pPr>
        <w:ind w:left="1440"/>
        <w:jc w:val="both"/>
        <w:rPr>
          <w:b/>
          <w:sz w:val="20"/>
          <w:szCs w:val="20"/>
        </w:rPr>
      </w:pPr>
      <w:r w:rsidRPr="00B05EBA">
        <w:rPr>
          <w:b/>
          <w:sz w:val="20"/>
          <w:szCs w:val="20"/>
        </w:rPr>
        <w:t>2012 SCC 59 / 2012 CSC 59</w:t>
      </w:r>
    </w:p>
    <w:p w:rsidR="00680B0A" w:rsidRPr="00B05EBA" w:rsidRDefault="00680B0A" w:rsidP="00680B0A">
      <w:pPr>
        <w:ind w:left="1440" w:hanging="1440"/>
        <w:jc w:val="both"/>
        <w:rPr>
          <w:b/>
          <w:sz w:val="20"/>
          <w:szCs w:val="20"/>
        </w:rPr>
      </w:pPr>
    </w:p>
    <w:p w:rsidR="00680B0A" w:rsidRPr="00B05EBA" w:rsidRDefault="00680B0A" w:rsidP="00680B0A">
      <w:pPr>
        <w:ind w:left="1440" w:hanging="1440"/>
        <w:jc w:val="both"/>
        <w:rPr>
          <w:sz w:val="20"/>
          <w:szCs w:val="20"/>
          <w:u w:val="single"/>
        </w:rPr>
      </w:pPr>
      <w:r w:rsidRPr="00B05EBA">
        <w:rPr>
          <w:sz w:val="20"/>
          <w:szCs w:val="20"/>
        </w:rPr>
        <w:t>Coram:</w:t>
      </w:r>
      <w:r>
        <w:rPr>
          <w:sz w:val="20"/>
          <w:szCs w:val="20"/>
        </w:rPr>
        <w:tab/>
      </w:r>
      <w:r w:rsidRPr="00B05EBA">
        <w:rPr>
          <w:sz w:val="20"/>
          <w:szCs w:val="20"/>
          <w:u w:val="single"/>
        </w:rPr>
        <w:t xml:space="preserve">McLachlin C.J. and LeBel, Deschamps, Fish, Abella, Rothstein, Cromwell, Moldaver and Karakatsanis JJ. </w:t>
      </w:r>
    </w:p>
    <w:p w:rsidR="00680B0A" w:rsidRPr="00B05EBA" w:rsidRDefault="00680B0A" w:rsidP="00680B0A">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680B0A" w:rsidRPr="00B05EBA" w:rsidRDefault="00680B0A" w:rsidP="00680B0A">
      <w:pPr>
        <w:jc w:val="both"/>
        <w:rPr>
          <w:sz w:val="20"/>
          <w:szCs w:val="20"/>
          <w:lang w:val="fr-CA"/>
        </w:rPr>
      </w:pPr>
      <w:r w:rsidRPr="00B05EBA">
        <w:rPr>
          <w:sz w:val="20"/>
          <w:szCs w:val="20"/>
        </w:rPr>
        <w:t xml:space="preserve">The appeal from the judgment of the Court of Appeal for Ontario, Number C48500, 2011 ONCA 143, dated February 24, 2011, heard on March 16, 2012, is allowed, the order for a new trial set aside and the guilty verdict on the charge of dangerous driving causing bodily harm restored.  </w:t>
      </w:r>
      <w:r w:rsidRPr="00B05EBA">
        <w:rPr>
          <w:sz w:val="20"/>
          <w:szCs w:val="20"/>
          <w:lang w:val="fr-CA"/>
        </w:rPr>
        <w:t xml:space="preserve">LeBel, Fish and Cromwell JJ. </w:t>
      </w:r>
      <w:proofErr w:type="gramStart"/>
      <w:r w:rsidRPr="00B05EBA">
        <w:rPr>
          <w:sz w:val="20"/>
          <w:szCs w:val="20"/>
          <w:lang w:val="fr-CA"/>
        </w:rPr>
        <w:t>are</w:t>
      </w:r>
      <w:proofErr w:type="gramEnd"/>
      <w:r w:rsidRPr="00B05EBA">
        <w:rPr>
          <w:sz w:val="20"/>
          <w:szCs w:val="20"/>
          <w:lang w:val="fr-CA"/>
        </w:rPr>
        <w:t xml:space="preserve"> dissenting.</w:t>
      </w:r>
    </w:p>
    <w:p w:rsidR="00680B0A" w:rsidRPr="00B05EBA" w:rsidRDefault="00680B0A" w:rsidP="00680B0A">
      <w:pPr>
        <w:jc w:val="both"/>
        <w:rPr>
          <w:sz w:val="20"/>
          <w:szCs w:val="20"/>
          <w:lang w:val="fr-CA"/>
        </w:rPr>
      </w:pPr>
    </w:p>
    <w:p w:rsidR="00680B0A" w:rsidRPr="00B05EBA" w:rsidRDefault="00680B0A" w:rsidP="00680B0A">
      <w:pPr>
        <w:jc w:val="both"/>
        <w:rPr>
          <w:sz w:val="20"/>
          <w:szCs w:val="20"/>
        </w:rPr>
      </w:pPr>
      <w:r w:rsidRPr="00B05EBA">
        <w:rPr>
          <w:sz w:val="20"/>
          <w:szCs w:val="20"/>
          <w:lang w:val="fr-CA"/>
        </w:rPr>
        <w:t>L’appel interjeté contre l’arrêt de la Cour d’appel de l’Ontario, numéro C48500, 2011 ONCA 143, en date du 24 février 2011, entendu le 16 mars 2012, est accueilli, l’ordonnance prescrivant la tenue d’un nouveau procès est annulée, et la déclaration de culpabilité quant au chef de conduite dangereuse causant des lésions corporelles est rétablie.  Les juges LeBel, Fish et Cromwell sont dissidents.</w:t>
      </w:r>
    </w:p>
    <w:p w:rsidR="003957EF" w:rsidRDefault="003957EF" w:rsidP="00AF1715">
      <w:pPr>
        <w:rPr>
          <w:sz w:val="20"/>
          <w:szCs w:val="20"/>
        </w:rPr>
      </w:pPr>
    </w:p>
    <w:p w:rsidR="00AF1715" w:rsidRPr="003B3977" w:rsidRDefault="00BF3B03" w:rsidP="00AF1715">
      <w:pPr>
        <w:spacing w:line="0" w:lineRule="atLeast"/>
        <w:rPr>
          <w:sz w:val="20"/>
          <w:szCs w:val="20"/>
        </w:rPr>
      </w:pPr>
      <w:r w:rsidRPr="00BF3B03">
        <w:rPr>
          <w:b/>
          <w:sz w:val="20"/>
          <w:szCs w:val="20"/>
        </w:rPr>
        <w:pict>
          <v:rect id="_x0000_i1101" style="width:144.3pt;height:1pt" o:hrpct="300" o:hralign="center" o:hrstd="t" o:hrnoshade="t" o:hr="t" fillcolor="black [3213]" stroked="f"/>
        </w:pict>
      </w:r>
    </w:p>
    <w:p w:rsidR="00AF1715" w:rsidRDefault="00AF1715" w:rsidP="00AF1715">
      <w:pPr>
        <w:spacing w:line="0" w:lineRule="atLeast"/>
        <w:rPr>
          <w:sz w:val="20"/>
          <w:szCs w:val="20"/>
        </w:rPr>
      </w:pPr>
    </w:p>
    <w:p w:rsidR="003957EF" w:rsidRPr="003B3977" w:rsidRDefault="003957EF" w:rsidP="003957EF">
      <w:pPr>
        <w:rPr>
          <w:b/>
          <w:sz w:val="20"/>
          <w:szCs w:val="20"/>
        </w:rPr>
      </w:pPr>
      <w:r>
        <w:rPr>
          <w:b/>
          <w:sz w:val="20"/>
          <w:szCs w:val="20"/>
        </w:rPr>
        <w:t>NOVEM</w:t>
      </w:r>
      <w:r w:rsidRPr="003B3977">
        <w:rPr>
          <w:b/>
          <w:sz w:val="20"/>
          <w:szCs w:val="20"/>
        </w:rPr>
        <w:t xml:space="preserve">BER </w:t>
      </w:r>
      <w:r>
        <w:rPr>
          <w:b/>
          <w:sz w:val="20"/>
          <w:szCs w:val="20"/>
        </w:rPr>
        <w:t>8</w:t>
      </w:r>
      <w:r w:rsidRPr="003B3977">
        <w:rPr>
          <w:b/>
          <w:sz w:val="20"/>
          <w:szCs w:val="20"/>
        </w:rPr>
        <w:t>, 201</w:t>
      </w:r>
      <w:r>
        <w:rPr>
          <w:b/>
          <w:sz w:val="20"/>
          <w:szCs w:val="20"/>
        </w:rPr>
        <w:t>2</w:t>
      </w:r>
      <w:r w:rsidRPr="003B3977">
        <w:rPr>
          <w:b/>
          <w:sz w:val="20"/>
          <w:szCs w:val="20"/>
        </w:rPr>
        <w:t xml:space="preserve"> / LE </w:t>
      </w:r>
      <w:r>
        <w:rPr>
          <w:b/>
          <w:sz w:val="20"/>
          <w:szCs w:val="20"/>
        </w:rPr>
        <w:t>8 NOVEM</w:t>
      </w:r>
      <w:r w:rsidRPr="003B3977">
        <w:rPr>
          <w:b/>
          <w:sz w:val="20"/>
          <w:szCs w:val="20"/>
        </w:rPr>
        <w:t>BRE 201</w:t>
      </w:r>
      <w:r>
        <w:rPr>
          <w:b/>
          <w:sz w:val="20"/>
          <w:szCs w:val="20"/>
        </w:rPr>
        <w:t>2</w:t>
      </w:r>
    </w:p>
    <w:p w:rsidR="003957EF" w:rsidRDefault="003957EF" w:rsidP="00AF1715">
      <w:pPr>
        <w:spacing w:line="0" w:lineRule="atLeast"/>
        <w:rPr>
          <w:sz w:val="20"/>
          <w:szCs w:val="20"/>
        </w:rPr>
      </w:pPr>
    </w:p>
    <w:p w:rsidR="00324E42" w:rsidRPr="00324E42" w:rsidRDefault="00324E42" w:rsidP="00324E42">
      <w:pPr>
        <w:pStyle w:val="SCCLsocParty"/>
        <w:ind w:left="1440" w:hanging="1440"/>
        <w:rPr>
          <w:rStyle w:val="Hyperlink"/>
          <w:i w:val="0"/>
          <w:color w:val="auto"/>
          <w:sz w:val="20"/>
          <w:szCs w:val="20"/>
          <w:lang w:val="en-US"/>
        </w:rPr>
      </w:pPr>
      <w:r w:rsidRPr="00324E42">
        <w:rPr>
          <w:b/>
          <w:i w:val="0"/>
          <w:sz w:val="20"/>
          <w:szCs w:val="20"/>
          <w:lang w:val="en-US"/>
        </w:rPr>
        <w:t>33951</w:t>
      </w:r>
      <w:r w:rsidRPr="00324E42">
        <w:rPr>
          <w:b/>
          <w:i w:val="0"/>
          <w:sz w:val="20"/>
          <w:szCs w:val="20"/>
          <w:lang w:val="en-US"/>
        </w:rPr>
        <w:tab/>
      </w:r>
      <w:r w:rsidRPr="00324E42">
        <w:rPr>
          <w:b/>
          <w:bCs/>
          <w:i w:val="0"/>
          <w:sz w:val="20"/>
          <w:szCs w:val="20"/>
          <w:u w:val="single"/>
          <w:lang w:val="en-US"/>
        </w:rPr>
        <w:t>Teva Canada Limited v. Pfizer Canada Inc., Pfizer Inc., Pfizer Ireland Pharmaceuticals, Pfizer Research and Development Company N.V./S.A. and Minister of Health – and – Canadian Generic Pharmaceutical Association and Canada’s Research-Based Pharmaceutical Companies</w:t>
      </w:r>
      <w:r w:rsidRPr="00324E42">
        <w:rPr>
          <w:i w:val="0"/>
          <w:sz w:val="20"/>
          <w:szCs w:val="20"/>
          <w:lang w:val="en-US"/>
        </w:rPr>
        <w:t xml:space="preserve"> (F.C.)</w:t>
      </w:r>
    </w:p>
    <w:p w:rsidR="00324E42" w:rsidRPr="00701F8F" w:rsidRDefault="00324E42" w:rsidP="00324E42">
      <w:pPr>
        <w:ind w:left="1440"/>
        <w:jc w:val="both"/>
        <w:rPr>
          <w:b/>
          <w:sz w:val="20"/>
          <w:szCs w:val="20"/>
        </w:rPr>
      </w:pPr>
      <w:r w:rsidRPr="00701F8F">
        <w:rPr>
          <w:b/>
          <w:sz w:val="20"/>
          <w:szCs w:val="20"/>
        </w:rPr>
        <w:t>2012 SCC 60 / 2012 CSC 60</w:t>
      </w:r>
    </w:p>
    <w:p w:rsidR="00324E42" w:rsidRPr="00701F8F" w:rsidRDefault="00324E42" w:rsidP="00324E42">
      <w:pPr>
        <w:ind w:left="1440" w:hanging="1440"/>
        <w:jc w:val="both"/>
        <w:rPr>
          <w:b/>
          <w:sz w:val="20"/>
          <w:szCs w:val="20"/>
        </w:rPr>
      </w:pPr>
    </w:p>
    <w:p w:rsidR="00324E42" w:rsidRPr="00701F8F" w:rsidRDefault="00324E42" w:rsidP="00324E42">
      <w:pPr>
        <w:ind w:left="1440" w:hanging="1440"/>
        <w:jc w:val="both"/>
        <w:rPr>
          <w:sz w:val="20"/>
          <w:szCs w:val="20"/>
          <w:u w:val="single"/>
        </w:rPr>
      </w:pPr>
      <w:r w:rsidRPr="00701F8F">
        <w:rPr>
          <w:sz w:val="20"/>
          <w:szCs w:val="20"/>
        </w:rPr>
        <w:t>Coram:</w:t>
      </w:r>
      <w:r>
        <w:rPr>
          <w:sz w:val="20"/>
          <w:szCs w:val="20"/>
        </w:rPr>
        <w:tab/>
      </w:r>
      <w:r w:rsidRPr="00701F8F">
        <w:rPr>
          <w:sz w:val="20"/>
          <w:szCs w:val="20"/>
          <w:u w:val="single"/>
        </w:rPr>
        <w:t xml:space="preserve">McLachlin C.J. and LeBel, Deschamps, Abella, Rothstein, Cromwell and Moldaver JJ. </w:t>
      </w:r>
    </w:p>
    <w:p w:rsidR="00324E42" w:rsidRPr="00701F8F" w:rsidRDefault="00324E42" w:rsidP="00324E42">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324E42" w:rsidRPr="00701F8F" w:rsidRDefault="00324E42" w:rsidP="00324E42">
      <w:pPr>
        <w:jc w:val="both"/>
        <w:rPr>
          <w:sz w:val="20"/>
          <w:szCs w:val="20"/>
        </w:rPr>
      </w:pPr>
      <w:r w:rsidRPr="00701F8F">
        <w:rPr>
          <w:sz w:val="20"/>
          <w:szCs w:val="20"/>
        </w:rPr>
        <w:t xml:space="preserve">The appeal from the judgment </w:t>
      </w:r>
      <w:bookmarkStart w:id="1" w:name="BM_1_"/>
      <w:bookmarkEnd w:id="1"/>
      <w:r w:rsidRPr="00701F8F">
        <w:rPr>
          <w:sz w:val="20"/>
          <w:szCs w:val="20"/>
        </w:rPr>
        <w:t>of the Federal Court of Appeal, Number A-292-09, 2010 FCA 242, dated September 24, 2010, heard on April 18, 2012, is allowed with costs and Patent 2,163,446 is declared void.</w:t>
      </w:r>
    </w:p>
    <w:p w:rsidR="00324E42" w:rsidRPr="00701F8F" w:rsidRDefault="00324E42" w:rsidP="00324E42">
      <w:pPr>
        <w:jc w:val="both"/>
        <w:rPr>
          <w:sz w:val="20"/>
          <w:szCs w:val="20"/>
        </w:rPr>
      </w:pPr>
    </w:p>
    <w:p w:rsidR="00324E42" w:rsidRPr="00701F8F" w:rsidRDefault="00324E42" w:rsidP="00324E42">
      <w:pPr>
        <w:jc w:val="both"/>
        <w:rPr>
          <w:sz w:val="20"/>
          <w:szCs w:val="20"/>
          <w:lang w:val="fr-CA"/>
        </w:rPr>
      </w:pPr>
      <w:r w:rsidRPr="00701F8F">
        <w:rPr>
          <w:sz w:val="20"/>
          <w:szCs w:val="20"/>
          <w:lang w:val="fr-CA"/>
        </w:rPr>
        <w:t>L’appel interjeté contre l’arrêt de la Cour d’appel fédérale, numéro A-292-09, 2010 CAF 242, en date du 24 septembre 2010, entendu le 18 avril 2012, est accueilli avec dépens et le brevet 2</w:t>
      </w:r>
      <w:proofErr w:type="gramStart"/>
      <w:r w:rsidRPr="00701F8F">
        <w:rPr>
          <w:sz w:val="20"/>
          <w:szCs w:val="20"/>
          <w:lang w:val="fr-CA"/>
        </w:rPr>
        <w:t>,163,446</w:t>
      </w:r>
      <w:proofErr w:type="gramEnd"/>
      <w:r w:rsidRPr="00701F8F">
        <w:rPr>
          <w:sz w:val="20"/>
          <w:szCs w:val="20"/>
          <w:lang w:val="fr-CA"/>
        </w:rPr>
        <w:t xml:space="preserve"> est déclaré nul.</w:t>
      </w:r>
    </w:p>
    <w:p w:rsidR="003957EF" w:rsidRPr="00324E42" w:rsidRDefault="003957EF" w:rsidP="00AF1715">
      <w:pPr>
        <w:spacing w:line="0" w:lineRule="atLeast"/>
        <w:rPr>
          <w:sz w:val="20"/>
          <w:szCs w:val="20"/>
          <w:lang w:val="fr-CA"/>
        </w:rPr>
      </w:pPr>
    </w:p>
    <w:p w:rsidR="00AF1715" w:rsidRPr="006C5F7A" w:rsidRDefault="00BF3B03" w:rsidP="00AF1715">
      <w:pPr>
        <w:spacing w:line="0" w:lineRule="atLeast"/>
        <w:rPr>
          <w:rFonts w:cs="Times New Roman"/>
          <w:b/>
          <w:sz w:val="20"/>
          <w:szCs w:val="20"/>
        </w:rPr>
      </w:pPr>
      <w:r w:rsidRPr="00BF3B03">
        <w:rPr>
          <w:rFonts w:cs="Times New Roman"/>
          <w:b/>
          <w:sz w:val="20"/>
          <w:szCs w:val="20"/>
        </w:rPr>
        <w:pict>
          <v:rect id="_x0000_i1102" style="width:144.3pt;height:1pt" o:hrpct="300" o:hralign="center" o:hrstd="t" o:hrnoshade="t" o:hr="t" fillcolor="black [3213]" stroked="f"/>
        </w:pict>
      </w:r>
    </w:p>
    <w:p w:rsidR="00AF1715" w:rsidRPr="006C5F7A" w:rsidRDefault="00AF1715" w:rsidP="00AF1715">
      <w:pPr>
        <w:spacing w:line="0" w:lineRule="atLeast"/>
        <w:rPr>
          <w:rFonts w:cs="Times New Roman"/>
          <w:b/>
          <w:sz w:val="20"/>
          <w:szCs w:val="20"/>
        </w:rPr>
      </w:pPr>
    </w:p>
    <w:p w:rsidR="008A5889" w:rsidRDefault="008A5889">
      <w:pPr>
        <w:rPr>
          <w:b/>
          <w:sz w:val="20"/>
          <w:szCs w:val="20"/>
        </w:rPr>
      </w:pPr>
      <w:r>
        <w:rPr>
          <w:b/>
          <w:sz w:val="20"/>
          <w:szCs w:val="20"/>
        </w:rPr>
        <w:br w:type="page"/>
      </w:r>
    </w:p>
    <w:p w:rsidR="003957EF" w:rsidRPr="003B3977" w:rsidRDefault="003957EF" w:rsidP="003957EF">
      <w:pPr>
        <w:rPr>
          <w:b/>
          <w:sz w:val="20"/>
          <w:szCs w:val="20"/>
        </w:rPr>
      </w:pPr>
      <w:r>
        <w:rPr>
          <w:b/>
          <w:sz w:val="20"/>
          <w:szCs w:val="20"/>
        </w:rPr>
        <w:lastRenderedPageBreak/>
        <w:t>NOVEM</w:t>
      </w:r>
      <w:r w:rsidRPr="003B3977">
        <w:rPr>
          <w:b/>
          <w:sz w:val="20"/>
          <w:szCs w:val="20"/>
        </w:rPr>
        <w:t xml:space="preserve">BER </w:t>
      </w:r>
      <w:r>
        <w:rPr>
          <w:b/>
          <w:sz w:val="20"/>
          <w:szCs w:val="20"/>
        </w:rPr>
        <w:t>9</w:t>
      </w:r>
      <w:r w:rsidRPr="003B3977">
        <w:rPr>
          <w:b/>
          <w:sz w:val="20"/>
          <w:szCs w:val="20"/>
        </w:rPr>
        <w:t>, 201</w:t>
      </w:r>
      <w:r>
        <w:rPr>
          <w:b/>
          <w:sz w:val="20"/>
          <w:szCs w:val="20"/>
        </w:rPr>
        <w:t>2</w:t>
      </w:r>
      <w:r w:rsidRPr="003B3977">
        <w:rPr>
          <w:b/>
          <w:sz w:val="20"/>
          <w:szCs w:val="20"/>
        </w:rPr>
        <w:t xml:space="preserve"> / LE </w:t>
      </w:r>
      <w:r>
        <w:rPr>
          <w:b/>
          <w:sz w:val="20"/>
          <w:szCs w:val="20"/>
        </w:rPr>
        <w:t>9 NOVEM</w:t>
      </w:r>
      <w:r w:rsidRPr="003B3977">
        <w:rPr>
          <w:b/>
          <w:sz w:val="20"/>
          <w:szCs w:val="20"/>
        </w:rPr>
        <w:t>BRE 201</w:t>
      </w:r>
      <w:r>
        <w:rPr>
          <w:b/>
          <w:sz w:val="20"/>
          <w:szCs w:val="20"/>
        </w:rPr>
        <w:t>2</w:t>
      </w:r>
    </w:p>
    <w:p w:rsidR="00AF1715" w:rsidRDefault="00AF1715" w:rsidP="00AF1715">
      <w:pPr>
        <w:spacing w:line="0" w:lineRule="atLeast"/>
        <w:rPr>
          <w:rFonts w:cs="Times New Roman"/>
          <w:b/>
          <w:sz w:val="20"/>
          <w:szCs w:val="20"/>
        </w:rPr>
      </w:pPr>
    </w:p>
    <w:p w:rsidR="00A77928" w:rsidRPr="00A77928" w:rsidRDefault="00A77928" w:rsidP="00A77928">
      <w:pPr>
        <w:ind w:left="1440" w:hanging="1440"/>
        <w:jc w:val="both"/>
        <w:rPr>
          <w:rFonts w:eastAsia="Calibri" w:cs="Times New Roman"/>
          <w:sz w:val="20"/>
          <w:szCs w:val="20"/>
          <w:u w:val="single"/>
          <w:lang w:val="en-US"/>
        </w:rPr>
      </w:pPr>
      <w:proofErr w:type="gramStart"/>
      <w:r w:rsidRPr="00A77928">
        <w:rPr>
          <w:rFonts w:eastAsia="Calibri" w:cs="Times New Roman"/>
          <w:b/>
          <w:sz w:val="20"/>
          <w:szCs w:val="20"/>
          <w:lang w:val="en-US"/>
        </w:rPr>
        <w:t>34040, 34041</w:t>
      </w:r>
      <w:r w:rsidRPr="00A77928">
        <w:rPr>
          <w:rFonts w:eastAsia="Calibri" w:cs="Times New Roman"/>
          <w:b/>
          <w:sz w:val="20"/>
          <w:szCs w:val="20"/>
          <w:lang w:val="en-US"/>
        </w:rPr>
        <w:tab/>
      </w:r>
      <w:r w:rsidRPr="00A77928">
        <w:rPr>
          <w:rFonts w:eastAsia="Calibri" w:cs="Times New Roman"/>
          <w:b/>
          <w:sz w:val="20"/>
          <w:szCs w:val="20"/>
          <w:u w:val="single"/>
          <w:lang w:val="en-US"/>
        </w:rPr>
        <w:t>Frederick Moore on behalf of Jeffrey P. Moore v.</w:t>
      </w:r>
      <w:proofErr w:type="gramEnd"/>
      <w:r w:rsidRPr="00A77928">
        <w:rPr>
          <w:rFonts w:eastAsia="Calibri" w:cs="Times New Roman"/>
          <w:b/>
          <w:sz w:val="20"/>
          <w:szCs w:val="20"/>
          <w:u w:val="single"/>
          <w:lang w:val="en-US"/>
        </w:rPr>
        <w:t xml:space="preserve"> Her Majesty the Queen in Right of the Province of British Columbia, as represented by the Ministry of Education, and Board of Education of School District No. 44 (North Vancouver), formerly known as The Board of School Trustees of School District No. 44 (North Vancouver) – and – Attorney General of Ontario, Justice for Children and Youth, British Columbia Teachers’ Federation, Council of Canadians with Disabilities, Ontario Human Rights Commission, Saskatchewan Human Rights Commission, Alberta Human Rights Commission, International Dyslexia Association, Ontario Branch, Canadian Human Rights Commission, Learning Disabilities Association of Canada, Canadian Constitution Foundation, Manitoba Human Rights Commission, West Coast Women’s Legal Education and Action Fund, Canadian Association for Community Living, Commission des droits de la personne et des droits de la jeunesse, British Columbia Human Rights Tribunal, First Nations Child and Family Caring Society of Canada</w:t>
      </w:r>
      <w:r w:rsidRPr="00A77928">
        <w:rPr>
          <w:rFonts w:eastAsia="Calibri" w:cs="Times New Roman"/>
          <w:b/>
          <w:sz w:val="20"/>
          <w:szCs w:val="20"/>
          <w:lang w:val="en-US"/>
        </w:rPr>
        <w:t xml:space="preserve"> </w:t>
      </w:r>
      <w:r w:rsidRPr="00A77928">
        <w:rPr>
          <w:rFonts w:eastAsia="Calibri" w:cs="Times New Roman"/>
          <w:iCs/>
          <w:sz w:val="20"/>
          <w:szCs w:val="20"/>
          <w:lang w:val="en-US"/>
        </w:rPr>
        <w:t xml:space="preserve">(B.C.) </w:t>
      </w:r>
    </w:p>
    <w:p w:rsidR="00A77928" w:rsidRPr="00A77928" w:rsidRDefault="00A77928" w:rsidP="00A77928">
      <w:pPr>
        <w:ind w:left="1440"/>
        <w:jc w:val="both"/>
        <w:rPr>
          <w:rFonts w:eastAsia="Times New Roman" w:cs="Times New Roman"/>
          <w:b/>
          <w:sz w:val="20"/>
          <w:szCs w:val="20"/>
          <w:lang w:val="en-US"/>
        </w:rPr>
      </w:pPr>
      <w:r w:rsidRPr="00A77928">
        <w:rPr>
          <w:rFonts w:eastAsia="Times New Roman" w:cs="Times New Roman"/>
          <w:b/>
          <w:sz w:val="20"/>
          <w:szCs w:val="20"/>
          <w:lang w:val="en-US"/>
        </w:rPr>
        <w:t>2012 SCC 61 / 2012 CSC 61</w:t>
      </w:r>
    </w:p>
    <w:p w:rsidR="00A77928" w:rsidRDefault="00A77928" w:rsidP="008A5889">
      <w:pPr>
        <w:ind w:left="1440" w:hanging="1440"/>
        <w:jc w:val="both"/>
        <w:rPr>
          <w:rFonts w:cs="Times New Roman"/>
          <w:sz w:val="20"/>
          <w:szCs w:val="20"/>
        </w:rPr>
      </w:pPr>
    </w:p>
    <w:p w:rsidR="008A5889" w:rsidRDefault="00AF1715" w:rsidP="008A5889">
      <w:pPr>
        <w:ind w:left="1440" w:hanging="1440"/>
        <w:jc w:val="both"/>
        <w:rPr>
          <w:rFonts w:cs="Times New Roman"/>
          <w:sz w:val="20"/>
          <w:szCs w:val="20"/>
        </w:rPr>
      </w:pPr>
      <w:r w:rsidRPr="006C5F7A">
        <w:rPr>
          <w:rFonts w:cs="Times New Roman"/>
          <w:sz w:val="20"/>
          <w:szCs w:val="20"/>
        </w:rPr>
        <w:t>Coram:</w:t>
      </w:r>
      <w:r w:rsidRPr="006C5F7A">
        <w:rPr>
          <w:rFonts w:cs="Times New Roman"/>
          <w:sz w:val="20"/>
          <w:szCs w:val="20"/>
        </w:rPr>
        <w:tab/>
      </w:r>
      <w:r w:rsidR="008A5889" w:rsidRPr="008A5889">
        <w:rPr>
          <w:sz w:val="20"/>
          <w:szCs w:val="20"/>
          <w:u w:val="single"/>
        </w:rPr>
        <w:t>McLachlin C.J. and LeBel, Deschamps, Fish, Abella, Rothstein, Cromwell, Moldaver and Karakatsanis JJ.</w:t>
      </w:r>
    </w:p>
    <w:p w:rsidR="00AF1715"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rPr>
      </w:pPr>
    </w:p>
    <w:p w:rsidR="008A5889" w:rsidRDefault="008A5889"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rPr>
      </w:pPr>
      <w:r w:rsidRPr="00FC4024">
        <w:rPr>
          <w:sz w:val="20"/>
          <w:szCs w:val="20"/>
        </w:rPr>
        <w:t xml:space="preserve">The appeals from the judgment of the Court of Appeal for British Columbia (Vancouver), Numbers CA035936 and CA035937, 2010 BCCA 478, dated October 29, 2010, heard on March 22, 2012, are substantially allowed </w:t>
      </w:r>
      <w:r w:rsidRPr="00FC4024">
        <w:rPr>
          <w:rFonts w:cs="Times New Roman"/>
          <w:sz w:val="20"/>
          <w:szCs w:val="20"/>
        </w:rPr>
        <w:t>with costs throughout.</w:t>
      </w:r>
    </w:p>
    <w:p w:rsidR="008A5889" w:rsidRDefault="008A5889"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rPr>
      </w:pPr>
    </w:p>
    <w:p w:rsidR="008A5889" w:rsidRDefault="008A5889"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r w:rsidRPr="00FC4024">
        <w:rPr>
          <w:rFonts w:cs="Times New Roman"/>
          <w:sz w:val="20"/>
          <w:szCs w:val="20"/>
          <w:lang w:val="fr-CA"/>
        </w:rPr>
        <w:t>Les appels interjetés contre l’arrêt de la Cour d’appel de la Colombie-Britannique (Vancouver), numéros CA035936 et CA035937, 2010 BCCA 478, en date du 29 octobre 2010, entendus le 22 mars 2012, sont en grande partie accueillis avec dépens devant toutes les cours.</w:t>
      </w: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AF1715" w:rsidRPr="006C5F7A" w:rsidRDefault="00BF3B03"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r w:rsidRPr="00BF3B03">
        <w:rPr>
          <w:rFonts w:cs="Times New Roman"/>
          <w:b/>
          <w:sz w:val="20"/>
          <w:szCs w:val="20"/>
        </w:rPr>
        <w:pict>
          <v:rect id="_x0000_i1103" style="width:144.3pt;height:1pt" o:hrpct="300" o:hralign="center" o:hrstd="t" o:hrnoshade="t" o:hr="t" fillcolor="black [3213]" stroked="f"/>
        </w:pict>
      </w: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53"/>
          <w:headerReference w:type="default" r:id="rId54"/>
          <w:footerReference w:type="even" r:id="rId55"/>
          <w:footerReference w:type="default" r:id="rId56"/>
          <w:headerReference w:type="first" r:id="rId57"/>
          <w:footerReference w:type="first" r:id="rId58"/>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3C2DDC" w:rsidRPr="00BA3178" w:rsidRDefault="003C2DDC" w:rsidP="003C2DDC">
      <w:pPr>
        <w:rPr>
          <w:rFonts w:eastAsia="Calibri" w:cs="Times New Roman"/>
          <w:sz w:val="20"/>
          <w:szCs w:val="20"/>
        </w:rPr>
      </w:pPr>
      <w:r w:rsidRPr="00BA3178">
        <w:rPr>
          <w:rFonts w:eastAsia="Calibri" w:cs="Times New Roman"/>
          <w:i/>
          <w:sz w:val="20"/>
          <w:szCs w:val="20"/>
        </w:rPr>
        <w:t>Her Majesty the Queen v. Marius Nedelcu</w:t>
      </w:r>
      <w:r w:rsidRPr="00BA3178">
        <w:rPr>
          <w:rFonts w:eastAsia="Calibri" w:cs="Times New Roman"/>
          <w:sz w:val="20"/>
          <w:szCs w:val="20"/>
        </w:rPr>
        <w:t xml:space="preserve"> (Ont.) (34228)</w:t>
      </w:r>
    </w:p>
    <w:p w:rsidR="00883278" w:rsidRPr="003854DB" w:rsidRDefault="00883278" w:rsidP="00883278">
      <w:pPr>
        <w:jc w:val="both"/>
        <w:rPr>
          <w:b/>
          <w:sz w:val="20"/>
          <w:szCs w:val="20"/>
        </w:rPr>
      </w:pPr>
      <w:r w:rsidRPr="006F6B6C">
        <w:rPr>
          <w:b/>
          <w:sz w:val="20"/>
          <w:szCs w:val="20"/>
        </w:rPr>
        <w:t xml:space="preserve">Indexed as:  R. </w:t>
      </w:r>
      <w:r w:rsidRPr="006F6B6C">
        <w:rPr>
          <w:b/>
          <w:i/>
          <w:sz w:val="20"/>
          <w:szCs w:val="20"/>
        </w:rPr>
        <w:t>v.</w:t>
      </w:r>
      <w:r w:rsidRPr="006F6B6C">
        <w:rPr>
          <w:b/>
          <w:sz w:val="20"/>
          <w:szCs w:val="20"/>
        </w:rPr>
        <w:t xml:space="preserve"> Nedelcu</w:t>
      </w:r>
      <w:r>
        <w:rPr>
          <w:b/>
          <w:sz w:val="20"/>
          <w:szCs w:val="20"/>
        </w:rPr>
        <w:t xml:space="preserve"> / </w:t>
      </w:r>
      <w:proofErr w:type="gramStart"/>
      <w:r w:rsidRPr="003854DB">
        <w:rPr>
          <w:b/>
          <w:sz w:val="20"/>
          <w:szCs w:val="20"/>
        </w:rPr>
        <w:t>Répertorié :</w:t>
      </w:r>
      <w:proofErr w:type="gramEnd"/>
      <w:r w:rsidRPr="003854DB">
        <w:rPr>
          <w:b/>
          <w:sz w:val="20"/>
          <w:szCs w:val="20"/>
        </w:rPr>
        <w:t xml:space="preserve"> R. </w:t>
      </w:r>
      <w:r w:rsidRPr="003854DB">
        <w:rPr>
          <w:b/>
          <w:i/>
          <w:sz w:val="20"/>
          <w:szCs w:val="20"/>
        </w:rPr>
        <w:t>c.</w:t>
      </w:r>
      <w:r w:rsidRPr="003854DB">
        <w:rPr>
          <w:b/>
          <w:sz w:val="20"/>
          <w:szCs w:val="20"/>
        </w:rPr>
        <w:t xml:space="preserve"> Nedelcu</w:t>
      </w:r>
    </w:p>
    <w:p w:rsidR="005C6840" w:rsidRPr="003B3977" w:rsidRDefault="005C6840" w:rsidP="005C6840">
      <w:pPr>
        <w:pStyle w:val="SCCSystemYear"/>
        <w:jc w:val="both"/>
        <w:rPr>
          <w:sz w:val="20"/>
        </w:rPr>
      </w:pPr>
      <w:r w:rsidRPr="003B3977">
        <w:rPr>
          <w:sz w:val="20"/>
        </w:rPr>
        <w:t>Neutral citation</w:t>
      </w:r>
      <w:proofErr w:type="gramStart"/>
      <w:r w:rsidRPr="003B3977">
        <w:rPr>
          <w:sz w:val="20"/>
        </w:rPr>
        <w:t>:  201</w:t>
      </w:r>
      <w:r w:rsidR="004E1E0A">
        <w:rPr>
          <w:sz w:val="20"/>
        </w:rPr>
        <w:t>2</w:t>
      </w:r>
      <w:proofErr w:type="gramEnd"/>
      <w:r w:rsidRPr="003B3977">
        <w:rPr>
          <w:sz w:val="20"/>
        </w:rPr>
        <w:t xml:space="preserve"> SCC </w:t>
      </w:r>
      <w:r w:rsidR="003957EF">
        <w:rPr>
          <w:sz w:val="20"/>
        </w:rPr>
        <w:t>59</w:t>
      </w:r>
      <w:r w:rsidRPr="003B3977">
        <w:rPr>
          <w:sz w:val="20"/>
        </w:rPr>
        <w:t xml:space="preserve"> / Référence neutre : 201</w:t>
      </w:r>
      <w:r w:rsidR="004E1E0A">
        <w:rPr>
          <w:sz w:val="20"/>
        </w:rPr>
        <w:t>2</w:t>
      </w:r>
      <w:r w:rsidRPr="003B3977">
        <w:rPr>
          <w:sz w:val="20"/>
        </w:rPr>
        <w:t xml:space="preserve"> CSC </w:t>
      </w:r>
      <w:r w:rsidR="003957EF">
        <w:rPr>
          <w:sz w:val="20"/>
        </w:rPr>
        <w:t>59</w:t>
      </w:r>
    </w:p>
    <w:p w:rsidR="005C6840" w:rsidRPr="003B3977" w:rsidRDefault="005C6840" w:rsidP="005C6840">
      <w:pPr>
        <w:rPr>
          <w:rFonts w:cs="Times New Roman"/>
          <w:sz w:val="20"/>
          <w:szCs w:val="20"/>
          <w:lang w:val="fr-CA"/>
        </w:rPr>
      </w:pPr>
      <w:r w:rsidRPr="003B3977">
        <w:rPr>
          <w:rFonts w:cs="Times New Roman"/>
          <w:sz w:val="20"/>
          <w:szCs w:val="20"/>
          <w:lang w:val="fr-CA"/>
        </w:rPr>
        <w:t>Hearing</w:t>
      </w:r>
      <w:proofErr w:type="gramStart"/>
      <w:r w:rsidRPr="003B3977">
        <w:rPr>
          <w:rFonts w:cs="Times New Roman"/>
          <w:sz w:val="20"/>
          <w:szCs w:val="20"/>
          <w:lang w:val="fr-CA"/>
        </w:rPr>
        <w:t xml:space="preserve">:  </w:t>
      </w:r>
      <w:r w:rsidR="00883278">
        <w:rPr>
          <w:rFonts w:cs="Times New Roman"/>
          <w:sz w:val="20"/>
          <w:szCs w:val="20"/>
          <w:lang w:val="fr-CA"/>
        </w:rPr>
        <w:t>March</w:t>
      </w:r>
      <w:proofErr w:type="gramEnd"/>
      <w:r w:rsidR="00883278">
        <w:rPr>
          <w:rFonts w:cs="Times New Roman"/>
          <w:sz w:val="20"/>
          <w:szCs w:val="20"/>
          <w:lang w:val="fr-CA"/>
        </w:rPr>
        <w:t xml:space="preserve"> 16</w:t>
      </w:r>
      <w:r w:rsidRPr="003B3977">
        <w:rPr>
          <w:rFonts w:cs="Times New Roman"/>
          <w:sz w:val="20"/>
          <w:szCs w:val="20"/>
          <w:lang w:val="fr-CA"/>
        </w:rPr>
        <w:t>, 201</w:t>
      </w:r>
      <w:r w:rsidR="00883278">
        <w:rPr>
          <w:rFonts w:cs="Times New Roman"/>
          <w:sz w:val="20"/>
          <w:szCs w:val="20"/>
          <w:lang w:val="fr-CA"/>
        </w:rPr>
        <w:t>2</w:t>
      </w:r>
      <w:r w:rsidRPr="003B3977">
        <w:rPr>
          <w:rFonts w:cs="Times New Roman"/>
          <w:sz w:val="20"/>
          <w:szCs w:val="20"/>
          <w:lang w:val="fr-CA"/>
        </w:rPr>
        <w:t xml:space="preserve"> / Judgment:  </w:t>
      </w:r>
      <w:r w:rsidR="003957EF">
        <w:rPr>
          <w:rFonts w:cs="Times New Roman"/>
          <w:sz w:val="20"/>
          <w:szCs w:val="20"/>
          <w:lang w:val="fr-CA"/>
        </w:rPr>
        <w:t>Novem</w:t>
      </w:r>
      <w:r w:rsidRPr="003B3977">
        <w:rPr>
          <w:rFonts w:cs="Times New Roman"/>
          <w:sz w:val="20"/>
          <w:szCs w:val="20"/>
          <w:lang w:val="fr-CA"/>
        </w:rPr>
        <w:t>ber 7, 201</w:t>
      </w:r>
      <w:r w:rsidR="004E1E0A">
        <w:rPr>
          <w:rFonts w:cs="Times New Roman"/>
          <w:sz w:val="20"/>
          <w:szCs w:val="20"/>
          <w:lang w:val="fr-CA"/>
        </w:rPr>
        <w:t>2</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883278">
        <w:rPr>
          <w:rFonts w:cs="Times New Roman"/>
          <w:sz w:val="20"/>
          <w:szCs w:val="20"/>
          <w:lang w:val="fr-CA"/>
        </w:rPr>
        <w:t>16 ma</w:t>
      </w:r>
      <w:r w:rsidRPr="003B3977">
        <w:rPr>
          <w:rFonts w:cs="Times New Roman"/>
          <w:sz w:val="20"/>
          <w:szCs w:val="20"/>
          <w:lang w:val="fr-CA"/>
        </w:rPr>
        <w:t>r</w:t>
      </w:r>
      <w:r w:rsidR="00883278">
        <w:rPr>
          <w:rFonts w:cs="Times New Roman"/>
          <w:sz w:val="20"/>
          <w:szCs w:val="20"/>
          <w:lang w:val="fr-CA"/>
        </w:rPr>
        <w:t>s</w:t>
      </w:r>
      <w:r w:rsidRPr="003B3977">
        <w:rPr>
          <w:rFonts w:cs="Times New Roman"/>
          <w:sz w:val="20"/>
          <w:szCs w:val="20"/>
          <w:lang w:val="fr-CA"/>
        </w:rPr>
        <w:t xml:space="preserve"> 201</w:t>
      </w:r>
      <w:r w:rsidR="00883278">
        <w:rPr>
          <w:rFonts w:cs="Times New Roman"/>
          <w:sz w:val="20"/>
          <w:szCs w:val="20"/>
          <w:lang w:val="fr-CA"/>
        </w:rPr>
        <w:t>2</w:t>
      </w:r>
      <w:r w:rsidRPr="003B3977">
        <w:rPr>
          <w:rFonts w:cs="Times New Roman"/>
          <w:sz w:val="20"/>
          <w:szCs w:val="20"/>
          <w:lang w:val="fr-CA"/>
        </w:rPr>
        <w:t xml:space="preserve"> / Jugement : Le 7 </w:t>
      </w:r>
      <w:r w:rsidR="003957EF">
        <w:rPr>
          <w:rFonts w:cs="Times New Roman"/>
          <w:sz w:val="20"/>
          <w:szCs w:val="20"/>
          <w:lang w:val="fr-CA"/>
        </w:rPr>
        <w:t>n</w:t>
      </w:r>
      <w:r w:rsidRPr="003B3977">
        <w:rPr>
          <w:rFonts w:cs="Times New Roman"/>
          <w:sz w:val="20"/>
          <w:szCs w:val="20"/>
          <w:lang w:val="fr-CA"/>
        </w:rPr>
        <w:t>o</w:t>
      </w:r>
      <w:r w:rsidR="003957EF">
        <w:rPr>
          <w:rFonts w:cs="Times New Roman"/>
          <w:sz w:val="20"/>
          <w:szCs w:val="20"/>
          <w:lang w:val="fr-CA"/>
        </w:rPr>
        <w:t>vem</w:t>
      </w:r>
      <w:r w:rsidRPr="003B3977">
        <w:rPr>
          <w:rFonts w:cs="Times New Roman"/>
          <w:sz w:val="20"/>
          <w:szCs w:val="20"/>
          <w:lang w:val="fr-CA"/>
        </w:rPr>
        <w:t>bre 201</w:t>
      </w:r>
      <w:r w:rsidR="004E1E0A">
        <w:rPr>
          <w:rFonts w:cs="Times New Roman"/>
          <w:sz w:val="20"/>
          <w:szCs w:val="20"/>
          <w:lang w:val="fr-CA"/>
        </w:rPr>
        <w:t>2</w:t>
      </w:r>
    </w:p>
    <w:p w:rsidR="005C6840" w:rsidRPr="003B3977" w:rsidRDefault="00BF3B03" w:rsidP="005C6840">
      <w:pPr>
        <w:rPr>
          <w:rFonts w:cs="Times New Roman"/>
          <w:sz w:val="20"/>
          <w:szCs w:val="20"/>
          <w:lang w:val="fr-CA"/>
        </w:rPr>
      </w:pPr>
      <w:r w:rsidRPr="00BF3B03">
        <w:rPr>
          <w:rFonts w:cs="Times New Roman"/>
          <w:i/>
          <w:sz w:val="20"/>
          <w:szCs w:val="20"/>
        </w:rPr>
        <w:pict>
          <v:rect id="_x0000_i1106"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883278" w:rsidRPr="006F6B6C" w:rsidRDefault="00883278" w:rsidP="00883278">
      <w:pPr>
        <w:jc w:val="both"/>
        <w:rPr>
          <w:sz w:val="20"/>
          <w:szCs w:val="20"/>
        </w:rPr>
      </w:pPr>
      <w:r w:rsidRPr="006F6B6C">
        <w:rPr>
          <w:sz w:val="20"/>
          <w:szCs w:val="20"/>
        </w:rPr>
        <w:t>Present:  McLachlin C.J. and LeBel, Deschamps, Fish, Abella, Rothstein, Cromwell, Moldaver and Karakatsanis JJ.</w:t>
      </w:r>
    </w:p>
    <w:p w:rsidR="00883278" w:rsidRDefault="00883278" w:rsidP="00883278">
      <w:pPr>
        <w:pStyle w:val="SCCLowerCourtNameLowercase"/>
        <w:spacing w:line="240" w:lineRule="auto"/>
        <w:rPr>
          <w:sz w:val="20"/>
        </w:rPr>
      </w:pPr>
    </w:p>
    <w:p w:rsidR="00883278" w:rsidRPr="006F6B6C" w:rsidRDefault="00883278" w:rsidP="00883278">
      <w:pPr>
        <w:pStyle w:val="SCCNormalDoubleSpacing"/>
        <w:spacing w:line="240" w:lineRule="auto"/>
        <w:rPr>
          <w:sz w:val="20"/>
        </w:rPr>
      </w:pPr>
      <w:r w:rsidRPr="006F6B6C">
        <w:rPr>
          <w:sz w:val="20"/>
        </w:rPr>
        <w:tab/>
      </w:r>
      <w:r w:rsidRPr="006F6B6C">
        <w:rPr>
          <w:i/>
          <w:sz w:val="20"/>
        </w:rPr>
        <w:t>Constitutional law — Charter of Rights — Self</w:t>
      </w:r>
      <w:r w:rsidRPr="006F6B6C">
        <w:rPr>
          <w:i/>
          <w:sz w:val="20"/>
        </w:rPr>
        <w:noBreakHyphen/>
        <w:t>incrimination — Accused involved in motor vehicle accident where victim sustained serious injuries — Accused charged with Criminal Code offences — Accused testifying in criminal action — Testimony inconsistent with discovery testimony in prior related civil action — Whether Crown at criminal trial may cross</w:t>
      </w:r>
      <w:r w:rsidRPr="006F6B6C">
        <w:rPr>
          <w:i/>
          <w:sz w:val="20"/>
        </w:rPr>
        <w:noBreakHyphen/>
        <w:t>examine accused on prior inconsistent statements without infringing right against self</w:t>
      </w:r>
      <w:r w:rsidRPr="006F6B6C">
        <w:rPr>
          <w:i/>
          <w:sz w:val="20"/>
        </w:rPr>
        <w:noBreakHyphen/>
        <w:t>incrimination — Canadian Charter of Rights and Freedoms, s. 13.</w:t>
      </w:r>
    </w:p>
    <w:p w:rsidR="00883278" w:rsidRDefault="00883278" w:rsidP="00883278">
      <w:pPr>
        <w:pStyle w:val="SCCNormalDoubleSpacing"/>
        <w:spacing w:line="240" w:lineRule="auto"/>
        <w:rPr>
          <w:sz w:val="20"/>
        </w:rPr>
      </w:pPr>
    </w:p>
    <w:p w:rsidR="00883278" w:rsidRPr="006F6B6C" w:rsidRDefault="00883278" w:rsidP="00883278">
      <w:pPr>
        <w:pStyle w:val="SCCNormalDoubleSpacing"/>
        <w:spacing w:line="240" w:lineRule="auto"/>
        <w:rPr>
          <w:sz w:val="20"/>
        </w:rPr>
      </w:pPr>
      <w:r w:rsidRPr="006F6B6C">
        <w:rPr>
          <w:sz w:val="20"/>
        </w:rPr>
        <w:tab/>
        <w:t>After work one evening, N took the victim for a ride on his motorcycle on their employer’s property.  The motorcycle crashed into a curb, causing the victim permanent brain damage.  N sustained minor injuries and was hospitalized overnight.  N was charged with dangerous driving causing bodily harm and impaired driving causing bodily harm.  He was also sued in a civil action by the victim and his family.  During his examination for discovery in the civil matter, N testified that he had no memory of the events from the day of the accident until he woke up in the hospital the following day.  At his criminal trial, however, N gave a detailed account of the events leading up to and during the accident.  Having been granted leave to cross</w:t>
      </w:r>
      <w:r w:rsidRPr="006F6B6C">
        <w:rPr>
          <w:sz w:val="20"/>
        </w:rPr>
        <w:noBreakHyphen/>
        <w:t>examine N on his discovery evidence, the Crown asked N about his memory of the events.  N stated, “I have a recollection about 90, 95 percent”.  N’s trial testimony was found to be unreliable and he was found guilty of dangerous driving causing bodily harm.  The Court of Appeal allowed N’s appeal.  The trial judge’s ruling was overturned, the conviction was set aside and a new trial was ordered.</w:t>
      </w:r>
    </w:p>
    <w:p w:rsidR="00883278" w:rsidRDefault="00883278" w:rsidP="00883278">
      <w:pPr>
        <w:pStyle w:val="SCCNormalDoubleSpacing"/>
        <w:spacing w:line="240" w:lineRule="auto"/>
        <w:rPr>
          <w:sz w:val="20"/>
        </w:rPr>
      </w:pPr>
    </w:p>
    <w:p w:rsidR="00883278" w:rsidRPr="006F6B6C" w:rsidRDefault="00883278" w:rsidP="00883278">
      <w:pPr>
        <w:pStyle w:val="SCCNormalDoubleSpacing"/>
        <w:spacing w:line="240" w:lineRule="auto"/>
        <w:rPr>
          <w:sz w:val="20"/>
          <w:lang w:val="en-US"/>
        </w:rPr>
      </w:pPr>
      <w:r w:rsidRPr="006F6B6C">
        <w:rPr>
          <w:sz w:val="20"/>
        </w:rPr>
        <w:tab/>
      </w:r>
      <w:r w:rsidRPr="006F6B6C">
        <w:rPr>
          <w:i/>
          <w:sz w:val="20"/>
        </w:rPr>
        <w:t>Held</w:t>
      </w:r>
      <w:r w:rsidRPr="006F6B6C">
        <w:rPr>
          <w:sz w:val="20"/>
        </w:rPr>
        <w:t xml:space="preserve"> (LeBel, Fish and Cromwell JJ. dissenting):  </w:t>
      </w:r>
      <w:r w:rsidRPr="006F6B6C">
        <w:rPr>
          <w:sz w:val="20"/>
          <w:lang w:val="en-US"/>
        </w:rPr>
        <w:t>The appeal should be allowed, the order for a new trial set aside, and the guilty verdict on the charge of dangerous driving causing bodily harm restored.</w:t>
      </w:r>
    </w:p>
    <w:p w:rsidR="00883278" w:rsidRDefault="00883278" w:rsidP="00883278">
      <w:pPr>
        <w:pStyle w:val="SCCNormalDoubleSpacing"/>
        <w:spacing w:line="240" w:lineRule="auto"/>
        <w:rPr>
          <w:i/>
          <w:sz w:val="20"/>
        </w:rPr>
      </w:pPr>
    </w:p>
    <w:p w:rsidR="00883278" w:rsidRPr="006F6B6C" w:rsidRDefault="00883278" w:rsidP="00883278">
      <w:pPr>
        <w:pStyle w:val="SCCNormalDoubleSpacing"/>
        <w:spacing w:line="240" w:lineRule="auto"/>
        <w:rPr>
          <w:sz w:val="20"/>
        </w:rPr>
      </w:pPr>
      <w:r w:rsidRPr="006F6B6C">
        <w:rPr>
          <w:i/>
          <w:sz w:val="20"/>
        </w:rPr>
        <w:tab/>
        <w:t>Per</w:t>
      </w:r>
      <w:r w:rsidRPr="006F6B6C">
        <w:rPr>
          <w:sz w:val="20"/>
        </w:rPr>
        <w:t xml:space="preserve"> McLachlin C.J. and Deschamps, Abella, Rothstein, </w:t>
      </w:r>
      <w:r w:rsidRPr="006F6B6C">
        <w:rPr>
          <w:b/>
          <w:sz w:val="20"/>
        </w:rPr>
        <w:t>Moldaver</w:t>
      </w:r>
      <w:r w:rsidRPr="006F6B6C">
        <w:rPr>
          <w:sz w:val="20"/>
        </w:rPr>
        <w:t xml:space="preserve"> and Karatkatsanis JJ.:  Although N was statutorily compellable and therefore compelled for the purpose of s. 13 of the </w:t>
      </w:r>
      <w:r w:rsidRPr="006F6B6C">
        <w:rPr>
          <w:i/>
          <w:sz w:val="20"/>
        </w:rPr>
        <w:t>Charter</w:t>
      </w:r>
      <w:r w:rsidRPr="006F6B6C">
        <w:rPr>
          <w:sz w:val="20"/>
        </w:rPr>
        <w:t xml:space="preserve"> to testify at his examination for discovery in the civil action, the use of his non</w:t>
      </w:r>
      <w:r w:rsidRPr="006F6B6C">
        <w:rPr>
          <w:sz w:val="20"/>
        </w:rPr>
        <w:noBreakHyphen/>
        <w:t xml:space="preserve">incriminating discovery evidence for impeachment purposes could not and did not trigger the application of s. 13.  Section 13 is not directed to “any evidence” the witness may have been compelled to give at the prior proceeding, but to incriminating evidence.  Incriminating evidence is evidence given by the witness at the prior proceeding that the Crown could use at the subsequent proceeding, if it were permitted to do so, to prove guilt, i.e. to prove or assist in proving one or more of the essential elements of the offence for which the witness is being tried.  Where the evidence given by the witness at the prior proceeding could not be used by the Crown at the subsequent proceeding to prove the witness’s guilt on the charge for which he or she is being tried, the prior evidence is not “incriminating evidence”. </w:t>
      </w:r>
    </w:p>
    <w:p w:rsidR="00883278" w:rsidRDefault="00883278" w:rsidP="00883278">
      <w:pPr>
        <w:pStyle w:val="SCCNormalDoubleSpacing"/>
        <w:spacing w:line="240" w:lineRule="auto"/>
        <w:rPr>
          <w:sz w:val="20"/>
        </w:rPr>
      </w:pPr>
    </w:p>
    <w:p w:rsidR="00883278" w:rsidRPr="006F6B6C" w:rsidRDefault="00883278" w:rsidP="00883278">
      <w:pPr>
        <w:pStyle w:val="SCCNormalDoubleSpacing"/>
        <w:spacing w:line="240" w:lineRule="auto"/>
        <w:rPr>
          <w:sz w:val="20"/>
        </w:rPr>
      </w:pPr>
      <w:r w:rsidRPr="006F6B6C">
        <w:rPr>
          <w:sz w:val="20"/>
        </w:rPr>
        <w:tab/>
        <w:t>The mere possibility that evidence, which is otherwise “non</w:t>
      </w:r>
      <w:r w:rsidRPr="006F6B6C">
        <w:rPr>
          <w:sz w:val="20"/>
        </w:rPr>
        <w:noBreakHyphen/>
        <w:t xml:space="preserve">incriminating”, can be converted into “incriminating” evidence if the Crown were to take the added steps needed to make it </w:t>
      </w:r>
      <w:proofErr w:type="gramStart"/>
      <w:r w:rsidRPr="006F6B6C">
        <w:rPr>
          <w:sz w:val="20"/>
        </w:rPr>
        <w:t>so,</w:t>
      </w:r>
      <w:proofErr w:type="gramEnd"/>
      <w:r w:rsidRPr="006F6B6C">
        <w:rPr>
          <w:sz w:val="20"/>
        </w:rPr>
        <w:t xml:space="preserve"> is not enough to trigger the application of s. 13.  The use of N’s discovery evidence to test his credibility, and nothing else, could not convert his discovery evidence into incriminating evidence.  The discovery evidence would retain its original characteristics and it would not become evidence from which the triers of fact could infer guilt.</w:t>
      </w:r>
    </w:p>
    <w:p w:rsidR="00883278" w:rsidRDefault="00883278" w:rsidP="00883278">
      <w:pPr>
        <w:pStyle w:val="SCCNormalDoubleSpacing"/>
        <w:spacing w:line="240" w:lineRule="auto"/>
        <w:rPr>
          <w:sz w:val="20"/>
        </w:rPr>
      </w:pPr>
    </w:p>
    <w:p w:rsidR="00883278" w:rsidRPr="006F6B6C" w:rsidRDefault="00883278" w:rsidP="00883278">
      <w:pPr>
        <w:pStyle w:val="SCCNormalDoubleSpacing"/>
        <w:spacing w:line="240" w:lineRule="auto"/>
        <w:rPr>
          <w:sz w:val="20"/>
        </w:rPr>
      </w:pPr>
      <w:r w:rsidRPr="006F6B6C">
        <w:rPr>
          <w:sz w:val="20"/>
        </w:rPr>
        <w:tab/>
        <w:t>While it is true that N’s inconsistent discovery evidence might lead the triers of fact to reject his trial testimony, rejection of an accused’s testimony does not create evidence for the Crown — any more than the rejection of an accused’s alibi evidence does, absent a finding on independent evidence, that the alibi has been concocted.</w:t>
      </w:r>
    </w:p>
    <w:p w:rsidR="00883278" w:rsidRDefault="00883278" w:rsidP="00883278">
      <w:pPr>
        <w:pStyle w:val="SCCNormalDoubleSpacing"/>
        <w:spacing w:line="240" w:lineRule="auto"/>
        <w:rPr>
          <w:sz w:val="20"/>
        </w:rPr>
      </w:pPr>
    </w:p>
    <w:p w:rsidR="00883278" w:rsidRPr="006F6B6C" w:rsidRDefault="00883278" w:rsidP="00883278">
      <w:pPr>
        <w:pStyle w:val="SCCNormalDoubleSpacing"/>
        <w:spacing w:line="240" w:lineRule="auto"/>
        <w:rPr>
          <w:sz w:val="20"/>
        </w:rPr>
      </w:pPr>
      <w:r w:rsidRPr="006F6B6C">
        <w:rPr>
          <w:sz w:val="20"/>
        </w:rPr>
        <w:tab/>
        <w:t>On this construction of s. 13, neither the truthful witness nor the perjurer need be concerned that any incriminating evidence given by them at a prior proceeding will be used against them, for any purpose, at a subsequent proceeding for anything other than perjury.</w:t>
      </w:r>
    </w:p>
    <w:p w:rsidR="00883278" w:rsidRPr="006F6B6C" w:rsidRDefault="00883278" w:rsidP="00883278">
      <w:pPr>
        <w:pStyle w:val="SCCNormalDoubleSpacing"/>
        <w:spacing w:line="240" w:lineRule="auto"/>
        <w:rPr>
          <w:b/>
          <w:sz w:val="20"/>
        </w:rPr>
      </w:pPr>
      <w:r w:rsidRPr="006F6B6C">
        <w:rPr>
          <w:sz w:val="20"/>
        </w:rPr>
        <w:lastRenderedPageBreak/>
        <w:tab/>
        <w:t>While this approach might impinge ever so slightly on clarity and predictability, clarity and predictability should not be pursued at the expense of rewriting s. 13 to remove critical words that alter the meaning of the section and impermissibly extend its protection beyond its intended purpose.  Trial judges will have little difficulty deciding whether evidence put forward by the Crown meets the test for “incriminating” evidence as defined.  It would of course be incumbent on trial judges to provide juries with clear instructions as to the use they could make of the evidence given at the prior proceeding.</w:t>
      </w:r>
    </w:p>
    <w:p w:rsidR="00883278" w:rsidRDefault="00883278" w:rsidP="00883278">
      <w:pPr>
        <w:pStyle w:val="SCCNormalDoubleSpacing"/>
        <w:spacing w:line="240" w:lineRule="auto"/>
        <w:rPr>
          <w:sz w:val="20"/>
        </w:rPr>
      </w:pPr>
    </w:p>
    <w:p w:rsidR="00883278" w:rsidRPr="006F6B6C" w:rsidRDefault="00883278" w:rsidP="00883278">
      <w:pPr>
        <w:pStyle w:val="SCCNormalDoubleSpacing"/>
        <w:spacing w:line="240" w:lineRule="auto"/>
        <w:rPr>
          <w:sz w:val="20"/>
        </w:rPr>
      </w:pPr>
      <w:r w:rsidRPr="006F6B6C">
        <w:rPr>
          <w:sz w:val="20"/>
        </w:rPr>
        <w:tab/>
        <w:t>On its own, N’s discovery testimony could not have been used by the Crown to prove or assist in proving one or more of the essential elements of the criminal charges he was facing.  While his inconsistent discovery evidence might lead the triers of fact to reject his trial testimony, rejection of an accused’s testimony does not create evidence for the Crown.</w:t>
      </w:r>
    </w:p>
    <w:p w:rsidR="00883278" w:rsidRDefault="00883278" w:rsidP="00883278">
      <w:pPr>
        <w:pStyle w:val="SCCNormalDoubleSpacing"/>
        <w:spacing w:line="240" w:lineRule="auto"/>
        <w:rPr>
          <w:i/>
          <w:sz w:val="20"/>
        </w:rPr>
      </w:pPr>
    </w:p>
    <w:p w:rsidR="00883278" w:rsidRPr="006F6B6C" w:rsidRDefault="00883278" w:rsidP="00883278">
      <w:pPr>
        <w:pStyle w:val="SCCNormalDoubleSpacing"/>
        <w:spacing w:line="240" w:lineRule="auto"/>
        <w:rPr>
          <w:sz w:val="20"/>
        </w:rPr>
      </w:pPr>
      <w:r w:rsidRPr="006F6B6C">
        <w:rPr>
          <w:i/>
          <w:sz w:val="20"/>
        </w:rPr>
        <w:tab/>
      </w:r>
      <w:proofErr w:type="gramStart"/>
      <w:r w:rsidRPr="006F6B6C">
        <w:rPr>
          <w:i/>
          <w:sz w:val="20"/>
        </w:rPr>
        <w:t>Per</w:t>
      </w:r>
      <w:r w:rsidRPr="006F6B6C">
        <w:rPr>
          <w:sz w:val="20"/>
        </w:rPr>
        <w:t xml:space="preserve"> </w:t>
      </w:r>
      <w:r w:rsidRPr="006F6B6C">
        <w:rPr>
          <w:b/>
          <w:sz w:val="20"/>
        </w:rPr>
        <w:t>LeBel</w:t>
      </w:r>
      <w:r w:rsidRPr="006F6B6C">
        <w:rPr>
          <w:sz w:val="20"/>
        </w:rPr>
        <w:t>, Fish and Cromwell JJ.</w:t>
      </w:r>
      <w:proofErr w:type="gramEnd"/>
      <w:r w:rsidRPr="006F6B6C">
        <w:rPr>
          <w:sz w:val="20"/>
        </w:rPr>
        <w:t xml:space="preserve"> (</w:t>
      </w:r>
      <w:proofErr w:type="gramStart"/>
      <w:r w:rsidRPr="006F6B6C">
        <w:rPr>
          <w:sz w:val="20"/>
        </w:rPr>
        <w:t>dissenting</w:t>
      </w:r>
      <w:proofErr w:type="gramEnd"/>
      <w:r w:rsidRPr="006F6B6C">
        <w:rPr>
          <w:sz w:val="20"/>
        </w:rPr>
        <w:t>):  The right against self</w:t>
      </w:r>
      <w:r w:rsidRPr="006F6B6C">
        <w:rPr>
          <w:sz w:val="20"/>
        </w:rPr>
        <w:noBreakHyphen/>
        <w:t xml:space="preserve">incrimination lies at the heart of our justice system and is enshrined in the </w:t>
      </w:r>
      <w:r w:rsidRPr="006F6B6C">
        <w:rPr>
          <w:i/>
          <w:sz w:val="20"/>
        </w:rPr>
        <w:t>Canadian Charter of Rights and Freedoms</w:t>
      </w:r>
      <w:r w:rsidRPr="006F6B6C">
        <w:rPr>
          <w:sz w:val="20"/>
        </w:rPr>
        <w:t>.  It is intimately linked to the right to stand silent in the face of one’s accuser, to the presumption of innocence and to the notion that the Crown must prove its case beyond a reasonable doubt without any assistance from the accused.</w:t>
      </w:r>
    </w:p>
    <w:p w:rsidR="00883278" w:rsidRDefault="00883278" w:rsidP="00883278">
      <w:pPr>
        <w:pStyle w:val="SCCNormalDoubleSpacing"/>
        <w:spacing w:line="240" w:lineRule="auto"/>
        <w:rPr>
          <w:sz w:val="20"/>
        </w:rPr>
      </w:pPr>
    </w:p>
    <w:p w:rsidR="00883278" w:rsidRPr="006F6B6C" w:rsidRDefault="00883278" w:rsidP="00883278">
      <w:pPr>
        <w:pStyle w:val="SCCNormalDoubleSpacing"/>
        <w:spacing w:line="240" w:lineRule="auto"/>
        <w:rPr>
          <w:sz w:val="20"/>
        </w:rPr>
      </w:pPr>
      <w:r w:rsidRPr="006F6B6C">
        <w:rPr>
          <w:sz w:val="20"/>
        </w:rPr>
        <w:tab/>
        <w:t xml:space="preserve">Section 13 only applies when the </w:t>
      </w:r>
      <w:r w:rsidRPr="006F6B6C">
        <w:rPr>
          <w:i/>
          <w:sz w:val="20"/>
        </w:rPr>
        <w:t>quid pro quo</w:t>
      </w:r>
      <w:r w:rsidRPr="006F6B6C">
        <w:rPr>
          <w:sz w:val="20"/>
        </w:rPr>
        <w:t xml:space="preserve"> is engaged: a witness’s evidence is compelled in exchange for a guarantee that the Crown will not use that evidence against that person in another proceeding</w:t>
      </w:r>
      <w:r w:rsidRPr="006F6B6C">
        <w:rPr>
          <w:i/>
          <w:sz w:val="20"/>
        </w:rPr>
        <w:t xml:space="preserve"> </w:t>
      </w:r>
      <w:r w:rsidRPr="006F6B6C">
        <w:rPr>
          <w:sz w:val="20"/>
        </w:rPr>
        <w:t xml:space="preserve">is engaged.  The focus of the s. 13 analysis should be on compulsion.  Evidence should be treated as compelled where there is a statutory route by which the witness could be compelled to give evidence.  Whether or not that route is actually taken does not change the fact that it was available and could have been taken.  It would be unprincipled to give a lesser degree of </w:t>
      </w:r>
      <w:r w:rsidRPr="006F6B6C">
        <w:rPr>
          <w:i/>
          <w:sz w:val="20"/>
        </w:rPr>
        <w:t>Charter</w:t>
      </w:r>
      <w:r w:rsidRPr="006F6B6C">
        <w:rPr>
          <w:sz w:val="20"/>
        </w:rPr>
        <w:t xml:space="preserve"> protection to a witness who testifies willingly than to a witness who must be subpoenaed or otherwise forced to give evidence, if both could have been statutorily compelled to testify in any event.</w:t>
      </w:r>
    </w:p>
    <w:p w:rsidR="00883278" w:rsidRDefault="00883278" w:rsidP="00883278">
      <w:pPr>
        <w:pStyle w:val="SCCNormalDoubleSpacing"/>
        <w:spacing w:line="240" w:lineRule="auto"/>
        <w:rPr>
          <w:sz w:val="20"/>
        </w:rPr>
      </w:pPr>
    </w:p>
    <w:p w:rsidR="00883278" w:rsidRPr="006F6B6C" w:rsidRDefault="00883278" w:rsidP="00883278">
      <w:pPr>
        <w:pStyle w:val="SCCNormalDoubleSpacing"/>
        <w:spacing w:line="240" w:lineRule="auto"/>
        <w:rPr>
          <w:sz w:val="20"/>
        </w:rPr>
      </w:pPr>
      <w:r w:rsidRPr="006F6B6C">
        <w:rPr>
          <w:sz w:val="20"/>
        </w:rPr>
        <w:tab/>
        <w:t>Similarly, the focus should not be on the nature of the statements.  While s. 13 refers to using “incriminating statements” to “incriminate”, parsing an accused person’s testimony to distinguish what is “incriminating” from what is “innocuous” in order to determine on what parts of his or her testimony the accused may be cross</w:t>
      </w:r>
      <w:r w:rsidRPr="006F6B6C">
        <w:rPr>
          <w:sz w:val="20"/>
        </w:rPr>
        <w:noBreakHyphen/>
        <w:t>examined might result in a protracted and unpredictable classification exercise.  That distinction is just as unworkable as the previously abolished distinction between using prior compelled testimony to impeach credibility and using it to incriminate the accused.  It is especially difficult to draw that distinction because the focus of the right against self</w:t>
      </w:r>
      <w:r w:rsidRPr="006F6B6C">
        <w:rPr>
          <w:sz w:val="20"/>
        </w:rPr>
        <w:noBreakHyphen/>
        <w:t>incrimination is on the second proceedings, the time at which the previous testimony is sought to be used, rather than the time at which it is given.  Any evidence that may assist the Crown in proving its case will have an incriminating effect and must therefore be subject to s. 13 protection.</w:t>
      </w:r>
    </w:p>
    <w:p w:rsidR="00883278" w:rsidRDefault="00883278" w:rsidP="00883278">
      <w:pPr>
        <w:pStyle w:val="SCCNormalDoubleSpacing"/>
        <w:spacing w:line="240" w:lineRule="auto"/>
        <w:rPr>
          <w:sz w:val="20"/>
        </w:rPr>
      </w:pPr>
    </w:p>
    <w:p w:rsidR="00883278" w:rsidRPr="006F6B6C" w:rsidRDefault="00883278" w:rsidP="00883278">
      <w:pPr>
        <w:pStyle w:val="SCCNormalDoubleSpacing"/>
        <w:spacing w:line="240" w:lineRule="auto"/>
        <w:rPr>
          <w:sz w:val="20"/>
        </w:rPr>
      </w:pPr>
      <w:r w:rsidRPr="006F6B6C">
        <w:rPr>
          <w:sz w:val="20"/>
        </w:rPr>
        <w:tab/>
        <w:t xml:space="preserve">The protection afforded by s. 13 is not lost when a witness gives what is perceived to be dishonest testimony.  Although the </w:t>
      </w:r>
      <w:r w:rsidRPr="006F6B6C">
        <w:rPr>
          <w:i/>
          <w:sz w:val="20"/>
        </w:rPr>
        <w:t>quid pro quo</w:t>
      </w:r>
      <w:r w:rsidRPr="006F6B6C">
        <w:rPr>
          <w:sz w:val="20"/>
        </w:rPr>
        <w:t xml:space="preserve"> is meant to encourage full and frank evidence, s. 13, in the context of the greater balancing of interests embodied in the </w:t>
      </w:r>
      <w:r w:rsidRPr="006F6B6C">
        <w:rPr>
          <w:i/>
          <w:sz w:val="20"/>
        </w:rPr>
        <w:t>Charter</w:t>
      </w:r>
      <w:r w:rsidRPr="006F6B6C">
        <w:rPr>
          <w:sz w:val="20"/>
        </w:rPr>
        <w:t>, dictates that the truth</w:t>
      </w:r>
      <w:r w:rsidRPr="006F6B6C">
        <w:rPr>
          <w:sz w:val="20"/>
        </w:rPr>
        <w:noBreakHyphen/>
        <w:t>seeking function of the trial give way to the right of the accused against self</w:t>
      </w:r>
      <w:r w:rsidRPr="006F6B6C">
        <w:rPr>
          <w:sz w:val="20"/>
        </w:rPr>
        <w:noBreakHyphen/>
        <w:t xml:space="preserve">incrimination.  The </w:t>
      </w:r>
      <w:r w:rsidRPr="006F6B6C">
        <w:rPr>
          <w:i/>
          <w:sz w:val="20"/>
        </w:rPr>
        <w:t>quid pro quo</w:t>
      </w:r>
      <w:r w:rsidRPr="006F6B6C">
        <w:rPr>
          <w:sz w:val="20"/>
        </w:rPr>
        <w:t xml:space="preserve"> is not a “contract” with a witness that can be nullified if the witness lies under oath.  Prior compelled evidence can be used in a prosecution for perjury or for the giving of contradictory evidence.  Laying criminal charges for perjury is the appropriate way to deal with witnesses who tailor their evidence to suit their needs in each particular proceeding without diluting the </w:t>
      </w:r>
      <w:r w:rsidRPr="006F6B6C">
        <w:rPr>
          <w:i/>
          <w:sz w:val="20"/>
        </w:rPr>
        <w:t xml:space="preserve">Charter </w:t>
      </w:r>
      <w:r w:rsidRPr="006F6B6C">
        <w:rPr>
          <w:sz w:val="20"/>
        </w:rPr>
        <w:t xml:space="preserve">rights of the accused.  This approach maintains respect for the administration of justice while fully preserving the s. 13 right of the accused.  It also avoids the need to conduct a </w:t>
      </w:r>
      <w:r w:rsidRPr="006F6B6C">
        <w:rPr>
          <w:i/>
          <w:sz w:val="20"/>
        </w:rPr>
        <w:t>voir dire</w:t>
      </w:r>
      <w:r w:rsidRPr="006F6B6C">
        <w:rPr>
          <w:sz w:val="20"/>
        </w:rPr>
        <w:t xml:space="preserve">, which would encumber the trial process, render the scope of s. 13 dubious in theory and uncertain in practice, discourage full and frank testimony, and reduce the scope of the s. 13 protection that previously compelled witnesses have had since </w:t>
      </w:r>
      <w:r w:rsidRPr="006F6B6C">
        <w:rPr>
          <w:i/>
          <w:sz w:val="20"/>
        </w:rPr>
        <w:t>R. v. Henry</w:t>
      </w:r>
      <w:r w:rsidRPr="006F6B6C">
        <w:rPr>
          <w:sz w:val="20"/>
        </w:rPr>
        <w:t>, 2005 SCC 76, [2005] 3 S.C.R. 609.</w:t>
      </w:r>
    </w:p>
    <w:p w:rsidR="00883278" w:rsidRDefault="00883278" w:rsidP="00883278">
      <w:pPr>
        <w:pStyle w:val="SCCNormalDoubleSpacing"/>
        <w:spacing w:line="240" w:lineRule="auto"/>
        <w:rPr>
          <w:sz w:val="20"/>
        </w:rPr>
      </w:pPr>
    </w:p>
    <w:p w:rsidR="00883278" w:rsidRDefault="00883278" w:rsidP="00883278">
      <w:pPr>
        <w:pStyle w:val="SCCNormalDoubleSpacing"/>
        <w:spacing w:line="240" w:lineRule="auto"/>
        <w:rPr>
          <w:sz w:val="20"/>
        </w:rPr>
      </w:pPr>
      <w:r w:rsidRPr="006F6B6C">
        <w:rPr>
          <w:sz w:val="20"/>
        </w:rPr>
        <w:tab/>
        <w:t xml:space="preserve">In this case, N was statutorily compellable to be examined for discovery, and therefore “compelled” within the meaning of </w:t>
      </w:r>
      <w:r w:rsidRPr="006F6B6C">
        <w:rPr>
          <w:i/>
          <w:sz w:val="20"/>
        </w:rPr>
        <w:t xml:space="preserve">Henry </w:t>
      </w:r>
      <w:r w:rsidRPr="006F6B6C">
        <w:rPr>
          <w:sz w:val="20"/>
        </w:rPr>
        <w:t xml:space="preserve">and for the purposes of s. 13.  Whether he freely decided to attend the discovery proceeding is irrelevant because Rule 31.04(2) of the Ontario </w:t>
      </w:r>
      <w:r w:rsidRPr="006F6B6C">
        <w:rPr>
          <w:i/>
          <w:sz w:val="20"/>
        </w:rPr>
        <w:t xml:space="preserve">Rules of Civil Procedure </w:t>
      </w:r>
      <w:r w:rsidRPr="006F6B6C">
        <w:rPr>
          <w:sz w:val="20"/>
        </w:rPr>
        <w:t>compels a defendant in a civil action to be examined for discovery.  Failing to file a statement of defence would not have allowed N to avoid coming within the grasp of the procedural rules that would compel his evidence, so whether he was actually noted in default is irrelevant.  Despite the rather blatant inconsistencies in his testimony, s. 13 dictates that the truth</w:t>
      </w:r>
      <w:r w:rsidRPr="006F6B6C">
        <w:rPr>
          <w:sz w:val="20"/>
        </w:rPr>
        <w:noBreakHyphen/>
        <w:t>seeking function of the trial give way to the right of the accused against self</w:t>
      </w:r>
      <w:r w:rsidRPr="006F6B6C">
        <w:rPr>
          <w:sz w:val="20"/>
        </w:rPr>
        <w:noBreakHyphen/>
        <w:t>incrimination.</w:t>
      </w:r>
    </w:p>
    <w:p w:rsidR="00883278" w:rsidRDefault="00883278" w:rsidP="00883278">
      <w:pPr>
        <w:pStyle w:val="SCCNormalDoubleSpacing"/>
        <w:spacing w:line="240" w:lineRule="auto"/>
        <w:rPr>
          <w:sz w:val="20"/>
        </w:rPr>
      </w:pPr>
    </w:p>
    <w:p w:rsidR="00883278" w:rsidRPr="006F6B6C" w:rsidRDefault="00883278" w:rsidP="00883278">
      <w:pPr>
        <w:pStyle w:val="SCCNormalDoubleSpacing"/>
        <w:spacing w:line="240" w:lineRule="auto"/>
        <w:rPr>
          <w:sz w:val="20"/>
        </w:rPr>
      </w:pPr>
      <w:r w:rsidRPr="006F6B6C">
        <w:rPr>
          <w:sz w:val="20"/>
        </w:rPr>
        <w:lastRenderedPageBreak/>
        <w:tab/>
        <w:t xml:space="preserve">APPEAL from a judgment of the Ontario Court of Appeal (Weiler, MacPherson and Armstrong JJ.A.), 2011 ONCA 143, 276 O.A.C. 106, 269 C.C.C. (3d) 1, 83 C.R. (6th) 41, 227 C.R.R. (2d) 364, 7 M.V.R. (6th) 10, 5 C.P.C. (7th) 16, [2011] O.J. No. 795 (QL), 2011 CarswellOnt 1090, setting aside the conviction for dangerous driving causing bodily harm entered by O’Connor J., 60 M.V.R. (5th) 186, 2007 CanLII 54970, [2007] O.J. No. 4906 (QL), 2007 CarswellOnt 8205, and ordering a new trial.  Appeal allowed, LeBel, Fish and Cromwell JJ. </w:t>
      </w:r>
      <w:proofErr w:type="gramStart"/>
      <w:r w:rsidRPr="006F6B6C">
        <w:rPr>
          <w:sz w:val="20"/>
        </w:rPr>
        <w:t>dissenting</w:t>
      </w:r>
      <w:proofErr w:type="gramEnd"/>
      <w:r w:rsidRPr="006F6B6C">
        <w:rPr>
          <w:sz w:val="20"/>
        </w:rPr>
        <w:t>.</w:t>
      </w:r>
    </w:p>
    <w:p w:rsidR="00883278" w:rsidRDefault="00883278" w:rsidP="00883278">
      <w:pPr>
        <w:pStyle w:val="SCCNormalDoubleSpacing"/>
        <w:spacing w:line="240" w:lineRule="auto"/>
        <w:rPr>
          <w:i/>
          <w:sz w:val="20"/>
        </w:rPr>
      </w:pPr>
    </w:p>
    <w:p w:rsidR="00883278" w:rsidRPr="006F6B6C" w:rsidRDefault="00883278" w:rsidP="00883278">
      <w:pPr>
        <w:pStyle w:val="SCCNormalDoubleSpacing"/>
        <w:spacing w:line="240" w:lineRule="auto"/>
        <w:rPr>
          <w:sz w:val="20"/>
        </w:rPr>
      </w:pPr>
      <w:r w:rsidRPr="006F6B6C">
        <w:rPr>
          <w:i/>
          <w:sz w:val="20"/>
        </w:rPr>
        <w:tab/>
      </w:r>
      <w:proofErr w:type="gramStart"/>
      <w:r w:rsidRPr="006F6B6C">
        <w:rPr>
          <w:i/>
          <w:sz w:val="20"/>
        </w:rPr>
        <w:t>Michal Fairburn</w:t>
      </w:r>
      <w:r w:rsidRPr="006F6B6C">
        <w:rPr>
          <w:sz w:val="20"/>
        </w:rPr>
        <w:t xml:space="preserve"> and </w:t>
      </w:r>
      <w:r w:rsidRPr="006F6B6C">
        <w:rPr>
          <w:i/>
          <w:sz w:val="20"/>
        </w:rPr>
        <w:t>Randy Schwartz</w:t>
      </w:r>
      <w:r w:rsidRPr="006F6B6C">
        <w:rPr>
          <w:sz w:val="20"/>
        </w:rPr>
        <w:t>, for the appellant.</w:t>
      </w:r>
      <w:proofErr w:type="gramEnd"/>
    </w:p>
    <w:p w:rsidR="00883278" w:rsidRDefault="00883278" w:rsidP="00883278">
      <w:pPr>
        <w:pStyle w:val="SCCNormalDoubleSpacing"/>
        <w:spacing w:line="240" w:lineRule="auto"/>
        <w:rPr>
          <w:i/>
          <w:sz w:val="20"/>
        </w:rPr>
      </w:pPr>
    </w:p>
    <w:p w:rsidR="00883278" w:rsidRPr="006F6B6C" w:rsidRDefault="00883278" w:rsidP="00883278">
      <w:pPr>
        <w:pStyle w:val="SCCNormalDoubleSpacing"/>
        <w:spacing w:line="240" w:lineRule="auto"/>
        <w:rPr>
          <w:sz w:val="20"/>
        </w:rPr>
      </w:pPr>
      <w:r w:rsidRPr="006F6B6C">
        <w:rPr>
          <w:i/>
          <w:sz w:val="20"/>
        </w:rPr>
        <w:tab/>
        <w:t>P. Andras Schreck</w:t>
      </w:r>
      <w:r w:rsidRPr="006F6B6C">
        <w:rPr>
          <w:sz w:val="20"/>
        </w:rPr>
        <w:t xml:space="preserve"> and </w:t>
      </w:r>
      <w:r w:rsidRPr="006F6B6C">
        <w:rPr>
          <w:i/>
          <w:sz w:val="20"/>
        </w:rPr>
        <w:t>Candice Suter</w:t>
      </w:r>
      <w:r w:rsidRPr="006F6B6C">
        <w:rPr>
          <w:sz w:val="20"/>
        </w:rPr>
        <w:t>, for the respondent.</w:t>
      </w:r>
    </w:p>
    <w:p w:rsidR="00883278" w:rsidRDefault="00883278" w:rsidP="00883278">
      <w:pPr>
        <w:pStyle w:val="SCCNormalDoubleSpacing"/>
        <w:spacing w:line="240" w:lineRule="auto"/>
        <w:rPr>
          <w:i/>
          <w:sz w:val="20"/>
        </w:rPr>
      </w:pPr>
    </w:p>
    <w:p w:rsidR="00883278" w:rsidRPr="006F6B6C" w:rsidRDefault="00883278" w:rsidP="00883278">
      <w:pPr>
        <w:pStyle w:val="SCCNormalDoubleSpacing"/>
        <w:spacing w:line="240" w:lineRule="auto"/>
        <w:rPr>
          <w:sz w:val="20"/>
        </w:rPr>
      </w:pPr>
      <w:r w:rsidRPr="006F6B6C">
        <w:rPr>
          <w:i/>
          <w:sz w:val="20"/>
        </w:rPr>
        <w:tab/>
      </w:r>
      <w:proofErr w:type="gramStart"/>
      <w:r w:rsidRPr="006F6B6C">
        <w:rPr>
          <w:i/>
          <w:sz w:val="20"/>
        </w:rPr>
        <w:t>Sylvain Leboeuf</w:t>
      </w:r>
      <w:r w:rsidRPr="006F6B6C">
        <w:rPr>
          <w:sz w:val="20"/>
        </w:rPr>
        <w:t xml:space="preserve"> and </w:t>
      </w:r>
      <w:r w:rsidRPr="006F6B6C">
        <w:rPr>
          <w:i/>
          <w:sz w:val="20"/>
        </w:rPr>
        <w:t>Gilles Laporte</w:t>
      </w:r>
      <w:r w:rsidRPr="006F6B6C">
        <w:rPr>
          <w:sz w:val="20"/>
        </w:rPr>
        <w:t>, for the intervener the Attorney General of Quebec.</w:t>
      </w:r>
      <w:proofErr w:type="gramEnd"/>
    </w:p>
    <w:p w:rsidR="00883278" w:rsidRDefault="00883278" w:rsidP="00883278">
      <w:pPr>
        <w:pStyle w:val="SCCNormalDoubleSpacing"/>
        <w:spacing w:line="240" w:lineRule="auto"/>
        <w:rPr>
          <w:i/>
          <w:sz w:val="20"/>
        </w:rPr>
      </w:pPr>
    </w:p>
    <w:p w:rsidR="00883278" w:rsidRPr="006F6B6C" w:rsidRDefault="00883278" w:rsidP="00883278">
      <w:pPr>
        <w:pStyle w:val="SCCNormalDoubleSpacing"/>
        <w:spacing w:line="240" w:lineRule="auto"/>
        <w:rPr>
          <w:sz w:val="20"/>
        </w:rPr>
      </w:pPr>
      <w:r w:rsidRPr="006F6B6C">
        <w:rPr>
          <w:i/>
          <w:sz w:val="20"/>
        </w:rPr>
        <w:tab/>
      </w:r>
      <w:proofErr w:type="gramStart"/>
      <w:r w:rsidRPr="006F6B6C">
        <w:rPr>
          <w:i/>
          <w:sz w:val="20"/>
        </w:rPr>
        <w:t>Barbara A. McIsaac, Q.C.</w:t>
      </w:r>
      <w:r w:rsidRPr="006F6B6C">
        <w:rPr>
          <w:sz w:val="20"/>
        </w:rPr>
        <w:t xml:space="preserve">, </w:t>
      </w:r>
      <w:r w:rsidRPr="006F6B6C">
        <w:rPr>
          <w:i/>
          <w:sz w:val="20"/>
        </w:rPr>
        <w:t>Jacquie El</w:t>
      </w:r>
      <w:r w:rsidRPr="006F6B6C">
        <w:rPr>
          <w:i/>
          <w:sz w:val="20"/>
        </w:rPr>
        <w:noBreakHyphen/>
        <w:t>Chammas</w:t>
      </w:r>
      <w:r w:rsidRPr="006F6B6C">
        <w:rPr>
          <w:sz w:val="20"/>
        </w:rPr>
        <w:t xml:space="preserve"> and </w:t>
      </w:r>
      <w:r w:rsidRPr="006F6B6C">
        <w:rPr>
          <w:i/>
          <w:sz w:val="20"/>
        </w:rPr>
        <w:t>Frank Addario</w:t>
      </w:r>
      <w:r w:rsidRPr="006F6B6C">
        <w:rPr>
          <w:sz w:val="20"/>
        </w:rPr>
        <w:t>, for the intervener the Advocates’ Society.</w:t>
      </w:r>
      <w:proofErr w:type="gramEnd"/>
    </w:p>
    <w:p w:rsidR="00883278" w:rsidRDefault="00883278" w:rsidP="00883278">
      <w:pPr>
        <w:pStyle w:val="SCCNormalDoubleSpacing"/>
        <w:spacing w:line="240" w:lineRule="auto"/>
        <w:rPr>
          <w:i/>
          <w:sz w:val="20"/>
        </w:rPr>
      </w:pPr>
    </w:p>
    <w:p w:rsidR="00883278" w:rsidRPr="006F6B6C" w:rsidRDefault="00883278" w:rsidP="00883278">
      <w:pPr>
        <w:pStyle w:val="SCCNormalDoubleSpacing"/>
        <w:spacing w:line="240" w:lineRule="auto"/>
        <w:rPr>
          <w:sz w:val="20"/>
        </w:rPr>
      </w:pPr>
      <w:r w:rsidRPr="006F6B6C">
        <w:rPr>
          <w:i/>
          <w:sz w:val="20"/>
        </w:rPr>
        <w:tab/>
      </w:r>
      <w:proofErr w:type="gramStart"/>
      <w:r w:rsidRPr="006F6B6C">
        <w:rPr>
          <w:i/>
          <w:sz w:val="20"/>
        </w:rPr>
        <w:t>Scott C. Hutchison</w:t>
      </w:r>
      <w:r w:rsidRPr="006F6B6C">
        <w:rPr>
          <w:sz w:val="20"/>
        </w:rPr>
        <w:t xml:space="preserve"> and </w:t>
      </w:r>
      <w:r w:rsidRPr="006F6B6C">
        <w:rPr>
          <w:i/>
          <w:sz w:val="20"/>
        </w:rPr>
        <w:t>Edward Marrocco</w:t>
      </w:r>
      <w:r w:rsidRPr="006F6B6C">
        <w:rPr>
          <w:sz w:val="20"/>
        </w:rPr>
        <w:t>, for the intervener the Criminal Lawyers’ Association (Ontario).</w:t>
      </w:r>
      <w:proofErr w:type="gramEnd"/>
    </w:p>
    <w:p w:rsidR="00883278" w:rsidRDefault="00883278" w:rsidP="00883278">
      <w:pPr>
        <w:pStyle w:val="SCCNormalDoubleSpacing"/>
        <w:spacing w:line="240" w:lineRule="auto"/>
        <w:rPr>
          <w:sz w:val="20"/>
        </w:rPr>
      </w:pPr>
    </w:p>
    <w:p w:rsidR="00883278" w:rsidRPr="006F6B6C" w:rsidRDefault="00883278" w:rsidP="00883278">
      <w:pPr>
        <w:pStyle w:val="SCCNormalDoubleSpacing"/>
        <w:spacing w:line="240" w:lineRule="auto"/>
        <w:rPr>
          <w:i/>
          <w:sz w:val="20"/>
        </w:rPr>
      </w:pPr>
      <w:r w:rsidRPr="006F6B6C">
        <w:rPr>
          <w:sz w:val="20"/>
        </w:rPr>
        <w:tab/>
      </w:r>
      <w:r w:rsidRPr="006F6B6C">
        <w:rPr>
          <w:i/>
          <w:sz w:val="20"/>
        </w:rPr>
        <w:t>Solicitor for the appellant:  Attorney General of Ontario, Toronto.</w:t>
      </w:r>
    </w:p>
    <w:p w:rsidR="00883278" w:rsidRDefault="00883278" w:rsidP="00883278">
      <w:pPr>
        <w:pStyle w:val="SCCNormalDoubleSpacing"/>
        <w:spacing w:line="240" w:lineRule="auto"/>
        <w:rPr>
          <w:i/>
          <w:sz w:val="20"/>
        </w:rPr>
      </w:pPr>
    </w:p>
    <w:p w:rsidR="00883278" w:rsidRPr="006F6B6C" w:rsidRDefault="00883278" w:rsidP="00883278">
      <w:pPr>
        <w:pStyle w:val="SCCNormalDoubleSpacing"/>
        <w:spacing w:line="240" w:lineRule="auto"/>
        <w:rPr>
          <w:i/>
          <w:sz w:val="20"/>
        </w:rPr>
      </w:pPr>
      <w:r w:rsidRPr="006F6B6C">
        <w:rPr>
          <w:i/>
          <w:sz w:val="20"/>
        </w:rPr>
        <w:tab/>
        <w:t>Solicitors for the respondent:  Schreck Presser, Toronto.</w:t>
      </w:r>
    </w:p>
    <w:p w:rsidR="00883278" w:rsidRDefault="00883278" w:rsidP="00883278">
      <w:pPr>
        <w:pStyle w:val="SCCNormalDoubleSpacing"/>
        <w:spacing w:line="240" w:lineRule="auto"/>
        <w:rPr>
          <w:i/>
          <w:sz w:val="20"/>
        </w:rPr>
      </w:pPr>
    </w:p>
    <w:p w:rsidR="00883278" w:rsidRPr="006F6B6C" w:rsidRDefault="00883278" w:rsidP="00883278">
      <w:pPr>
        <w:pStyle w:val="SCCNormalDoubleSpacing"/>
        <w:spacing w:line="240" w:lineRule="auto"/>
        <w:rPr>
          <w:i/>
          <w:sz w:val="20"/>
        </w:rPr>
      </w:pPr>
      <w:r w:rsidRPr="006F6B6C">
        <w:rPr>
          <w:i/>
          <w:sz w:val="20"/>
        </w:rPr>
        <w:tab/>
        <w:t>Solicitor for the intervener the Attorney General of Quebec:  Attorney General of Quebec, Québec.</w:t>
      </w:r>
    </w:p>
    <w:p w:rsidR="00883278" w:rsidRDefault="00883278" w:rsidP="00883278">
      <w:pPr>
        <w:pStyle w:val="SCCNormalDoubleSpacing"/>
        <w:spacing w:line="240" w:lineRule="auto"/>
        <w:rPr>
          <w:i/>
          <w:sz w:val="20"/>
        </w:rPr>
      </w:pPr>
    </w:p>
    <w:p w:rsidR="00883278" w:rsidRPr="006F6B6C" w:rsidRDefault="00883278" w:rsidP="00883278">
      <w:pPr>
        <w:pStyle w:val="SCCNormalDoubleSpacing"/>
        <w:spacing w:line="240" w:lineRule="auto"/>
        <w:rPr>
          <w:i/>
          <w:sz w:val="20"/>
        </w:rPr>
      </w:pPr>
      <w:r w:rsidRPr="006F6B6C">
        <w:rPr>
          <w:i/>
          <w:sz w:val="20"/>
        </w:rPr>
        <w:tab/>
        <w:t>Solicitors for the intervener the Advocates’ Society:  Borden Ladner Gervais, Ottawa; Sack Goldblatt Mitchell, Toronto.</w:t>
      </w:r>
    </w:p>
    <w:p w:rsidR="00883278" w:rsidRDefault="00883278" w:rsidP="00883278">
      <w:pPr>
        <w:pStyle w:val="SCCNormalDoubleSpacing"/>
        <w:spacing w:line="240" w:lineRule="auto"/>
        <w:rPr>
          <w:i/>
          <w:sz w:val="20"/>
        </w:rPr>
      </w:pPr>
    </w:p>
    <w:p w:rsidR="00883278" w:rsidRDefault="00883278" w:rsidP="00883278">
      <w:pPr>
        <w:pStyle w:val="SCCNormalDoubleSpacing"/>
        <w:spacing w:line="240" w:lineRule="auto"/>
        <w:rPr>
          <w:i/>
          <w:sz w:val="20"/>
        </w:rPr>
      </w:pPr>
      <w:r w:rsidRPr="006F6B6C">
        <w:rPr>
          <w:i/>
          <w:sz w:val="20"/>
        </w:rPr>
        <w:tab/>
        <w:t>Solicitors for the intervener the Criminal Lawyers’ Association (Ontario):  Stockwoods, Toronto.</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883278" w:rsidRPr="00883278" w:rsidRDefault="00883278" w:rsidP="00883278">
      <w:pPr>
        <w:jc w:val="both"/>
        <w:rPr>
          <w:sz w:val="20"/>
          <w:szCs w:val="20"/>
          <w:lang w:val="fr-CA"/>
        </w:rPr>
      </w:pPr>
      <w:r w:rsidRPr="00883278">
        <w:rPr>
          <w:sz w:val="20"/>
          <w:szCs w:val="20"/>
          <w:lang w:val="fr-CA"/>
        </w:rPr>
        <w:t>Présents : La juge en chef McLachlin et les juges LeBel, Deschamps, Fish, Abella, Rothstein, Cromwell, Moldaver et Karakatsanis.</w:t>
      </w:r>
    </w:p>
    <w:p w:rsidR="00883278" w:rsidRPr="00883278" w:rsidRDefault="00883278" w:rsidP="00883278">
      <w:pPr>
        <w:pStyle w:val="SCCLowerCourtNameLowercase"/>
        <w:spacing w:line="240" w:lineRule="auto"/>
        <w:rPr>
          <w:sz w:val="20"/>
          <w:lang w:val="fr-CA"/>
        </w:rPr>
      </w:pPr>
    </w:p>
    <w:p w:rsidR="00883278" w:rsidRPr="00883278" w:rsidRDefault="00883278" w:rsidP="00883278">
      <w:pPr>
        <w:pStyle w:val="SCCNormalDoubleSpacing"/>
        <w:spacing w:line="240" w:lineRule="auto"/>
        <w:rPr>
          <w:sz w:val="20"/>
          <w:lang w:val="fr-CA"/>
        </w:rPr>
      </w:pPr>
      <w:r w:rsidRPr="003854DB">
        <w:rPr>
          <w:sz w:val="20"/>
          <w:lang w:val="fr-FR"/>
        </w:rPr>
        <w:tab/>
      </w:r>
      <w:r w:rsidRPr="00883278">
        <w:rPr>
          <w:i/>
          <w:iCs/>
          <w:sz w:val="20"/>
          <w:lang w:val="fr-CA"/>
        </w:rPr>
        <w:t>Droit constitutionnel — Charte des droits — Auto</w:t>
      </w:r>
      <w:r w:rsidRPr="00883278">
        <w:rPr>
          <w:i/>
          <w:iCs/>
          <w:sz w:val="20"/>
          <w:lang w:val="fr-CA"/>
        </w:rPr>
        <w:noBreakHyphen/>
        <w:t xml:space="preserve">incrimination — Accusé impliqué dans un accident de véhicule à moteur dans lequel une victime a été grièvement blessée — Accusé inculpé d’infractions au Code criminel — Accusé ayant témoigné à son procès criminel — Témoignage de l’accusé incompatible avec son témoignage antérieur à l’interrogatoire préalable dans une action civile connexe — </w:t>
      </w:r>
      <w:r w:rsidRPr="00883278">
        <w:rPr>
          <w:i/>
          <w:sz w:val="20"/>
          <w:lang w:val="fr-CA"/>
        </w:rPr>
        <w:t>Le ministère public peut</w:t>
      </w:r>
      <w:r w:rsidRPr="00883278">
        <w:rPr>
          <w:i/>
          <w:sz w:val="20"/>
          <w:lang w:val="fr-CA"/>
        </w:rPr>
        <w:noBreakHyphen/>
        <w:t>il contre</w:t>
      </w:r>
      <w:r w:rsidRPr="00883278">
        <w:rPr>
          <w:i/>
          <w:sz w:val="20"/>
          <w:lang w:val="fr-CA"/>
        </w:rPr>
        <w:noBreakHyphen/>
        <w:t>interroger l’accusé sur ses déclarations contradictoires antérieures sans porter atteinte à son droit de ne pas s’incriminer?</w:t>
      </w:r>
      <w:r w:rsidRPr="00883278">
        <w:rPr>
          <w:sz w:val="20"/>
          <w:lang w:val="fr-CA"/>
        </w:rPr>
        <w:t xml:space="preserve"> </w:t>
      </w:r>
      <w:r w:rsidRPr="00883278">
        <w:rPr>
          <w:i/>
          <w:iCs/>
          <w:sz w:val="20"/>
          <w:lang w:val="fr-CA"/>
        </w:rPr>
        <w:t>— Charte canadienne des droits et libertés, art. 13.</w:t>
      </w:r>
    </w:p>
    <w:p w:rsidR="00883278" w:rsidRPr="00883278" w:rsidRDefault="00883278" w:rsidP="00883278">
      <w:pPr>
        <w:pStyle w:val="SCCNormalDoubleSpacing"/>
        <w:spacing w:line="240" w:lineRule="auto"/>
        <w:rPr>
          <w:sz w:val="20"/>
          <w:lang w:val="fr-CA"/>
        </w:rPr>
      </w:pPr>
    </w:p>
    <w:p w:rsidR="00883278" w:rsidRPr="00883278" w:rsidRDefault="00883278" w:rsidP="00883278">
      <w:pPr>
        <w:pStyle w:val="SCCNormalDoubleSpacing"/>
        <w:spacing w:line="240" w:lineRule="auto"/>
        <w:rPr>
          <w:sz w:val="20"/>
          <w:lang w:val="fr-CA"/>
        </w:rPr>
      </w:pPr>
      <w:r w:rsidRPr="00883278">
        <w:rPr>
          <w:sz w:val="20"/>
          <w:lang w:val="fr-CA"/>
        </w:rPr>
        <w:tab/>
        <w:t>Un soir, après le travail, N a fait monter la victime sur sa motocyclette pour lui faire faire un tour sur la propriété de leur employeur.  La motocyclette a percuté la bordure de trottoir, et la victime a subi des lésions cérébrales permanentes.  N a été hospitalisé jusqu’au lendemain pour des blessures mineures.  N a été accusé de conduite dangereuse ayant causé des lésions corporelles et de conduite avec facultés affaiblies ayant causé des lésions corporelles.  Il a également été poursuivi au civil par la victime et sa famille.  À l’interrogatoire préalable dans le cadre de cette instance civile, N a affirmé ne pas se souvenir de ce qui était survenu entre le jour de l’accident et son réveil à l’hôpital le lendemain.  À son procès criminel, N a toutefois donné un compte rendu détaillé de l’accident et des faits qui l’avaient précédé.  Ayant été autorisé à contre</w:t>
      </w:r>
      <w:r w:rsidRPr="00883278">
        <w:rPr>
          <w:sz w:val="20"/>
          <w:lang w:val="fr-CA"/>
        </w:rPr>
        <w:noBreakHyphen/>
        <w:t xml:space="preserve">interroger N sur son témoignage à l’interrogatoire préalable, le ministère public lui a posé des questions sur son souvenir des événements.  N a affirmé : « Je me souviens d’environ 90 à 95 pour 100 de ce qui s’est passé ».  Le témoignage de N à son procès n’a pas été jugé digne de foi et N a été déclaré coupable de conduite dangereuse ayant causé des lésions corporelles.  La Cour d’appel a accueilli l’appel de N.  Elle a infirmé la décision du juge du procès, annulé la déclaration de culpabilité et ordonné la tenue d’un nouveau procès.  </w:t>
      </w:r>
    </w:p>
    <w:p w:rsidR="00883278" w:rsidRPr="00883278" w:rsidRDefault="00883278" w:rsidP="00883278">
      <w:pPr>
        <w:pStyle w:val="SCCNormalDoubleSpacing"/>
        <w:spacing w:line="240" w:lineRule="auto"/>
        <w:rPr>
          <w:i/>
          <w:sz w:val="20"/>
          <w:lang w:val="fr-CA"/>
        </w:rPr>
      </w:pPr>
    </w:p>
    <w:p w:rsidR="00883278" w:rsidRPr="00883278" w:rsidRDefault="00883278" w:rsidP="00883278">
      <w:pPr>
        <w:pStyle w:val="SCCNormalDoubleSpacing"/>
        <w:spacing w:line="240" w:lineRule="auto"/>
        <w:rPr>
          <w:sz w:val="20"/>
          <w:lang w:val="fr-CA"/>
        </w:rPr>
      </w:pPr>
      <w:r w:rsidRPr="00883278">
        <w:rPr>
          <w:i/>
          <w:sz w:val="20"/>
          <w:lang w:val="fr-CA"/>
        </w:rPr>
        <w:tab/>
        <w:t>Arrêt</w:t>
      </w:r>
      <w:r w:rsidRPr="00883278">
        <w:rPr>
          <w:sz w:val="20"/>
          <w:lang w:val="fr-CA"/>
        </w:rPr>
        <w:t xml:space="preserve"> (les juges LeBel, Fish et Cromwell sont dissidents) : Le pourvoi est accueilli, l’ordonnance prescrivant la tenue d’un nouveau procès est annulée et la déclaration de culpabilité de conduite dangereuse ayant causé des lésions corporelles est </w:t>
      </w:r>
      <w:proofErr w:type="gramStart"/>
      <w:r w:rsidRPr="00883278">
        <w:rPr>
          <w:sz w:val="20"/>
          <w:lang w:val="fr-CA"/>
        </w:rPr>
        <w:t>rétablie</w:t>
      </w:r>
      <w:proofErr w:type="gramEnd"/>
      <w:r w:rsidRPr="00883278">
        <w:rPr>
          <w:sz w:val="20"/>
          <w:lang w:val="fr-CA"/>
        </w:rPr>
        <w:t>.</w:t>
      </w:r>
    </w:p>
    <w:p w:rsidR="00883278" w:rsidRPr="00883278" w:rsidRDefault="00883278" w:rsidP="00883278">
      <w:pPr>
        <w:pStyle w:val="SCCNormalDoubleSpacing"/>
        <w:spacing w:line="240" w:lineRule="auto"/>
        <w:rPr>
          <w:sz w:val="20"/>
          <w:lang w:val="fr-CA"/>
        </w:rPr>
      </w:pPr>
      <w:r w:rsidRPr="00883278">
        <w:rPr>
          <w:sz w:val="20"/>
          <w:lang w:val="fr-CA"/>
        </w:rPr>
        <w:lastRenderedPageBreak/>
        <w:tab/>
      </w:r>
      <w:r w:rsidRPr="00883278">
        <w:rPr>
          <w:i/>
          <w:sz w:val="20"/>
          <w:lang w:val="fr-CA"/>
        </w:rPr>
        <w:t xml:space="preserve">La </w:t>
      </w:r>
      <w:r w:rsidRPr="00883278">
        <w:rPr>
          <w:sz w:val="20"/>
          <w:lang w:val="fr-CA"/>
        </w:rPr>
        <w:t xml:space="preserve">juge en chef McLachlin et les juges Deschamps, Abella, Rothstein, </w:t>
      </w:r>
      <w:r w:rsidRPr="00883278">
        <w:rPr>
          <w:b/>
          <w:sz w:val="20"/>
          <w:lang w:val="fr-CA"/>
        </w:rPr>
        <w:t>Moldaver</w:t>
      </w:r>
      <w:r w:rsidRPr="00883278">
        <w:rPr>
          <w:sz w:val="20"/>
          <w:lang w:val="fr-CA"/>
        </w:rPr>
        <w:t xml:space="preserve"> et Karatkatsanis : Même si, pour l’application de l’art. 13 de la </w:t>
      </w:r>
      <w:r w:rsidRPr="00883278">
        <w:rPr>
          <w:i/>
          <w:sz w:val="20"/>
          <w:lang w:val="fr-CA"/>
        </w:rPr>
        <w:t>Charte</w:t>
      </w:r>
      <w:r w:rsidRPr="00883278">
        <w:rPr>
          <w:sz w:val="20"/>
          <w:lang w:val="fr-CA"/>
        </w:rPr>
        <w:t>, N était un témoin contraignable en vertu de la loi et, par conséquent, un témoin forcé à l’interrogatoire préalable dans le cadre de l’action civile,</w:t>
      </w:r>
      <w:r w:rsidRPr="00883278">
        <w:rPr>
          <w:i/>
          <w:sz w:val="20"/>
          <w:lang w:val="fr-CA"/>
        </w:rPr>
        <w:t xml:space="preserve"> </w:t>
      </w:r>
      <w:r w:rsidRPr="00883278">
        <w:rPr>
          <w:sz w:val="20"/>
          <w:lang w:val="fr-CA"/>
        </w:rPr>
        <w:t>l’utilisation de son témoignage non incriminant pour attaquer sa crédibilité à son procès ne pouvait pas emporter et n’a pas emporté l’application de l’art. 13.  L’art. 13 s’applique à un témoignage incriminant, et non pas à « tout témoignage » que le témoin pourrait avoir été contraint de fournir initialement.  Un témoignage incriminant est un témoignage que le témoin a fourni lors d’une procédure initiale et que le ministère public pourrait utiliser, à supposer qu’il soit autorisé à l’utiliser, pour démontrer la culpabilité du témoin, c’est</w:t>
      </w:r>
      <w:r w:rsidRPr="00883278">
        <w:rPr>
          <w:sz w:val="20"/>
          <w:lang w:val="fr-CA"/>
        </w:rPr>
        <w:noBreakHyphen/>
        <w:t>à</w:t>
      </w:r>
      <w:r w:rsidRPr="00883278">
        <w:rPr>
          <w:sz w:val="20"/>
          <w:lang w:val="fr-CA"/>
        </w:rPr>
        <w:noBreakHyphen/>
        <w:t>dire pour prouver ou pour l’aider à prouver l’un ou plusieurs des éléments constitutifs de l’infraction reprochée au témoin lors de son procès ultérieur.  Le témoignage antérieur que le ministère public ne pourrait pas utiliser dans un procès ultérieur pour démontrer que le témoin est coupable de l’infraction qui lui est reprochée ne constitue pas un « témoignage incriminant ».</w:t>
      </w:r>
    </w:p>
    <w:p w:rsidR="00883278" w:rsidRPr="00883278" w:rsidRDefault="00883278" w:rsidP="00883278">
      <w:pPr>
        <w:pStyle w:val="SCCNormalDoubleSpacing"/>
        <w:spacing w:line="240" w:lineRule="auto"/>
        <w:rPr>
          <w:sz w:val="20"/>
          <w:lang w:val="fr-CA"/>
        </w:rPr>
      </w:pPr>
    </w:p>
    <w:p w:rsidR="00883278" w:rsidRPr="00883278" w:rsidRDefault="00883278" w:rsidP="00883278">
      <w:pPr>
        <w:pStyle w:val="SCCNormalDoubleSpacing"/>
        <w:spacing w:line="240" w:lineRule="auto"/>
        <w:rPr>
          <w:sz w:val="20"/>
          <w:lang w:val="fr-CA"/>
        </w:rPr>
      </w:pPr>
      <w:r w:rsidRPr="00883278">
        <w:rPr>
          <w:sz w:val="20"/>
          <w:lang w:val="fr-CA"/>
        </w:rPr>
        <w:tab/>
        <w:t>La simple possibilité qu’un témoignage par ailleurs « non incriminant » devienne un témoignage « incriminant » si le ministère public prenait les mesures supplémentaires nécessaires pour qu’il le devienne ne suffit pas pour que l’art. 13 s’applique.  L’utilisation du témoignage donné par N à l’interrogatoire préalable pour attaquer sa crédibilité, sans plus, ne suffirait pas à le rendre incriminant.  Ce témoignage conserverait ses caractéristiques initiales et ne deviendrait pas un témoignage à partir duquel les juges des faits pourraient inférer la culpabilité.</w:t>
      </w:r>
    </w:p>
    <w:p w:rsidR="00883278" w:rsidRPr="00883278" w:rsidRDefault="00883278" w:rsidP="00883278">
      <w:pPr>
        <w:pStyle w:val="SCCNormalDoubleSpacing"/>
        <w:spacing w:line="240" w:lineRule="auto"/>
        <w:rPr>
          <w:sz w:val="20"/>
          <w:lang w:val="fr-CA"/>
        </w:rPr>
      </w:pPr>
    </w:p>
    <w:p w:rsidR="00883278" w:rsidRPr="00883278" w:rsidRDefault="00883278" w:rsidP="00883278">
      <w:pPr>
        <w:pStyle w:val="SCCNormalDoubleSpacing"/>
        <w:spacing w:line="240" w:lineRule="auto"/>
        <w:rPr>
          <w:sz w:val="20"/>
          <w:lang w:val="fr-CA"/>
        </w:rPr>
      </w:pPr>
      <w:r w:rsidRPr="00883278">
        <w:rPr>
          <w:sz w:val="20"/>
          <w:lang w:val="fr-CA"/>
        </w:rPr>
        <w:tab/>
        <w:t>Certes, il se pourrait que le témoignage initial incompatible de N amène les juges des faits à rejeter son témoignage à son procès, mais le rejet du témoignage de l’accusé ne constitue pas pour autant un élément de preuve à charge — pas plus que le rejet de l’alibi d’un accusé n’en constitue un, à moins qu’une preuve indépendante ne mène à la conclusion que l’alibi a été fabriqué.</w:t>
      </w:r>
    </w:p>
    <w:p w:rsidR="00883278" w:rsidRPr="00883278" w:rsidRDefault="00883278" w:rsidP="00883278">
      <w:pPr>
        <w:pStyle w:val="SCCNormalDoubleSpacing"/>
        <w:spacing w:line="240" w:lineRule="auto"/>
        <w:rPr>
          <w:sz w:val="20"/>
          <w:lang w:val="fr-CA"/>
        </w:rPr>
      </w:pPr>
    </w:p>
    <w:p w:rsidR="00883278" w:rsidRPr="00883278" w:rsidRDefault="00883278" w:rsidP="00883278">
      <w:pPr>
        <w:pStyle w:val="SCCNormalDoubleSpacing"/>
        <w:spacing w:line="240" w:lineRule="auto"/>
        <w:rPr>
          <w:sz w:val="20"/>
          <w:lang w:val="fr-CA"/>
        </w:rPr>
      </w:pPr>
      <w:r w:rsidRPr="00883278">
        <w:rPr>
          <w:sz w:val="20"/>
          <w:lang w:val="fr-CA"/>
        </w:rPr>
        <w:tab/>
        <w:t xml:space="preserve">Selon cette interprétation de l’art. 13, ni le témoin sincère ni le parjure n’ont à s’inquiéter de la possibilité que leur témoignage incriminant donné dans une procédure antérieure soit utilisé contre eux, à quelque fin que ce soit, dans une procédure ultérieure autrement que relativement à une accusation de parjure.  </w:t>
      </w:r>
    </w:p>
    <w:p w:rsidR="00883278" w:rsidRPr="00883278" w:rsidRDefault="00883278" w:rsidP="00883278">
      <w:pPr>
        <w:pStyle w:val="SCCNormalDoubleSpacing"/>
        <w:spacing w:line="240" w:lineRule="auto"/>
        <w:rPr>
          <w:sz w:val="20"/>
          <w:lang w:val="fr-CA"/>
        </w:rPr>
      </w:pPr>
    </w:p>
    <w:p w:rsidR="00883278" w:rsidRPr="00883278" w:rsidRDefault="00883278" w:rsidP="00883278">
      <w:pPr>
        <w:pStyle w:val="SCCNormalDoubleSpacing"/>
        <w:spacing w:line="240" w:lineRule="auto"/>
        <w:rPr>
          <w:b/>
          <w:sz w:val="20"/>
          <w:lang w:val="fr-CA"/>
        </w:rPr>
      </w:pPr>
      <w:r w:rsidRPr="00883278">
        <w:rPr>
          <w:sz w:val="20"/>
          <w:lang w:val="fr-CA"/>
        </w:rPr>
        <w:tab/>
        <w:t>Bien que cette interprétation puisse porter atteinte à la clarté et à la prévisibilité, ne serait</w:t>
      </w:r>
      <w:r w:rsidRPr="00883278">
        <w:rPr>
          <w:sz w:val="20"/>
          <w:lang w:val="fr-CA"/>
        </w:rPr>
        <w:noBreakHyphen/>
        <w:t>ce que légèrement, la recherche de la clarté et de la prévisibilité ne saurait justifier que l’on récrive l’art. 13 pour en retrancher des mots déterminants dont la suppression modifierait le sens de cette disposition et étendrait indûment la portée de la protection qu’elle offre au</w:t>
      </w:r>
      <w:r w:rsidRPr="00883278">
        <w:rPr>
          <w:sz w:val="20"/>
          <w:lang w:val="fr-CA"/>
        </w:rPr>
        <w:noBreakHyphen/>
        <w:t>delà des fins qu’elle est censée servir.  Les juges n’auront guère de difficulté lors du procès à déterminer si un témoignage que le ministère public entend utiliser est « incriminant » selon la définition qui en a été donnée.  Le juge du procès devrait bien entendu donner au jury des directives claires sur l’utilisation qu’il pourrait faire du témoignage initial.</w:t>
      </w:r>
    </w:p>
    <w:p w:rsidR="00883278" w:rsidRPr="00883278" w:rsidRDefault="00883278" w:rsidP="00883278">
      <w:pPr>
        <w:pStyle w:val="SCCNormalDoubleSpacing"/>
        <w:spacing w:line="240" w:lineRule="auto"/>
        <w:rPr>
          <w:sz w:val="20"/>
          <w:lang w:val="fr-CA"/>
        </w:rPr>
      </w:pPr>
    </w:p>
    <w:p w:rsidR="00883278" w:rsidRPr="003854DB" w:rsidRDefault="00883278" w:rsidP="00883278">
      <w:pPr>
        <w:pStyle w:val="SCCNormalDoubleSpacing"/>
        <w:spacing w:line="240" w:lineRule="auto"/>
        <w:rPr>
          <w:sz w:val="20"/>
          <w:lang w:val="fr-FR"/>
        </w:rPr>
      </w:pPr>
      <w:r w:rsidRPr="00883278">
        <w:rPr>
          <w:sz w:val="20"/>
          <w:lang w:val="fr-CA"/>
        </w:rPr>
        <w:tab/>
        <w:t>En soi, le témoignage fourni à l’interrogatoire préalable par N n’aurait pas pu être utilisé par le ministère public pour prouver ou pour l’aider à prouver l’un ou plusieurs des éléments essentiels des infractions dont il était inculpé</w:t>
      </w:r>
      <w:r w:rsidRPr="003854DB">
        <w:rPr>
          <w:sz w:val="20"/>
          <w:lang w:val="fr-FR"/>
        </w:rPr>
        <w:t>.  I</w:t>
      </w:r>
      <w:r w:rsidRPr="00883278">
        <w:rPr>
          <w:sz w:val="20"/>
          <w:lang w:val="fr-CA"/>
        </w:rPr>
        <w:t>l se pourrait que le témoignage initial contradictoire de N amène les juges des faits à rejeter son témoignage à son procès, mais le rejet du témoignage d’un accusé ne constitue pas un élément de preuve à charge</w:t>
      </w:r>
      <w:r w:rsidRPr="003854DB">
        <w:rPr>
          <w:sz w:val="20"/>
          <w:lang w:val="fr-FR"/>
        </w:rPr>
        <w:t>.</w:t>
      </w:r>
    </w:p>
    <w:p w:rsidR="00883278" w:rsidRPr="00883278" w:rsidRDefault="00883278" w:rsidP="00883278">
      <w:pPr>
        <w:pStyle w:val="SCCNormalDoubleSpacing"/>
        <w:spacing w:line="240" w:lineRule="auto"/>
        <w:rPr>
          <w:sz w:val="20"/>
          <w:lang w:val="fr-CA"/>
        </w:rPr>
      </w:pPr>
    </w:p>
    <w:p w:rsidR="00883278" w:rsidRPr="00883278" w:rsidRDefault="00883278" w:rsidP="00883278">
      <w:pPr>
        <w:pStyle w:val="SCCNormalDoubleSpacing"/>
        <w:spacing w:line="240" w:lineRule="auto"/>
        <w:rPr>
          <w:sz w:val="20"/>
          <w:lang w:val="fr-CA"/>
        </w:rPr>
      </w:pPr>
      <w:r w:rsidRPr="00883278">
        <w:rPr>
          <w:sz w:val="20"/>
          <w:lang w:val="fr-CA"/>
        </w:rPr>
        <w:tab/>
      </w:r>
      <w:r w:rsidRPr="00883278">
        <w:rPr>
          <w:i/>
          <w:sz w:val="20"/>
          <w:lang w:val="fr-CA"/>
        </w:rPr>
        <w:t xml:space="preserve">Les </w:t>
      </w:r>
      <w:r w:rsidRPr="00883278">
        <w:rPr>
          <w:sz w:val="20"/>
          <w:lang w:val="fr-CA"/>
        </w:rPr>
        <w:t xml:space="preserve">juges </w:t>
      </w:r>
      <w:r w:rsidRPr="00883278">
        <w:rPr>
          <w:b/>
          <w:sz w:val="20"/>
          <w:lang w:val="fr-CA"/>
        </w:rPr>
        <w:t>LeBel</w:t>
      </w:r>
      <w:r w:rsidRPr="00883278">
        <w:rPr>
          <w:sz w:val="20"/>
          <w:lang w:val="fr-CA"/>
        </w:rPr>
        <w:t xml:space="preserve">, Fish et Cromwell (dissidents) : Le droit de ne pas s’incriminer constitue un principe fondamental de notre système de justice et il est consacré dans la </w:t>
      </w:r>
      <w:r w:rsidRPr="00883278">
        <w:rPr>
          <w:i/>
          <w:sz w:val="20"/>
          <w:lang w:val="fr-CA"/>
        </w:rPr>
        <w:t>Charte canadienne des droits et libertés</w:t>
      </w:r>
      <w:r w:rsidRPr="00883278">
        <w:rPr>
          <w:sz w:val="20"/>
          <w:lang w:val="fr-CA"/>
        </w:rPr>
        <w:t>. Il est étroitement lié au droit de garder le silence face à son accusateur, à la présomption d’innocence et à la notion que le ministère public doit prouver la culpabilité hors de tout doute raisonnable sans l’aide de l’accusé.</w:t>
      </w:r>
    </w:p>
    <w:p w:rsidR="00883278" w:rsidRPr="00883278" w:rsidRDefault="00883278" w:rsidP="00883278">
      <w:pPr>
        <w:pStyle w:val="SCCNormalDoubleSpacing"/>
        <w:spacing w:line="240" w:lineRule="auto"/>
        <w:rPr>
          <w:sz w:val="20"/>
          <w:lang w:val="fr-CA"/>
        </w:rPr>
      </w:pPr>
    </w:p>
    <w:p w:rsidR="00883278" w:rsidRPr="00883278" w:rsidRDefault="00883278" w:rsidP="00883278">
      <w:pPr>
        <w:pStyle w:val="SCCNormalDoubleSpacing"/>
        <w:spacing w:line="240" w:lineRule="auto"/>
        <w:rPr>
          <w:sz w:val="20"/>
          <w:lang w:val="fr-CA"/>
        </w:rPr>
      </w:pPr>
      <w:r w:rsidRPr="00883278">
        <w:rPr>
          <w:sz w:val="20"/>
          <w:lang w:val="fr-CA"/>
        </w:rPr>
        <w:tab/>
        <w:t xml:space="preserve">L’article 13 s’applique lorsqu’il y a </w:t>
      </w:r>
      <w:r w:rsidRPr="00883278">
        <w:rPr>
          <w:i/>
          <w:sz w:val="20"/>
          <w:lang w:val="fr-CA"/>
        </w:rPr>
        <w:t>quid pro quo</w:t>
      </w:r>
      <w:r w:rsidRPr="00883278">
        <w:rPr>
          <w:sz w:val="20"/>
          <w:lang w:val="fr-CA"/>
        </w:rPr>
        <w:t> : un témoin est contraint</w:t>
      </w:r>
      <w:r w:rsidRPr="00883278">
        <w:rPr>
          <w:i/>
          <w:sz w:val="20"/>
          <w:lang w:val="fr-CA"/>
        </w:rPr>
        <w:t xml:space="preserve"> </w:t>
      </w:r>
      <w:r w:rsidRPr="00883278">
        <w:rPr>
          <w:sz w:val="20"/>
          <w:lang w:val="fr-CA"/>
        </w:rPr>
        <w:t xml:space="preserve">de témoigner en échange de la garantie que le ministère public n’utilisera pas ce témoignage contre contre lui dans une autre instance.  L’analyse requise par l’art. 13 doit </w:t>
      </w:r>
      <w:proofErr w:type="gramStart"/>
      <w:r w:rsidRPr="00883278">
        <w:rPr>
          <w:sz w:val="20"/>
          <w:lang w:val="fr-CA"/>
        </w:rPr>
        <w:t>porter</w:t>
      </w:r>
      <w:proofErr w:type="gramEnd"/>
      <w:r w:rsidRPr="00883278">
        <w:rPr>
          <w:sz w:val="20"/>
          <w:lang w:val="fr-CA"/>
        </w:rPr>
        <w:t xml:space="preserve"> principalement sur la contrainte.  Un témoignage est forcé lorsque la loi offre un moyen de contraindre le témoin à témoigner.  Que ce moyen ait été utilisé ou non ne change pas le fait qu’il existe et qu’il aurait pu être utilisé.  Il serait contraire aux principes établis d’accorder au témoin qui offre de témoigner de son plein gré un degré de protection moindre en vertu de la </w:t>
      </w:r>
      <w:r w:rsidRPr="00883278">
        <w:rPr>
          <w:i/>
          <w:sz w:val="20"/>
          <w:lang w:val="fr-CA"/>
        </w:rPr>
        <w:t>Charte</w:t>
      </w:r>
      <w:r w:rsidRPr="00883278">
        <w:rPr>
          <w:sz w:val="20"/>
          <w:lang w:val="fr-CA"/>
        </w:rPr>
        <w:t xml:space="preserve"> qu’au témoin qui est assigné ou autrement forcé de témoigner, dans le cas où ils auraient tous les deux pu être de toute façon forcés de témoigner en application de la loi.</w:t>
      </w:r>
    </w:p>
    <w:p w:rsidR="00883278" w:rsidRPr="00883278" w:rsidRDefault="00883278" w:rsidP="00883278">
      <w:pPr>
        <w:pStyle w:val="SCCNormalDoubleSpacing"/>
        <w:spacing w:line="240" w:lineRule="auto"/>
        <w:rPr>
          <w:sz w:val="20"/>
          <w:lang w:val="fr-CA"/>
        </w:rPr>
      </w:pPr>
    </w:p>
    <w:p w:rsidR="00883278" w:rsidRPr="00883278" w:rsidRDefault="00883278" w:rsidP="00883278">
      <w:pPr>
        <w:pStyle w:val="SCCNormalDoubleSpacing"/>
        <w:spacing w:line="240" w:lineRule="auto"/>
        <w:rPr>
          <w:sz w:val="20"/>
          <w:lang w:val="fr-CA"/>
        </w:rPr>
      </w:pPr>
      <w:r w:rsidRPr="00883278">
        <w:rPr>
          <w:sz w:val="20"/>
          <w:lang w:val="fr-CA"/>
        </w:rPr>
        <w:tab/>
        <w:t xml:space="preserve">De même, l’analyse ne doit pas porter sur la nature des déclarations.  Bien que l’art. 13 vise l’utilisation des « déclarations incriminantes » d’une personne pour « l’incriminer », scruter le témoignage d’un accusé pour </w:t>
      </w:r>
      <w:r w:rsidRPr="00883278">
        <w:rPr>
          <w:sz w:val="20"/>
          <w:lang w:val="fr-CA"/>
        </w:rPr>
        <w:lastRenderedPageBreak/>
        <w:t>différencier ses déclarations « incriminantes » de ses déclarations « inoffensives », de façon à déterminer les questions sur lesquelles pourrait porter son contre</w:t>
      </w:r>
      <w:r w:rsidRPr="00883278">
        <w:rPr>
          <w:sz w:val="20"/>
          <w:lang w:val="fr-CA"/>
        </w:rPr>
        <w:noBreakHyphen/>
        <w:t>interrogatoire, mènerait à un exercice de classification qui peut durer longtemps et donner un résultat imprévisible.  Cette distinction mène tout autant à des impasses fonctionnelles que celle qui a déjà été abolie, entre l’utilisation d’un témoignage antérieur forcé pour attaquer la crédibilité de l’accusé et son utilisation pour l’incriminer.  Il est particulièrement difficile de faire cette distinction parce que le droit de ne pas s’incriminer vise principalement les secondes procédures, la date où l’on cherche à utiliser le témoignage antérieur, plutôt que celle où il a été donné.  Tout témoignage susceptible de concourir à prouver les allégations du ministère public, y compris celui qui est utilisé pour attaquer la crédibilité de l’accusé, aura un effet incriminant et doit donc être protégé par l’art. 13.</w:t>
      </w:r>
    </w:p>
    <w:p w:rsidR="00883278" w:rsidRPr="00883278" w:rsidRDefault="00883278" w:rsidP="00883278">
      <w:pPr>
        <w:pStyle w:val="SCCNormalDoubleSpacing"/>
        <w:spacing w:line="240" w:lineRule="auto"/>
        <w:rPr>
          <w:sz w:val="20"/>
          <w:lang w:val="fr-CA"/>
        </w:rPr>
      </w:pPr>
    </w:p>
    <w:p w:rsidR="00883278" w:rsidRPr="00883278" w:rsidRDefault="00883278" w:rsidP="00883278">
      <w:pPr>
        <w:pStyle w:val="SCCNormalDoubleSpacing"/>
        <w:spacing w:line="240" w:lineRule="auto"/>
        <w:rPr>
          <w:sz w:val="20"/>
          <w:lang w:val="fr-CA"/>
        </w:rPr>
      </w:pPr>
      <w:r w:rsidRPr="00883278">
        <w:rPr>
          <w:sz w:val="20"/>
          <w:lang w:val="fr-CA"/>
        </w:rPr>
        <w:tab/>
        <w:t xml:space="preserve">Le témoin qui ne semble pas faire une déposition honnête n’est pas privé de la protection offerte par l’art. 13.  Bien que le </w:t>
      </w:r>
      <w:r w:rsidRPr="00883278">
        <w:rPr>
          <w:i/>
          <w:sz w:val="20"/>
          <w:lang w:val="fr-CA"/>
        </w:rPr>
        <w:t>quid pro quo</w:t>
      </w:r>
      <w:r w:rsidRPr="00883278">
        <w:rPr>
          <w:sz w:val="20"/>
          <w:lang w:val="fr-CA"/>
        </w:rPr>
        <w:t xml:space="preserve"> vise à favoriser un témoignage complet et sincère, l’art. 13 </w:t>
      </w:r>
      <w:proofErr w:type="gramStart"/>
      <w:r w:rsidRPr="00883278">
        <w:rPr>
          <w:sz w:val="20"/>
          <w:lang w:val="fr-CA"/>
        </w:rPr>
        <w:t>commande</w:t>
      </w:r>
      <w:proofErr w:type="gramEnd"/>
      <w:r w:rsidRPr="00883278">
        <w:rPr>
          <w:sz w:val="20"/>
          <w:lang w:val="fr-CA"/>
        </w:rPr>
        <w:t xml:space="preserve">, dans le contexte de la pondération générale des intérêts consacrés dans la </w:t>
      </w:r>
      <w:r w:rsidRPr="00883278">
        <w:rPr>
          <w:i/>
          <w:sz w:val="20"/>
          <w:lang w:val="fr-CA"/>
        </w:rPr>
        <w:t>Charte</w:t>
      </w:r>
      <w:r w:rsidRPr="00883278">
        <w:rPr>
          <w:sz w:val="20"/>
          <w:lang w:val="fr-CA"/>
        </w:rPr>
        <w:t xml:space="preserve">, que la fonction de recherche de la vérité du procès cède le pas au droit de l’accusé de ne pas s’incriminer.  Le </w:t>
      </w:r>
      <w:r w:rsidRPr="00883278">
        <w:rPr>
          <w:i/>
          <w:sz w:val="20"/>
          <w:lang w:val="fr-CA"/>
        </w:rPr>
        <w:t>quid pro quo</w:t>
      </w:r>
      <w:r w:rsidRPr="00883278">
        <w:rPr>
          <w:sz w:val="20"/>
          <w:lang w:val="fr-CA"/>
        </w:rPr>
        <w:t xml:space="preserve"> n’est pas un « contrat » conclu avec le témoin, qui peut être annulé si le témoin ment sous serment.  Les témoignages antérieurs forcés peuvent être utilisés dans des poursuites pour parjure ou pour témoignages contradictoires.  Le dépôt d’une accusation criminelle de parjure est la mesure à prendre à l’égard de témoins qui façonnent leur preuve de manière à répondre à leurs besoins dans chaque instance, sans qu’il soit porté atteinte aux droits que la </w:t>
      </w:r>
      <w:r w:rsidRPr="00883278">
        <w:rPr>
          <w:i/>
          <w:sz w:val="20"/>
          <w:lang w:val="fr-CA"/>
        </w:rPr>
        <w:t>Charte</w:t>
      </w:r>
      <w:r w:rsidRPr="00883278">
        <w:rPr>
          <w:sz w:val="20"/>
          <w:lang w:val="fr-CA"/>
        </w:rPr>
        <w:t xml:space="preserve"> garantit à l’accusé.  Cette façon de faire maintient le respect envers l’administration de la justice, tout en préservant le droit que l’art. 13 confère à l’accusé.  Elle élimine aussi la nécessité de tenir un voir</w:t>
      </w:r>
      <w:r w:rsidRPr="00883278">
        <w:rPr>
          <w:sz w:val="20"/>
          <w:lang w:val="fr-CA"/>
        </w:rPr>
        <w:noBreakHyphen/>
        <w:t xml:space="preserve">dire qui alourdirait le processus judiciaire et rendrait la portée de l’art. 13 douteuse en théorie et incertaine en pratique, découragerait un témoignage complet et sincère et réduirait la portée de la protection dont les personnes qui ont été contraintes à témoigner bénéficiaient en vertu de l’art. 13 depuis l’arrêt </w:t>
      </w:r>
      <w:r w:rsidRPr="00883278">
        <w:rPr>
          <w:i/>
          <w:sz w:val="20"/>
          <w:lang w:val="fr-CA"/>
        </w:rPr>
        <w:t>R. c. Henry</w:t>
      </w:r>
      <w:r w:rsidRPr="00883278">
        <w:rPr>
          <w:sz w:val="20"/>
          <w:lang w:val="fr-CA"/>
        </w:rPr>
        <w:t>, 2005 CSC 76, [2005] 3 R.C.S. 609.</w:t>
      </w:r>
    </w:p>
    <w:p w:rsidR="00883278" w:rsidRPr="00883278" w:rsidRDefault="00883278" w:rsidP="00883278">
      <w:pPr>
        <w:pStyle w:val="SCCNormalDoubleSpacing"/>
        <w:spacing w:line="240" w:lineRule="auto"/>
        <w:rPr>
          <w:sz w:val="20"/>
          <w:lang w:val="fr-CA"/>
        </w:rPr>
      </w:pPr>
    </w:p>
    <w:p w:rsidR="00883278" w:rsidRPr="00883278" w:rsidRDefault="00883278" w:rsidP="00883278">
      <w:pPr>
        <w:pStyle w:val="SCCNormalDoubleSpacing"/>
        <w:spacing w:line="240" w:lineRule="auto"/>
        <w:rPr>
          <w:sz w:val="20"/>
          <w:lang w:val="fr-CA"/>
        </w:rPr>
      </w:pPr>
      <w:r w:rsidRPr="00883278">
        <w:rPr>
          <w:sz w:val="20"/>
          <w:lang w:val="fr-CA"/>
        </w:rPr>
        <w:tab/>
        <w:t xml:space="preserve">En l’espèce, N était un témoin contraignable en vertu de la loi lors de l’interrogatoire préalable et, par conséquent, un témoin « forcé » au sens de l’arrêt </w:t>
      </w:r>
      <w:r w:rsidRPr="00883278">
        <w:rPr>
          <w:i/>
          <w:sz w:val="20"/>
          <w:lang w:val="fr-CA"/>
        </w:rPr>
        <w:t>Henry</w:t>
      </w:r>
      <w:r w:rsidRPr="00883278">
        <w:rPr>
          <w:sz w:val="20"/>
          <w:lang w:val="fr-CA"/>
        </w:rPr>
        <w:t xml:space="preserve"> et pour l’application de l’art. 13.  Le fait qu’il a librement décidé de se soumettre à l’interrogatoire préalable n’est pas pertinent, parce que le par. 31.04(2) des </w:t>
      </w:r>
      <w:r w:rsidRPr="00883278">
        <w:rPr>
          <w:i/>
          <w:sz w:val="20"/>
          <w:lang w:val="fr-CA"/>
        </w:rPr>
        <w:t xml:space="preserve">Règles de procédure civile </w:t>
      </w:r>
      <w:r w:rsidRPr="00883278">
        <w:rPr>
          <w:sz w:val="20"/>
          <w:lang w:val="fr-CA"/>
        </w:rPr>
        <w:t>de l’Ontario contraint le défendeur dans une affaire civile à subir un interrogatoire préalable.  Le défaut de déposer une défense n’aurait pas permis à N d’éviter de s’assujettir aux règles procédurales au terme desquelles il serait contraint de témoigner, de sorte qu’il n’est pas pertinent de savoir s’il a effectivement été constaté en défaut.  Malgré les incompatibilités plutôt flagrantes dans le témoignage de N, l’art. 13 veut que la fonction de recherche de la vérité du procès criminel cède le pas à son droit de ne pas s’incriminer.</w:t>
      </w:r>
    </w:p>
    <w:p w:rsidR="00883278" w:rsidRPr="00883278" w:rsidRDefault="00883278" w:rsidP="00883278">
      <w:pPr>
        <w:pStyle w:val="SCCNormalDoubleSpacing"/>
        <w:spacing w:line="240" w:lineRule="auto"/>
        <w:rPr>
          <w:sz w:val="20"/>
          <w:lang w:val="fr-CA"/>
        </w:rPr>
      </w:pPr>
    </w:p>
    <w:p w:rsidR="00883278" w:rsidRPr="00883278" w:rsidRDefault="00883278" w:rsidP="00883278">
      <w:pPr>
        <w:pStyle w:val="SCCNormalDoubleSpacing"/>
        <w:spacing w:line="240" w:lineRule="auto"/>
        <w:rPr>
          <w:sz w:val="20"/>
          <w:lang w:val="fr-CA"/>
        </w:rPr>
      </w:pPr>
      <w:r w:rsidRPr="00883278">
        <w:rPr>
          <w:sz w:val="20"/>
          <w:lang w:val="fr-CA"/>
        </w:rPr>
        <w:tab/>
        <w:t>POURVOI contre un arrêt de la Cour d’appel de l’Ontario (les juges Weiler, MacPherson et Armstrong), 2011 ONCA 143, 276 O.A.C. 106, 269 C.C.C. (3d) 1, 83 C.R. (6th) 41, 227 C.R.R. (2d) 364, 7 M.V.R. (6th) 10, 5 C.P.C. (7th) 16, [2011] O.J. No. 795 (QL), 2011 CarswellOnt 1090, qui a annulé la déclaration de culpabilité de conduite dangereuse causant des lésions corporelles inscrite par le juge O’Connor, 60 M.V.R. (5th) 186, 2007 CanLII 54970, [2007] O.J. No. 4906 (QL), 2007 CarswellOnt 8205, et ordonné la tenue d’un nouveau procès.  Pourvoi accueilli, les juges LeBel, Fish et Cromwell sont dissidents.</w:t>
      </w:r>
    </w:p>
    <w:p w:rsidR="00883278" w:rsidRPr="00883278" w:rsidRDefault="00883278" w:rsidP="00883278">
      <w:pPr>
        <w:pStyle w:val="SCCNormalDoubleSpacing"/>
        <w:spacing w:line="240" w:lineRule="auto"/>
        <w:rPr>
          <w:i/>
          <w:sz w:val="20"/>
          <w:lang w:val="fr-CA"/>
        </w:rPr>
      </w:pPr>
    </w:p>
    <w:p w:rsidR="00883278" w:rsidRPr="00883278" w:rsidRDefault="00883278" w:rsidP="00883278">
      <w:pPr>
        <w:pStyle w:val="SCCNormalDoubleSpacing"/>
        <w:spacing w:line="240" w:lineRule="auto"/>
        <w:rPr>
          <w:sz w:val="20"/>
          <w:lang w:val="fr-CA"/>
        </w:rPr>
      </w:pPr>
      <w:r w:rsidRPr="00883278">
        <w:rPr>
          <w:i/>
          <w:sz w:val="20"/>
          <w:lang w:val="fr-CA"/>
        </w:rPr>
        <w:tab/>
        <w:t>Michal Fairburn</w:t>
      </w:r>
      <w:r w:rsidRPr="00883278">
        <w:rPr>
          <w:sz w:val="20"/>
          <w:lang w:val="fr-CA"/>
        </w:rPr>
        <w:t xml:space="preserve"> et </w:t>
      </w:r>
      <w:r w:rsidRPr="00883278">
        <w:rPr>
          <w:i/>
          <w:sz w:val="20"/>
          <w:lang w:val="fr-CA"/>
        </w:rPr>
        <w:t>Randy Schwartz</w:t>
      </w:r>
      <w:r w:rsidRPr="00883278">
        <w:rPr>
          <w:sz w:val="20"/>
          <w:lang w:val="fr-CA"/>
        </w:rPr>
        <w:t>, pour l’appelante.</w:t>
      </w:r>
    </w:p>
    <w:p w:rsidR="00883278" w:rsidRPr="00883278" w:rsidRDefault="00883278" w:rsidP="00883278">
      <w:pPr>
        <w:pStyle w:val="SCCNormalDoubleSpacing"/>
        <w:spacing w:line="240" w:lineRule="auto"/>
        <w:rPr>
          <w:i/>
          <w:sz w:val="20"/>
          <w:lang w:val="fr-CA"/>
        </w:rPr>
      </w:pPr>
    </w:p>
    <w:p w:rsidR="00883278" w:rsidRPr="00883278" w:rsidRDefault="00883278" w:rsidP="00883278">
      <w:pPr>
        <w:pStyle w:val="SCCNormalDoubleSpacing"/>
        <w:spacing w:line="240" w:lineRule="auto"/>
        <w:rPr>
          <w:sz w:val="20"/>
          <w:lang w:val="fr-CA"/>
        </w:rPr>
      </w:pPr>
      <w:r w:rsidRPr="00883278">
        <w:rPr>
          <w:i/>
          <w:sz w:val="20"/>
          <w:lang w:val="fr-CA"/>
        </w:rPr>
        <w:tab/>
        <w:t>P. Andras Schreck</w:t>
      </w:r>
      <w:r w:rsidRPr="00883278">
        <w:rPr>
          <w:sz w:val="20"/>
          <w:lang w:val="fr-CA"/>
        </w:rPr>
        <w:t xml:space="preserve"> et </w:t>
      </w:r>
      <w:r w:rsidRPr="00883278">
        <w:rPr>
          <w:i/>
          <w:sz w:val="20"/>
          <w:lang w:val="fr-CA"/>
        </w:rPr>
        <w:t>Candice Suter</w:t>
      </w:r>
      <w:r w:rsidRPr="00883278">
        <w:rPr>
          <w:sz w:val="20"/>
          <w:lang w:val="fr-CA"/>
        </w:rPr>
        <w:t>, pour l’intimé.</w:t>
      </w:r>
    </w:p>
    <w:p w:rsidR="00883278" w:rsidRPr="00883278" w:rsidRDefault="00883278" w:rsidP="00883278">
      <w:pPr>
        <w:pStyle w:val="SCCNormalDoubleSpacing"/>
        <w:spacing w:line="240" w:lineRule="auto"/>
        <w:rPr>
          <w:i/>
          <w:sz w:val="20"/>
          <w:lang w:val="fr-CA"/>
        </w:rPr>
      </w:pPr>
    </w:p>
    <w:p w:rsidR="00883278" w:rsidRPr="00883278" w:rsidRDefault="00883278" w:rsidP="00883278">
      <w:pPr>
        <w:pStyle w:val="SCCNormalDoubleSpacing"/>
        <w:spacing w:line="240" w:lineRule="auto"/>
        <w:rPr>
          <w:sz w:val="20"/>
          <w:lang w:val="fr-CA"/>
        </w:rPr>
      </w:pPr>
      <w:r w:rsidRPr="00883278">
        <w:rPr>
          <w:i/>
          <w:sz w:val="20"/>
          <w:lang w:val="fr-CA"/>
        </w:rPr>
        <w:tab/>
        <w:t>Sylvain Leboeuf</w:t>
      </w:r>
      <w:r w:rsidRPr="00883278">
        <w:rPr>
          <w:sz w:val="20"/>
          <w:lang w:val="fr-CA"/>
        </w:rPr>
        <w:t xml:space="preserve"> et </w:t>
      </w:r>
      <w:r w:rsidRPr="00883278">
        <w:rPr>
          <w:i/>
          <w:sz w:val="20"/>
          <w:lang w:val="fr-CA"/>
        </w:rPr>
        <w:t>Gilles Laporte</w:t>
      </w:r>
      <w:r w:rsidRPr="00883278">
        <w:rPr>
          <w:sz w:val="20"/>
          <w:lang w:val="fr-CA"/>
        </w:rPr>
        <w:t>, pour l’intervenant le procureur général du Québec.</w:t>
      </w:r>
    </w:p>
    <w:p w:rsidR="00883278" w:rsidRPr="00883278" w:rsidRDefault="00883278" w:rsidP="00883278">
      <w:pPr>
        <w:pStyle w:val="SCCNormalDoubleSpacing"/>
        <w:spacing w:line="240" w:lineRule="auto"/>
        <w:rPr>
          <w:i/>
          <w:sz w:val="20"/>
          <w:lang w:val="fr-CA"/>
        </w:rPr>
      </w:pPr>
    </w:p>
    <w:p w:rsidR="00883278" w:rsidRPr="00883278" w:rsidRDefault="00883278" w:rsidP="00883278">
      <w:pPr>
        <w:pStyle w:val="SCCNormalDoubleSpacing"/>
        <w:spacing w:line="240" w:lineRule="auto"/>
        <w:rPr>
          <w:sz w:val="20"/>
          <w:lang w:val="fr-CA"/>
        </w:rPr>
      </w:pPr>
      <w:r w:rsidRPr="00883278">
        <w:rPr>
          <w:i/>
          <w:sz w:val="20"/>
          <w:lang w:val="fr-CA"/>
        </w:rPr>
        <w:tab/>
        <w:t>Barbara A. McIsaac, c.r.</w:t>
      </w:r>
      <w:r w:rsidRPr="00883278">
        <w:rPr>
          <w:sz w:val="20"/>
          <w:lang w:val="fr-CA"/>
        </w:rPr>
        <w:t xml:space="preserve">, </w:t>
      </w:r>
      <w:r w:rsidRPr="00883278">
        <w:rPr>
          <w:i/>
          <w:sz w:val="20"/>
          <w:lang w:val="fr-CA"/>
        </w:rPr>
        <w:t>Jacquie El</w:t>
      </w:r>
      <w:r w:rsidRPr="00883278">
        <w:rPr>
          <w:i/>
          <w:sz w:val="20"/>
          <w:lang w:val="fr-CA"/>
        </w:rPr>
        <w:noBreakHyphen/>
        <w:t>Chammas</w:t>
      </w:r>
      <w:r w:rsidRPr="00883278">
        <w:rPr>
          <w:sz w:val="20"/>
          <w:lang w:val="fr-CA"/>
        </w:rPr>
        <w:t xml:space="preserve"> et </w:t>
      </w:r>
      <w:r w:rsidRPr="00883278">
        <w:rPr>
          <w:i/>
          <w:sz w:val="20"/>
          <w:lang w:val="fr-CA"/>
        </w:rPr>
        <w:t>Frank Addario</w:t>
      </w:r>
      <w:r w:rsidRPr="00883278">
        <w:rPr>
          <w:sz w:val="20"/>
          <w:lang w:val="fr-CA"/>
        </w:rPr>
        <w:t>, pour l’intervenante Advocates’ Society.</w:t>
      </w:r>
    </w:p>
    <w:p w:rsidR="00883278" w:rsidRPr="00883278" w:rsidRDefault="00883278" w:rsidP="00883278">
      <w:pPr>
        <w:pStyle w:val="SCCNormalDoubleSpacing"/>
        <w:spacing w:line="240" w:lineRule="auto"/>
        <w:rPr>
          <w:i/>
          <w:sz w:val="20"/>
          <w:lang w:val="fr-CA"/>
        </w:rPr>
      </w:pPr>
    </w:p>
    <w:p w:rsidR="00883278" w:rsidRPr="00883278" w:rsidRDefault="00883278" w:rsidP="00883278">
      <w:pPr>
        <w:pStyle w:val="SCCNormalDoubleSpacing"/>
        <w:spacing w:line="240" w:lineRule="auto"/>
        <w:rPr>
          <w:sz w:val="20"/>
          <w:lang w:val="fr-CA"/>
        </w:rPr>
      </w:pPr>
      <w:r w:rsidRPr="00883278">
        <w:rPr>
          <w:i/>
          <w:sz w:val="20"/>
          <w:lang w:val="fr-CA"/>
        </w:rPr>
        <w:tab/>
        <w:t>Scott C. Hutchison</w:t>
      </w:r>
      <w:r w:rsidRPr="00883278">
        <w:rPr>
          <w:sz w:val="20"/>
          <w:lang w:val="fr-CA"/>
        </w:rPr>
        <w:t xml:space="preserve"> et </w:t>
      </w:r>
      <w:r w:rsidRPr="00883278">
        <w:rPr>
          <w:i/>
          <w:sz w:val="20"/>
          <w:lang w:val="fr-CA"/>
        </w:rPr>
        <w:t>Edward Marrocco</w:t>
      </w:r>
      <w:r w:rsidRPr="00883278">
        <w:rPr>
          <w:sz w:val="20"/>
          <w:lang w:val="fr-CA"/>
        </w:rPr>
        <w:t>, pour l’intervenante Criminal Lawyers’ Association (Ontario).</w:t>
      </w:r>
    </w:p>
    <w:p w:rsidR="00883278" w:rsidRPr="00883278" w:rsidRDefault="00883278" w:rsidP="00883278">
      <w:pPr>
        <w:pStyle w:val="SCCNormalDoubleSpacing"/>
        <w:spacing w:line="240" w:lineRule="auto"/>
        <w:rPr>
          <w:sz w:val="20"/>
          <w:lang w:val="fr-CA"/>
        </w:rPr>
      </w:pPr>
    </w:p>
    <w:p w:rsidR="00883278" w:rsidRPr="00883278" w:rsidRDefault="00883278" w:rsidP="00883278">
      <w:pPr>
        <w:pStyle w:val="SCCNormalDoubleSpacing"/>
        <w:spacing w:line="240" w:lineRule="auto"/>
        <w:rPr>
          <w:i/>
          <w:sz w:val="20"/>
          <w:lang w:val="fr-CA"/>
        </w:rPr>
      </w:pPr>
      <w:r w:rsidRPr="00883278">
        <w:rPr>
          <w:sz w:val="20"/>
          <w:lang w:val="fr-CA"/>
        </w:rPr>
        <w:tab/>
      </w:r>
      <w:r w:rsidRPr="00883278">
        <w:rPr>
          <w:i/>
          <w:sz w:val="20"/>
          <w:lang w:val="fr-CA"/>
        </w:rPr>
        <w:t>Procureur de l’appelante : Procureur général de l’Ontario, Toronto.</w:t>
      </w:r>
    </w:p>
    <w:p w:rsidR="00883278" w:rsidRPr="00883278" w:rsidRDefault="00883278" w:rsidP="00883278">
      <w:pPr>
        <w:pStyle w:val="SCCNormalDoubleSpacing"/>
        <w:spacing w:line="240" w:lineRule="auto"/>
        <w:rPr>
          <w:i/>
          <w:sz w:val="20"/>
          <w:lang w:val="fr-CA"/>
        </w:rPr>
      </w:pPr>
    </w:p>
    <w:p w:rsidR="00883278" w:rsidRPr="00883278" w:rsidRDefault="00883278" w:rsidP="00883278">
      <w:pPr>
        <w:pStyle w:val="SCCNormalDoubleSpacing"/>
        <w:spacing w:line="240" w:lineRule="auto"/>
        <w:rPr>
          <w:i/>
          <w:sz w:val="20"/>
          <w:lang w:val="fr-CA"/>
        </w:rPr>
      </w:pPr>
      <w:r w:rsidRPr="00883278">
        <w:rPr>
          <w:i/>
          <w:sz w:val="20"/>
          <w:lang w:val="fr-CA"/>
        </w:rPr>
        <w:tab/>
        <w:t>Procureurs de l’intimé : Schreck Presser, Toronto.</w:t>
      </w:r>
    </w:p>
    <w:p w:rsidR="00781F72" w:rsidRDefault="00781F72">
      <w:pPr>
        <w:rPr>
          <w:rFonts w:eastAsia="Times New Roman" w:cs="Times New Roman"/>
          <w:i/>
          <w:sz w:val="20"/>
          <w:szCs w:val="20"/>
          <w:lang w:val="fr-CA" w:eastAsia="en-CA"/>
        </w:rPr>
      </w:pPr>
      <w:r>
        <w:rPr>
          <w:i/>
          <w:sz w:val="20"/>
          <w:lang w:val="fr-CA"/>
        </w:rPr>
        <w:br w:type="page"/>
      </w:r>
    </w:p>
    <w:p w:rsidR="00883278" w:rsidRPr="00883278" w:rsidRDefault="00883278" w:rsidP="00883278">
      <w:pPr>
        <w:pStyle w:val="SCCNormalDoubleSpacing"/>
        <w:spacing w:line="240" w:lineRule="auto"/>
        <w:rPr>
          <w:i/>
          <w:sz w:val="20"/>
          <w:lang w:val="fr-CA"/>
        </w:rPr>
      </w:pPr>
      <w:r w:rsidRPr="00883278">
        <w:rPr>
          <w:i/>
          <w:sz w:val="20"/>
          <w:lang w:val="fr-CA"/>
        </w:rPr>
        <w:lastRenderedPageBreak/>
        <w:tab/>
        <w:t>Procureur de l’intervenant le procureur général du Québec : Procureur général du Québec, Québec.</w:t>
      </w:r>
    </w:p>
    <w:p w:rsidR="00883278" w:rsidRPr="00883278" w:rsidRDefault="00883278" w:rsidP="00883278">
      <w:pPr>
        <w:pStyle w:val="SCCNormalDoubleSpacing"/>
        <w:spacing w:line="240" w:lineRule="auto"/>
        <w:rPr>
          <w:i/>
          <w:sz w:val="20"/>
          <w:lang w:val="fr-CA"/>
        </w:rPr>
      </w:pPr>
    </w:p>
    <w:p w:rsidR="00883278" w:rsidRPr="003854DB" w:rsidRDefault="00883278" w:rsidP="00883278">
      <w:pPr>
        <w:pStyle w:val="SCCNormalDoubleSpacing"/>
        <w:spacing w:line="240" w:lineRule="auto"/>
        <w:rPr>
          <w:i/>
          <w:sz w:val="20"/>
          <w:lang w:val="en-US"/>
        </w:rPr>
      </w:pPr>
      <w:r w:rsidRPr="00883278">
        <w:rPr>
          <w:i/>
          <w:sz w:val="20"/>
          <w:lang w:val="fr-CA"/>
        </w:rPr>
        <w:tab/>
      </w:r>
      <w:r w:rsidRPr="003854DB">
        <w:rPr>
          <w:i/>
          <w:sz w:val="20"/>
          <w:lang w:val="en-US"/>
        </w:rPr>
        <w:t xml:space="preserve">Procureurs de l’intervenante Advocates’ </w:t>
      </w:r>
      <w:proofErr w:type="gramStart"/>
      <w:r w:rsidRPr="003854DB">
        <w:rPr>
          <w:i/>
          <w:sz w:val="20"/>
          <w:lang w:val="en-US"/>
        </w:rPr>
        <w:t>Society :</w:t>
      </w:r>
      <w:proofErr w:type="gramEnd"/>
      <w:r w:rsidRPr="003854DB">
        <w:rPr>
          <w:i/>
          <w:sz w:val="20"/>
          <w:lang w:val="en-US"/>
        </w:rPr>
        <w:t> Borden Ladner Gervais, Ottawa; Sack Goldblatt Mitchell, Toronto.</w:t>
      </w:r>
    </w:p>
    <w:p w:rsidR="00883278" w:rsidRDefault="00883278" w:rsidP="00883278">
      <w:pPr>
        <w:pStyle w:val="SCCNormalDoubleSpacing"/>
        <w:spacing w:line="240" w:lineRule="auto"/>
        <w:rPr>
          <w:i/>
          <w:sz w:val="20"/>
          <w:lang w:val="en-US"/>
        </w:rPr>
      </w:pPr>
    </w:p>
    <w:p w:rsidR="00883278" w:rsidRDefault="00883278" w:rsidP="00883278">
      <w:pPr>
        <w:pStyle w:val="SCCNormalDoubleSpacing"/>
        <w:spacing w:line="240" w:lineRule="auto"/>
        <w:rPr>
          <w:i/>
          <w:sz w:val="20"/>
        </w:rPr>
      </w:pPr>
      <w:r w:rsidRPr="003854DB">
        <w:rPr>
          <w:i/>
          <w:sz w:val="20"/>
          <w:lang w:val="en-US"/>
        </w:rPr>
        <w:tab/>
      </w:r>
      <w:r w:rsidRPr="003854DB">
        <w:rPr>
          <w:i/>
          <w:sz w:val="20"/>
        </w:rPr>
        <w:t>Procureurs de l’intervenante Criminal Lawyers’ Association (Ontario</w:t>
      </w:r>
      <w:proofErr w:type="gramStart"/>
      <w:r w:rsidRPr="003854DB">
        <w:rPr>
          <w:i/>
          <w:sz w:val="20"/>
        </w:rPr>
        <w:t>) :</w:t>
      </w:r>
      <w:proofErr w:type="gramEnd"/>
      <w:r w:rsidRPr="003854DB">
        <w:rPr>
          <w:i/>
          <w:sz w:val="20"/>
        </w:rPr>
        <w:t> Stockwoods, Toronto.</w:t>
      </w:r>
    </w:p>
    <w:p w:rsidR="00883278" w:rsidRDefault="00883278" w:rsidP="005C6840">
      <w:pPr>
        <w:jc w:val="both"/>
        <w:rPr>
          <w:rFonts w:cs="Times New Roman"/>
          <w:sz w:val="20"/>
          <w:szCs w:val="20"/>
          <w:lang w:val="fr-CA"/>
        </w:rPr>
      </w:pPr>
    </w:p>
    <w:p w:rsidR="005C6840" w:rsidRDefault="00BF3B03" w:rsidP="005C6840">
      <w:pPr>
        <w:rPr>
          <w:lang w:val="fr-CA"/>
        </w:rPr>
      </w:pPr>
      <w:r w:rsidRPr="00BF3B03">
        <w:rPr>
          <w:rFonts w:cs="Times New Roman"/>
          <w:sz w:val="20"/>
          <w:szCs w:val="20"/>
          <w:lang w:val="fr-CA"/>
        </w:rPr>
        <w:pict>
          <v:rect id="_x0000_i1107" style="width:144.3pt;height:1pt" o:hrpct="300" o:hralign="center" o:hrstd="t" o:hrnoshade="t" o:hr="t" fillcolor="black [3213]" stroked="f"/>
        </w:pict>
      </w:r>
      <w:r w:rsidR="005C6840">
        <w:rPr>
          <w:lang w:val="fr-CA"/>
        </w:rPr>
        <w:br w:type="page"/>
      </w:r>
    </w:p>
    <w:p w:rsidR="003C2DDC" w:rsidRPr="00BA3178" w:rsidRDefault="003C2DDC" w:rsidP="003C2DDC">
      <w:pPr>
        <w:jc w:val="both"/>
        <w:rPr>
          <w:rFonts w:eastAsia="Calibri" w:cs="Times New Roman"/>
          <w:sz w:val="20"/>
          <w:szCs w:val="20"/>
        </w:rPr>
      </w:pPr>
      <w:r w:rsidRPr="00BA3178">
        <w:rPr>
          <w:rFonts w:eastAsia="Calibri" w:cs="Times New Roman"/>
          <w:i/>
          <w:sz w:val="20"/>
          <w:szCs w:val="20"/>
        </w:rPr>
        <w:lastRenderedPageBreak/>
        <w:t xml:space="preserve">Teva Canada Limited v. Pfizer Canada Inc. et al. </w:t>
      </w:r>
      <w:r w:rsidRPr="00BA3178">
        <w:rPr>
          <w:rFonts w:eastAsia="Calibri" w:cs="Times New Roman"/>
          <w:sz w:val="20"/>
          <w:szCs w:val="20"/>
        </w:rPr>
        <w:t>(F.C.) (33951)</w:t>
      </w:r>
    </w:p>
    <w:p w:rsidR="005C4AB1" w:rsidRPr="00FE0EE9" w:rsidRDefault="005C4AB1" w:rsidP="005C4AB1">
      <w:pPr>
        <w:jc w:val="both"/>
        <w:rPr>
          <w:b/>
          <w:sz w:val="20"/>
          <w:szCs w:val="20"/>
          <w:lang w:val="fr-CA"/>
        </w:rPr>
      </w:pPr>
      <w:r w:rsidRPr="006E0A31">
        <w:rPr>
          <w:b/>
          <w:sz w:val="20"/>
          <w:szCs w:val="20"/>
        </w:rPr>
        <w:t xml:space="preserve">Indexed as:  Teva Canada Ltd. </w:t>
      </w:r>
      <w:r w:rsidRPr="006E0A31">
        <w:rPr>
          <w:b/>
          <w:i/>
          <w:sz w:val="20"/>
          <w:szCs w:val="20"/>
        </w:rPr>
        <w:t>v.</w:t>
      </w:r>
      <w:r w:rsidRPr="006E0A31">
        <w:rPr>
          <w:b/>
          <w:sz w:val="20"/>
          <w:szCs w:val="20"/>
        </w:rPr>
        <w:t xml:space="preserve"> Pfizer Canada Inc.</w:t>
      </w:r>
      <w:r>
        <w:rPr>
          <w:b/>
          <w:sz w:val="20"/>
          <w:szCs w:val="20"/>
        </w:rPr>
        <w:t xml:space="preserve"> </w:t>
      </w:r>
      <w:proofErr w:type="gramStart"/>
      <w:r w:rsidRPr="00FE0EE9">
        <w:rPr>
          <w:b/>
          <w:sz w:val="20"/>
          <w:szCs w:val="20"/>
          <w:lang w:val="fr-CA"/>
        </w:rPr>
        <w:t>Répertorié :</w:t>
      </w:r>
      <w:proofErr w:type="gramEnd"/>
      <w:r w:rsidRPr="00FE0EE9">
        <w:rPr>
          <w:b/>
          <w:sz w:val="20"/>
          <w:szCs w:val="20"/>
          <w:lang w:val="fr-CA"/>
        </w:rPr>
        <w:t xml:space="preserve"> Teva Canada Ltée </w:t>
      </w:r>
      <w:r w:rsidRPr="00FE0EE9">
        <w:rPr>
          <w:b/>
          <w:i/>
          <w:sz w:val="20"/>
          <w:szCs w:val="20"/>
          <w:lang w:val="fr-CA"/>
        </w:rPr>
        <w:t>c.</w:t>
      </w:r>
      <w:r w:rsidRPr="00FE0EE9">
        <w:rPr>
          <w:b/>
          <w:sz w:val="20"/>
          <w:szCs w:val="20"/>
          <w:lang w:val="fr-CA"/>
        </w:rPr>
        <w:t xml:space="preserve"> Pfizer Canada inc.</w:t>
      </w:r>
    </w:p>
    <w:p w:rsidR="005C6840" w:rsidRPr="00256147" w:rsidRDefault="005C6840" w:rsidP="005C6840">
      <w:pPr>
        <w:pStyle w:val="SCCSystemYear"/>
        <w:jc w:val="both"/>
        <w:rPr>
          <w:sz w:val="20"/>
        </w:rPr>
      </w:pPr>
      <w:r w:rsidRPr="00256147">
        <w:rPr>
          <w:sz w:val="20"/>
        </w:rPr>
        <w:t>Neutral citation</w:t>
      </w:r>
      <w:proofErr w:type="gramStart"/>
      <w:r w:rsidRPr="00256147">
        <w:rPr>
          <w:sz w:val="20"/>
        </w:rPr>
        <w:t>:  201</w:t>
      </w:r>
      <w:r w:rsidR="004E1E0A" w:rsidRPr="00256147">
        <w:rPr>
          <w:sz w:val="20"/>
        </w:rPr>
        <w:t>2</w:t>
      </w:r>
      <w:proofErr w:type="gramEnd"/>
      <w:r w:rsidRPr="00256147">
        <w:rPr>
          <w:sz w:val="20"/>
        </w:rPr>
        <w:t xml:space="preserve"> SCC </w:t>
      </w:r>
      <w:r w:rsidR="003957EF" w:rsidRPr="00256147">
        <w:rPr>
          <w:sz w:val="20"/>
        </w:rPr>
        <w:t>60</w:t>
      </w:r>
      <w:r w:rsidRPr="00256147">
        <w:rPr>
          <w:sz w:val="20"/>
        </w:rPr>
        <w:t xml:space="preserve"> / Référence neutre : 201</w:t>
      </w:r>
      <w:r w:rsidR="004E1E0A" w:rsidRPr="00256147">
        <w:rPr>
          <w:sz w:val="20"/>
        </w:rPr>
        <w:t>2</w:t>
      </w:r>
      <w:r w:rsidRPr="00256147">
        <w:rPr>
          <w:sz w:val="20"/>
        </w:rPr>
        <w:t xml:space="preserve"> CSC </w:t>
      </w:r>
      <w:r w:rsidR="003957EF" w:rsidRPr="00256147">
        <w:rPr>
          <w:sz w:val="20"/>
        </w:rPr>
        <w:t>60</w:t>
      </w:r>
    </w:p>
    <w:p w:rsidR="005C6840" w:rsidRPr="003C4E56" w:rsidRDefault="005C6840" w:rsidP="005C6840">
      <w:pPr>
        <w:rPr>
          <w:sz w:val="20"/>
          <w:szCs w:val="20"/>
          <w:lang w:val="fr-CA"/>
        </w:rPr>
      </w:pPr>
      <w:r w:rsidRPr="003C4E56">
        <w:rPr>
          <w:sz w:val="20"/>
          <w:szCs w:val="20"/>
          <w:lang w:val="fr-CA"/>
        </w:rPr>
        <w:t>Hearing</w:t>
      </w:r>
      <w:proofErr w:type="gramStart"/>
      <w:r w:rsidRPr="003C4E56">
        <w:rPr>
          <w:sz w:val="20"/>
          <w:szCs w:val="20"/>
          <w:lang w:val="fr-CA"/>
        </w:rPr>
        <w:t xml:space="preserve">:  </w:t>
      </w:r>
      <w:r w:rsidR="005C4AB1">
        <w:rPr>
          <w:sz w:val="20"/>
          <w:szCs w:val="20"/>
          <w:lang w:val="fr-CA"/>
        </w:rPr>
        <w:t>April</w:t>
      </w:r>
      <w:proofErr w:type="gramEnd"/>
      <w:r w:rsidR="005C4AB1">
        <w:rPr>
          <w:sz w:val="20"/>
          <w:szCs w:val="20"/>
          <w:lang w:val="fr-CA"/>
        </w:rPr>
        <w:t xml:space="preserve"> </w:t>
      </w:r>
      <w:r w:rsidRPr="003C4E56">
        <w:rPr>
          <w:sz w:val="20"/>
          <w:szCs w:val="20"/>
          <w:lang w:val="fr-CA"/>
        </w:rPr>
        <w:t>1</w:t>
      </w:r>
      <w:r w:rsidR="005C4AB1">
        <w:rPr>
          <w:sz w:val="20"/>
          <w:szCs w:val="20"/>
          <w:lang w:val="fr-CA"/>
        </w:rPr>
        <w:t>8</w:t>
      </w:r>
      <w:r w:rsidRPr="003C4E56">
        <w:rPr>
          <w:sz w:val="20"/>
          <w:szCs w:val="20"/>
          <w:lang w:val="fr-CA"/>
        </w:rPr>
        <w:t>, 201</w:t>
      </w:r>
      <w:r w:rsidR="005C4AB1">
        <w:rPr>
          <w:sz w:val="20"/>
          <w:szCs w:val="20"/>
          <w:lang w:val="fr-CA"/>
        </w:rPr>
        <w:t>2</w:t>
      </w:r>
      <w:r w:rsidRPr="003C4E56">
        <w:rPr>
          <w:sz w:val="20"/>
          <w:szCs w:val="20"/>
          <w:lang w:val="fr-CA"/>
        </w:rPr>
        <w:t xml:space="preserve"> / Judgment:  </w:t>
      </w:r>
      <w:r w:rsidR="00256147" w:rsidRPr="003C4E56">
        <w:rPr>
          <w:sz w:val="20"/>
          <w:szCs w:val="20"/>
          <w:lang w:val="fr-CA"/>
        </w:rPr>
        <w:t>Novemb</w:t>
      </w:r>
      <w:r w:rsidRPr="003C4E56">
        <w:rPr>
          <w:sz w:val="20"/>
          <w:szCs w:val="20"/>
          <w:lang w:val="fr-CA"/>
        </w:rPr>
        <w:t>er 8, 201</w:t>
      </w:r>
      <w:r w:rsidR="004E1E0A" w:rsidRPr="003C4E56">
        <w:rPr>
          <w:sz w:val="20"/>
          <w:szCs w:val="20"/>
          <w:lang w:val="fr-CA"/>
        </w:rPr>
        <w:t>2</w:t>
      </w:r>
    </w:p>
    <w:p w:rsidR="005C6840" w:rsidRPr="003B3977" w:rsidRDefault="005C6840" w:rsidP="005C6840">
      <w:pPr>
        <w:rPr>
          <w:sz w:val="20"/>
          <w:szCs w:val="20"/>
          <w:lang w:val="fr-CA"/>
        </w:rPr>
      </w:pPr>
      <w:r w:rsidRPr="003B3977">
        <w:rPr>
          <w:sz w:val="20"/>
          <w:szCs w:val="20"/>
          <w:lang w:val="fr-CA"/>
        </w:rPr>
        <w:t>Audition : Le 1</w:t>
      </w:r>
      <w:r w:rsidR="005C4AB1">
        <w:rPr>
          <w:sz w:val="20"/>
          <w:szCs w:val="20"/>
          <w:lang w:val="fr-CA"/>
        </w:rPr>
        <w:t>8</w:t>
      </w:r>
      <w:r w:rsidRPr="003B3977">
        <w:rPr>
          <w:sz w:val="20"/>
          <w:szCs w:val="20"/>
          <w:lang w:val="fr-CA"/>
        </w:rPr>
        <w:t xml:space="preserve"> a</w:t>
      </w:r>
      <w:r w:rsidR="005C4AB1">
        <w:rPr>
          <w:sz w:val="20"/>
          <w:szCs w:val="20"/>
          <w:lang w:val="fr-CA"/>
        </w:rPr>
        <w:t>vr</w:t>
      </w:r>
      <w:r w:rsidRPr="003B3977">
        <w:rPr>
          <w:sz w:val="20"/>
          <w:szCs w:val="20"/>
          <w:lang w:val="fr-CA"/>
        </w:rPr>
        <w:t>i</w:t>
      </w:r>
      <w:r w:rsidR="005C4AB1">
        <w:rPr>
          <w:sz w:val="20"/>
          <w:szCs w:val="20"/>
          <w:lang w:val="fr-CA"/>
        </w:rPr>
        <w:t>l</w:t>
      </w:r>
      <w:r w:rsidRPr="003B3977">
        <w:rPr>
          <w:sz w:val="20"/>
          <w:szCs w:val="20"/>
          <w:lang w:val="fr-CA"/>
        </w:rPr>
        <w:t xml:space="preserve"> 201</w:t>
      </w:r>
      <w:r w:rsidR="005C4AB1">
        <w:rPr>
          <w:sz w:val="20"/>
          <w:szCs w:val="20"/>
          <w:lang w:val="fr-CA"/>
        </w:rPr>
        <w:t>2</w:t>
      </w:r>
      <w:r w:rsidRPr="003B3977">
        <w:rPr>
          <w:sz w:val="20"/>
          <w:szCs w:val="20"/>
          <w:lang w:val="fr-CA"/>
        </w:rPr>
        <w:t xml:space="preserve"> / Jugement : Le 8 </w:t>
      </w:r>
      <w:r w:rsidR="00256147">
        <w:rPr>
          <w:sz w:val="20"/>
          <w:szCs w:val="20"/>
          <w:lang w:val="fr-CA"/>
        </w:rPr>
        <w:t>novem</w:t>
      </w:r>
      <w:r w:rsidRPr="003B3977">
        <w:rPr>
          <w:sz w:val="20"/>
          <w:szCs w:val="20"/>
          <w:lang w:val="fr-CA"/>
        </w:rPr>
        <w:t>bre 201</w:t>
      </w:r>
      <w:r w:rsidR="004E1E0A">
        <w:rPr>
          <w:sz w:val="20"/>
          <w:szCs w:val="20"/>
          <w:lang w:val="fr-CA"/>
        </w:rPr>
        <w:t>2</w:t>
      </w:r>
    </w:p>
    <w:p w:rsidR="005C6840" w:rsidRPr="003B3977" w:rsidRDefault="00BF3B03" w:rsidP="005C6840">
      <w:pPr>
        <w:rPr>
          <w:sz w:val="20"/>
          <w:szCs w:val="20"/>
          <w:lang w:val="fr-CA"/>
        </w:rPr>
      </w:pPr>
      <w:r w:rsidRPr="00BF3B03">
        <w:rPr>
          <w:i/>
          <w:sz w:val="20"/>
          <w:szCs w:val="20"/>
        </w:rPr>
        <w:pict>
          <v:rect id="_x0000_i1108"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5C4AB1" w:rsidRPr="006E0A31" w:rsidRDefault="005C4AB1" w:rsidP="005C4AB1">
      <w:pPr>
        <w:jc w:val="both"/>
        <w:rPr>
          <w:sz w:val="20"/>
          <w:szCs w:val="20"/>
        </w:rPr>
      </w:pPr>
      <w:r w:rsidRPr="006E0A31">
        <w:rPr>
          <w:sz w:val="20"/>
          <w:szCs w:val="20"/>
        </w:rPr>
        <w:t>Present:  McLachlin C.J. and LeBel, Deschamps, Abella, Rothstein, Cromwell and Moldaver JJ.</w:t>
      </w:r>
    </w:p>
    <w:p w:rsidR="005C4AB1" w:rsidRDefault="005C4AB1" w:rsidP="005C4AB1">
      <w:pPr>
        <w:pStyle w:val="SCCLowerCourtNameLowercase"/>
        <w:spacing w:line="240" w:lineRule="auto"/>
        <w:rPr>
          <w:sz w:val="20"/>
        </w:rPr>
      </w:pPr>
    </w:p>
    <w:p w:rsidR="005C4AB1" w:rsidRPr="006E0A31" w:rsidRDefault="005C4AB1" w:rsidP="005C4AB1">
      <w:pPr>
        <w:pStyle w:val="SCCNormalDoubleSpacing"/>
        <w:spacing w:line="240" w:lineRule="auto"/>
        <w:rPr>
          <w:sz w:val="20"/>
        </w:rPr>
      </w:pPr>
      <w:r w:rsidRPr="006E0A31">
        <w:rPr>
          <w:i/>
          <w:sz w:val="20"/>
        </w:rPr>
        <w:tab/>
        <w:t>Intellectual property — Patents — Disclosure requirements — Patent for use of compound to treat erectile disfunction — Patent application containing cascading claims ending with two individual compounds — Claims not specifying active compound — Whether patent application meeting disclosure requirements of Patent Act — Whether patent based on sound prediction — Patent Act, R.S.C. 1985, c. P</w:t>
      </w:r>
      <w:r w:rsidRPr="006E0A31">
        <w:rPr>
          <w:i/>
          <w:sz w:val="20"/>
        </w:rPr>
        <w:noBreakHyphen/>
        <w:t>4, s. 27(3).</w:t>
      </w:r>
    </w:p>
    <w:p w:rsidR="005C4AB1" w:rsidRDefault="005C4AB1" w:rsidP="005C4AB1">
      <w:pPr>
        <w:pStyle w:val="SCCNormalDoubleSpacing"/>
        <w:spacing w:line="240" w:lineRule="auto"/>
        <w:rPr>
          <w:sz w:val="20"/>
        </w:rPr>
      </w:pPr>
    </w:p>
    <w:p w:rsidR="005C4AB1" w:rsidRPr="006E0A31" w:rsidRDefault="005C4AB1" w:rsidP="005C4AB1">
      <w:pPr>
        <w:pStyle w:val="SCCNormalDoubleSpacing"/>
        <w:spacing w:line="240" w:lineRule="auto"/>
        <w:rPr>
          <w:sz w:val="20"/>
        </w:rPr>
      </w:pPr>
      <w:r w:rsidRPr="006E0A31">
        <w:rPr>
          <w:sz w:val="20"/>
        </w:rPr>
        <w:tab/>
        <w:t>P holds Patent 2,163,446 for the use of a “compound of formula (I)” or a “salt thereof” as a medicament for the treatment of erectile dysfunction (“ED”).  The patent’s specification ends with seven cascading claims for successively smaller ranges of compounds, with Claims 6 and 7 relating to a single compound each.  Only sildenafil, the subject of Claim 7 and the active compound in Viagra, had been shown to be effective in treating ED at the time of the patent application.  Although the patent includes the statement that “one of the especially preferred compounds induces penile erection in impotent males”, the patent application does not disclose that the compound that works is sildenafil, that it is found in Claim 7, or that the remaining compounds had not been found to be effective in treating ED.</w:t>
      </w:r>
    </w:p>
    <w:p w:rsidR="005C4AB1" w:rsidRDefault="005C4AB1" w:rsidP="005C4AB1">
      <w:pPr>
        <w:pStyle w:val="SCCNormalDoubleSpacing"/>
        <w:spacing w:line="240" w:lineRule="auto"/>
        <w:rPr>
          <w:sz w:val="20"/>
        </w:rPr>
      </w:pPr>
    </w:p>
    <w:p w:rsidR="005C4AB1" w:rsidRPr="006E0A31" w:rsidRDefault="005C4AB1" w:rsidP="005C4AB1">
      <w:pPr>
        <w:pStyle w:val="SCCNormalDoubleSpacing"/>
        <w:spacing w:line="240" w:lineRule="auto"/>
        <w:rPr>
          <w:sz w:val="20"/>
        </w:rPr>
      </w:pPr>
      <w:r w:rsidRPr="006E0A31">
        <w:rPr>
          <w:sz w:val="20"/>
        </w:rPr>
        <w:tab/>
        <w:t>T applied for a notice of compliance in order to produce a generic version of Viagra.  The Federal Court prohibited the Minister from issuing the requested notice of compliance.  The Federal Court of Appeal dismissed the appeal.</w:t>
      </w:r>
    </w:p>
    <w:p w:rsidR="005C4AB1" w:rsidRDefault="005C4AB1" w:rsidP="005C4AB1">
      <w:pPr>
        <w:pStyle w:val="SCCNormalDoubleSpacing"/>
        <w:spacing w:line="240" w:lineRule="auto"/>
        <w:rPr>
          <w:sz w:val="20"/>
        </w:rPr>
      </w:pPr>
    </w:p>
    <w:p w:rsidR="005C4AB1" w:rsidRPr="006E0A31" w:rsidRDefault="005C4AB1" w:rsidP="005C4AB1">
      <w:pPr>
        <w:pStyle w:val="SCCNormalDoubleSpacing"/>
        <w:spacing w:line="240" w:lineRule="auto"/>
        <w:rPr>
          <w:sz w:val="20"/>
        </w:rPr>
      </w:pPr>
      <w:r w:rsidRPr="006E0A31">
        <w:rPr>
          <w:sz w:val="20"/>
        </w:rPr>
        <w:tab/>
      </w:r>
      <w:r w:rsidRPr="006E0A31">
        <w:rPr>
          <w:i/>
          <w:sz w:val="20"/>
        </w:rPr>
        <w:t>Held</w:t>
      </w:r>
      <w:r w:rsidRPr="006E0A31">
        <w:rPr>
          <w:sz w:val="20"/>
        </w:rPr>
        <w:t>:  The appeal should be allowed.  Patent 2,163,446 is void.</w:t>
      </w:r>
    </w:p>
    <w:p w:rsidR="005C4AB1" w:rsidRDefault="005C4AB1" w:rsidP="005C4AB1">
      <w:pPr>
        <w:pStyle w:val="SCCNormalDoubleSpacing"/>
        <w:spacing w:line="240" w:lineRule="auto"/>
        <w:rPr>
          <w:sz w:val="20"/>
        </w:rPr>
      </w:pPr>
    </w:p>
    <w:p w:rsidR="005C4AB1" w:rsidRPr="006E0A31" w:rsidRDefault="005C4AB1" w:rsidP="005C4AB1">
      <w:pPr>
        <w:pStyle w:val="SCCNormalDoubleSpacing"/>
        <w:spacing w:line="240" w:lineRule="auto"/>
        <w:rPr>
          <w:sz w:val="20"/>
        </w:rPr>
      </w:pPr>
      <w:r w:rsidRPr="006E0A31">
        <w:rPr>
          <w:sz w:val="20"/>
        </w:rPr>
        <w:tab/>
        <w:t xml:space="preserve">The patent application did not satisfy the disclosure requirements set out in the </w:t>
      </w:r>
      <w:r w:rsidRPr="006E0A31">
        <w:rPr>
          <w:i/>
          <w:sz w:val="20"/>
        </w:rPr>
        <w:t>Patent Act</w:t>
      </w:r>
      <w:r w:rsidRPr="006E0A31">
        <w:rPr>
          <w:sz w:val="20"/>
        </w:rPr>
        <w:t>, R.S.C. 1985, c. P</w:t>
      </w:r>
      <w:r w:rsidRPr="006E0A31">
        <w:rPr>
          <w:sz w:val="20"/>
        </w:rPr>
        <w:noBreakHyphen/>
        <w:t>4 (“Act”).  The patent system is based on a “bargain”: the inventor is granted exclusive rights in a new and useful invention for a limited period in exchange for disclosure of the invention so that society can benefit from this knowledge.  Sufficiency of disclosure lies at the very heart of the patent system, so adequate disclosure in the specification is a precondition for the granting of a patent.</w:t>
      </w:r>
    </w:p>
    <w:p w:rsidR="005C4AB1" w:rsidRDefault="005C4AB1" w:rsidP="005C4AB1">
      <w:pPr>
        <w:pStyle w:val="SCCNormalDoubleSpacing"/>
        <w:spacing w:line="240" w:lineRule="auto"/>
        <w:rPr>
          <w:sz w:val="20"/>
        </w:rPr>
      </w:pPr>
    </w:p>
    <w:p w:rsidR="005C4AB1" w:rsidRPr="006E0A31" w:rsidRDefault="005C4AB1" w:rsidP="005C4AB1">
      <w:pPr>
        <w:pStyle w:val="SCCNormalDoubleSpacing"/>
        <w:spacing w:line="240" w:lineRule="auto"/>
        <w:rPr>
          <w:sz w:val="20"/>
        </w:rPr>
      </w:pPr>
      <w:r w:rsidRPr="006E0A31">
        <w:rPr>
          <w:sz w:val="20"/>
        </w:rPr>
        <w:tab/>
        <w:t xml:space="preserve">Although s. 58 of the Act allows courts to consider valid claims separately from those that are not valid, and although valid claims survive in the face of one or more invalid claims, s. 58 is engaged only </w:t>
      </w:r>
      <w:r w:rsidRPr="006E0A31">
        <w:rPr>
          <w:i/>
          <w:sz w:val="20"/>
        </w:rPr>
        <w:t>after</w:t>
      </w:r>
      <w:r w:rsidRPr="006E0A31">
        <w:rPr>
          <w:sz w:val="20"/>
        </w:rPr>
        <w:t xml:space="preserve"> the validity analysis is carried out.  It does not allow a court to consider the validity of a single claim independently of the rest of the specification, even if the claim in question is the only one that may be valid.  The lower courts held that each claim in the patent is a separate invention.  As a result, they considered the disclosure requirements with respect to each individual claim, not to the specification as a whole.  This confused the principle that the claims define the scope of the exclusive right being sought with the principle that the content of the specification determines whether the disclosure requirements have been met.  The Act requires that the court consider the specification as a whole, which includes the claims and the disclosure, from the perspective of a person skilled in the art to determine whether the patent meets the disclosure requirements.  Only where the specification as a whole shows that each claim in a patent application concerns a separate invention will the consideration of the disclosure requirements </w:t>
      </w:r>
      <w:proofErr w:type="gramStart"/>
      <w:r w:rsidRPr="006E0A31">
        <w:rPr>
          <w:sz w:val="20"/>
        </w:rPr>
        <w:t>be</w:t>
      </w:r>
      <w:proofErr w:type="gramEnd"/>
      <w:r w:rsidRPr="006E0A31">
        <w:rPr>
          <w:sz w:val="20"/>
        </w:rPr>
        <w:t xml:space="preserve"> limited to a single claim.</w:t>
      </w:r>
    </w:p>
    <w:p w:rsidR="005C4AB1" w:rsidRDefault="005C4AB1" w:rsidP="005C4AB1">
      <w:pPr>
        <w:pStyle w:val="SCCNormalDoubleSpacing"/>
        <w:spacing w:line="240" w:lineRule="auto"/>
        <w:rPr>
          <w:sz w:val="20"/>
        </w:rPr>
      </w:pPr>
    </w:p>
    <w:p w:rsidR="005C4AB1" w:rsidRPr="006E0A31" w:rsidRDefault="005C4AB1" w:rsidP="005C4AB1">
      <w:pPr>
        <w:pStyle w:val="SCCNormalDoubleSpacing"/>
        <w:spacing w:line="240" w:lineRule="auto"/>
        <w:rPr>
          <w:sz w:val="20"/>
        </w:rPr>
      </w:pPr>
      <w:r w:rsidRPr="006E0A31">
        <w:rPr>
          <w:sz w:val="20"/>
        </w:rPr>
        <w:tab/>
        <w:t>In this case, the disclosure in the specification would not have enabled the public “to make the same successful use of the invention as the inventor could at the time of his application” because it does not indicate that sildenafil is the effective compound.  Considering the specification as a whole, the use of sildenafil and the other compounds for the treatment of ED comprise one inventive concept.  Even though a skilled reader will know that, when a patent contains cascading claims, the useful claim will usually be at the end concerning an individual compound, the claims in the patent ended with two individually claimed compounds.  There was no basis for a skilled person to determine which of Claim 6 and Claim 7 contained the useful compound, further testing would have been required to determine which of those two compounds was actually effective in treating ED.</w:t>
      </w:r>
    </w:p>
    <w:p w:rsidR="005C4AB1" w:rsidRPr="006E0A31" w:rsidRDefault="005C4AB1" w:rsidP="005C4AB1">
      <w:pPr>
        <w:pStyle w:val="SCCNormalDoubleSpacing"/>
        <w:spacing w:line="240" w:lineRule="auto"/>
        <w:rPr>
          <w:sz w:val="20"/>
        </w:rPr>
      </w:pPr>
      <w:r w:rsidRPr="006E0A31">
        <w:rPr>
          <w:sz w:val="20"/>
        </w:rPr>
        <w:lastRenderedPageBreak/>
        <w:tab/>
        <w:t xml:space="preserve">Although s. 27 does not specify a remedy for insufficient disclosure, the </w:t>
      </w:r>
      <w:r w:rsidRPr="006E0A31">
        <w:rPr>
          <w:i/>
          <w:sz w:val="20"/>
        </w:rPr>
        <w:t xml:space="preserve">quid pro quo </w:t>
      </w:r>
      <w:r w:rsidRPr="006E0A31">
        <w:rPr>
          <w:sz w:val="20"/>
        </w:rPr>
        <w:t xml:space="preserve">underpinning the Act leads to the conclusion that deeming the patent invalid is the logical consequence of a failure to properly disclose the invention and how it works.  If there is no </w:t>
      </w:r>
      <w:r w:rsidRPr="006E0A31">
        <w:rPr>
          <w:i/>
          <w:sz w:val="20"/>
        </w:rPr>
        <w:t>quid</w:t>
      </w:r>
      <w:r w:rsidRPr="006E0A31">
        <w:rPr>
          <w:sz w:val="20"/>
        </w:rPr>
        <w:t xml:space="preserve"> — proper disclosure — then there can be no </w:t>
      </w:r>
      <w:r w:rsidRPr="006E0A31">
        <w:rPr>
          <w:i/>
          <w:sz w:val="20"/>
        </w:rPr>
        <w:t>quo</w:t>
      </w:r>
      <w:r w:rsidRPr="006E0A31">
        <w:rPr>
          <w:sz w:val="20"/>
        </w:rPr>
        <w:t xml:space="preserve"> — exclusive monopoly rights.  Even if s. 53 was not raised and its requirements were not met, this does not mean that the disclosure was adequate for the purposes of s. 27(3).  These provisions can be independent of each other.</w:t>
      </w:r>
    </w:p>
    <w:p w:rsidR="005C4AB1" w:rsidRDefault="005C4AB1" w:rsidP="005C4AB1">
      <w:pPr>
        <w:pStyle w:val="SCCNormalDoubleSpacing"/>
        <w:spacing w:line="240" w:lineRule="auto"/>
        <w:rPr>
          <w:sz w:val="20"/>
        </w:rPr>
      </w:pPr>
    </w:p>
    <w:p w:rsidR="005C4AB1" w:rsidRDefault="005C4AB1" w:rsidP="005C4AB1">
      <w:pPr>
        <w:pStyle w:val="SCCNormalDoubleSpacing"/>
        <w:spacing w:line="240" w:lineRule="auto"/>
        <w:rPr>
          <w:sz w:val="20"/>
        </w:rPr>
      </w:pPr>
      <w:r w:rsidRPr="006E0A31">
        <w:rPr>
          <w:sz w:val="20"/>
        </w:rPr>
        <w:tab/>
        <w:t>There is no question that sildenafil’s utility had been demonstrated as of the time of filing of the patent application.  This takes the invention out of the realm of sound prediction.  As to the delay of 13 years between the filing of the patent and the challenge, the relevant question is whether the disclosure was sufficient as of the date of filing, so the delay is inconsequential.</w:t>
      </w:r>
    </w:p>
    <w:p w:rsidR="005C4AB1" w:rsidRDefault="005C4AB1" w:rsidP="005C4AB1">
      <w:pPr>
        <w:pStyle w:val="SCCNormalDoubleSpacing"/>
        <w:spacing w:line="240" w:lineRule="auto"/>
        <w:rPr>
          <w:sz w:val="20"/>
        </w:rPr>
      </w:pPr>
    </w:p>
    <w:p w:rsidR="005C4AB1" w:rsidRPr="006E0A31" w:rsidRDefault="005C4AB1" w:rsidP="005C4AB1">
      <w:pPr>
        <w:pStyle w:val="SCCNormalDoubleSpacing"/>
        <w:spacing w:line="240" w:lineRule="auto"/>
        <w:rPr>
          <w:sz w:val="20"/>
        </w:rPr>
      </w:pPr>
      <w:r w:rsidRPr="006E0A31">
        <w:rPr>
          <w:sz w:val="20"/>
        </w:rPr>
        <w:tab/>
        <w:t>APPEAL from a judgment of the Federal Court of Appeal (Blais C.J. and Nadon and Trudel JJ.A.), 2010 FCA 242, [2012] 2 F.C.R. 69, 408 N.R. 166, 88 C.P.R. (4th) 405, [2010] F.C.J. No. 1200 (QL), 2010 CarswellNat 3445, affirming a decision of Kelen J., 2009 FC 638, 76 C.P.R. (4th) 83, 352 F.T.R. 35, [2009] F.C.J. No. 688 (QL), 2009 CarswellNat 1766.  Appeal allowed.</w:t>
      </w:r>
    </w:p>
    <w:p w:rsidR="005C4AB1" w:rsidRDefault="005C4AB1" w:rsidP="005C4AB1">
      <w:pPr>
        <w:pStyle w:val="SCCNormalDoubleSpacing"/>
        <w:spacing w:line="240" w:lineRule="auto"/>
        <w:rPr>
          <w:i/>
          <w:sz w:val="20"/>
        </w:rPr>
      </w:pPr>
    </w:p>
    <w:p w:rsidR="005C4AB1" w:rsidRPr="006E0A31" w:rsidRDefault="005C4AB1" w:rsidP="005C4AB1">
      <w:pPr>
        <w:pStyle w:val="SCCNormalDoubleSpacing"/>
        <w:spacing w:line="240" w:lineRule="auto"/>
        <w:rPr>
          <w:sz w:val="20"/>
        </w:rPr>
      </w:pPr>
      <w:r w:rsidRPr="006E0A31">
        <w:rPr>
          <w:i/>
          <w:sz w:val="20"/>
        </w:rPr>
        <w:tab/>
      </w:r>
      <w:proofErr w:type="gramStart"/>
      <w:r w:rsidRPr="006E0A31">
        <w:rPr>
          <w:i/>
          <w:sz w:val="20"/>
        </w:rPr>
        <w:t>David W. Aitken</w:t>
      </w:r>
      <w:r w:rsidRPr="006E0A31">
        <w:rPr>
          <w:sz w:val="20"/>
        </w:rPr>
        <w:t xml:space="preserve">, </w:t>
      </w:r>
      <w:r w:rsidRPr="006E0A31">
        <w:rPr>
          <w:i/>
          <w:sz w:val="20"/>
        </w:rPr>
        <w:t xml:space="preserve">Marcus Klee </w:t>
      </w:r>
      <w:r w:rsidRPr="006E0A31">
        <w:rPr>
          <w:sz w:val="20"/>
        </w:rPr>
        <w:t xml:space="preserve">and </w:t>
      </w:r>
      <w:r w:rsidRPr="006E0A31">
        <w:rPr>
          <w:i/>
          <w:sz w:val="20"/>
        </w:rPr>
        <w:t>Ildiko Mehes</w:t>
      </w:r>
      <w:r w:rsidRPr="006E0A31">
        <w:rPr>
          <w:sz w:val="20"/>
        </w:rPr>
        <w:t>, for the appellant.</w:t>
      </w:r>
      <w:proofErr w:type="gramEnd"/>
    </w:p>
    <w:p w:rsidR="005C4AB1" w:rsidRDefault="005C4AB1" w:rsidP="005C4AB1">
      <w:pPr>
        <w:pStyle w:val="SCCNormalDoubleSpacing"/>
        <w:spacing w:line="240" w:lineRule="auto"/>
        <w:rPr>
          <w:i/>
          <w:sz w:val="20"/>
        </w:rPr>
      </w:pPr>
    </w:p>
    <w:p w:rsidR="005C4AB1" w:rsidRPr="006E0A31" w:rsidRDefault="005C4AB1" w:rsidP="005C4AB1">
      <w:pPr>
        <w:pStyle w:val="SCCNormalDoubleSpacing"/>
        <w:spacing w:line="240" w:lineRule="auto"/>
        <w:rPr>
          <w:sz w:val="20"/>
        </w:rPr>
      </w:pPr>
      <w:r w:rsidRPr="006E0A31">
        <w:rPr>
          <w:i/>
          <w:sz w:val="20"/>
        </w:rPr>
        <w:tab/>
        <w:t>Andrew Shaughnessy</w:t>
      </w:r>
      <w:r w:rsidRPr="006E0A31">
        <w:rPr>
          <w:sz w:val="20"/>
        </w:rPr>
        <w:t xml:space="preserve">, </w:t>
      </w:r>
      <w:r w:rsidRPr="006E0A31">
        <w:rPr>
          <w:i/>
          <w:sz w:val="20"/>
        </w:rPr>
        <w:t>Andrew Bernstein</w:t>
      </w:r>
      <w:r w:rsidRPr="006E0A31">
        <w:rPr>
          <w:sz w:val="20"/>
        </w:rPr>
        <w:t xml:space="preserve"> and </w:t>
      </w:r>
      <w:r w:rsidRPr="006E0A31">
        <w:rPr>
          <w:i/>
          <w:sz w:val="20"/>
        </w:rPr>
        <w:t>Yael Bienenstock</w:t>
      </w:r>
      <w:r w:rsidRPr="006E0A31">
        <w:rPr>
          <w:sz w:val="20"/>
        </w:rPr>
        <w:t>, for the respondents Pfizer Canada Inc., Pfizer Inc., Pfizer Ireland Pharmaceuticals and Pfizer Research and Development Company N.V./S.A.</w:t>
      </w:r>
    </w:p>
    <w:p w:rsidR="005C4AB1" w:rsidRDefault="005C4AB1" w:rsidP="005C4AB1">
      <w:pPr>
        <w:pStyle w:val="SCCNormalDoubleSpacing"/>
        <w:spacing w:line="240" w:lineRule="auto"/>
        <w:rPr>
          <w:i/>
          <w:sz w:val="20"/>
        </w:rPr>
      </w:pPr>
    </w:p>
    <w:p w:rsidR="005C4AB1" w:rsidRPr="006E0A31" w:rsidRDefault="005C4AB1" w:rsidP="005C4AB1">
      <w:pPr>
        <w:pStyle w:val="SCCNormalDoubleSpacing"/>
        <w:spacing w:line="240" w:lineRule="auto"/>
        <w:rPr>
          <w:sz w:val="20"/>
        </w:rPr>
      </w:pPr>
      <w:r w:rsidRPr="006E0A31">
        <w:rPr>
          <w:i/>
          <w:sz w:val="20"/>
        </w:rPr>
        <w:tab/>
      </w:r>
      <w:proofErr w:type="gramStart"/>
      <w:r w:rsidRPr="006E0A31">
        <w:rPr>
          <w:i/>
          <w:sz w:val="20"/>
        </w:rPr>
        <w:t>Jonathan Stainsby</w:t>
      </w:r>
      <w:r w:rsidRPr="006E0A31">
        <w:rPr>
          <w:sz w:val="20"/>
        </w:rPr>
        <w:t xml:space="preserve"> and </w:t>
      </w:r>
      <w:r w:rsidRPr="006E0A31">
        <w:rPr>
          <w:i/>
          <w:sz w:val="20"/>
        </w:rPr>
        <w:t>Andrew Skodyn</w:t>
      </w:r>
      <w:r w:rsidRPr="006E0A31">
        <w:rPr>
          <w:sz w:val="20"/>
        </w:rPr>
        <w:t>, for the intervener the Canadian Generic Pharmaceutical Association.</w:t>
      </w:r>
      <w:proofErr w:type="gramEnd"/>
    </w:p>
    <w:p w:rsidR="005C4AB1" w:rsidRDefault="005C4AB1" w:rsidP="005C4AB1">
      <w:pPr>
        <w:pStyle w:val="SCCNormalDoubleSpacing"/>
        <w:spacing w:line="240" w:lineRule="auto"/>
        <w:rPr>
          <w:i/>
          <w:sz w:val="20"/>
        </w:rPr>
      </w:pPr>
    </w:p>
    <w:p w:rsidR="005C4AB1" w:rsidRPr="006E0A31" w:rsidRDefault="005C4AB1" w:rsidP="005C4AB1">
      <w:pPr>
        <w:pStyle w:val="SCCNormalDoubleSpacing"/>
        <w:spacing w:line="240" w:lineRule="auto"/>
        <w:rPr>
          <w:sz w:val="20"/>
        </w:rPr>
      </w:pPr>
      <w:r w:rsidRPr="006E0A31">
        <w:rPr>
          <w:i/>
          <w:sz w:val="20"/>
        </w:rPr>
        <w:tab/>
      </w:r>
      <w:proofErr w:type="gramStart"/>
      <w:r w:rsidRPr="006E0A31">
        <w:rPr>
          <w:i/>
          <w:sz w:val="20"/>
        </w:rPr>
        <w:t>Patrick S. Smith</w:t>
      </w:r>
      <w:r w:rsidRPr="006E0A31">
        <w:rPr>
          <w:sz w:val="20"/>
        </w:rPr>
        <w:t xml:space="preserve"> and </w:t>
      </w:r>
      <w:r w:rsidRPr="006E0A31">
        <w:rPr>
          <w:i/>
          <w:sz w:val="20"/>
        </w:rPr>
        <w:t>Jane E. Clark</w:t>
      </w:r>
      <w:r w:rsidRPr="006E0A31">
        <w:rPr>
          <w:sz w:val="20"/>
        </w:rPr>
        <w:t>, for the intervener Canada’s Research</w:t>
      </w:r>
      <w:r w:rsidRPr="006E0A31">
        <w:rPr>
          <w:sz w:val="20"/>
        </w:rPr>
        <w:noBreakHyphen/>
        <w:t>Based Pharmaceutical Companies.</w:t>
      </w:r>
      <w:proofErr w:type="gramEnd"/>
    </w:p>
    <w:p w:rsidR="005C4AB1" w:rsidRDefault="005C4AB1" w:rsidP="005C4AB1">
      <w:pPr>
        <w:pStyle w:val="SCCNormalDoubleSpacing"/>
        <w:spacing w:line="240" w:lineRule="auto"/>
        <w:rPr>
          <w:i/>
          <w:sz w:val="20"/>
        </w:rPr>
      </w:pPr>
    </w:p>
    <w:p w:rsidR="005C4AB1" w:rsidRPr="006E0A31" w:rsidRDefault="005C4AB1" w:rsidP="005C4AB1">
      <w:pPr>
        <w:pStyle w:val="SCCNormalDoubleSpacing"/>
        <w:spacing w:line="240" w:lineRule="auto"/>
        <w:rPr>
          <w:sz w:val="20"/>
        </w:rPr>
      </w:pPr>
      <w:r w:rsidRPr="006E0A31">
        <w:rPr>
          <w:i/>
          <w:sz w:val="20"/>
        </w:rPr>
        <w:tab/>
      </w:r>
      <w:r w:rsidRPr="006E0A31">
        <w:rPr>
          <w:sz w:val="20"/>
        </w:rPr>
        <w:t>No one appeared for the respondent the Minister of Health.</w:t>
      </w:r>
    </w:p>
    <w:p w:rsidR="005C4AB1" w:rsidRDefault="005C4AB1" w:rsidP="005C4AB1">
      <w:pPr>
        <w:pStyle w:val="SCCLawFirm"/>
        <w:spacing w:line="240" w:lineRule="auto"/>
        <w:rPr>
          <w:sz w:val="20"/>
        </w:rPr>
      </w:pPr>
    </w:p>
    <w:p w:rsidR="005C4AB1" w:rsidRPr="006E0A31" w:rsidRDefault="005C4AB1" w:rsidP="005C4AB1">
      <w:pPr>
        <w:pStyle w:val="SCCLawFirm"/>
        <w:spacing w:line="240" w:lineRule="auto"/>
        <w:rPr>
          <w:sz w:val="20"/>
        </w:rPr>
      </w:pPr>
      <w:r w:rsidRPr="006E0A31">
        <w:rPr>
          <w:sz w:val="20"/>
        </w:rPr>
        <w:tab/>
        <w:t>Solicitors for the appellant:  Osler, Hoskin &amp; Harcourt, Ottawa.</w:t>
      </w:r>
    </w:p>
    <w:p w:rsidR="005C4AB1" w:rsidRDefault="005C4AB1" w:rsidP="005C4AB1">
      <w:pPr>
        <w:pStyle w:val="SCCLawFirm"/>
        <w:spacing w:line="240" w:lineRule="auto"/>
        <w:rPr>
          <w:sz w:val="20"/>
        </w:rPr>
      </w:pPr>
    </w:p>
    <w:p w:rsidR="005C4AB1" w:rsidRPr="006E0A31" w:rsidRDefault="005C4AB1" w:rsidP="005C4AB1">
      <w:pPr>
        <w:pStyle w:val="SCCLawFirm"/>
        <w:spacing w:line="240" w:lineRule="auto"/>
        <w:rPr>
          <w:sz w:val="20"/>
        </w:rPr>
      </w:pPr>
      <w:r w:rsidRPr="006E0A31">
        <w:rPr>
          <w:sz w:val="20"/>
        </w:rPr>
        <w:tab/>
        <w:t>Solicitors for the respondents Pfizer Canada Inc., Pfizer Inc., Pfizer Ireland Pharmaceuticals and Pfizer Research and Development Company N.V</w:t>
      </w:r>
      <w:proofErr w:type="gramStart"/>
      <w:r w:rsidRPr="006E0A31">
        <w:rPr>
          <w:sz w:val="20"/>
        </w:rPr>
        <w:t>./</w:t>
      </w:r>
      <w:proofErr w:type="gramEnd"/>
      <w:r w:rsidRPr="006E0A31">
        <w:rPr>
          <w:sz w:val="20"/>
        </w:rPr>
        <w:t>S.A.:  Torys, Toronto.</w:t>
      </w:r>
    </w:p>
    <w:p w:rsidR="005C4AB1" w:rsidRDefault="005C4AB1" w:rsidP="005C4AB1">
      <w:pPr>
        <w:pStyle w:val="SCCLawFirm"/>
        <w:spacing w:line="240" w:lineRule="auto"/>
        <w:rPr>
          <w:sz w:val="20"/>
        </w:rPr>
      </w:pPr>
    </w:p>
    <w:p w:rsidR="005C4AB1" w:rsidRPr="006E0A31" w:rsidRDefault="005C4AB1" w:rsidP="005C4AB1">
      <w:pPr>
        <w:pStyle w:val="SCCLawFirm"/>
        <w:spacing w:line="240" w:lineRule="auto"/>
        <w:rPr>
          <w:sz w:val="20"/>
        </w:rPr>
      </w:pPr>
      <w:r w:rsidRPr="006E0A31">
        <w:rPr>
          <w:sz w:val="20"/>
        </w:rPr>
        <w:tab/>
        <w:t>Solicitors for the intervener the Canadian Generic Pharmaceutical Association:  Heenan Blaikie, Toronto.</w:t>
      </w:r>
    </w:p>
    <w:p w:rsidR="005C4AB1" w:rsidRDefault="005C4AB1" w:rsidP="005C4AB1">
      <w:pPr>
        <w:pStyle w:val="SCCLawFirm"/>
        <w:spacing w:line="240" w:lineRule="auto"/>
        <w:rPr>
          <w:sz w:val="20"/>
        </w:rPr>
      </w:pPr>
    </w:p>
    <w:p w:rsidR="005C4AB1" w:rsidRDefault="005C4AB1" w:rsidP="005C4AB1">
      <w:pPr>
        <w:pStyle w:val="SCCLawFirm"/>
        <w:spacing w:line="240" w:lineRule="auto"/>
        <w:rPr>
          <w:sz w:val="20"/>
        </w:rPr>
      </w:pPr>
      <w:r w:rsidRPr="006E0A31">
        <w:rPr>
          <w:sz w:val="20"/>
        </w:rPr>
        <w:tab/>
        <w:t>Solicitors for the intervener Canada’s Research</w:t>
      </w:r>
      <w:r w:rsidRPr="006E0A31">
        <w:rPr>
          <w:sz w:val="20"/>
        </w:rPr>
        <w:noBreakHyphen/>
        <w:t>Based Pharmaceutical Companies:  Gowling Lafleur Henderson, Ottawa.</w:t>
      </w:r>
    </w:p>
    <w:p w:rsidR="003B3977" w:rsidRPr="00565D14" w:rsidRDefault="003B3977" w:rsidP="003B3977">
      <w:pPr>
        <w:rPr>
          <w:sz w:val="20"/>
          <w:szCs w:val="20"/>
          <w:lang w:val="fr-CA"/>
        </w:rPr>
      </w:pPr>
      <w:r w:rsidRPr="00565D14">
        <w:rPr>
          <w:sz w:val="20"/>
          <w:szCs w:val="20"/>
          <w:lang w:val="fr-CA"/>
        </w:rPr>
        <w:t>________________________</w:t>
      </w:r>
    </w:p>
    <w:p w:rsidR="003B3977" w:rsidRPr="00565D14" w:rsidRDefault="003B3977" w:rsidP="003B3977">
      <w:pPr>
        <w:rPr>
          <w:sz w:val="20"/>
          <w:szCs w:val="20"/>
          <w:lang w:val="fr-CA"/>
        </w:rPr>
      </w:pPr>
    </w:p>
    <w:p w:rsidR="005C4AB1" w:rsidRPr="00FE0EE9" w:rsidRDefault="005C4AB1" w:rsidP="005C4AB1">
      <w:pPr>
        <w:jc w:val="both"/>
        <w:rPr>
          <w:sz w:val="20"/>
          <w:szCs w:val="20"/>
          <w:lang w:val="fr-CA"/>
        </w:rPr>
      </w:pPr>
      <w:r w:rsidRPr="00FE0EE9">
        <w:rPr>
          <w:sz w:val="20"/>
          <w:szCs w:val="20"/>
          <w:lang w:val="fr-CA"/>
        </w:rPr>
        <w:t>Présents : La juge en chef McLachlin et les juges LeBel, Deschamps, Abella, Rothstein, Cromwell et Moldaver.</w:t>
      </w:r>
    </w:p>
    <w:p w:rsidR="005C4AB1" w:rsidRDefault="005C4AB1" w:rsidP="005C4AB1">
      <w:pPr>
        <w:jc w:val="both"/>
        <w:rPr>
          <w:smallCaps/>
          <w:sz w:val="20"/>
          <w:lang w:val="fr-CA"/>
        </w:rPr>
      </w:pPr>
    </w:p>
    <w:p w:rsidR="005C4AB1" w:rsidRPr="00FE0EE9" w:rsidRDefault="005C4AB1" w:rsidP="005C4AB1">
      <w:pPr>
        <w:pStyle w:val="SCCNormalDoubleSpacing"/>
        <w:spacing w:line="240" w:lineRule="auto"/>
        <w:rPr>
          <w:sz w:val="20"/>
          <w:lang w:val="fr-CA"/>
        </w:rPr>
      </w:pPr>
      <w:r w:rsidRPr="00FE0EE9">
        <w:rPr>
          <w:sz w:val="20"/>
          <w:lang w:val="fr-CA"/>
        </w:rPr>
        <w:tab/>
      </w:r>
      <w:r w:rsidRPr="00FE0EE9">
        <w:rPr>
          <w:i/>
          <w:sz w:val="20"/>
          <w:lang w:val="fr-CA"/>
        </w:rPr>
        <w:t xml:space="preserve">Propriété intellectuelle </w:t>
      </w:r>
      <w:r w:rsidRPr="00FE0EE9">
        <w:rPr>
          <w:sz w:val="20"/>
          <w:lang w:val="fr-CA"/>
        </w:rPr>
        <w:t xml:space="preserve">— </w:t>
      </w:r>
      <w:r w:rsidRPr="00FE0EE9">
        <w:rPr>
          <w:i/>
          <w:sz w:val="20"/>
          <w:lang w:val="fr-CA"/>
        </w:rPr>
        <w:t xml:space="preserve">Brevets </w:t>
      </w:r>
      <w:r w:rsidRPr="00FE0EE9">
        <w:rPr>
          <w:sz w:val="20"/>
          <w:lang w:val="fr-CA"/>
        </w:rPr>
        <w:t xml:space="preserve">— </w:t>
      </w:r>
      <w:r w:rsidRPr="00FE0EE9">
        <w:rPr>
          <w:i/>
          <w:sz w:val="20"/>
          <w:lang w:val="fr-CA"/>
        </w:rPr>
        <w:t xml:space="preserve">Exigences de divulgation </w:t>
      </w:r>
      <w:r w:rsidRPr="00FE0EE9">
        <w:rPr>
          <w:sz w:val="20"/>
          <w:lang w:val="fr-CA"/>
        </w:rPr>
        <w:t xml:space="preserve">— </w:t>
      </w:r>
      <w:r w:rsidRPr="00FE0EE9">
        <w:rPr>
          <w:i/>
          <w:sz w:val="20"/>
          <w:lang w:val="fr-CA"/>
        </w:rPr>
        <w:t>Brevet délivré pour l’utilisation d’un composé dans le traitement de la dysfonction érectile</w:t>
      </w:r>
      <w:r w:rsidRPr="00FE0EE9">
        <w:rPr>
          <w:sz w:val="20"/>
          <w:lang w:val="fr-CA"/>
        </w:rPr>
        <w:t xml:space="preserve"> — </w:t>
      </w:r>
      <w:r w:rsidRPr="00FE0EE9">
        <w:rPr>
          <w:i/>
          <w:sz w:val="20"/>
          <w:lang w:val="fr-CA"/>
        </w:rPr>
        <w:t xml:space="preserve">Demande de brevet renfermant des revendications en cascade dont les deux dernières visaient deux composés individuels </w:t>
      </w:r>
      <w:r w:rsidRPr="00FE0EE9">
        <w:rPr>
          <w:sz w:val="20"/>
          <w:lang w:val="fr-CA"/>
        </w:rPr>
        <w:t xml:space="preserve">— </w:t>
      </w:r>
      <w:r w:rsidRPr="00FE0EE9">
        <w:rPr>
          <w:i/>
          <w:sz w:val="20"/>
          <w:lang w:val="fr-CA"/>
        </w:rPr>
        <w:t xml:space="preserve">Omission de préciser l’ingrédient actif dans les revendications </w:t>
      </w:r>
      <w:r w:rsidRPr="00FE0EE9">
        <w:rPr>
          <w:sz w:val="20"/>
          <w:lang w:val="fr-CA"/>
        </w:rPr>
        <w:t>—</w:t>
      </w:r>
      <w:r w:rsidRPr="00FE0EE9">
        <w:rPr>
          <w:i/>
          <w:sz w:val="20"/>
          <w:lang w:val="fr-CA"/>
        </w:rPr>
        <w:t xml:space="preserve"> La demande de brevet satisfaisait</w:t>
      </w:r>
      <w:r w:rsidRPr="00FE0EE9">
        <w:rPr>
          <w:i/>
          <w:sz w:val="20"/>
          <w:lang w:val="fr-CA"/>
        </w:rPr>
        <w:noBreakHyphen/>
        <w:t>elle aux exigences de divulgation prévues par la Loi sur les brevets?</w:t>
      </w:r>
      <w:r w:rsidRPr="00FE0EE9">
        <w:rPr>
          <w:sz w:val="20"/>
          <w:lang w:val="fr-CA"/>
        </w:rPr>
        <w:t xml:space="preserve"> — </w:t>
      </w:r>
      <w:r w:rsidRPr="00FE0EE9">
        <w:rPr>
          <w:i/>
          <w:sz w:val="20"/>
          <w:lang w:val="fr-CA"/>
        </w:rPr>
        <w:t>Le brevet était</w:t>
      </w:r>
      <w:r w:rsidRPr="00FE0EE9">
        <w:rPr>
          <w:i/>
          <w:sz w:val="20"/>
          <w:lang w:val="fr-CA"/>
        </w:rPr>
        <w:noBreakHyphen/>
        <w:t>il fondé sur une prédiction valable?</w:t>
      </w:r>
      <w:r w:rsidRPr="00FE0EE9">
        <w:rPr>
          <w:sz w:val="20"/>
          <w:lang w:val="fr-CA"/>
        </w:rPr>
        <w:t xml:space="preserve"> — </w:t>
      </w:r>
      <w:r w:rsidRPr="00FE0EE9">
        <w:rPr>
          <w:i/>
          <w:sz w:val="20"/>
          <w:lang w:val="fr-CA"/>
        </w:rPr>
        <w:t>Loi sur les brevets, L.R.C. 1985, ch. P</w:t>
      </w:r>
      <w:r w:rsidRPr="00FE0EE9">
        <w:rPr>
          <w:i/>
          <w:sz w:val="20"/>
          <w:lang w:val="fr-CA"/>
        </w:rPr>
        <w:noBreakHyphen/>
        <w:t>4, art. 27(3).</w:t>
      </w:r>
    </w:p>
    <w:p w:rsidR="005C4AB1" w:rsidRDefault="005C4AB1" w:rsidP="005C4AB1">
      <w:pPr>
        <w:pStyle w:val="SCCNormalDoubleSpacing"/>
        <w:spacing w:line="240" w:lineRule="auto"/>
        <w:rPr>
          <w:sz w:val="20"/>
          <w:lang w:val="fr-CA"/>
        </w:rPr>
      </w:pPr>
    </w:p>
    <w:p w:rsidR="005C4AB1" w:rsidRPr="00FE0EE9" w:rsidRDefault="005C4AB1" w:rsidP="005C4AB1">
      <w:pPr>
        <w:pStyle w:val="SCCNormalDoubleSpacing"/>
        <w:spacing w:line="240" w:lineRule="auto"/>
        <w:rPr>
          <w:sz w:val="20"/>
          <w:lang w:val="fr-CA"/>
        </w:rPr>
      </w:pPr>
      <w:r w:rsidRPr="00FE0EE9">
        <w:rPr>
          <w:sz w:val="20"/>
          <w:lang w:val="fr-CA"/>
        </w:rPr>
        <w:tab/>
        <w:t>P est titulaire du brevet 2 163 446 concédé relativement à l’utilisation d’un « composé de la formule (I) » ou d’un « sel de ce composé » comme médicament pour le traitement de la dysfonction érectile (la « DÉ »).  Le mémoire descriptif du brevet se termine par sept revendications en cascade faisant successivement état de nombres plus restreints de composés, les revendications 6 et 7 renvoyant chacune à un seul composé.  Lors du dépôt de la demande de brevet, seule l’efficacité du composé visé par la revendication 7 et élément actif du Viagra — le sildénafil — avait été démontrée dans le traitement de la DÉ. Bien qu’il soit déclaré dans le brevet qu’« un des composés particulièrement privilégiés cause une érection pénienne chez les hommes impuissants », la demande de brevet ne précise pas que le composé qui fonctionne est le sildénafil, qu’il fait l’objet de la revendication 7 ou que les autres composés ne se sont pas révélés efficaces pour contrer la DÉ.</w:t>
      </w:r>
    </w:p>
    <w:p w:rsidR="005C4AB1" w:rsidRPr="00FE0EE9" w:rsidRDefault="005C4AB1" w:rsidP="005C4AB1">
      <w:pPr>
        <w:pStyle w:val="SCCNormalDoubleSpacing"/>
        <w:spacing w:line="240" w:lineRule="auto"/>
        <w:rPr>
          <w:sz w:val="20"/>
          <w:lang w:val="fr-CA"/>
        </w:rPr>
      </w:pPr>
      <w:r w:rsidRPr="00FE0EE9">
        <w:rPr>
          <w:sz w:val="20"/>
          <w:lang w:val="fr-CA"/>
        </w:rPr>
        <w:lastRenderedPageBreak/>
        <w:tab/>
        <w:t xml:space="preserve">T a demandé un avis de conformité en vue de la fabrication d’un générique du Viagra.  La Cour fédérale a interdit au Ministre de délivrer l’avis de conformité, et la Cour d’appel fédérale a rejeté l’appel formé contre cette décision.  </w:t>
      </w:r>
    </w:p>
    <w:p w:rsidR="005C4AB1" w:rsidRDefault="005C4AB1" w:rsidP="005C4AB1">
      <w:pPr>
        <w:pStyle w:val="SCCNormalDoubleSpacing"/>
        <w:spacing w:line="240" w:lineRule="auto"/>
        <w:rPr>
          <w:sz w:val="20"/>
          <w:lang w:val="fr-CA"/>
        </w:rPr>
      </w:pPr>
    </w:p>
    <w:p w:rsidR="005C4AB1" w:rsidRPr="00FE0EE9" w:rsidRDefault="005C4AB1" w:rsidP="005C4AB1">
      <w:pPr>
        <w:pStyle w:val="SCCNormalDoubleSpacing"/>
        <w:spacing w:line="240" w:lineRule="auto"/>
        <w:rPr>
          <w:sz w:val="20"/>
          <w:lang w:val="fr-CA"/>
        </w:rPr>
      </w:pPr>
      <w:r w:rsidRPr="00FE0EE9">
        <w:rPr>
          <w:sz w:val="20"/>
          <w:lang w:val="fr-CA"/>
        </w:rPr>
        <w:tab/>
      </w:r>
      <w:r w:rsidRPr="00FE0EE9">
        <w:rPr>
          <w:i/>
          <w:sz w:val="20"/>
          <w:lang w:val="fr-CA"/>
        </w:rPr>
        <w:t>Arrêt</w:t>
      </w:r>
      <w:r w:rsidRPr="00FE0EE9">
        <w:rPr>
          <w:sz w:val="20"/>
          <w:lang w:val="fr-CA"/>
        </w:rPr>
        <w:t> : Le pourvoi est accueilli.  Le brevet 2 163 446 est nul.</w:t>
      </w:r>
    </w:p>
    <w:p w:rsidR="005C4AB1" w:rsidRDefault="005C4AB1" w:rsidP="005C4AB1">
      <w:pPr>
        <w:pStyle w:val="SCCNormalDoubleSpacing"/>
        <w:spacing w:line="240" w:lineRule="auto"/>
        <w:rPr>
          <w:sz w:val="20"/>
          <w:lang w:val="fr-CA"/>
        </w:rPr>
      </w:pPr>
    </w:p>
    <w:p w:rsidR="005C4AB1" w:rsidRPr="00FE0EE9" w:rsidRDefault="005C4AB1" w:rsidP="005C4AB1">
      <w:pPr>
        <w:pStyle w:val="SCCNormalDoubleSpacing"/>
        <w:spacing w:line="240" w:lineRule="auto"/>
        <w:rPr>
          <w:sz w:val="20"/>
          <w:lang w:val="fr-CA"/>
        </w:rPr>
      </w:pPr>
      <w:r w:rsidRPr="00FE0EE9">
        <w:rPr>
          <w:sz w:val="20"/>
          <w:lang w:val="fr-CA"/>
        </w:rPr>
        <w:tab/>
        <w:t xml:space="preserve">La demande de brevet ne satisfaisait pas aux exigences de divulgation prévues par la </w:t>
      </w:r>
      <w:r w:rsidRPr="00FE0EE9">
        <w:rPr>
          <w:i/>
          <w:sz w:val="20"/>
          <w:lang w:val="fr-CA"/>
        </w:rPr>
        <w:t>Loi sur les brevets</w:t>
      </w:r>
      <w:r w:rsidRPr="00FE0EE9">
        <w:rPr>
          <w:sz w:val="20"/>
          <w:lang w:val="fr-CA"/>
        </w:rPr>
        <w:t>, L.R.C. 1985, ch. P</w:t>
      </w:r>
      <w:r w:rsidRPr="00FE0EE9">
        <w:rPr>
          <w:sz w:val="20"/>
          <w:lang w:val="fr-CA"/>
        </w:rPr>
        <w:noBreakHyphen/>
        <w:t>4 (la « Loi »).  Le régime des brevets a pour assise un « marché » : l’inventeur obtient, pour une période déterminée, un monopole sur une invention nouvelle et utile en contrepartie de la divulgation de l’invention de façon à en faire bénéficier la société.  La notion de divulgation suffisante constitue le pivot du régime des brevets, de sorte que la divulgation adéquate de l’invention dans le mémoire descriptif est une condition préalable à la délivrance du brevet.</w:t>
      </w:r>
    </w:p>
    <w:p w:rsidR="005C4AB1" w:rsidRDefault="005C4AB1" w:rsidP="005C4AB1">
      <w:pPr>
        <w:pStyle w:val="SCCNormalDoubleSpacing"/>
        <w:spacing w:line="240" w:lineRule="auto"/>
        <w:rPr>
          <w:sz w:val="20"/>
          <w:lang w:val="fr-CA"/>
        </w:rPr>
      </w:pPr>
    </w:p>
    <w:p w:rsidR="005C4AB1" w:rsidRPr="00FE0EE9" w:rsidRDefault="005C4AB1" w:rsidP="005C4AB1">
      <w:pPr>
        <w:pStyle w:val="SCCNormalDoubleSpacing"/>
        <w:spacing w:line="240" w:lineRule="auto"/>
        <w:rPr>
          <w:sz w:val="20"/>
          <w:lang w:val="fr-CA"/>
        </w:rPr>
      </w:pPr>
      <w:r w:rsidRPr="00FE0EE9">
        <w:rPr>
          <w:sz w:val="20"/>
          <w:lang w:val="fr-CA"/>
        </w:rPr>
        <w:tab/>
        <w:t>Bien que l’art. 58 autorise le tribunal à considérer la revendication valide séparément de celle qui ne l’est pas et que la revendication valide le demeure malgré l’invalidation d’une ou de plusieurs autres revendications, l’art. 58 n’entre en jeu qu’</w:t>
      </w:r>
      <w:r w:rsidRPr="00FE0EE9">
        <w:rPr>
          <w:i/>
          <w:sz w:val="20"/>
          <w:lang w:val="fr-CA"/>
        </w:rPr>
        <w:t>après</w:t>
      </w:r>
      <w:r w:rsidRPr="00FE0EE9">
        <w:rPr>
          <w:sz w:val="20"/>
          <w:lang w:val="fr-CA"/>
        </w:rPr>
        <w:t xml:space="preserve"> l’analyse portant sur la validité.  Il ne permet pas l’examen de la validité d’une revendication en particulier sans égard aux autres éléments du mémoire descriptif, même lorsqu’il s’agit de la seule revendication valide.  Les tribunaux inférieurs opinent qu’à chacune des revendications du brevet correspond une invention distincte.  Ils appliquent donc les exigences de divulgation à chacune des revendications individuelles, et non au mémoire descriptif dans son ensemble.  C’est confondre le principe voulant que la revendication définisse la portée du monopole recherché et celui selon lequel la teneur du mémoire descriptif permet de déterminer si les exigences de divulgation sont remplies.  La Loi commande l’examen du mémoire descriptif dans son ensemble, lequel est constitué des revendications et de la divulgation, du point de vue de la personne versée dans l’art, pour déterminer si le brevet satisfait aux exigences de divulgation.  Ce n’est que lorsqu’il appert du mémoire descriptif considéré globalement que chacune des revendications de la demande de brevet vise une invention distincte que l’on peut se prononcer sur le respect des exigences de divulgation à l’égard d’une seule revendication.</w:t>
      </w:r>
    </w:p>
    <w:p w:rsidR="005C4AB1" w:rsidRDefault="005C4AB1" w:rsidP="005C4AB1">
      <w:pPr>
        <w:pStyle w:val="SCCNormalDoubleSpacing"/>
        <w:spacing w:line="240" w:lineRule="auto"/>
        <w:rPr>
          <w:sz w:val="20"/>
          <w:lang w:val="fr-CA"/>
        </w:rPr>
      </w:pPr>
    </w:p>
    <w:p w:rsidR="005C4AB1" w:rsidRPr="00FE0EE9" w:rsidRDefault="005C4AB1" w:rsidP="005C4AB1">
      <w:pPr>
        <w:pStyle w:val="SCCNormalDoubleSpacing"/>
        <w:spacing w:line="240" w:lineRule="auto"/>
        <w:rPr>
          <w:sz w:val="20"/>
          <w:lang w:val="fr-CA"/>
        </w:rPr>
      </w:pPr>
      <w:r w:rsidRPr="00FE0EE9">
        <w:rPr>
          <w:sz w:val="20"/>
          <w:lang w:val="fr-CA"/>
        </w:rPr>
        <w:tab/>
        <w:t>En l’espèce, le public ne pouvait, à partir de sa divulgation dans le mémoire descriptif, « utiliser l’invention avec le même succès que l’inventeur, à l’époque de la demande », car il n’y est pas indiqué que le sildénafil constitue le composé efficace.  Au vu de l’ensemble du mémoire descriptif, l’utilisation du sildénafil et des autres composés pour traiter la DÉ forme une seule idée originale.  Même si le lecteur versé dans l’art sait que, dans un brevet renfermant des revendications en cascade, c’est habituellement le composé individuel revendiqué en dernier qui constitue le composé utile, en l’espèce, le mémoire descriptif prend fin par la revendication de deux composés individuels.  Rien ne permettait à une personne versée dans l’art de savoir à laquelle des revendications 6 et 7 correspondait le composé utile, et des essais supplémentaires s’imposaient pour déterminer lequel des deux composés était de fait efficace dans le traitement de la DÉ.</w:t>
      </w:r>
    </w:p>
    <w:p w:rsidR="005C4AB1" w:rsidRDefault="005C4AB1" w:rsidP="005C4AB1">
      <w:pPr>
        <w:pStyle w:val="SCCNormalDoubleSpacing"/>
        <w:spacing w:line="240" w:lineRule="auto"/>
        <w:rPr>
          <w:sz w:val="20"/>
          <w:lang w:val="fr-CA"/>
        </w:rPr>
      </w:pPr>
    </w:p>
    <w:p w:rsidR="005C4AB1" w:rsidRPr="00FE0EE9" w:rsidRDefault="005C4AB1" w:rsidP="005C4AB1">
      <w:pPr>
        <w:pStyle w:val="SCCNormalDoubleSpacing"/>
        <w:spacing w:line="240" w:lineRule="auto"/>
        <w:rPr>
          <w:sz w:val="20"/>
          <w:lang w:val="fr-CA"/>
        </w:rPr>
      </w:pPr>
      <w:r w:rsidRPr="00FE0EE9">
        <w:rPr>
          <w:sz w:val="20"/>
          <w:lang w:val="fr-CA"/>
        </w:rPr>
        <w:tab/>
        <w:t>L’article 27 ne prévoit pas de réparation en cas de divulgation insuffisante, mais le caractère synallagmatique du marché qui intervient sous le régime de la Loi fait en sorte que l’omission de divulguer convenablement l’invention et son fonctionnement emporte logiquement l’invalidité réputée du brevet.  Faute de l’une des deux contreparties (</w:t>
      </w:r>
      <w:r w:rsidRPr="00FE0EE9">
        <w:rPr>
          <w:i/>
          <w:sz w:val="20"/>
          <w:lang w:val="fr-CA"/>
        </w:rPr>
        <w:t>quid</w:t>
      </w:r>
      <w:r w:rsidRPr="00FE0EE9">
        <w:rPr>
          <w:sz w:val="20"/>
          <w:lang w:val="fr-CA"/>
        </w:rPr>
        <w:t>) — la divulgation suffisante —, l’autre (</w:t>
      </w:r>
      <w:r w:rsidRPr="00FE0EE9">
        <w:rPr>
          <w:i/>
          <w:sz w:val="20"/>
          <w:lang w:val="fr-CA"/>
        </w:rPr>
        <w:t>quo</w:t>
      </w:r>
      <w:r w:rsidRPr="00FE0EE9">
        <w:rPr>
          <w:sz w:val="20"/>
          <w:lang w:val="fr-CA"/>
        </w:rPr>
        <w:t xml:space="preserve">) — le monopole — ne saurait exister.  Même si l’art. 53 n’a pas été invoqué et que la preuve qui y est exigée n’a pas été offerte, la divulgation n’est pas pour autant conforme au par. 27(3).  Ces dispositions peuvent s’appliquer indépendamment l’une de l’autre. </w:t>
      </w:r>
    </w:p>
    <w:p w:rsidR="005C4AB1" w:rsidRDefault="005C4AB1" w:rsidP="005C4AB1">
      <w:pPr>
        <w:pStyle w:val="SCCNormalDoubleSpacing"/>
        <w:spacing w:line="240" w:lineRule="auto"/>
        <w:rPr>
          <w:sz w:val="20"/>
          <w:lang w:val="fr-CA"/>
        </w:rPr>
      </w:pPr>
    </w:p>
    <w:p w:rsidR="005C4AB1" w:rsidRDefault="005C4AB1" w:rsidP="005C4AB1">
      <w:pPr>
        <w:pStyle w:val="SCCNormalDoubleSpacing"/>
        <w:spacing w:line="240" w:lineRule="auto"/>
        <w:rPr>
          <w:sz w:val="20"/>
          <w:lang w:val="fr-CA"/>
        </w:rPr>
      </w:pPr>
      <w:r w:rsidRPr="00FE0EE9">
        <w:rPr>
          <w:sz w:val="20"/>
          <w:lang w:val="fr-CA"/>
        </w:rPr>
        <w:tab/>
        <w:t xml:space="preserve">Il ne fait aucun doute que l’utilité du sildénafil avait été démontrée au moment du dépôt de la demande de brevet, ce qui soustrait l’invention à l’application de l’exigence de prédiction valable.  Quant aux 13 années écoulées entre le dépôt de la demande de brevet et la contestation, ce délai ne porte pas à conséquence puisque la bonne question à se poser est celle de savoir si la divulgation était suffisante à la date du dépôt.  </w:t>
      </w:r>
    </w:p>
    <w:p w:rsidR="005C4AB1" w:rsidRDefault="005C4AB1" w:rsidP="005C4AB1">
      <w:pPr>
        <w:pStyle w:val="SCCNormalDoubleSpacing"/>
        <w:spacing w:line="240" w:lineRule="auto"/>
        <w:rPr>
          <w:sz w:val="20"/>
          <w:lang w:val="fr-CA"/>
        </w:rPr>
      </w:pPr>
    </w:p>
    <w:p w:rsidR="005C4AB1" w:rsidRPr="00FE0EE9" w:rsidRDefault="005C4AB1" w:rsidP="005C4AB1">
      <w:pPr>
        <w:pStyle w:val="SCCNormalDoubleSpacing"/>
        <w:spacing w:line="240" w:lineRule="auto"/>
        <w:rPr>
          <w:sz w:val="20"/>
          <w:lang w:val="fr-CA"/>
        </w:rPr>
      </w:pPr>
      <w:r w:rsidRPr="00FE0EE9">
        <w:rPr>
          <w:sz w:val="20"/>
          <w:lang w:val="fr-CA"/>
        </w:rPr>
        <w:tab/>
        <w:t>POURVOI contre un arrêt de la Cour d’appel fédérale (le juge en chef Blais et les juges Nadon et Trudel), 2010 CAF 242, [2012] 2 R.C.F. 69, 408 N.R. 166, 88 C.P.R. (4th) 405, [2010] A.C.F. n</w:t>
      </w:r>
      <w:r w:rsidRPr="00FE0EE9">
        <w:rPr>
          <w:sz w:val="20"/>
          <w:vertAlign w:val="superscript"/>
          <w:lang w:val="fr-CA"/>
        </w:rPr>
        <w:t>o</w:t>
      </w:r>
      <w:r w:rsidRPr="00FE0EE9">
        <w:rPr>
          <w:sz w:val="20"/>
          <w:lang w:val="fr-CA"/>
        </w:rPr>
        <w:t xml:space="preserve"> 1200 (QL), 2010 CarswellNat 5725, qui a confirmé une décision du juge Kelen, 2009 CF 638, 76 C.P.R. (4th) 83, 352 F.T.R. 35, [2009] A.C.F. n</w:t>
      </w:r>
      <w:r w:rsidRPr="00FE0EE9">
        <w:rPr>
          <w:sz w:val="20"/>
          <w:vertAlign w:val="superscript"/>
          <w:lang w:val="fr-CA"/>
        </w:rPr>
        <w:t>o</w:t>
      </w:r>
      <w:r w:rsidRPr="00FE0EE9">
        <w:rPr>
          <w:sz w:val="20"/>
          <w:lang w:val="fr-CA"/>
        </w:rPr>
        <w:t xml:space="preserve"> 688 (QL), 2009 CarswellNat 5279. Pourvoi accueilli.</w:t>
      </w:r>
    </w:p>
    <w:p w:rsidR="005C4AB1" w:rsidRDefault="005C4AB1" w:rsidP="005C4AB1">
      <w:pPr>
        <w:pStyle w:val="SCCNormalDoubleSpacing"/>
        <w:spacing w:line="240" w:lineRule="auto"/>
        <w:rPr>
          <w:i/>
          <w:sz w:val="20"/>
          <w:lang w:val="fr-CA"/>
        </w:rPr>
      </w:pPr>
    </w:p>
    <w:p w:rsidR="005C4AB1" w:rsidRDefault="005C4AB1">
      <w:pPr>
        <w:rPr>
          <w:rFonts w:eastAsia="Times New Roman" w:cs="Times New Roman"/>
          <w:i/>
          <w:sz w:val="20"/>
          <w:szCs w:val="20"/>
          <w:lang w:val="fr-CA" w:eastAsia="en-CA"/>
        </w:rPr>
      </w:pPr>
      <w:r>
        <w:rPr>
          <w:i/>
          <w:sz w:val="20"/>
          <w:lang w:val="fr-CA"/>
        </w:rPr>
        <w:br w:type="page"/>
      </w:r>
    </w:p>
    <w:p w:rsidR="005C4AB1" w:rsidRPr="00FE0EE9" w:rsidRDefault="005C4AB1" w:rsidP="005C4AB1">
      <w:pPr>
        <w:pStyle w:val="SCCNormalDoubleSpacing"/>
        <w:spacing w:line="240" w:lineRule="auto"/>
        <w:rPr>
          <w:sz w:val="20"/>
          <w:lang w:val="fr-CA"/>
        </w:rPr>
      </w:pPr>
      <w:r w:rsidRPr="00FE0EE9">
        <w:rPr>
          <w:i/>
          <w:sz w:val="20"/>
          <w:lang w:val="fr-CA"/>
        </w:rPr>
        <w:lastRenderedPageBreak/>
        <w:tab/>
        <w:t>David W. Aitken</w:t>
      </w:r>
      <w:r w:rsidRPr="00FE0EE9">
        <w:rPr>
          <w:sz w:val="20"/>
          <w:lang w:val="fr-CA"/>
        </w:rPr>
        <w:t xml:space="preserve">, </w:t>
      </w:r>
      <w:r w:rsidRPr="00FE0EE9">
        <w:rPr>
          <w:i/>
          <w:sz w:val="20"/>
          <w:lang w:val="fr-CA"/>
        </w:rPr>
        <w:t xml:space="preserve">Marcus Klee </w:t>
      </w:r>
      <w:r w:rsidRPr="00FE0EE9">
        <w:rPr>
          <w:sz w:val="20"/>
          <w:lang w:val="fr-CA"/>
        </w:rPr>
        <w:t xml:space="preserve">et </w:t>
      </w:r>
      <w:r w:rsidRPr="00FE0EE9">
        <w:rPr>
          <w:i/>
          <w:sz w:val="20"/>
          <w:lang w:val="fr-CA"/>
        </w:rPr>
        <w:t>Ildiko Mehes</w:t>
      </w:r>
      <w:r w:rsidRPr="00FE0EE9">
        <w:rPr>
          <w:sz w:val="20"/>
          <w:lang w:val="fr-CA"/>
        </w:rPr>
        <w:t>, pour l’appelante.</w:t>
      </w:r>
    </w:p>
    <w:p w:rsidR="005C4AB1" w:rsidRDefault="005C4AB1" w:rsidP="005C4AB1">
      <w:pPr>
        <w:pStyle w:val="SCCNormalDoubleSpacing"/>
        <w:spacing w:line="240" w:lineRule="auto"/>
        <w:rPr>
          <w:i/>
          <w:sz w:val="20"/>
          <w:lang w:val="fr-CA"/>
        </w:rPr>
      </w:pPr>
    </w:p>
    <w:p w:rsidR="005C4AB1" w:rsidRPr="00FE0EE9" w:rsidRDefault="005C4AB1" w:rsidP="005C4AB1">
      <w:pPr>
        <w:pStyle w:val="SCCNormalDoubleSpacing"/>
        <w:spacing w:line="240" w:lineRule="auto"/>
        <w:rPr>
          <w:sz w:val="20"/>
          <w:lang w:val="fr-CA"/>
        </w:rPr>
      </w:pPr>
      <w:r w:rsidRPr="00FE0EE9">
        <w:rPr>
          <w:i/>
          <w:sz w:val="20"/>
          <w:lang w:val="fr-CA"/>
        </w:rPr>
        <w:tab/>
        <w:t>Andrew Shaughnessy</w:t>
      </w:r>
      <w:r w:rsidRPr="00FE0EE9">
        <w:rPr>
          <w:sz w:val="20"/>
          <w:lang w:val="fr-CA"/>
        </w:rPr>
        <w:t xml:space="preserve">, </w:t>
      </w:r>
      <w:r w:rsidRPr="00FE0EE9">
        <w:rPr>
          <w:i/>
          <w:sz w:val="20"/>
          <w:lang w:val="fr-CA"/>
        </w:rPr>
        <w:t>Andrew Bernstein</w:t>
      </w:r>
      <w:r w:rsidRPr="00FE0EE9">
        <w:rPr>
          <w:sz w:val="20"/>
          <w:lang w:val="fr-CA"/>
        </w:rPr>
        <w:t xml:space="preserve"> et </w:t>
      </w:r>
      <w:r w:rsidRPr="00FE0EE9">
        <w:rPr>
          <w:i/>
          <w:sz w:val="20"/>
          <w:lang w:val="fr-CA"/>
        </w:rPr>
        <w:t>Yael Bienenstock</w:t>
      </w:r>
      <w:r w:rsidRPr="00FE0EE9">
        <w:rPr>
          <w:sz w:val="20"/>
          <w:lang w:val="fr-CA"/>
        </w:rPr>
        <w:t>, pour les intimées Pfizer Canada inc., Pfizer Inc., Pfizer Ireland Pharmaceuticals et Pfizer Research and Development Company N.V</w:t>
      </w:r>
      <w:proofErr w:type="gramStart"/>
      <w:r w:rsidRPr="00FE0EE9">
        <w:rPr>
          <w:sz w:val="20"/>
          <w:lang w:val="fr-CA"/>
        </w:rPr>
        <w:t>./</w:t>
      </w:r>
      <w:proofErr w:type="gramEnd"/>
      <w:r w:rsidRPr="00FE0EE9">
        <w:rPr>
          <w:sz w:val="20"/>
          <w:lang w:val="fr-CA"/>
        </w:rPr>
        <w:t>S.A.</w:t>
      </w:r>
    </w:p>
    <w:p w:rsidR="005C4AB1" w:rsidRDefault="005C4AB1" w:rsidP="005C4AB1">
      <w:pPr>
        <w:pStyle w:val="SCCNormalDoubleSpacing"/>
        <w:spacing w:line="240" w:lineRule="auto"/>
        <w:rPr>
          <w:i/>
          <w:sz w:val="20"/>
          <w:lang w:val="fr-CA"/>
        </w:rPr>
      </w:pPr>
    </w:p>
    <w:p w:rsidR="005C4AB1" w:rsidRPr="00FE0EE9" w:rsidRDefault="005C4AB1" w:rsidP="005C4AB1">
      <w:pPr>
        <w:pStyle w:val="SCCNormalDoubleSpacing"/>
        <w:spacing w:line="240" w:lineRule="auto"/>
        <w:rPr>
          <w:sz w:val="20"/>
          <w:lang w:val="fr-CA"/>
        </w:rPr>
      </w:pPr>
      <w:r w:rsidRPr="00FE0EE9">
        <w:rPr>
          <w:i/>
          <w:sz w:val="20"/>
          <w:lang w:val="fr-CA"/>
        </w:rPr>
        <w:tab/>
        <w:t>Jonathan Stainsby</w:t>
      </w:r>
      <w:r w:rsidRPr="00FE0EE9">
        <w:rPr>
          <w:sz w:val="20"/>
          <w:lang w:val="fr-CA"/>
        </w:rPr>
        <w:t xml:space="preserve"> et </w:t>
      </w:r>
      <w:r w:rsidRPr="00FE0EE9">
        <w:rPr>
          <w:i/>
          <w:sz w:val="20"/>
          <w:lang w:val="fr-CA"/>
        </w:rPr>
        <w:t>Andrew Skodyn</w:t>
      </w:r>
      <w:r w:rsidRPr="00FE0EE9">
        <w:rPr>
          <w:sz w:val="20"/>
          <w:lang w:val="fr-CA"/>
        </w:rPr>
        <w:t>, pour l’intervenante l’Association canadienne du médicament générique.</w:t>
      </w:r>
    </w:p>
    <w:p w:rsidR="005C4AB1" w:rsidRDefault="005C4AB1" w:rsidP="005C4AB1">
      <w:pPr>
        <w:pStyle w:val="SCCNormalDoubleSpacing"/>
        <w:spacing w:line="240" w:lineRule="auto"/>
        <w:rPr>
          <w:i/>
          <w:sz w:val="20"/>
          <w:lang w:val="fr-CA"/>
        </w:rPr>
      </w:pPr>
    </w:p>
    <w:p w:rsidR="005C4AB1" w:rsidRPr="00FE0EE9" w:rsidRDefault="005C4AB1" w:rsidP="005C4AB1">
      <w:pPr>
        <w:pStyle w:val="SCCNormalDoubleSpacing"/>
        <w:spacing w:line="240" w:lineRule="auto"/>
        <w:rPr>
          <w:sz w:val="20"/>
          <w:lang w:val="fr-CA"/>
        </w:rPr>
      </w:pPr>
      <w:r w:rsidRPr="00FE0EE9">
        <w:rPr>
          <w:i/>
          <w:sz w:val="20"/>
          <w:lang w:val="fr-CA"/>
        </w:rPr>
        <w:tab/>
        <w:t>Patrick S. Smith</w:t>
      </w:r>
      <w:r w:rsidRPr="00FE0EE9">
        <w:rPr>
          <w:sz w:val="20"/>
          <w:lang w:val="fr-CA"/>
        </w:rPr>
        <w:t xml:space="preserve"> et </w:t>
      </w:r>
      <w:r w:rsidRPr="00FE0EE9">
        <w:rPr>
          <w:i/>
          <w:sz w:val="20"/>
          <w:lang w:val="fr-CA"/>
        </w:rPr>
        <w:t>Jane E. Clark</w:t>
      </w:r>
      <w:r w:rsidRPr="00FE0EE9">
        <w:rPr>
          <w:sz w:val="20"/>
          <w:lang w:val="fr-CA"/>
        </w:rPr>
        <w:t>, pour l’intervenante Les compagnies de recherche pharmaceutique du Canada.</w:t>
      </w:r>
    </w:p>
    <w:p w:rsidR="005C4AB1" w:rsidRDefault="005C4AB1" w:rsidP="005C4AB1">
      <w:pPr>
        <w:pStyle w:val="SCCNormalDoubleSpacing"/>
        <w:spacing w:line="240" w:lineRule="auto"/>
        <w:rPr>
          <w:i/>
          <w:sz w:val="20"/>
          <w:lang w:val="fr-CA"/>
        </w:rPr>
      </w:pPr>
    </w:p>
    <w:p w:rsidR="005C4AB1" w:rsidRPr="00FE0EE9" w:rsidRDefault="005C4AB1" w:rsidP="005C4AB1">
      <w:pPr>
        <w:pStyle w:val="SCCNormalDoubleSpacing"/>
        <w:spacing w:line="240" w:lineRule="auto"/>
        <w:rPr>
          <w:sz w:val="20"/>
          <w:lang w:val="fr-CA"/>
        </w:rPr>
      </w:pPr>
      <w:r w:rsidRPr="00FE0EE9">
        <w:rPr>
          <w:i/>
          <w:sz w:val="20"/>
          <w:lang w:val="fr-CA"/>
        </w:rPr>
        <w:tab/>
      </w:r>
      <w:r w:rsidRPr="00FE0EE9">
        <w:rPr>
          <w:sz w:val="20"/>
          <w:lang w:val="fr-CA"/>
        </w:rPr>
        <w:t>Personne n’a comparu pour l’intimé le ministre de la Santé.</w:t>
      </w:r>
    </w:p>
    <w:p w:rsidR="005C4AB1" w:rsidRDefault="005C4AB1" w:rsidP="005C4AB1">
      <w:pPr>
        <w:pStyle w:val="SCCLawFirm"/>
        <w:spacing w:line="240" w:lineRule="auto"/>
        <w:rPr>
          <w:sz w:val="20"/>
          <w:lang w:val="fr-CA"/>
        </w:rPr>
      </w:pPr>
    </w:p>
    <w:p w:rsidR="005C4AB1" w:rsidRPr="00FE0EE9" w:rsidRDefault="005C4AB1" w:rsidP="005C4AB1">
      <w:pPr>
        <w:pStyle w:val="SCCLawFirm"/>
        <w:spacing w:line="240" w:lineRule="auto"/>
        <w:rPr>
          <w:sz w:val="20"/>
          <w:lang w:val="fr-CA"/>
        </w:rPr>
      </w:pPr>
      <w:r w:rsidRPr="00FE0EE9">
        <w:rPr>
          <w:sz w:val="20"/>
          <w:lang w:val="fr-CA"/>
        </w:rPr>
        <w:tab/>
        <w:t>Procureurs de l’appelante : Osler, Hoskin &amp; Harcourt, Ottawa.</w:t>
      </w:r>
    </w:p>
    <w:p w:rsidR="005C4AB1" w:rsidRDefault="005C4AB1" w:rsidP="005C4AB1">
      <w:pPr>
        <w:pStyle w:val="SCCLawFirm"/>
        <w:spacing w:line="240" w:lineRule="auto"/>
        <w:rPr>
          <w:sz w:val="20"/>
          <w:lang w:val="fr-CA"/>
        </w:rPr>
      </w:pPr>
    </w:p>
    <w:p w:rsidR="005C4AB1" w:rsidRPr="00FE0EE9" w:rsidRDefault="005C4AB1" w:rsidP="005C4AB1">
      <w:pPr>
        <w:pStyle w:val="SCCLawFirm"/>
        <w:spacing w:line="240" w:lineRule="auto"/>
        <w:rPr>
          <w:sz w:val="20"/>
          <w:lang w:val="fr-CA"/>
        </w:rPr>
      </w:pPr>
      <w:r w:rsidRPr="00FE0EE9">
        <w:rPr>
          <w:sz w:val="20"/>
          <w:lang w:val="fr-CA"/>
        </w:rPr>
        <w:tab/>
        <w:t>Procureurs des intimées Pfizer Canada inc., Pfizer Inc., Pfizer Ireland Pharmaceuticals et Pfizer Research and Development Company N.V</w:t>
      </w:r>
      <w:proofErr w:type="gramStart"/>
      <w:r w:rsidRPr="00FE0EE9">
        <w:rPr>
          <w:sz w:val="20"/>
          <w:lang w:val="fr-CA"/>
        </w:rPr>
        <w:t>./</w:t>
      </w:r>
      <w:proofErr w:type="gramEnd"/>
      <w:r w:rsidRPr="00FE0EE9">
        <w:rPr>
          <w:sz w:val="20"/>
          <w:lang w:val="fr-CA"/>
        </w:rPr>
        <w:t>S.A. : Torys, Toronto.</w:t>
      </w:r>
    </w:p>
    <w:p w:rsidR="005C4AB1" w:rsidRDefault="005C4AB1" w:rsidP="005C4AB1">
      <w:pPr>
        <w:pStyle w:val="SCCLawFirm"/>
        <w:spacing w:line="240" w:lineRule="auto"/>
        <w:rPr>
          <w:sz w:val="20"/>
          <w:lang w:val="fr-CA"/>
        </w:rPr>
      </w:pPr>
    </w:p>
    <w:p w:rsidR="005C4AB1" w:rsidRPr="00FE0EE9" w:rsidRDefault="005C4AB1" w:rsidP="005C4AB1">
      <w:pPr>
        <w:pStyle w:val="SCCLawFirm"/>
        <w:spacing w:line="240" w:lineRule="auto"/>
        <w:rPr>
          <w:sz w:val="20"/>
          <w:lang w:val="fr-CA"/>
        </w:rPr>
      </w:pPr>
      <w:r w:rsidRPr="00FE0EE9">
        <w:rPr>
          <w:sz w:val="20"/>
          <w:lang w:val="fr-CA"/>
        </w:rPr>
        <w:tab/>
        <w:t>Procureurs de l’intervenante l’Association canadienne du médicament générique : Heenan Blaikie, Toronto.</w:t>
      </w:r>
    </w:p>
    <w:p w:rsidR="005C4AB1" w:rsidRDefault="005C4AB1" w:rsidP="005C4AB1">
      <w:pPr>
        <w:pStyle w:val="SCCLawFirm"/>
        <w:spacing w:line="240" w:lineRule="auto"/>
        <w:rPr>
          <w:sz w:val="20"/>
          <w:lang w:val="fr-CA"/>
        </w:rPr>
      </w:pPr>
    </w:p>
    <w:p w:rsidR="005C4AB1" w:rsidRDefault="005C4AB1" w:rsidP="005C4AB1">
      <w:pPr>
        <w:pStyle w:val="SCCLawFirm"/>
        <w:spacing w:line="240" w:lineRule="auto"/>
        <w:rPr>
          <w:sz w:val="20"/>
          <w:lang w:val="fr-CA"/>
        </w:rPr>
      </w:pPr>
      <w:r w:rsidRPr="00FE0EE9">
        <w:rPr>
          <w:sz w:val="20"/>
          <w:lang w:val="fr-CA"/>
        </w:rPr>
        <w:tab/>
        <w:t>Procureurs de l’intervenante Les compagnies de recherche pharmaceutique du Canada : Gowling Lafleur Henderson, Ottawa.</w:t>
      </w:r>
    </w:p>
    <w:p w:rsidR="005C4AB1" w:rsidRPr="005C4AB1" w:rsidRDefault="005C4AB1" w:rsidP="003B3977">
      <w:pPr>
        <w:rPr>
          <w:sz w:val="20"/>
          <w:szCs w:val="20"/>
          <w:lang w:val="fr-CA"/>
        </w:rPr>
      </w:pPr>
    </w:p>
    <w:p w:rsidR="00256147" w:rsidRDefault="00BF3B03" w:rsidP="003B3977">
      <w:pPr>
        <w:rPr>
          <w:rFonts w:cs="Times New Roman"/>
          <w:sz w:val="20"/>
          <w:szCs w:val="20"/>
          <w:lang w:val="fr-CA"/>
        </w:rPr>
      </w:pPr>
      <w:r w:rsidRPr="00BF3B03">
        <w:rPr>
          <w:rFonts w:cs="Times New Roman"/>
          <w:sz w:val="20"/>
          <w:szCs w:val="20"/>
          <w:lang w:val="fr-CA"/>
        </w:rPr>
        <w:pict>
          <v:rect id="_x0000_i1109" style="width:144.3pt;height:1pt" o:hrpct="300" o:hralign="center" o:hrstd="t" o:hrnoshade="t" o:hr="t" fillcolor="black [3213]" stroked="f"/>
        </w:pict>
      </w:r>
    </w:p>
    <w:p w:rsidR="00256147" w:rsidRDefault="00256147" w:rsidP="003B3977">
      <w:pPr>
        <w:rPr>
          <w:sz w:val="20"/>
          <w:szCs w:val="20"/>
        </w:rPr>
      </w:pPr>
    </w:p>
    <w:p w:rsidR="00256147" w:rsidRDefault="00256147">
      <w:pPr>
        <w:rPr>
          <w:sz w:val="20"/>
          <w:szCs w:val="20"/>
        </w:rPr>
      </w:pPr>
      <w:r>
        <w:rPr>
          <w:sz w:val="20"/>
          <w:szCs w:val="20"/>
        </w:rPr>
        <w:br w:type="page"/>
      </w:r>
    </w:p>
    <w:p w:rsidR="003C2DDC" w:rsidRPr="00BA3178" w:rsidRDefault="003C2DDC" w:rsidP="003C2DDC">
      <w:pPr>
        <w:pStyle w:val="SCCLsocParty"/>
        <w:rPr>
          <w:i w:val="0"/>
          <w:sz w:val="20"/>
          <w:szCs w:val="20"/>
          <w:lang w:val="en-CA"/>
        </w:rPr>
      </w:pPr>
      <w:proofErr w:type="gramStart"/>
      <w:r w:rsidRPr="00BA3178">
        <w:rPr>
          <w:sz w:val="20"/>
          <w:szCs w:val="20"/>
          <w:lang w:val="en-CA"/>
        </w:rPr>
        <w:lastRenderedPageBreak/>
        <w:t>Frederick Moore on behalf of Jeffrey P. Moore v.</w:t>
      </w:r>
      <w:proofErr w:type="gramEnd"/>
      <w:r w:rsidRPr="00BA3178">
        <w:rPr>
          <w:sz w:val="20"/>
          <w:szCs w:val="20"/>
          <w:lang w:val="en-CA"/>
        </w:rPr>
        <w:t xml:space="preserve"> Her Majesty the Queen in Right of the Province of British Columbia as represented by the Ministry of Education et al. </w:t>
      </w:r>
      <w:r w:rsidRPr="00BA3178">
        <w:rPr>
          <w:i w:val="0"/>
          <w:sz w:val="20"/>
          <w:szCs w:val="20"/>
          <w:lang w:val="en-CA"/>
        </w:rPr>
        <w:t>(B.C.) (</w:t>
      </w:r>
      <w:r w:rsidRPr="00BA3178">
        <w:rPr>
          <w:i w:val="0"/>
          <w:sz w:val="20"/>
          <w:szCs w:val="20"/>
          <w:lang w:val="en-GB"/>
        </w:rPr>
        <w:t>34040/34041)</w:t>
      </w:r>
    </w:p>
    <w:p w:rsidR="00676BD5" w:rsidRDefault="00676BD5" w:rsidP="00676BD5">
      <w:pPr>
        <w:jc w:val="both"/>
        <w:rPr>
          <w:b/>
          <w:sz w:val="20"/>
          <w:szCs w:val="20"/>
        </w:rPr>
      </w:pPr>
      <w:r w:rsidRPr="00A0221F">
        <w:rPr>
          <w:b/>
          <w:sz w:val="20"/>
          <w:szCs w:val="20"/>
        </w:rPr>
        <w:t xml:space="preserve">Indexed as:  Moore </w:t>
      </w:r>
      <w:r w:rsidRPr="00A0221F">
        <w:rPr>
          <w:b/>
          <w:i/>
          <w:sz w:val="20"/>
          <w:szCs w:val="20"/>
        </w:rPr>
        <w:t>v.</w:t>
      </w:r>
      <w:r w:rsidRPr="00A0221F">
        <w:rPr>
          <w:b/>
          <w:sz w:val="20"/>
          <w:szCs w:val="20"/>
        </w:rPr>
        <w:t xml:space="preserve"> British Columbia (Education)</w:t>
      </w:r>
      <w:r>
        <w:rPr>
          <w:b/>
          <w:sz w:val="20"/>
          <w:szCs w:val="20"/>
        </w:rPr>
        <w:t xml:space="preserve"> / </w:t>
      </w:r>
    </w:p>
    <w:p w:rsidR="00676BD5" w:rsidRPr="00676BD5" w:rsidRDefault="00676BD5" w:rsidP="00676BD5">
      <w:pPr>
        <w:jc w:val="both"/>
        <w:rPr>
          <w:b/>
          <w:sz w:val="20"/>
          <w:lang w:val="fr-CA"/>
        </w:rPr>
      </w:pPr>
      <w:r w:rsidRPr="00676BD5">
        <w:rPr>
          <w:b/>
          <w:sz w:val="20"/>
          <w:szCs w:val="20"/>
          <w:lang w:val="fr-CA"/>
        </w:rPr>
        <w:t xml:space="preserve">Répertorié : Moore </w:t>
      </w:r>
      <w:r w:rsidRPr="00676BD5">
        <w:rPr>
          <w:b/>
          <w:i/>
          <w:sz w:val="20"/>
          <w:szCs w:val="20"/>
          <w:lang w:val="fr-CA"/>
        </w:rPr>
        <w:t>c.</w:t>
      </w:r>
      <w:r w:rsidRPr="00676BD5">
        <w:rPr>
          <w:b/>
          <w:sz w:val="20"/>
          <w:szCs w:val="20"/>
          <w:lang w:val="fr-CA"/>
        </w:rPr>
        <w:t xml:space="preserve"> Colombie</w:t>
      </w:r>
      <w:r w:rsidRPr="00676BD5">
        <w:rPr>
          <w:b/>
          <w:sz w:val="20"/>
          <w:szCs w:val="20"/>
          <w:lang w:val="fr-CA"/>
        </w:rPr>
        <w:noBreakHyphen/>
        <w:t>Britannique (Éducation)</w:t>
      </w:r>
    </w:p>
    <w:p w:rsidR="00256147" w:rsidRPr="00676BD5" w:rsidRDefault="00256147" w:rsidP="00256147">
      <w:pPr>
        <w:pStyle w:val="SCCSystemYear"/>
        <w:jc w:val="both"/>
        <w:rPr>
          <w:sz w:val="20"/>
        </w:rPr>
      </w:pPr>
      <w:r w:rsidRPr="00676BD5">
        <w:rPr>
          <w:sz w:val="20"/>
        </w:rPr>
        <w:t>Neutral citation</w:t>
      </w:r>
      <w:proofErr w:type="gramStart"/>
      <w:r w:rsidRPr="00676BD5">
        <w:rPr>
          <w:sz w:val="20"/>
        </w:rPr>
        <w:t>:  2012</w:t>
      </w:r>
      <w:proofErr w:type="gramEnd"/>
      <w:r w:rsidRPr="00676BD5">
        <w:rPr>
          <w:sz w:val="20"/>
        </w:rPr>
        <w:t xml:space="preserve"> SCC 61 / Référence neutre : 2012 CSC 61</w:t>
      </w:r>
    </w:p>
    <w:p w:rsidR="00256147" w:rsidRPr="00F54F93" w:rsidRDefault="00256147" w:rsidP="00256147">
      <w:pPr>
        <w:rPr>
          <w:sz w:val="20"/>
          <w:szCs w:val="20"/>
          <w:lang w:val="fr-CA"/>
        </w:rPr>
      </w:pPr>
      <w:r w:rsidRPr="00F54F93">
        <w:rPr>
          <w:sz w:val="20"/>
          <w:szCs w:val="20"/>
          <w:lang w:val="fr-CA"/>
        </w:rPr>
        <w:t>Hearing</w:t>
      </w:r>
      <w:proofErr w:type="gramStart"/>
      <w:r w:rsidRPr="00F54F93">
        <w:rPr>
          <w:sz w:val="20"/>
          <w:szCs w:val="20"/>
          <w:lang w:val="fr-CA"/>
        </w:rPr>
        <w:t>:  Ma</w:t>
      </w:r>
      <w:r w:rsidR="00D41C9D" w:rsidRPr="00F54F93">
        <w:rPr>
          <w:sz w:val="20"/>
          <w:szCs w:val="20"/>
          <w:lang w:val="fr-CA"/>
        </w:rPr>
        <w:t>rch</w:t>
      </w:r>
      <w:proofErr w:type="gramEnd"/>
      <w:r w:rsidR="00D41C9D" w:rsidRPr="00F54F93">
        <w:rPr>
          <w:sz w:val="20"/>
          <w:szCs w:val="20"/>
          <w:lang w:val="fr-CA"/>
        </w:rPr>
        <w:t xml:space="preserve"> </w:t>
      </w:r>
      <w:r w:rsidRPr="00F54F93">
        <w:rPr>
          <w:sz w:val="20"/>
          <w:szCs w:val="20"/>
          <w:lang w:val="fr-CA"/>
        </w:rPr>
        <w:t>2</w:t>
      </w:r>
      <w:r w:rsidR="00D41C9D" w:rsidRPr="00F54F93">
        <w:rPr>
          <w:sz w:val="20"/>
          <w:szCs w:val="20"/>
          <w:lang w:val="fr-CA"/>
        </w:rPr>
        <w:t>2</w:t>
      </w:r>
      <w:r w:rsidRPr="00F54F93">
        <w:rPr>
          <w:sz w:val="20"/>
          <w:szCs w:val="20"/>
          <w:lang w:val="fr-CA"/>
        </w:rPr>
        <w:t>, 201</w:t>
      </w:r>
      <w:r w:rsidR="00D41C9D" w:rsidRPr="00F54F93">
        <w:rPr>
          <w:sz w:val="20"/>
          <w:szCs w:val="20"/>
          <w:lang w:val="fr-CA"/>
        </w:rPr>
        <w:t>2</w:t>
      </w:r>
      <w:r w:rsidRPr="00F54F93">
        <w:rPr>
          <w:sz w:val="20"/>
          <w:szCs w:val="20"/>
          <w:lang w:val="fr-CA"/>
        </w:rPr>
        <w:t xml:space="preserve"> / Judgment:  November 9, 2012</w:t>
      </w:r>
    </w:p>
    <w:p w:rsidR="00256147" w:rsidRPr="003B3977" w:rsidRDefault="00256147" w:rsidP="00256147">
      <w:pPr>
        <w:rPr>
          <w:sz w:val="20"/>
          <w:szCs w:val="20"/>
          <w:lang w:val="fr-CA"/>
        </w:rPr>
      </w:pPr>
      <w:r w:rsidRPr="003B3977">
        <w:rPr>
          <w:sz w:val="20"/>
          <w:szCs w:val="20"/>
          <w:lang w:val="fr-CA"/>
        </w:rPr>
        <w:t>Audition : Le 2</w:t>
      </w:r>
      <w:r w:rsidR="00D41C9D">
        <w:rPr>
          <w:sz w:val="20"/>
          <w:szCs w:val="20"/>
          <w:lang w:val="fr-CA"/>
        </w:rPr>
        <w:t>2</w:t>
      </w:r>
      <w:r w:rsidRPr="003B3977">
        <w:rPr>
          <w:sz w:val="20"/>
          <w:szCs w:val="20"/>
          <w:lang w:val="fr-CA"/>
        </w:rPr>
        <w:t xml:space="preserve"> ma</w:t>
      </w:r>
      <w:r w:rsidR="00D41C9D">
        <w:rPr>
          <w:sz w:val="20"/>
          <w:szCs w:val="20"/>
          <w:lang w:val="fr-CA"/>
        </w:rPr>
        <w:t>rs</w:t>
      </w:r>
      <w:r w:rsidRPr="003B3977">
        <w:rPr>
          <w:sz w:val="20"/>
          <w:szCs w:val="20"/>
          <w:lang w:val="fr-CA"/>
        </w:rPr>
        <w:t xml:space="preserve"> 201</w:t>
      </w:r>
      <w:r w:rsidR="00D41C9D">
        <w:rPr>
          <w:sz w:val="20"/>
          <w:szCs w:val="20"/>
          <w:lang w:val="fr-CA"/>
        </w:rPr>
        <w:t>2</w:t>
      </w:r>
      <w:r w:rsidRPr="003B3977">
        <w:rPr>
          <w:sz w:val="20"/>
          <w:szCs w:val="20"/>
          <w:lang w:val="fr-CA"/>
        </w:rPr>
        <w:t xml:space="preserve"> / Jugement : Le </w:t>
      </w:r>
      <w:r>
        <w:rPr>
          <w:sz w:val="20"/>
          <w:szCs w:val="20"/>
          <w:lang w:val="fr-CA"/>
        </w:rPr>
        <w:t>9</w:t>
      </w:r>
      <w:r w:rsidRPr="003B3977">
        <w:rPr>
          <w:sz w:val="20"/>
          <w:szCs w:val="20"/>
          <w:lang w:val="fr-CA"/>
        </w:rPr>
        <w:t xml:space="preserve"> </w:t>
      </w:r>
      <w:r>
        <w:rPr>
          <w:sz w:val="20"/>
          <w:szCs w:val="20"/>
          <w:lang w:val="fr-CA"/>
        </w:rPr>
        <w:t>novem</w:t>
      </w:r>
      <w:r w:rsidRPr="003B3977">
        <w:rPr>
          <w:sz w:val="20"/>
          <w:szCs w:val="20"/>
          <w:lang w:val="fr-CA"/>
        </w:rPr>
        <w:t>bre 201</w:t>
      </w:r>
      <w:r>
        <w:rPr>
          <w:sz w:val="20"/>
          <w:szCs w:val="20"/>
          <w:lang w:val="fr-CA"/>
        </w:rPr>
        <w:t>2</w:t>
      </w:r>
    </w:p>
    <w:p w:rsidR="00256147" w:rsidRPr="003B3977" w:rsidRDefault="00BF3B03" w:rsidP="00256147">
      <w:pPr>
        <w:rPr>
          <w:sz w:val="20"/>
          <w:szCs w:val="20"/>
          <w:lang w:val="fr-CA"/>
        </w:rPr>
      </w:pPr>
      <w:r w:rsidRPr="00BF3B03">
        <w:rPr>
          <w:i/>
          <w:sz w:val="20"/>
          <w:szCs w:val="20"/>
        </w:rPr>
        <w:pict>
          <v:rect id="_x0000_i1110" style="width:480.95pt;height:1pt" o:hralign="center" o:hrstd="t" o:hrnoshade="t" o:hr="t" fillcolor="black [3213]" stroked="f"/>
        </w:pict>
      </w:r>
    </w:p>
    <w:p w:rsidR="00256147" w:rsidRPr="003B3977" w:rsidRDefault="00256147" w:rsidP="00256147">
      <w:pPr>
        <w:spacing w:line="0" w:lineRule="atLeast"/>
        <w:rPr>
          <w:sz w:val="20"/>
          <w:szCs w:val="20"/>
          <w:lang w:val="fr-CA"/>
        </w:rPr>
      </w:pPr>
    </w:p>
    <w:p w:rsidR="00676BD5" w:rsidRPr="00A0221F" w:rsidRDefault="00676BD5" w:rsidP="00676BD5">
      <w:pPr>
        <w:jc w:val="both"/>
        <w:rPr>
          <w:sz w:val="20"/>
          <w:szCs w:val="20"/>
        </w:rPr>
      </w:pPr>
      <w:r w:rsidRPr="00A0221F">
        <w:rPr>
          <w:sz w:val="20"/>
          <w:szCs w:val="20"/>
        </w:rPr>
        <w:t>Present:  McLachlin C.J. and LeBel, Deschamps, Fish, Abella, Rothstein, Cromwell, Moldaver and Karakatsanis JJ.</w:t>
      </w:r>
    </w:p>
    <w:p w:rsidR="00676BD5" w:rsidRDefault="00676BD5" w:rsidP="00676BD5">
      <w:pPr>
        <w:pStyle w:val="SCCLowerCourtNameLowercase"/>
        <w:spacing w:line="240" w:lineRule="auto"/>
        <w:rPr>
          <w:sz w:val="20"/>
        </w:rPr>
      </w:pPr>
    </w:p>
    <w:p w:rsidR="00676BD5" w:rsidRPr="00A0221F" w:rsidRDefault="00676BD5" w:rsidP="00676BD5">
      <w:pPr>
        <w:pStyle w:val="SCCNormalDoubleSpacing"/>
        <w:spacing w:line="240" w:lineRule="auto"/>
        <w:rPr>
          <w:i/>
          <w:sz w:val="20"/>
        </w:rPr>
      </w:pPr>
      <w:r w:rsidRPr="00A0221F">
        <w:rPr>
          <w:i/>
          <w:sz w:val="20"/>
        </w:rPr>
        <w:tab/>
        <w:t>Human rights — Discrimination — Prohibited grounds — Mental or physical disability — Education — Student with dyslexia attending public school — School district cancelling special education program requiring student to enrol in specialized private school — Whether school district discriminating against student by failing to provide necessary remediation — Human Rights Code, R.S.B.C. 1996, c. 210, s. 8.</w:t>
      </w:r>
    </w:p>
    <w:p w:rsidR="00676BD5" w:rsidRDefault="00676BD5" w:rsidP="00676BD5">
      <w:pPr>
        <w:pStyle w:val="SCCNormalDoubleSpacing"/>
        <w:spacing w:line="240" w:lineRule="auto"/>
        <w:rPr>
          <w:i/>
          <w:sz w:val="20"/>
        </w:rPr>
      </w:pPr>
    </w:p>
    <w:p w:rsidR="00676BD5" w:rsidRPr="00A0221F" w:rsidRDefault="00676BD5" w:rsidP="00676BD5">
      <w:pPr>
        <w:pStyle w:val="SCCNormalDoubleSpacing"/>
        <w:spacing w:line="240" w:lineRule="auto"/>
        <w:rPr>
          <w:i/>
          <w:sz w:val="20"/>
        </w:rPr>
      </w:pPr>
      <w:r w:rsidRPr="00A0221F">
        <w:rPr>
          <w:i/>
          <w:sz w:val="20"/>
        </w:rPr>
        <w:tab/>
        <w:t xml:space="preserve">Education law — School regulation and administration — Curriculum and education programs — Obligations of school authorities — </w:t>
      </w:r>
      <w:proofErr w:type="gramStart"/>
      <w:r w:rsidRPr="00A0221F">
        <w:rPr>
          <w:i/>
          <w:sz w:val="20"/>
        </w:rPr>
        <w:t>What</w:t>
      </w:r>
      <w:proofErr w:type="gramEnd"/>
      <w:r w:rsidRPr="00A0221F">
        <w:rPr>
          <w:i/>
          <w:sz w:val="20"/>
        </w:rPr>
        <w:t xml:space="preserve"> constitutes meaningful access to education for students with learning disabilities — School Act, S.B.C. 1989, c. 61.</w:t>
      </w:r>
    </w:p>
    <w:p w:rsidR="00676BD5" w:rsidRDefault="00676BD5" w:rsidP="00676BD5">
      <w:pPr>
        <w:pStyle w:val="SCCNormalDoubleSpacing"/>
        <w:spacing w:line="240" w:lineRule="auto"/>
        <w:rPr>
          <w:sz w:val="20"/>
        </w:rPr>
      </w:pPr>
    </w:p>
    <w:p w:rsidR="00676BD5" w:rsidRPr="00A0221F" w:rsidRDefault="00676BD5" w:rsidP="00676BD5">
      <w:pPr>
        <w:pStyle w:val="SCCNormalDoubleSpacing"/>
        <w:spacing w:line="240" w:lineRule="auto"/>
        <w:rPr>
          <w:sz w:val="20"/>
        </w:rPr>
      </w:pPr>
      <w:r w:rsidRPr="00A0221F">
        <w:rPr>
          <w:sz w:val="20"/>
        </w:rPr>
        <w:tab/>
        <w:t xml:space="preserve">J suffered from severe dyslexia for which he received special education at his public school.  In Grade 2, a psychologist employed by the school District recommended that since he could not get the remedial help he needed at his school, he should attend the local Diagnostic Centre to receive the necessary remediation.  When the Diagnostic Centre was closed by the school District, J transferred to a private school to get the instruction he needed.  His father filed a complaint with the B.C. Human Rights Tribunal on J’s behalf against the school District and the Province on the grounds that J had been denied a “service customarily available to the public” under s. 8 of the B.C. </w:t>
      </w:r>
      <w:r w:rsidRPr="00A0221F">
        <w:rPr>
          <w:i/>
          <w:sz w:val="20"/>
        </w:rPr>
        <w:t>Human Rights Code</w:t>
      </w:r>
      <w:r w:rsidRPr="00A0221F">
        <w:rPr>
          <w:sz w:val="20"/>
        </w:rPr>
        <w:t>.  The Tribunal concluded that there was discrimination against J by the District and the Province and ordered a wide range of sweeping systemic remedies against both.  It also ordered that the family be reimbursed for the tuition costs of J’s private school.  The reviewing judge set aside the Tribunal’s decision, finding that there was no discrimination.  A majority of the Court of Appeal dismissed the appeal. </w:t>
      </w:r>
    </w:p>
    <w:p w:rsidR="00676BD5" w:rsidRDefault="00676BD5" w:rsidP="00676BD5">
      <w:pPr>
        <w:pStyle w:val="SCCNormalDoubleSpacing"/>
        <w:spacing w:line="240" w:lineRule="auto"/>
        <w:rPr>
          <w:sz w:val="20"/>
        </w:rPr>
      </w:pPr>
    </w:p>
    <w:p w:rsidR="00676BD5" w:rsidRPr="00A0221F" w:rsidRDefault="00676BD5" w:rsidP="00676BD5">
      <w:pPr>
        <w:pStyle w:val="SCCNormalDoubleSpacing"/>
        <w:spacing w:line="240" w:lineRule="auto"/>
        <w:rPr>
          <w:b/>
          <w:sz w:val="20"/>
        </w:rPr>
      </w:pPr>
      <w:r w:rsidRPr="00A0221F">
        <w:rPr>
          <w:sz w:val="20"/>
        </w:rPr>
        <w:tab/>
      </w:r>
      <w:r w:rsidRPr="00A0221F">
        <w:rPr>
          <w:i/>
          <w:sz w:val="20"/>
        </w:rPr>
        <w:t>Held</w:t>
      </w:r>
      <w:r w:rsidRPr="00A0221F">
        <w:rPr>
          <w:sz w:val="20"/>
        </w:rPr>
        <w:t>:  The appeal is substantially allowed.</w:t>
      </w:r>
    </w:p>
    <w:p w:rsidR="00676BD5" w:rsidRDefault="00676BD5" w:rsidP="00676BD5">
      <w:pPr>
        <w:pStyle w:val="SCCNormalDoubleSpacing"/>
        <w:spacing w:line="240" w:lineRule="auto"/>
        <w:rPr>
          <w:sz w:val="20"/>
        </w:rPr>
      </w:pPr>
    </w:p>
    <w:p w:rsidR="00676BD5" w:rsidRPr="00A0221F" w:rsidRDefault="00676BD5" w:rsidP="00676BD5">
      <w:pPr>
        <w:pStyle w:val="SCCNormalDoubleSpacing"/>
        <w:spacing w:line="240" w:lineRule="auto"/>
        <w:rPr>
          <w:sz w:val="20"/>
        </w:rPr>
      </w:pPr>
      <w:r w:rsidRPr="00A0221F">
        <w:rPr>
          <w:sz w:val="20"/>
        </w:rPr>
        <w:tab/>
        <w:t xml:space="preserve">The purpose of the </w:t>
      </w:r>
      <w:r w:rsidRPr="00A0221F">
        <w:rPr>
          <w:i/>
          <w:sz w:val="20"/>
        </w:rPr>
        <w:t>School Act</w:t>
      </w:r>
      <w:r w:rsidRPr="00A0221F">
        <w:rPr>
          <w:sz w:val="20"/>
        </w:rPr>
        <w:t xml:space="preserve"> in British Columbia is to ensure that “all learners. . . develop their individual potential and. . . </w:t>
      </w:r>
      <w:proofErr w:type="gramStart"/>
      <w:r w:rsidRPr="00A0221F">
        <w:rPr>
          <w:sz w:val="20"/>
        </w:rPr>
        <w:t>acquire</w:t>
      </w:r>
      <w:proofErr w:type="gramEnd"/>
      <w:r w:rsidRPr="00A0221F">
        <w:rPr>
          <w:sz w:val="20"/>
        </w:rPr>
        <w:t xml:space="preserve"> the knowledge, skills and attitudes needed to contribute to a healthy, democratic and pluralistic society and a prosperous and sustainable economy.”  This is an acknowledgment by the government that the reason children are entitled to an education is that a healthy democracy and economy require their educated contribution.  Adequate special education, therefore, is not a dispensable luxury.  For those with severe learning disabilities, it is the ramp that provides access to the statutory commitment to education made to </w:t>
      </w:r>
      <w:r w:rsidRPr="00A0221F">
        <w:rPr>
          <w:i/>
          <w:sz w:val="20"/>
        </w:rPr>
        <w:t>all</w:t>
      </w:r>
      <w:r w:rsidRPr="00A0221F">
        <w:rPr>
          <w:sz w:val="20"/>
        </w:rPr>
        <w:t xml:space="preserve"> children in British Columbia.</w:t>
      </w:r>
    </w:p>
    <w:p w:rsidR="00676BD5" w:rsidRDefault="00676BD5" w:rsidP="00676BD5">
      <w:pPr>
        <w:pStyle w:val="SCCNormalDoubleSpacing"/>
        <w:spacing w:line="240" w:lineRule="auto"/>
        <w:rPr>
          <w:sz w:val="20"/>
        </w:rPr>
      </w:pPr>
    </w:p>
    <w:p w:rsidR="00676BD5" w:rsidRPr="00A0221F" w:rsidRDefault="00676BD5" w:rsidP="00676BD5">
      <w:pPr>
        <w:pStyle w:val="SCCNormalDoubleSpacing"/>
        <w:spacing w:line="240" w:lineRule="auto"/>
        <w:rPr>
          <w:sz w:val="20"/>
        </w:rPr>
      </w:pPr>
      <w:r w:rsidRPr="00A0221F">
        <w:rPr>
          <w:sz w:val="20"/>
        </w:rPr>
        <w:tab/>
        <w:t>The “service” to which J is entitled under s. 8 of the B.C.</w:t>
      </w:r>
      <w:r w:rsidRPr="00A0221F">
        <w:rPr>
          <w:i/>
          <w:sz w:val="20"/>
        </w:rPr>
        <w:t xml:space="preserve"> Human Rights</w:t>
      </w:r>
      <w:r w:rsidRPr="00A0221F">
        <w:rPr>
          <w:sz w:val="20"/>
        </w:rPr>
        <w:t xml:space="preserve"> </w:t>
      </w:r>
      <w:r w:rsidRPr="00A0221F">
        <w:rPr>
          <w:i/>
          <w:sz w:val="20"/>
        </w:rPr>
        <w:t>Code</w:t>
      </w:r>
      <w:r w:rsidRPr="00A0221F">
        <w:rPr>
          <w:sz w:val="20"/>
        </w:rPr>
        <w:t xml:space="preserve"> is education generally.  To define special education as the service at issue risks descending into a kind of “separate but equal” approach.  Comparing J only with other special needs students would mean that the District could cut </w:t>
      </w:r>
      <w:r w:rsidRPr="00A0221F">
        <w:rPr>
          <w:i/>
          <w:sz w:val="20"/>
        </w:rPr>
        <w:t>all</w:t>
      </w:r>
      <w:r w:rsidRPr="00A0221F">
        <w:rPr>
          <w:sz w:val="20"/>
        </w:rPr>
        <w:t xml:space="preserve"> special needs programs and yet be immune from a claim of discrimination.  </w:t>
      </w:r>
      <w:r w:rsidRPr="00A0221F">
        <w:rPr>
          <w:sz w:val="20"/>
          <w:lang w:val="en-US" w:bidi="en-US"/>
        </w:rPr>
        <w:t>If J is compared only to other</w:t>
      </w:r>
      <w:r w:rsidRPr="00A0221F">
        <w:rPr>
          <w:sz w:val="20"/>
        </w:rPr>
        <w:t xml:space="preserve"> special needs students, full consideration cannot be given to whether he had meaningful access to the education to which </w:t>
      </w:r>
      <w:r w:rsidRPr="00A0221F">
        <w:rPr>
          <w:i/>
          <w:sz w:val="20"/>
        </w:rPr>
        <w:t xml:space="preserve">all </w:t>
      </w:r>
      <w:r w:rsidRPr="00A0221F">
        <w:rPr>
          <w:sz w:val="20"/>
        </w:rPr>
        <w:t xml:space="preserve">students in British Columbia are entitled.  </w:t>
      </w:r>
      <w:proofErr w:type="gramStart"/>
      <w:r w:rsidRPr="00A0221F">
        <w:rPr>
          <w:sz w:val="20"/>
        </w:rPr>
        <w:t>This risks</w:t>
      </w:r>
      <w:proofErr w:type="gramEnd"/>
      <w:r w:rsidRPr="00A0221F">
        <w:rPr>
          <w:sz w:val="20"/>
        </w:rPr>
        <w:t xml:space="preserve"> perpetuating the very disadvantage and exclusion the </w:t>
      </w:r>
      <w:r w:rsidRPr="00A0221F">
        <w:rPr>
          <w:i/>
          <w:iCs/>
          <w:sz w:val="20"/>
        </w:rPr>
        <w:t>Code</w:t>
      </w:r>
      <w:r w:rsidRPr="00A0221F">
        <w:rPr>
          <w:sz w:val="20"/>
        </w:rPr>
        <w:t xml:space="preserve"> is intended to remedy. </w:t>
      </w:r>
    </w:p>
    <w:p w:rsidR="00676BD5" w:rsidRDefault="00676BD5" w:rsidP="00676BD5">
      <w:pPr>
        <w:pStyle w:val="SCCNormalDoubleSpacing"/>
        <w:spacing w:line="240" w:lineRule="auto"/>
        <w:rPr>
          <w:sz w:val="20"/>
          <w:lang w:bidi="en-US"/>
        </w:rPr>
      </w:pPr>
    </w:p>
    <w:p w:rsidR="00676BD5" w:rsidRPr="00A0221F" w:rsidRDefault="00676BD5" w:rsidP="00676BD5">
      <w:pPr>
        <w:pStyle w:val="SCCNormalDoubleSpacing"/>
        <w:spacing w:line="240" w:lineRule="auto"/>
        <w:rPr>
          <w:sz w:val="20"/>
          <w:lang w:bidi="en-US"/>
        </w:rPr>
      </w:pPr>
      <w:r w:rsidRPr="00A0221F">
        <w:rPr>
          <w:sz w:val="20"/>
          <w:lang w:bidi="en-US"/>
        </w:rPr>
        <w:tab/>
        <w:t xml:space="preserve">To </w:t>
      </w:r>
      <w:r w:rsidRPr="00A0221F">
        <w:rPr>
          <w:sz w:val="20"/>
        </w:rPr>
        <w:t>demonstrate</w:t>
      </w:r>
      <w:r w:rsidRPr="00A0221F">
        <w:rPr>
          <w:sz w:val="20"/>
          <w:lang w:bidi="en-US"/>
        </w:rPr>
        <w:t xml:space="preserve"> </w:t>
      </w:r>
      <w:r w:rsidRPr="00A0221F">
        <w:rPr>
          <w:i/>
          <w:sz w:val="20"/>
          <w:lang w:bidi="en-US"/>
        </w:rPr>
        <w:t xml:space="preserve">prima facie </w:t>
      </w:r>
      <w:r w:rsidRPr="00A0221F">
        <w:rPr>
          <w:sz w:val="20"/>
          <w:lang w:bidi="en-US"/>
        </w:rPr>
        <w:t xml:space="preserve">discrimination under s. 8, complainants must show that they have a characteristic protected from discrimination; that they have experienced an adverse impact with respect to a service customarily available to the public; and that the protected characteristic was a factor in the adverse impact.  </w:t>
      </w:r>
      <w:r w:rsidRPr="00A0221F">
        <w:rPr>
          <w:sz w:val="20"/>
        </w:rPr>
        <w:t xml:space="preserve">Once a </w:t>
      </w:r>
      <w:r w:rsidRPr="00A0221F">
        <w:rPr>
          <w:i/>
          <w:sz w:val="20"/>
        </w:rPr>
        <w:t xml:space="preserve">prima facie </w:t>
      </w:r>
      <w:r w:rsidRPr="00A0221F">
        <w:rPr>
          <w:sz w:val="20"/>
        </w:rPr>
        <w:t>case has been established, the burden shifts to the respondent to justify the conduct or practice.  If it cannot be justified, discrimination will be found to occur.</w:t>
      </w:r>
    </w:p>
    <w:p w:rsidR="00676BD5" w:rsidRDefault="00676BD5" w:rsidP="00676BD5">
      <w:pPr>
        <w:pStyle w:val="SCCNormalDoubleSpacing"/>
        <w:spacing w:line="240" w:lineRule="auto"/>
        <w:rPr>
          <w:sz w:val="20"/>
        </w:rPr>
      </w:pPr>
    </w:p>
    <w:p w:rsidR="00676BD5" w:rsidRPr="00A0221F" w:rsidRDefault="00676BD5" w:rsidP="00676BD5">
      <w:pPr>
        <w:pStyle w:val="SCCNormalDoubleSpacing"/>
        <w:spacing w:line="240" w:lineRule="auto"/>
        <w:rPr>
          <w:sz w:val="20"/>
          <w:lang w:bidi="en-US"/>
        </w:rPr>
      </w:pPr>
      <w:r w:rsidRPr="00A0221F">
        <w:rPr>
          <w:sz w:val="20"/>
        </w:rPr>
        <w:lastRenderedPageBreak/>
        <w:tab/>
        <w:t>There</w:t>
      </w:r>
      <w:r w:rsidRPr="00A0221F">
        <w:rPr>
          <w:sz w:val="20"/>
          <w:lang w:val="en-US" w:bidi="en-US"/>
        </w:rPr>
        <w:t xml:space="preserve"> is no dispute that J’s dyslexia is a disability.  There is equally no question that any adverse impact he suffered is related to his disability.  The question then is whether J has, without reasonable justification, been denied meaningful access to the general education available to all children in British Columbia based on his disability.</w:t>
      </w:r>
      <w:r w:rsidRPr="00A0221F">
        <w:rPr>
          <w:sz w:val="20"/>
          <w:lang w:bidi="en-US"/>
        </w:rPr>
        <w:t xml:space="preserve">  </w:t>
      </w:r>
    </w:p>
    <w:p w:rsidR="00676BD5" w:rsidRDefault="00676BD5" w:rsidP="00676BD5">
      <w:pPr>
        <w:pStyle w:val="SCCNormalDoubleSpacing"/>
        <w:spacing w:line="240" w:lineRule="auto"/>
        <w:rPr>
          <w:i/>
          <w:sz w:val="20"/>
          <w:lang w:val="en-US"/>
        </w:rPr>
      </w:pPr>
    </w:p>
    <w:p w:rsidR="00676BD5" w:rsidRPr="00A0221F" w:rsidRDefault="00676BD5" w:rsidP="00676BD5">
      <w:pPr>
        <w:pStyle w:val="SCCNormalDoubleSpacing"/>
        <w:spacing w:line="240" w:lineRule="auto"/>
        <w:rPr>
          <w:sz w:val="20"/>
        </w:rPr>
      </w:pPr>
      <w:r w:rsidRPr="00A0221F">
        <w:rPr>
          <w:i/>
          <w:sz w:val="20"/>
          <w:lang w:val="en-US"/>
        </w:rPr>
        <w:tab/>
        <w:t>P</w:t>
      </w:r>
      <w:r w:rsidRPr="00A0221F">
        <w:rPr>
          <w:i/>
          <w:sz w:val="20"/>
          <w:lang w:bidi="en-US"/>
        </w:rPr>
        <w:t>rima facie</w:t>
      </w:r>
      <w:r w:rsidRPr="00A0221F">
        <w:rPr>
          <w:sz w:val="20"/>
          <w:lang w:bidi="en-US"/>
        </w:rPr>
        <w:t xml:space="preserve"> </w:t>
      </w:r>
      <w:r w:rsidRPr="00A0221F">
        <w:rPr>
          <w:sz w:val="20"/>
        </w:rPr>
        <w:t>discrimination</w:t>
      </w:r>
      <w:r w:rsidRPr="00A0221F">
        <w:rPr>
          <w:sz w:val="20"/>
          <w:lang w:bidi="en-US"/>
        </w:rPr>
        <w:t xml:space="preserve"> was made out based on the insufficiently intensive remediation provided by the District for J’s learning disability in order for him to get access to the education he was entitled to.  J received some special education assistance until Grade 3, but the Tribunal’s conclusion that the remediation was far from adequate </w:t>
      </w:r>
      <w:r w:rsidRPr="00A0221F">
        <w:rPr>
          <w:sz w:val="20"/>
        </w:rPr>
        <w:t xml:space="preserve">to give J the education to which he was entitled, </w:t>
      </w:r>
      <w:r w:rsidRPr="00A0221F">
        <w:rPr>
          <w:sz w:val="20"/>
          <w:lang w:bidi="en-US"/>
        </w:rPr>
        <w:t xml:space="preserve">was fully supported by the evidence.  </w:t>
      </w:r>
      <w:r w:rsidRPr="00A0221F">
        <w:rPr>
          <w:sz w:val="20"/>
          <w:lang w:val="en-US" w:bidi="en-US"/>
        </w:rPr>
        <w:t>The</w:t>
      </w:r>
      <w:r w:rsidRPr="00A0221F">
        <w:rPr>
          <w:sz w:val="20"/>
          <w:lang w:bidi="en-US"/>
        </w:rPr>
        <w:t xml:space="preserve"> Tribunal </w:t>
      </w:r>
      <w:r w:rsidRPr="00A0221F">
        <w:rPr>
          <w:sz w:val="20"/>
          <w:lang w:val="en-US" w:bidi="en-US"/>
        </w:rPr>
        <w:t xml:space="preserve">found that the family was told by District employees that J required intensive remediation.  As a result of the closing of the </w:t>
      </w:r>
      <w:r w:rsidRPr="00A0221F">
        <w:rPr>
          <w:sz w:val="20"/>
        </w:rPr>
        <w:t>Diagnostic Centre</w:t>
      </w:r>
      <w:r w:rsidRPr="00A0221F">
        <w:rPr>
          <w:sz w:val="20"/>
          <w:lang w:val="en-US" w:bidi="en-US"/>
        </w:rPr>
        <w:t xml:space="preserve">, </w:t>
      </w:r>
      <w:r w:rsidRPr="00A0221F">
        <w:rPr>
          <w:sz w:val="20"/>
          <w:lang w:bidi="en-US"/>
        </w:rPr>
        <w:t xml:space="preserve">a private school </w:t>
      </w:r>
      <w:r w:rsidRPr="00A0221F">
        <w:rPr>
          <w:sz w:val="20"/>
        </w:rPr>
        <w:t>was the only alternative that would provide the intense remediation that J required.</w:t>
      </w:r>
    </w:p>
    <w:p w:rsidR="00676BD5" w:rsidRDefault="00676BD5" w:rsidP="00676BD5">
      <w:pPr>
        <w:pStyle w:val="SCCNormalDoubleSpacing"/>
        <w:spacing w:line="240" w:lineRule="auto"/>
        <w:rPr>
          <w:sz w:val="20"/>
          <w:lang w:bidi="en-US"/>
        </w:rPr>
      </w:pPr>
    </w:p>
    <w:p w:rsidR="00676BD5" w:rsidRPr="00A0221F" w:rsidRDefault="00676BD5" w:rsidP="00676BD5">
      <w:pPr>
        <w:pStyle w:val="SCCNormalDoubleSpacing"/>
        <w:spacing w:line="240" w:lineRule="auto"/>
        <w:rPr>
          <w:sz w:val="20"/>
          <w:lang w:val="en-US"/>
        </w:rPr>
      </w:pPr>
      <w:r w:rsidRPr="00A0221F">
        <w:rPr>
          <w:sz w:val="20"/>
          <w:lang w:bidi="en-US"/>
        </w:rPr>
        <w:tab/>
        <w:t xml:space="preserve">The </w:t>
      </w:r>
      <w:r w:rsidRPr="00A0221F">
        <w:rPr>
          <w:sz w:val="20"/>
        </w:rPr>
        <w:t>Tribunal</w:t>
      </w:r>
      <w:r w:rsidRPr="00A0221F">
        <w:rPr>
          <w:sz w:val="20"/>
          <w:lang w:bidi="en-US"/>
        </w:rPr>
        <w:t xml:space="preserve"> found that when the decision to close the Diagnostic Centre was made, the District did so</w:t>
      </w:r>
      <w:r w:rsidRPr="00A0221F">
        <w:rPr>
          <w:sz w:val="20"/>
        </w:rPr>
        <w:t xml:space="preserve"> without knowing how the needs of students like J would be addressed,</w:t>
      </w:r>
      <w:r w:rsidRPr="00A0221F">
        <w:rPr>
          <w:sz w:val="20"/>
          <w:lang w:bidi="en-US"/>
        </w:rPr>
        <w:t xml:space="preserve"> and without undertaking </w:t>
      </w:r>
      <w:r w:rsidRPr="00A0221F">
        <w:rPr>
          <w:sz w:val="20"/>
        </w:rPr>
        <w:t>a needs</w:t>
      </w:r>
      <w:r w:rsidRPr="00A0221F">
        <w:rPr>
          <w:sz w:val="20"/>
        </w:rPr>
        <w:noBreakHyphen/>
        <w:t xml:space="preserve">based analysis to consider what might replace the Diagnostic Centre, or assessing the effect of the closure on Severe Learning Disabilities students.  </w:t>
      </w:r>
      <w:r w:rsidRPr="00A0221F">
        <w:rPr>
          <w:sz w:val="20"/>
          <w:lang w:bidi="en-US"/>
        </w:rPr>
        <w:t xml:space="preserve">It was the combination of the clear recognition by the District, its employees and the experts that J required intensive remediation in order to have meaningful access to education, the closing of the Diagnostic Centre, and the fact that the family was told that these services could not otherwise be provided by the District, that justified the Tribunal’s conclusion that the failure of the District to meet J’s educational needs constituted </w:t>
      </w:r>
      <w:r w:rsidRPr="00A0221F">
        <w:rPr>
          <w:i/>
          <w:sz w:val="20"/>
          <w:lang w:bidi="en-US"/>
        </w:rPr>
        <w:t>prima facie</w:t>
      </w:r>
      <w:r w:rsidRPr="00A0221F">
        <w:rPr>
          <w:sz w:val="20"/>
          <w:lang w:bidi="en-US"/>
        </w:rPr>
        <w:t xml:space="preserve"> discrimination.  </w:t>
      </w:r>
    </w:p>
    <w:p w:rsidR="00676BD5" w:rsidRDefault="00676BD5" w:rsidP="00676BD5">
      <w:pPr>
        <w:pStyle w:val="SCCNormalDoubleSpacing"/>
        <w:spacing w:line="240" w:lineRule="auto"/>
        <w:rPr>
          <w:sz w:val="20"/>
          <w:lang w:val="en-US" w:bidi="en-US"/>
        </w:rPr>
      </w:pPr>
    </w:p>
    <w:p w:rsidR="00676BD5" w:rsidRPr="00A0221F" w:rsidRDefault="00676BD5" w:rsidP="00676BD5">
      <w:pPr>
        <w:pStyle w:val="SCCNormalDoubleSpacing"/>
        <w:spacing w:line="240" w:lineRule="auto"/>
        <w:rPr>
          <w:sz w:val="20"/>
        </w:rPr>
      </w:pPr>
      <w:r w:rsidRPr="00A0221F">
        <w:rPr>
          <w:sz w:val="20"/>
          <w:lang w:val="en-US" w:bidi="en-US"/>
        </w:rPr>
        <w:tab/>
        <w:t>T</w:t>
      </w:r>
      <w:r w:rsidRPr="00A0221F">
        <w:rPr>
          <w:sz w:val="20"/>
          <w:lang w:bidi="en-US"/>
        </w:rPr>
        <w:t xml:space="preserve">he </w:t>
      </w:r>
      <w:r w:rsidRPr="00A0221F">
        <w:rPr>
          <w:sz w:val="20"/>
        </w:rPr>
        <w:t>next</w:t>
      </w:r>
      <w:r w:rsidRPr="00A0221F">
        <w:rPr>
          <w:sz w:val="20"/>
          <w:lang w:bidi="en-US"/>
        </w:rPr>
        <w:t xml:space="preserve"> question is whether the District’s conduct was justified. </w:t>
      </w:r>
      <w:r w:rsidRPr="00A0221F">
        <w:rPr>
          <w:sz w:val="20"/>
        </w:rPr>
        <w:t xml:space="preserve"> </w:t>
      </w:r>
      <w:r w:rsidRPr="00A0221F">
        <w:rPr>
          <w:sz w:val="20"/>
          <w:lang w:val="en-US" w:bidi="en-US"/>
        </w:rPr>
        <w:t>T</w:t>
      </w:r>
      <w:r w:rsidRPr="00A0221F">
        <w:rPr>
          <w:sz w:val="20"/>
        </w:rPr>
        <w:t xml:space="preserve">he District’s justification centred on the budgetary crisis it faced during the relevant period, which led to the closure of the Diagnostic Centre and other related cuts.  </w:t>
      </w:r>
      <w:r w:rsidRPr="00A0221F">
        <w:rPr>
          <w:sz w:val="20"/>
          <w:lang w:val="en-US"/>
        </w:rPr>
        <w:t>T</w:t>
      </w:r>
      <w:r w:rsidRPr="00A0221F">
        <w:rPr>
          <w:sz w:val="20"/>
        </w:rPr>
        <w:t xml:space="preserve">he Tribunal’s findings that the District had other options available for addressing its budgetary crisis should not be disturbed. </w:t>
      </w:r>
      <w:r w:rsidRPr="00A0221F">
        <w:rPr>
          <w:sz w:val="20"/>
          <w:lang w:bidi="en-US"/>
        </w:rPr>
        <w:t xml:space="preserve"> </w:t>
      </w:r>
      <w:r w:rsidRPr="00A0221F">
        <w:rPr>
          <w:sz w:val="20"/>
          <w:lang w:val="en-US" w:bidi="en-US"/>
        </w:rPr>
        <w:t xml:space="preserve">The Tribunal accepted </w:t>
      </w:r>
      <w:r w:rsidRPr="00A0221F">
        <w:rPr>
          <w:sz w:val="20"/>
          <w:lang w:bidi="en-US"/>
        </w:rPr>
        <w:t xml:space="preserve">that the District faced financial difficulties during the relevant period.  Yet it also found that cuts were disproportionably made to special needs programs.  Despite their similar cost, the District </w:t>
      </w:r>
      <w:r w:rsidRPr="00A0221F">
        <w:rPr>
          <w:sz w:val="20"/>
        </w:rPr>
        <w:t xml:space="preserve">retained some discretionary programs, such as the Outdoor School — an outdoor campus where students learned about community and the environment — while eliminating the Diagnostic Centre.   </w:t>
      </w:r>
    </w:p>
    <w:p w:rsidR="00676BD5" w:rsidRDefault="00676BD5" w:rsidP="00676BD5">
      <w:pPr>
        <w:pStyle w:val="SCCNormalDoubleSpacing"/>
        <w:spacing w:line="240" w:lineRule="auto"/>
        <w:rPr>
          <w:sz w:val="20"/>
          <w:lang w:val="en-US"/>
        </w:rPr>
      </w:pPr>
    </w:p>
    <w:p w:rsidR="00676BD5" w:rsidRPr="00A0221F" w:rsidRDefault="00676BD5" w:rsidP="00676BD5">
      <w:pPr>
        <w:pStyle w:val="SCCNormalDoubleSpacing"/>
        <w:spacing w:line="240" w:lineRule="auto"/>
        <w:rPr>
          <w:sz w:val="20"/>
          <w:lang w:bidi="en-US"/>
        </w:rPr>
      </w:pPr>
      <w:r w:rsidRPr="00A0221F">
        <w:rPr>
          <w:sz w:val="20"/>
          <w:lang w:val="en-US"/>
        </w:rPr>
        <w:tab/>
        <w:t xml:space="preserve">More </w:t>
      </w:r>
      <w:r w:rsidRPr="00A0221F">
        <w:rPr>
          <w:sz w:val="20"/>
        </w:rPr>
        <w:t>significantly</w:t>
      </w:r>
      <w:r w:rsidRPr="00A0221F">
        <w:rPr>
          <w:sz w:val="20"/>
          <w:lang w:val="en-US"/>
        </w:rPr>
        <w:t xml:space="preserve">, the Tribunal found that the District undertook </w:t>
      </w:r>
      <w:r w:rsidRPr="00A0221F">
        <w:rPr>
          <w:i/>
          <w:sz w:val="20"/>
          <w:lang w:val="en-US"/>
        </w:rPr>
        <w:t>no</w:t>
      </w:r>
      <w:r w:rsidRPr="00A0221F">
        <w:rPr>
          <w:sz w:val="20"/>
          <w:lang w:val="en-US"/>
        </w:rPr>
        <w:t xml:space="preserve"> assessment, financial or otherwise, of what alternatives were or could be reasonably available to accommodate special needs students if the Diagnostic Centre were closed.  </w:t>
      </w:r>
      <w:r w:rsidRPr="00A0221F">
        <w:rPr>
          <w:sz w:val="20"/>
          <w:lang w:bidi="en-US"/>
        </w:rPr>
        <w:t xml:space="preserve">The failure to consider financial alternatives completely undermined the District’s argument that it was justified in providing </w:t>
      </w:r>
      <w:r w:rsidRPr="00A0221F">
        <w:rPr>
          <w:i/>
          <w:sz w:val="20"/>
          <w:lang w:bidi="en-US"/>
        </w:rPr>
        <w:t xml:space="preserve">no </w:t>
      </w:r>
      <w:r w:rsidRPr="00A0221F">
        <w:rPr>
          <w:sz w:val="20"/>
          <w:lang w:bidi="en-US"/>
        </w:rPr>
        <w:t xml:space="preserve">meaningful access to an education for J because it had no choice.  In order to decide that it had no other choice, it had at least to consider what those other choices were.  </w:t>
      </w:r>
    </w:p>
    <w:p w:rsidR="00676BD5" w:rsidRDefault="00676BD5" w:rsidP="00676BD5">
      <w:pPr>
        <w:pStyle w:val="SCCNormalDoubleSpacing"/>
        <w:spacing w:line="240" w:lineRule="auto"/>
        <w:rPr>
          <w:sz w:val="20"/>
        </w:rPr>
      </w:pPr>
    </w:p>
    <w:p w:rsidR="00676BD5" w:rsidRDefault="00676BD5" w:rsidP="00676BD5">
      <w:pPr>
        <w:pStyle w:val="SCCNormalDoubleSpacing"/>
        <w:spacing w:line="240" w:lineRule="auto"/>
        <w:rPr>
          <w:sz w:val="20"/>
        </w:rPr>
      </w:pPr>
      <w:r w:rsidRPr="00A0221F">
        <w:rPr>
          <w:sz w:val="20"/>
        </w:rPr>
        <w:tab/>
        <w:t>The finding of discrimination against the District is therefore restored.</w:t>
      </w:r>
    </w:p>
    <w:p w:rsidR="00676BD5" w:rsidRDefault="00676BD5" w:rsidP="00676BD5">
      <w:pPr>
        <w:pStyle w:val="SCCNormalDoubleSpacing"/>
        <w:spacing w:line="240" w:lineRule="auto"/>
        <w:rPr>
          <w:sz w:val="20"/>
        </w:rPr>
      </w:pPr>
    </w:p>
    <w:p w:rsidR="00676BD5" w:rsidRPr="00A0221F" w:rsidRDefault="00676BD5" w:rsidP="00676BD5">
      <w:pPr>
        <w:pStyle w:val="SCCNormalDoubleSpacing"/>
        <w:spacing w:line="240" w:lineRule="auto"/>
        <w:rPr>
          <w:sz w:val="20"/>
        </w:rPr>
      </w:pPr>
      <w:r w:rsidRPr="00A0221F">
        <w:rPr>
          <w:sz w:val="20"/>
        </w:rPr>
        <w:tab/>
        <w:t>APPEAL from a judgment of the British Columbia Court of Appeal (</w:t>
      </w:r>
      <w:r w:rsidR="00BF3B03" w:rsidRPr="00A0221F">
        <w:rPr>
          <w:sz w:val="20"/>
        </w:rPr>
        <w:fldChar w:fldCharType="begin"/>
      </w:r>
      <w:r w:rsidRPr="00A0221F">
        <w:rPr>
          <w:sz w:val="20"/>
        </w:rPr>
        <w:instrText xml:space="preserve"> SEQ CHAPTER \h \r 1</w:instrText>
      </w:r>
      <w:r w:rsidR="00BF3B03" w:rsidRPr="00A0221F">
        <w:rPr>
          <w:sz w:val="20"/>
        </w:rPr>
        <w:fldChar w:fldCharType="end"/>
      </w:r>
      <w:r w:rsidRPr="00A0221F">
        <w:rPr>
          <w:sz w:val="20"/>
        </w:rPr>
        <w:t xml:space="preserve">Rowles, Saunders and Low JJ.A.), </w:t>
      </w:r>
      <w:r w:rsidR="00BF3B03" w:rsidRPr="00A0221F">
        <w:rPr>
          <w:sz w:val="20"/>
        </w:rPr>
        <w:fldChar w:fldCharType="begin"/>
      </w:r>
      <w:r w:rsidRPr="00A0221F">
        <w:rPr>
          <w:sz w:val="20"/>
        </w:rPr>
        <w:instrText xml:space="preserve"> SEQ CHAPTER \h \r 1</w:instrText>
      </w:r>
      <w:r w:rsidR="00BF3B03" w:rsidRPr="00A0221F">
        <w:rPr>
          <w:sz w:val="20"/>
        </w:rPr>
        <w:fldChar w:fldCharType="end"/>
      </w:r>
      <w:r w:rsidRPr="00A0221F">
        <w:rPr>
          <w:sz w:val="20"/>
        </w:rPr>
        <w:t xml:space="preserve">2010 BCCA 478, 12 B.C.L.R. (5th) 246, 326 D.L.R. (4th) 77, 294 B.C.A.C. 185, 498 W.A.C. 185, 71 C.H.R.R. D/238, [2011] 3 W.W.R. 383, [2010] B.C.J. No. 2097 (QL), 2010 CarswellBC 3446, affirming a decision of </w:t>
      </w:r>
      <w:r w:rsidR="00BF3B03" w:rsidRPr="00A0221F">
        <w:rPr>
          <w:sz w:val="20"/>
        </w:rPr>
        <w:fldChar w:fldCharType="begin"/>
      </w:r>
      <w:r w:rsidRPr="00A0221F">
        <w:rPr>
          <w:sz w:val="20"/>
        </w:rPr>
        <w:instrText xml:space="preserve"> SEQ CHAPTER \h \r 1</w:instrText>
      </w:r>
      <w:r w:rsidR="00BF3B03" w:rsidRPr="00A0221F">
        <w:rPr>
          <w:sz w:val="20"/>
        </w:rPr>
        <w:fldChar w:fldCharType="end"/>
      </w:r>
      <w:r w:rsidRPr="00A0221F">
        <w:rPr>
          <w:sz w:val="20"/>
        </w:rPr>
        <w:t xml:space="preserve">Dillon J., </w:t>
      </w:r>
      <w:r w:rsidR="00BF3B03" w:rsidRPr="00A0221F">
        <w:rPr>
          <w:sz w:val="20"/>
        </w:rPr>
        <w:fldChar w:fldCharType="begin"/>
      </w:r>
      <w:r w:rsidRPr="00A0221F">
        <w:rPr>
          <w:sz w:val="20"/>
        </w:rPr>
        <w:instrText xml:space="preserve"> SEQ CHAPTER \h \r 1</w:instrText>
      </w:r>
      <w:r w:rsidR="00BF3B03" w:rsidRPr="00A0221F">
        <w:rPr>
          <w:sz w:val="20"/>
        </w:rPr>
        <w:fldChar w:fldCharType="end"/>
      </w:r>
      <w:r w:rsidRPr="00A0221F">
        <w:rPr>
          <w:sz w:val="20"/>
        </w:rPr>
        <w:t>2008 BCSC 264, 81 B.C.L.R. (4th) 107, 62 C.H.R.R. D/289, [2008] 10 W.W.R. 518, [2008] B.C.J. No. 348 (QL), 2008 CarswellBC 388, reversing a decision of the British Columbia Human Rights Tribunal, 2005 BCHRT 580, 54 C.H.R.R. D/245.  Appeal substantially allowed.</w:t>
      </w:r>
    </w:p>
    <w:p w:rsidR="00676BD5" w:rsidRDefault="00676BD5" w:rsidP="00676BD5">
      <w:pPr>
        <w:pStyle w:val="SCCNormalDoubleSpacing"/>
        <w:spacing w:line="240" w:lineRule="auto"/>
        <w:rPr>
          <w:i/>
          <w:sz w:val="20"/>
        </w:rPr>
      </w:pPr>
    </w:p>
    <w:p w:rsidR="00676BD5" w:rsidRPr="00A0221F" w:rsidRDefault="00676BD5" w:rsidP="00676BD5">
      <w:pPr>
        <w:pStyle w:val="SCCNormalDoubleSpacing"/>
        <w:spacing w:line="240" w:lineRule="auto"/>
        <w:rPr>
          <w:sz w:val="20"/>
        </w:rPr>
      </w:pPr>
      <w:r w:rsidRPr="00A0221F">
        <w:rPr>
          <w:i/>
          <w:sz w:val="20"/>
        </w:rPr>
        <w:tab/>
      </w:r>
      <w:proofErr w:type="gramStart"/>
      <w:r w:rsidRPr="00A0221F">
        <w:rPr>
          <w:i/>
          <w:sz w:val="20"/>
        </w:rPr>
        <w:t>Frances M. Kelly</w:t>
      </w:r>
      <w:r w:rsidRPr="00A0221F">
        <w:rPr>
          <w:sz w:val="20"/>
        </w:rPr>
        <w:t xml:space="preserve"> and </w:t>
      </w:r>
      <w:r w:rsidRPr="00A0221F">
        <w:rPr>
          <w:i/>
          <w:sz w:val="20"/>
        </w:rPr>
        <w:t>Devyn Cousineau</w:t>
      </w:r>
      <w:r w:rsidRPr="00A0221F">
        <w:rPr>
          <w:sz w:val="20"/>
        </w:rPr>
        <w:t>, for the appellant.</w:t>
      </w:r>
      <w:proofErr w:type="gramEnd"/>
    </w:p>
    <w:p w:rsidR="00676BD5" w:rsidRDefault="00676BD5" w:rsidP="00676BD5">
      <w:pPr>
        <w:pStyle w:val="SCCNormalDoubleSpacing"/>
        <w:spacing w:line="240" w:lineRule="auto"/>
        <w:rPr>
          <w:i/>
          <w:sz w:val="20"/>
        </w:rPr>
      </w:pPr>
    </w:p>
    <w:p w:rsidR="00676BD5" w:rsidRPr="00A0221F" w:rsidRDefault="00676BD5" w:rsidP="00676BD5">
      <w:pPr>
        <w:pStyle w:val="SCCNormalDoubleSpacing"/>
        <w:spacing w:line="240" w:lineRule="auto"/>
        <w:rPr>
          <w:sz w:val="20"/>
        </w:rPr>
      </w:pPr>
      <w:r w:rsidRPr="00A0221F">
        <w:rPr>
          <w:i/>
          <w:sz w:val="20"/>
        </w:rPr>
        <w:tab/>
      </w:r>
      <w:proofErr w:type="gramStart"/>
      <w:r w:rsidRPr="00A0221F">
        <w:rPr>
          <w:i/>
          <w:sz w:val="20"/>
        </w:rPr>
        <w:t>Leah Greathead</w:t>
      </w:r>
      <w:r w:rsidRPr="00A0221F">
        <w:rPr>
          <w:sz w:val="20"/>
        </w:rPr>
        <w:t xml:space="preserve"> and </w:t>
      </w:r>
      <w:r w:rsidRPr="00A0221F">
        <w:rPr>
          <w:i/>
          <w:sz w:val="20"/>
        </w:rPr>
        <w:t>E.W. (Heidi) Hughes</w:t>
      </w:r>
      <w:r w:rsidRPr="00A0221F">
        <w:rPr>
          <w:sz w:val="20"/>
        </w:rPr>
        <w:t>, for the respondent Her Majesty the Queen in Right of the Province of British Columbia, as represented by the Ministry of Education.</w:t>
      </w:r>
      <w:proofErr w:type="gramEnd"/>
    </w:p>
    <w:p w:rsidR="00676BD5" w:rsidRDefault="00676BD5" w:rsidP="00676BD5">
      <w:pPr>
        <w:pStyle w:val="SCCNormalDoubleSpacing"/>
        <w:spacing w:line="240" w:lineRule="auto"/>
        <w:rPr>
          <w:i/>
          <w:sz w:val="20"/>
        </w:rPr>
      </w:pPr>
    </w:p>
    <w:p w:rsidR="00676BD5" w:rsidRPr="00A0221F" w:rsidRDefault="00676BD5" w:rsidP="00676BD5">
      <w:pPr>
        <w:pStyle w:val="SCCNormalDoubleSpacing"/>
        <w:spacing w:line="240" w:lineRule="auto"/>
        <w:rPr>
          <w:sz w:val="20"/>
        </w:rPr>
      </w:pPr>
      <w:r w:rsidRPr="00A0221F">
        <w:rPr>
          <w:i/>
          <w:sz w:val="20"/>
        </w:rPr>
        <w:tab/>
        <w:t>Laura N. Bakan, Q.C.</w:t>
      </w:r>
      <w:r w:rsidRPr="00A0221F">
        <w:rPr>
          <w:sz w:val="20"/>
        </w:rPr>
        <w:t xml:space="preserve">, </w:t>
      </w:r>
      <w:r w:rsidRPr="00A0221F">
        <w:rPr>
          <w:i/>
          <w:sz w:val="20"/>
        </w:rPr>
        <w:t>David J. Bell</w:t>
      </w:r>
      <w:r w:rsidRPr="00A0221F">
        <w:rPr>
          <w:sz w:val="20"/>
        </w:rPr>
        <w:t xml:space="preserve"> and </w:t>
      </w:r>
      <w:r w:rsidRPr="00A0221F">
        <w:rPr>
          <w:i/>
          <w:sz w:val="20"/>
        </w:rPr>
        <w:t>Kristal M. Low</w:t>
      </w:r>
      <w:r w:rsidRPr="00A0221F">
        <w:rPr>
          <w:sz w:val="20"/>
        </w:rPr>
        <w:t>, for the respondent the Board of Education of School District No. 44 (North Vancouver), formerly known as The Board of School Trustees of School District No. 44 (North Vancouver).</w:t>
      </w:r>
    </w:p>
    <w:p w:rsidR="00676BD5" w:rsidRDefault="00676BD5" w:rsidP="00676BD5">
      <w:pPr>
        <w:pStyle w:val="SCCNormalDoubleSpacing"/>
        <w:spacing w:line="240" w:lineRule="auto"/>
        <w:rPr>
          <w:i/>
          <w:sz w:val="20"/>
          <w:lang w:val="en-US"/>
        </w:rPr>
      </w:pPr>
    </w:p>
    <w:p w:rsidR="00676BD5" w:rsidRPr="00A0221F" w:rsidRDefault="00676BD5" w:rsidP="00676BD5">
      <w:pPr>
        <w:pStyle w:val="SCCNormalDoubleSpacing"/>
        <w:spacing w:line="240" w:lineRule="auto"/>
        <w:rPr>
          <w:sz w:val="20"/>
        </w:rPr>
      </w:pPr>
      <w:r w:rsidRPr="00A0221F">
        <w:rPr>
          <w:i/>
          <w:sz w:val="20"/>
          <w:lang w:val="en-US"/>
        </w:rPr>
        <w:tab/>
      </w:r>
      <w:proofErr w:type="gramStart"/>
      <w:r w:rsidRPr="00A0221F">
        <w:rPr>
          <w:i/>
          <w:sz w:val="20"/>
        </w:rPr>
        <w:t>Robert E. Charney</w:t>
      </w:r>
      <w:r w:rsidRPr="00A0221F">
        <w:rPr>
          <w:sz w:val="20"/>
        </w:rPr>
        <w:t xml:space="preserve"> and </w:t>
      </w:r>
      <w:r w:rsidRPr="00A0221F">
        <w:rPr>
          <w:i/>
          <w:sz w:val="20"/>
        </w:rPr>
        <w:t>Sarah Kraicer</w:t>
      </w:r>
      <w:r w:rsidRPr="00A0221F">
        <w:rPr>
          <w:sz w:val="20"/>
        </w:rPr>
        <w:t>, for the intervener the Attorney General of Ontario.</w:t>
      </w:r>
      <w:proofErr w:type="gramEnd"/>
    </w:p>
    <w:p w:rsidR="00676BD5" w:rsidRDefault="00676BD5" w:rsidP="00676BD5">
      <w:pPr>
        <w:pStyle w:val="SCCNormalDoubleSpacing"/>
        <w:spacing w:line="240" w:lineRule="auto"/>
        <w:rPr>
          <w:i/>
          <w:sz w:val="20"/>
        </w:rPr>
      </w:pPr>
    </w:p>
    <w:p w:rsidR="00676BD5" w:rsidRPr="00A0221F" w:rsidRDefault="00676BD5" w:rsidP="00676BD5">
      <w:pPr>
        <w:pStyle w:val="SCCNormalDoubleSpacing"/>
        <w:spacing w:line="240" w:lineRule="auto"/>
        <w:rPr>
          <w:sz w:val="20"/>
        </w:rPr>
      </w:pPr>
      <w:r w:rsidRPr="00A0221F">
        <w:rPr>
          <w:i/>
          <w:sz w:val="20"/>
        </w:rPr>
        <w:tab/>
      </w:r>
      <w:proofErr w:type="gramStart"/>
      <w:r w:rsidRPr="00A0221F">
        <w:rPr>
          <w:i/>
          <w:sz w:val="20"/>
        </w:rPr>
        <w:t>Andrea Luey</w:t>
      </w:r>
      <w:r w:rsidRPr="00A0221F">
        <w:rPr>
          <w:sz w:val="20"/>
        </w:rPr>
        <w:t>, for the intervener Justice for Children and Youth.</w:t>
      </w:r>
      <w:proofErr w:type="gramEnd"/>
    </w:p>
    <w:p w:rsidR="00676BD5" w:rsidRDefault="00676BD5" w:rsidP="00676BD5">
      <w:pPr>
        <w:pStyle w:val="SCCNormalDoubleSpacing"/>
        <w:spacing w:line="240" w:lineRule="auto"/>
        <w:rPr>
          <w:i/>
          <w:sz w:val="20"/>
        </w:rPr>
      </w:pPr>
    </w:p>
    <w:p w:rsidR="00676BD5" w:rsidRPr="00A0221F" w:rsidRDefault="00676BD5" w:rsidP="00676BD5">
      <w:pPr>
        <w:pStyle w:val="SCCNormalDoubleSpacing"/>
        <w:spacing w:line="240" w:lineRule="auto"/>
        <w:rPr>
          <w:sz w:val="20"/>
        </w:rPr>
      </w:pPr>
      <w:r w:rsidRPr="00A0221F">
        <w:rPr>
          <w:i/>
          <w:sz w:val="20"/>
        </w:rPr>
        <w:tab/>
      </w:r>
      <w:proofErr w:type="gramStart"/>
      <w:r w:rsidRPr="00A0221F">
        <w:rPr>
          <w:i/>
          <w:sz w:val="20"/>
        </w:rPr>
        <w:t>Diane MacDonald</w:t>
      </w:r>
      <w:r w:rsidRPr="00A0221F">
        <w:rPr>
          <w:sz w:val="20"/>
        </w:rPr>
        <w:t xml:space="preserve"> and</w:t>
      </w:r>
      <w:r w:rsidRPr="00A0221F">
        <w:rPr>
          <w:i/>
          <w:sz w:val="20"/>
        </w:rPr>
        <w:t xml:space="preserve"> Robyn Trask</w:t>
      </w:r>
      <w:r w:rsidRPr="00A0221F">
        <w:rPr>
          <w:sz w:val="20"/>
        </w:rPr>
        <w:t>, for the intervener the British Columbia Teachers’ Federation.</w:t>
      </w:r>
      <w:proofErr w:type="gramEnd"/>
    </w:p>
    <w:p w:rsidR="00676BD5" w:rsidRDefault="00676BD5" w:rsidP="00676BD5">
      <w:pPr>
        <w:pStyle w:val="SCCNormalDoubleSpacing"/>
        <w:spacing w:line="240" w:lineRule="auto"/>
        <w:rPr>
          <w:i/>
          <w:sz w:val="20"/>
        </w:rPr>
      </w:pPr>
    </w:p>
    <w:p w:rsidR="00676BD5" w:rsidRPr="00A0221F" w:rsidRDefault="00676BD5" w:rsidP="00676BD5">
      <w:pPr>
        <w:pStyle w:val="SCCNormalDoubleSpacing"/>
        <w:spacing w:line="240" w:lineRule="auto"/>
        <w:rPr>
          <w:sz w:val="20"/>
        </w:rPr>
      </w:pPr>
      <w:r w:rsidRPr="00A0221F">
        <w:rPr>
          <w:i/>
          <w:sz w:val="20"/>
        </w:rPr>
        <w:tab/>
      </w:r>
      <w:proofErr w:type="gramStart"/>
      <w:r w:rsidRPr="00A0221F">
        <w:rPr>
          <w:sz w:val="20"/>
        </w:rPr>
        <w:t>Written submissions only by</w:t>
      </w:r>
      <w:r w:rsidRPr="00A0221F">
        <w:rPr>
          <w:i/>
          <w:sz w:val="20"/>
        </w:rPr>
        <w:t xml:space="preserve"> Gwen Brodsky</w:t>
      </w:r>
      <w:r w:rsidRPr="00A0221F">
        <w:rPr>
          <w:sz w:val="20"/>
        </w:rPr>
        <w:t>, for the intervener the Council of Canadians with Disabilities.</w:t>
      </w:r>
      <w:proofErr w:type="gramEnd"/>
    </w:p>
    <w:p w:rsidR="00676BD5" w:rsidRDefault="00676BD5" w:rsidP="00676BD5">
      <w:pPr>
        <w:pStyle w:val="SCCNormalDoubleSpacing"/>
        <w:spacing w:line="240" w:lineRule="auto"/>
        <w:rPr>
          <w:i/>
          <w:sz w:val="20"/>
        </w:rPr>
      </w:pPr>
    </w:p>
    <w:p w:rsidR="00676BD5" w:rsidRPr="00A0221F" w:rsidRDefault="00676BD5" w:rsidP="00676BD5">
      <w:pPr>
        <w:pStyle w:val="SCCNormalDoubleSpacing"/>
        <w:spacing w:line="240" w:lineRule="auto"/>
        <w:rPr>
          <w:sz w:val="20"/>
        </w:rPr>
      </w:pPr>
      <w:r w:rsidRPr="00A0221F">
        <w:rPr>
          <w:i/>
          <w:sz w:val="20"/>
        </w:rPr>
        <w:tab/>
        <w:t>Anthony D. Griffin</w:t>
      </w:r>
      <w:r w:rsidRPr="00A0221F">
        <w:rPr>
          <w:sz w:val="20"/>
        </w:rPr>
        <w:t>, for the interveners the Ontario Human Rights Commission, the Saskatchewan Human Rights Commission and the Alberta Human Rights Commission.</w:t>
      </w:r>
    </w:p>
    <w:p w:rsidR="00676BD5" w:rsidRDefault="00676BD5" w:rsidP="00676BD5">
      <w:pPr>
        <w:pStyle w:val="SCCNormalDoubleSpacing"/>
        <w:spacing w:line="240" w:lineRule="auto"/>
        <w:rPr>
          <w:i/>
          <w:sz w:val="20"/>
        </w:rPr>
      </w:pPr>
    </w:p>
    <w:p w:rsidR="00676BD5" w:rsidRPr="00A0221F" w:rsidRDefault="00676BD5" w:rsidP="00676BD5">
      <w:pPr>
        <w:pStyle w:val="SCCNormalDoubleSpacing"/>
        <w:spacing w:line="240" w:lineRule="auto"/>
        <w:rPr>
          <w:sz w:val="20"/>
        </w:rPr>
      </w:pPr>
      <w:r w:rsidRPr="00A0221F">
        <w:rPr>
          <w:i/>
          <w:sz w:val="20"/>
        </w:rPr>
        <w:tab/>
        <w:t>Rahool P. Agarwal</w:t>
      </w:r>
      <w:r w:rsidRPr="00A0221F">
        <w:rPr>
          <w:sz w:val="20"/>
        </w:rPr>
        <w:t xml:space="preserve">, </w:t>
      </w:r>
      <w:r w:rsidRPr="00A0221F">
        <w:rPr>
          <w:i/>
          <w:sz w:val="20"/>
        </w:rPr>
        <w:t>Christopher W. Cummins</w:t>
      </w:r>
      <w:r w:rsidRPr="00A0221F">
        <w:rPr>
          <w:sz w:val="20"/>
        </w:rPr>
        <w:t xml:space="preserve"> and </w:t>
      </w:r>
      <w:r w:rsidRPr="00A0221F">
        <w:rPr>
          <w:i/>
          <w:sz w:val="20"/>
        </w:rPr>
        <w:t>Rowan E. Weaver,</w:t>
      </w:r>
      <w:r w:rsidRPr="00A0221F">
        <w:rPr>
          <w:sz w:val="20"/>
        </w:rPr>
        <w:t xml:space="preserve"> for the intervener the International Dyslexia Association, Ontario Branch.</w:t>
      </w:r>
    </w:p>
    <w:p w:rsidR="00676BD5" w:rsidRDefault="00676BD5" w:rsidP="00676BD5">
      <w:pPr>
        <w:pStyle w:val="SCCNormalDoubleSpacing"/>
        <w:spacing w:line="240" w:lineRule="auto"/>
        <w:rPr>
          <w:i/>
          <w:sz w:val="20"/>
        </w:rPr>
      </w:pPr>
    </w:p>
    <w:p w:rsidR="00676BD5" w:rsidRPr="00A0221F" w:rsidRDefault="00676BD5" w:rsidP="00676BD5">
      <w:pPr>
        <w:pStyle w:val="SCCNormalDoubleSpacing"/>
        <w:spacing w:line="240" w:lineRule="auto"/>
        <w:rPr>
          <w:sz w:val="20"/>
        </w:rPr>
      </w:pPr>
      <w:r w:rsidRPr="00A0221F">
        <w:rPr>
          <w:i/>
          <w:sz w:val="20"/>
        </w:rPr>
        <w:tab/>
      </w:r>
      <w:proofErr w:type="gramStart"/>
      <w:r w:rsidRPr="00A0221F">
        <w:rPr>
          <w:i/>
          <w:sz w:val="20"/>
        </w:rPr>
        <w:t xml:space="preserve">Brian Smith </w:t>
      </w:r>
      <w:r w:rsidRPr="00A0221F">
        <w:rPr>
          <w:sz w:val="20"/>
        </w:rPr>
        <w:t>and</w:t>
      </w:r>
      <w:r w:rsidRPr="00A0221F">
        <w:rPr>
          <w:i/>
          <w:sz w:val="20"/>
        </w:rPr>
        <w:t xml:space="preserve"> Philippe Dufresne</w:t>
      </w:r>
      <w:r w:rsidRPr="00A0221F">
        <w:rPr>
          <w:sz w:val="20"/>
        </w:rPr>
        <w:t>, for the intervener the Canadian Human Rights Commission.</w:t>
      </w:r>
      <w:proofErr w:type="gramEnd"/>
    </w:p>
    <w:p w:rsidR="00676BD5" w:rsidRDefault="00676BD5" w:rsidP="00676BD5">
      <w:pPr>
        <w:pStyle w:val="SCCNormalDoubleSpacing"/>
        <w:spacing w:line="240" w:lineRule="auto"/>
        <w:rPr>
          <w:i/>
          <w:sz w:val="20"/>
        </w:rPr>
      </w:pPr>
    </w:p>
    <w:p w:rsidR="00676BD5" w:rsidRPr="00A0221F" w:rsidRDefault="00676BD5" w:rsidP="00676BD5">
      <w:pPr>
        <w:pStyle w:val="SCCNormalDoubleSpacing"/>
        <w:spacing w:line="240" w:lineRule="auto"/>
        <w:rPr>
          <w:sz w:val="20"/>
        </w:rPr>
      </w:pPr>
      <w:r w:rsidRPr="00A0221F">
        <w:rPr>
          <w:i/>
          <w:sz w:val="20"/>
        </w:rPr>
        <w:tab/>
      </w:r>
      <w:proofErr w:type="gramStart"/>
      <w:r w:rsidRPr="00A0221F">
        <w:rPr>
          <w:i/>
          <w:sz w:val="20"/>
        </w:rPr>
        <w:t>Yude M. Henteleff, Q.C.,</w:t>
      </w:r>
      <w:r w:rsidRPr="00A0221F">
        <w:rPr>
          <w:sz w:val="20"/>
        </w:rPr>
        <w:t xml:space="preserve"> and </w:t>
      </w:r>
      <w:r w:rsidRPr="00A0221F">
        <w:rPr>
          <w:i/>
          <w:sz w:val="20"/>
        </w:rPr>
        <w:t>Darla L. Rettie</w:t>
      </w:r>
      <w:r w:rsidRPr="00A0221F">
        <w:rPr>
          <w:sz w:val="20"/>
        </w:rPr>
        <w:t>, for the intervener the Learning Disabilities Association of Canada.</w:t>
      </w:r>
      <w:proofErr w:type="gramEnd"/>
    </w:p>
    <w:p w:rsidR="00676BD5" w:rsidRDefault="00676BD5" w:rsidP="00676BD5">
      <w:pPr>
        <w:pStyle w:val="SCCNormalDoubleSpacing"/>
        <w:spacing w:line="240" w:lineRule="auto"/>
        <w:rPr>
          <w:i/>
          <w:sz w:val="20"/>
        </w:rPr>
      </w:pPr>
    </w:p>
    <w:p w:rsidR="00676BD5" w:rsidRPr="00A0221F" w:rsidRDefault="00676BD5" w:rsidP="00676BD5">
      <w:pPr>
        <w:pStyle w:val="SCCNormalDoubleSpacing"/>
        <w:spacing w:line="240" w:lineRule="auto"/>
        <w:rPr>
          <w:sz w:val="20"/>
        </w:rPr>
      </w:pPr>
      <w:r w:rsidRPr="00A0221F">
        <w:rPr>
          <w:i/>
          <w:sz w:val="20"/>
        </w:rPr>
        <w:tab/>
      </w:r>
      <w:proofErr w:type="gramStart"/>
      <w:r w:rsidRPr="00A0221F">
        <w:rPr>
          <w:i/>
          <w:sz w:val="20"/>
        </w:rPr>
        <w:t>Ranjan K. Agarwal</w:t>
      </w:r>
      <w:r w:rsidRPr="00A0221F">
        <w:rPr>
          <w:sz w:val="20"/>
        </w:rPr>
        <w:t xml:space="preserve"> and </w:t>
      </w:r>
      <w:r w:rsidRPr="00A0221F">
        <w:rPr>
          <w:i/>
          <w:sz w:val="20"/>
        </w:rPr>
        <w:t>Daniel Holden</w:t>
      </w:r>
      <w:r w:rsidRPr="00A0221F">
        <w:rPr>
          <w:sz w:val="20"/>
        </w:rPr>
        <w:t>, for the intervener the Canadian Constitution Foundation.</w:t>
      </w:r>
      <w:proofErr w:type="gramEnd"/>
    </w:p>
    <w:p w:rsidR="00676BD5" w:rsidRDefault="00676BD5" w:rsidP="00676BD5">
      <w:pPr>
        <w:pStyle w:val="SCCNormalDoubleSpacing"/>
        <w:spacing w:line="240" w:lineRule="auto"/>
        <w:rPr>
          <w:i/>
          <w:sz w:val="20"/>
        </w:rPr>
      </w:pPr>
    </w:p>
    <w:p w:rsidR="00676BD5" w:rsidRPr="00A0221F" w:rsidRDefault="00676BD5" w:rsidP="00676BD5">
      <w:pPr>
        <w:pStyle w:val="SCCNormalDoubleSpacing"/>
        <w:spacing w:line="240" w:lineRule="auto"/>
        <w:rPr>
          <w:sz w:val="20"/>
        </w:rPr>
      </w:pPr>
      <w:r w:rsidRPr="00A0221F">
        <w:rPr>
          <w:i/>
          <w:sz w:val="20"/>
        </w:rPr>
        <w:tab/>
      </w:r>
      <w:proofErr w:type="gramStart"/>
      <w:r w:rsidRPr="00A0221F">
        <w:rPr>
          <w:sz w:val="20"/>
        </w:rPr>
        <w:t>Written submissions only</w:t>
      </w:r>
      <w:r w:rsidRPr="00A0221F">
        <w:rPr>
          <w:i/>
          <w:sz w:val="20"/>
        </w:rPr>
        <w:t xml:space="preserve"> </w:t>
      </w:r>
      <w:r w:rsidRPr="00A0221F">
        <w:rPr>
          <w:sz w:val="20"/>
        </w:rPr>
        <w:t>by</w:t>
      </w:r>
      <w:r w:rsidRPr="00A0221F">
        <w:rPr>
          <w:i/>
          <w:sz w:val="20"/>
        </w:rPr>
        <w:t xml:space="preserve"> Isha Khan</w:t>
      </w:r>
      <w:r w:rsidRPr="00A0221F">
        <w:rPr>
          <w:sz w:val="20"/>
        </w:rPr>
        <w:t>, for the intervener the Manitoba Human Rights Commission.</w:t>
      </w:r>
      <w:proofErr w:type="gramEnd"/>
    </w:p>
    <w:p w:rsidR="00676BD5" w:rsidRDefault="00676BD5" w:rsidP="00676BD5">
      <w:pPr>
        <w:pStyle w:val="SCCNormalDoubleSpacing"/>
        <w:spacing w:line="240" w:lineRule="auto"/>
        <w:rPr>
          <w:i/>
          <w:sz w:val="20"/>
        </w:rPr>
      </w:pPr>
    </w:p>
    <w:p w:rsidR="00676BD5" w:rsidRPr="00A0221F" w:rsidRDefault="00676BD5" w:rsidP="00676BD5">
      <w:pPr>
        <w:pStyle w:val="SCCNormalDoubleSpacing"/>
        <w:spacing w:line="240" w:lineRule="auto"/>
        <w:rPr>
          <w:sz w:val="20"/>
        </w:rPr>
      </w:pPr>
      <w:r w:rsidRPr="00A0221F">
        <w:rPr>
          <w:i/>
          <w:sz w:val="20"/>
        </w:rPr>
        <w:tab/>
      </w:r>
      <w:proofErr w:type="gramStart"/>
      <w:r w:rsidRPr="00A0221F">
        <w:rPr>
          <w:i/>
          <w:sz w:val="20"/>
        </w:rPr>
        <w:t>Alison Dewar</w:t>
      </w:r>
      <w:r w:rsidRPr="00A0221F">
        <w:rPr>
          <w:sz w:val="20"/>
        </w:rPr>
        <w:t>, for the intervener the West Coast Women’s Legal Education and Action Fund.</w:t>
      </w:r>
      <w:proofErr w:type="gramEnd"/>
    </w:p>
    <w:p w:rsidR="00676BD5" w:rsidRDefault="00676BD5" w:rsidP="00676BD5">
      <w:pPr>
        <w:pStyle w:val="SCCNormalDoubleSpacing"/>
        <w:spacing w:line="240" w:lineRule="auto"/>
        <w:rPr>
          <w:i/>
          <w:sz w:val="20"/>
        </w:rPr>
      </w:pPr>
    </w:p>
    <w:p w:rsidR="00676BD5" w:rsidRPr="00A0221F" w:rsidRDefault="00676BD5" w:rsidP="00676BD5">
      <w:pPr>
        <w:pStyle w:val="SCCNormalDoubleSpacing"/>
        <w:spacing w:line="240" w:lineRule="auto"/>
        <w:rPr>
          <w:sz w:val="20"/>
        </w:rPr>
      </w:pPr>
      <w:r w:rsidRPr="00A0221F">
        <w:rPr>
          <w:i/>
          <w:sz w:val="20"/>
        </w:rPr>
        <w:tab/>
      </w:r>
      <w:proofErr w:type="gramStart"/>
      <w:r w:rsidRPr="00A0221F">
        <w:rPr>
          <w:i/>
          <w:sz w:val="20"/>
        </w:rPr>
        <w:t xml:space="preserve">Roberto Lattanzio </w:t>
      </w:r>
      <w:r w:rsidRPr="00A0221F">
        <w:rPr>
          <w:sz w:val="20"/>
        </w:rPr>
        <w:t>and</w:t>
      </w:r>
      <w:r w:rsidRPr="00A0221F">
        <w:rPr>
          <w:i/>
          <w:sz w:val="20"/>
        </w:rPr>
        <w:t xml:space="preserve"> Laurie Letheren</w:t>
      </w:r>
      <w:r w:rsidRPr="00A0221F">
        <w:rPr>
          <w:sz w:val="20"/>
        </w:rPr>
        <w:t>, for the intervener the Canadian Association for Community Living.</w:t>
      </w:r>
      <w:proofErr w:type="gramEnd"/>
    </w:p>
    <w:p w:rsidR="00676BD5" w:rsidRDefault="00676BD5" w:rsidP="00676BD5">
      <w:pPr>
        <w:pStyle w:val="SCCNormalDoubleSpacing"/>
        <w:spacing w:line="240" w:lineRule="auto"/>
        <w:rPr>
          <w:i/>
          <w:sz w:val="20"/>
        </w:rPr>
      </w:pPr>
    </w:p>
    <w:p w:rsidR="00676BD5" w:rsidRPr="00A0221F" w:rsidRDefault="00676BD5" w:rsidP="00676BD5">
      <w:pPr>
        <w:pStyle w:val="SCCNormalDoubleSpacing"/>
        <w:spacing w:line="240" w:lineRule="auto"/>
        <w:rPr>
          <w:sz w:val="20"/>
          <w:lang w:val="fr-CA"/>
        </w:rPr>
      </w:pPr>
      <w:r w:rsidRPr="00A0221F">
        <w:rPr>
          <w:i/>
          <w:sz w:val="20"/>
        </w:rPr>
        <w:tab/>
      </w:r>
      <w:r w:rsidRPr="00A0221F">
        <w:rPr>
          <w:i/>
          <w:sz w:val="20"/>
          <w:lang w:val="fr-CA"/>
        </w:rPr>
        <w:t>Athanassia Bitzakidis</w:t>
      </w:r>
      <w:r w:rsidRPr="00A0221F">
        <w:rPr>
          <w:sz w:val="20"/>
          <w:lang w:val="fr-CA"/>
        </w:rPr>
        <w:t>, for the intervener Commission des droits de la personne et des droits de la jeunesse.</w:t>
      </w:r>
    </w:p>
    <w:p w:rsidR="00676BD5" w:rsidRDefault="00676BD5" w:rsidP="00676BD5">
      <w:pPr>
        <w:pStyle w:val="SCCNormalDoubleSpacing"/>
        <w:spacing w:line="240" w:lineRule="auto"/>
        <w:rPr>
          <w:i/>
          <w:sz w:val="20"/>
          <w:lang w:val="fr-CA"/>
        </w:rPr>
      </w:pPr>
    </w:p>
    <w:p w:rsidR="00676BD5" w:rsidRPr="00A0221F" w:rsidRDefault="00676BD5" w:rsidP="00676BD5">
      <w:pPr>
        <w:pStyle w:val="SCCNormalDoubleSpacing"/>
        <w:spacing w:line="240" w:lineRule="auto"/>
        <w:rPr>
          <w:sz w:val="20"/>
        </w:rPr>
      </w:pPr>
      <w:r w:rsidRPr="00A0221F">
        <w:rPr>
          <w:i/>
          <w:sz w:val="20"/>
          <w:lang w:val="fr-CA"/>
        </w:rPr>
        <w:tab/>
      </w:r>
      <w:proofErr w:type="gramStart"/>
      <w:r w:rsidRPr="00A0221F">
        <w:rPr>
          <w:i/>
          <w:sz w:val="20"/>
        </w:rPr>
        <w:t>Denise E. Paluck</w:t>
      </w:r>
      <w:r w:rsidRPr="00A0221F">
        <w:rPr>
          <w:sz w:val="20"/>
        </w:rPr>
        <w:t>, for the intervener the British Columbia Human Rights Tribunal.</w:t>
      </w:r>
      <w:proofErr w:type="gramEnd"/>
    </w:p>
    <w:p w:rsidR="00676BD5" w:rsidRDefault="00676BD5" w:rsidP="00676BD5">
      <w:pPr>
        <w:pStyle w:val="SCCNormalDoubleSpacing"/>
        <w:spacing w:line="240" w:lineRule="auto"/>
        <w:rPr>
          <w:i/>
          <w:sz w:val="20"/>
        </w:rPr>
      </w:pPr>
    </w:p>
    <w:p w:rsidR="00676BD5" w:rsidRPr="00A0221F" w:rsidRDefault="00676BD5" w:rsidP="00676BD5">
      <w:pPr>
        <w:pStyle w:val="SCCNormalDoubleSpacing"/>
        <w:spacing w:line="240" w:lineRule="auto"/>
        <w:rPr>
          <w:sz w:val="20"/>
        </w:rPr>
      </w:pPr>
      <w:r w:rsidRPr="00A0221F">
        <w:rPr>
          <w:i/>
          <w:sz w:val="20"/>
        </w:rPr>
        <w:tab/>
      </w:r>
      <w:proofErr w:type="gramStart"/>
      <w:r w:rsidRPr="00A0221F">
        <w:rPr>
          <w:i/>
          <w:sz w:val="20"/>
        </w:rPr>
        <w:t>Nicholas McHaffie</w:t>
      </w:r>
      <w:r w:rsidRPr="00A0221F">
        <w:rPr>
          <w:sz w:val="20"/>
        </w:rPr>
        <w:t xml:space="preserve"> and </w:t>
      </w:r>
      <w:r w:rsidRPr="00A0221F">
        <w:rPr>
          <w:i/>
          <w:sz w:val="20"/>
        </w:rPr>
        <w:t>Sarah Clarke</w:t>
      </w:r>
      <w:r w:rsidRPr="00A0221F">
        <w:rPr>
          <w:sz w:val="20"/>
        </w:rPr>
        <w:t>, for the intervener the First Nations Child and Family Caring Society of Canada.</w:t>
      </w:r>
      <w:proofErr w:type="gramEnd"/>
    </w:p>
    <w:p w:rsidR="00676BD5" w:rsidRDefault="00676BD5" w:rsidP="00676BD5">
      <w:pPr>
        <w:pStyle w:val="SCCLawFirm"/>
        <w:spacing w:line="240" w:lineRule="auto"/>
        <w:rPr>
          <w:sz w:val="20"/>
        </w:rPr>
      </w:pPr>
    </w:p>
    <w:p w:rsidR="00676BD5" w:rsidRPr="00A0221F" w:rsidRDefault="00676BD5" w:rsidP="00676BD5">
      <w:pPr>
        <w:pStyle w:val="SCCLawFirm"/>
        <w:spacing w:line="240" w:lineRule="auto"/>
        <w:rPr>
          <w:sz w:val="20"/>
        </w:rPr>
      </w:pPr>
      <w:r w:rsidRPr="00A0221F">
        <w:rPr>
          <w:sz w:val="20"/>
        </w:rPr>
        <w:tab/>
        <w:t>Solicitor for the appellant:  Community Legal Assistance Society, Vancouver.</w:t>
      </w:r>
    </w:p>
    <w:p w:rsidR="00676BD5" w:rsidRDefault="00676BD5" w:rsidP="00676BD5">
      <w:pPr>
        <w:pStyle w:val="SCCLawFirm"/>
        <w:spacing w:line="240" w:lineRule="auto"/>
        <w:rPr>
          <w:sz w:val="20"/>
        </w:rPr>
      </w:pPr>
    </w:p>
    <w:p w:rsidR="00676BD5" w:rsidRPr="00A0221F" w:rsidRDefault="00676BD5" w:rsidP="00676BD5">
      <w:pPr>
        <w:pStyle w:val="SCCLawFirm"/>
        <w:spacing w:line="240" w:lineRule="auto"/>
        <w:rPr>
          <w:sz w:val="20"/>
        </w:rPr>
      </w:pPr>
      <w:r w:rsidRPr="00A0221F">
        <w:rPr>
          <w:sz w:val="20"/>
        </w:rPr>
        <w:tab/>
        <w:t>Solicitor for the respondent Her Majesty the Queen in Right of the Province of British Columbia, as represented by the Ministry of Education:  Attorney General of British Columbia, Victoria.</w:t>
      </w:r>
    </w:p>
    <w:p w:rsidR="00676BD5" w:rsidRDefault="00676BD5" w:rsidP="00676BD5">
      <w:pPr>
        <w:pStyle w:val="SCCLawFirm"/>
        <w:spacing w:line="240" w:lineRule="auto"/>
        <w:rPr>
          <w:sz w:val="20"/>
        </w:rPr>
      </w:pPr>
    </w:p>
    <w:p w:rsidR="00676BD5" w:rsidRPr="00A0221F" w:rsidRDefault="00676BD5" w:rsidP="00676BD5">
      <w:pPr>
        <w:pStyle w:val="SCCLawFirm"/>
        <w:spacing w:line="240" w:lineRule="auto"/>
        <w:rPr>
          <w:sz w:val="20"/>
        </w:rPr>
      </w:pPr>
      <w:r w:rsidRPr="00A0221F">
        <w:rPr>
          <w:sz w:val="20"/>
        </w:rPr>
        <w:tab/>
        <w:t>Solicitors for the respondent the Board of Education of School District No. 44 (North Vancouver), formerly known as The Board of School Trustees of School District No. 44 (North Vancouver):  Guild Yule, Vancouver.</w:t>
      </w:r>
    </w:p>
    <w:p w:rsidR="00676BD5" w:rsidRDefault="00676BD5" w:rsidP="00676BD5">
      <w:pPr>
        <w:pStyle w:val="SCCLawFirm"/>
        <w:spacing w:line="240" w:lineRule="auto"/>
        <w:rPr>
          <w:sz w:val="20"/>
          <w:lang w:val="en-US"/>
        </w:rPr>
      </w:pPr>
    </w:p>
    <w:p w:rsidR="00676BD5" w:rsidRPr="00A0221F" w:rsidRDefault="00676BD5" w:rsidP="00676BD5">
      <w:pPr>
        <w:pStyle w:val="SCCLawFirm"/>
        <w:spacing w:line="240" w:lineRule="auto"/>
        <w:rPr>
          <w:sz w:val="20"/>
        </w:rPr>
      </w:pPr>
      <w:r w:rsidRPr="00A0221F">
        <w:rPr>
          <w:sz w:val="20"/>
          <w:lang w:val="en-US"/>
        </w:rPr>
        <w:tab/>
      </w:r>
      <w:r w:rsidRPr="00A0221F">
        <w:rPr>
          <w:sz w:val="20"/>
        </w:rPr>
        <w:t>Solicitor for the intervener the Attorney General of Ontario:  Attorney General of Ontario, Toronto.</w:t>
      </w:r>
    </w:p>
    <w:p w:rsidR="00676BD5" w:rsidRDefault="00676BD5" w:rsidP="00676BD5">
      <w:pPr>
        <w:pStyle w:val="SCCLawFirm"/>
        <w:spacing w:line="240" w:lineRule="auto"/>
        <w:rPr>
          <w:sz w:val="20"/>
        </w:rPr>
      </w:pPr>
    </w:p>
    <w:p w:rsidR="00676BD5" w:rsidRPr="00A0221F" w:rsidRDefault="00676BD5" w:rsidP="00676BD5">
      <w:pPr>
        <w:pStyle w:val="SCCLawFirm"/>
        <w:spacing w:line="240" w:lineRule="auto"/>
        <w:rPr>
          <w:sz w:val="20"/>
        </w:rPr>
      </w:pPr>
      <w:r w:rsidRPr="00A0221F">
        <w:rPr>
          <w:sz w:val="20"/>
        </w:rPr>
        <w:tab/>
        <w:t>Solicitor for the intervener Justice for Children and Youth:  Canadian Foundation for Children, Youth and the Law, Toronto.</w:t>
      </w:r>
    </w:p>
    <w:p w:rsidR="00676BD5" w:rsidRDefault="00676BD5" w:rsidP="00676BD5">
      <w:pPr>
        <w:pStyle w:val="SCCLawFirm"/>
        <w:spacing w:line="240" w:lineRule="auto"/>
        <w:rPr>
          <w:sz w:val="20"/>
        </w:rPr>
      </w:pPr>
    </w:p>
    <w:p w:rsidR="00676BD5" w:rsidRPr="00A0221F" w:rsidRDefault="00676BD5" w:rsidP="00676BD5">
      <w:pPr>
        <w:pStyle w:val="SCCLawFirm"/>
        <w:spacing w:line="240" w:lineRule="auto"/>
        <w:rPr>
          <w:sz w:val="20"/>
        </w:rPr>
      </w:pPr>
      <w:r w:rsidRPr="00A0221F">
        <w:rPr>
          <w:sz w:val="20"/>
        </w:rPr>
        <w:tab/>
        <w:t>Solicitor for the intervener the British Columbia Teachers’ Federation:  British Columbia Teachers’ Federation, Vancouver.</w:t>
      </w:r>
    </w:p>
    <w:p w:rsidR="00676BD5" w:rsidRDefault="00676BD5" w:rsidP="00676BD5">
      <w:pPr>
        <w:pStyle w:val="SCCLawFirm"/>
        <w:spacing w:line="240" w:lineRule="auto"/>
        <w:rPr>
          <w:sz w:val="20"/>
        </w:rPr>
      </w:pPr>
    </w:p>
    <w:p w:rsidR="00676BD5" w:rsidRPr="00A0221F" w:rsidRDefault="00676BD5" w:rsidP="00676BD5">
      <w:pPr>
        <w:pStyle w:val="SCCLawFirm"/>
        <w:spacing w:line="240" w:lineRule="auto"/>
        <w:rPr>
          <w:sz w:val="20"/>
        </w:rPr>
      </w:pPr>
      <w:r w:rsidRPr="00A0221F">
        <w:rPr>
          <w:sz w:val="20"/>
        </w:rPr>
        <w:tab/>
        <w:t>Solicitors for the intervener the Council of Canadians with Disabilities:  Camp Fiorante Matthews, Vancouver.</w:t>
      </w:r>
    </w:p>
    <w:p w:rsidR="00676BD5" w:rsidRDefault="00676BD5" w:rsidP="00676BD5">
      <w:pPr>
        <w:pStyle w:val="SCCLawFirm"/>
        <w:spacing w:line="240" w:lineRule="auto"/>
        <w:rPr>
          <w:sz w:val="20"/>
        </w:rPr>
      </w:pPr>
    </w:p>
    <w:p w:rsidR="00676BD5" w:rsidRPr="00A0221F" w:rsidRDefault="00676BD5" w:rsidP="00676BD5">
      <w:pPr>
        <w:pStyle w:val="SCCLawFirm"/>
        <w:spacing w:line="240" w:lineRule="auto"/>
        <w:rPr>
          <w:sz w:val="20"/>
        </w:rPr>
      </w:pPr>
      <w:r w:rsidRPr="00A0221F">
        <w:rPr>
          <w:sz w:val="20"/>
        </w:rPr>
        <w:tab/>
        <w:t>Solicitor for the interveners the Ontario Human Rights Commission, the Saskatchewan Human Rights Commission and the Alberta Human Rights Commission:  Ontario Human Rights Commission, Toronto.</w:t>
      </w:r>
    </w:p>
    <w:p w:rsidR="00676BD5" w:rsidRDefault="00676BD5" w:rsidP="00676BD5">
      <w:pPr>
        <w:pStyle w:val="SCCLawFirm"/>
        <w:spacing w:line="240" w:lineRule="auto"/>
        <w:rPr>
          <w:sz w:val="20"/>
        </w:rPr>
      </w:pPr>
    </w:p>
    <w:p w:rsidR="00676BD5" w:rsidRPr="00A0221F" w:rsidRDefault="00676BD5" w:rsidP="00676BD5">
      <w:pPr>
        <w:pStyle w:val="SCCLawFirm"/>
        <w:spacing w:line="240" w:lineRule="auto"/>
        <w:rPr>
          <w:sz w:val="20"/>
        </w:rPr>
      </w:pPr>
      <w:r w:rsidRPr="00A0221F">
        <w:rPr>
          <w:sz w:val="20"/>
        </w:rPr>
        <w:tab/>
        <w:t>Solicitors for the intervener the International Dyslexia Association, Ontario Branch:  Norton Rose Canada, Toronto.</w:t>
      </w:r>
    </w:p>
    <w:p w:rsidR="00676BD5" w:rsidRDefault="00676BD5" w:rsidP="00676BD5">
      <w:pPr>
        <w:pStyle w:val="SCCLawFirm"/>
        <w:spacing w:line="240" w:lineRule="auto"/>
        <w:rPr>
          <w:sz w:val="20"/>
        </w:rPr>
      </w:pPr>
    </w:p>
    <w:p w:rsidR="00676BD5" w:rsidRPr="00A0221F" w:rsidRDefault="00676BD5" w:rsidP="00676BD5">
      <w:pPr>
        <w:pStyle w:val="SCCLawFirm"/>
        <w:spacing w:line="240" w:lineRule="auto"/>
        <w:rPr>
          <w:sz w:val="20"/>
        </w:rPr>
      </w:pPr>
      <w:r w:rsidRPr="00A0221F">
        <w:rPr>
          <w:sz w:val="20"/>
        </w:rPr>
        <w:tab/>
        <w:t>Solicitor for the intervener the Canadian Human Rights Commission:  Canadian Human Rights Commission, Ottawa.</w:t>
      </w:r>
    </w:p>
    <w:p w:rsidR="00676BD5" w:rsidRDefault="00676BD5" w:rsidP="00676BD5">
      <w:pPr>
        <w:pStyle w:val="SCCLawFirm"/>
        <w:spacing w:line="240" w:lineRule="auto"/>
        <w:rPr>
          <w:sz w:val="20"/>
        </w:rPr>
      </w:pPr>
    </w:p>
    <w:p w:rsidR="00676BD5" w:rsidRPr="00A0221F" w:rsidRDefault="00676BD5" w:rsidP="00676BD5">
      <w:pPr>
        <w:pStyle w:val="SCCLawFirm"/>
        <w:spacing w:line="240" w:lineRule="auto"/>
        <w:rPr>
          <w:sz w:val="20"/>
        </w:rPr>
      </w:pPr>
      <w:r w:rsidRPr="00A0221F">
        <w:rPr>
          <w:sz w:val="20"/>
        </w:rPr>
        <w:tab/>
        <w:t>Solicitors for the intervener the Learning Disabilities Association of Canada:  Pitblado, Winnipeg.</w:t>
      </w:r>
    </w:p>
    <w:p w:rsidR="00676BD5" w:rsidRDefault="00676BD5" w:rsidP="00676BD5">
      <w:pPr>
        <w:pStyle w:val="SCCLawFirm"/>
        <w:spacing w:line="240" w:lineRule="auto"/>
        <w:rPr>
          <w:sz w:val="20"/>
        </w:rPr>
      </w:pPr>
    </w:p>
    <w:p w:rsidR="00676BD5" w:rsidRPr="00A0221F" w:rsidRDefault="00676BD5" w:rsidP="00676BD5">
      <w:pPr>
        <w:pStyle w:val="SCCLawFirm"/>
        <w:spacing w:line="240" w:lineRule="auto"/>
        <w:rPr>
          <w:sz w:val="20"/>
        </w:rPr>
      </w:pPr>
      <w:r w:rsidRPr="00A0221F">
        <w:rPr>
          <w:sz w:val="20"/>
        </w:rPr>
        <w:tab/>
        <w:t>Solicitors for the intervener the Canadian Constitution Foundation:  Bennett Jones, Ottawa.</w:t>
      </w:r>
    </w:p>
    <w:p w:rsidR="00676BD5" w:rsidRDefault="00676BD5" w:rsidP="00676BD5">
      <w:pPr>
        <w:pStyle w:val="SCCLawFirm"/>
        <w:spacing w:line="240" w:lineRule="auto"/>
        <w:rPr>
          <w:sz w:val="20"/>
        </w:rPr>
      </w:pPr>
    </w:p>
    <w:p w:rsidR="00676BD5" w:rsidRPr="00A0221F" w:rsidRDefault="00676BD5" w:rsidP="00676BD5">
      <w:pPr>
        <w:pStyle w:val="SCCLawFirm"/>
        <w:spacing w:line="240" w:lineRule="auto"/>
        <w:rPr>
          <w:sz w:val="20"/>
        </w:rPr>
      </w:pPr>
      <w:r w:rsidRPr="00A0221F">
        <w:rPr>
          <w:sz w:val="20"/>
        </w:rPr>
        <w:tab/>
        <w:t>Solicitor for the intervener the Manitoba Human Rights Commission:  Manitoba Human Rights Commission, Winnipeg.</w:t>
      </w:r>
    </w:p>
    <w:p w:rsidR="00676BD5" w:rsidRDefault="00676BD5" w:rsidP="00676BD5">
      <w:pPr>
        <w:pStyle w:val="SCCLawFirm"/>
        <w:spacing w:line="240" w:lineRule="auto"/>
        <w:rPr>
          <w:sz w:val="20"/>
        </w:rPr>
      </w:pPr>
    </w:p>
    <w:p w:rsidR="00676BD5" w:rsidRPr="00A0221F" w:rsidRDefault="00676BD5" w:rsidP="00676BD5">
      <w:pPr>
        <w:pStyle w:val="SCCLawFirm"/>
        <w:spacing w:line="240" w:lineRule="auto"/>
        <w:rPr>
          <w:sz w:val="20"/>
        </w:rPr>
      </w:pPr>
      <w:r w:rsidRPr="00A0221F">
        <w:rPr>
          <w:sz w:val="20"/>
        </w:rPr>
        <w:tab/>
        <w:t>Solicitor for the intervener the West Coast Women’s Legal Education and Action Fund:  West Coast Women’s Legal Education and Action Fund, Vancouver.</w:t>
      </w:r>
    </w:p>
    <w:p w:rsidR="00676BD5" w:rsidRDefault="00676BD5" w:rsidP="00676BD5">
      <w:pPr>
        <w:pStyle w:val="SCCLawFirm"/>
        <w:spacing w:line="240" w:lineRule="auto"/>
        <w:rPr>
          <w:sz w:val="20"/>
        </w:rPr>
      </w:pPr>
    </w:p>
    <w:p w:rsidR="00676BD5" w:rsidRPr="00A0221F" w:rsidRDefault="00676BD5" w:rsidP="00676BD5">
      <w:pPr>
        <w:pStyle w:val="SCCLawFirm"/>
        <w:spacing w:line="240" w:lineRule="auto"/>
        <w:rPr>
          <w:sz w:val="20"/>
        </w:rPr>
      </w:pPr>
      <w:r w:rsidRPr="00A0221F">
        <w:rPr>
          <w:sz w:val="20"/>
        </w:rPr>
        <w:tab/>
        <w:t>Solicitor for the intervener the Canadian Association for Community Living:  ARCH Disability Law Centre, Toronto.</w:t>
      </w:r>
    </w:p>
    <w:p w:rsidR="00676BD5" w:rsidRDefault="00676BD5" w:rsidP="00676BD5">
      <w:pPr>
        <w:pStyle w:val="SCCLawFirm"/>
        <w:spacing w:line="240" w:lineRule="auto"/>
        <w:rPr>
          <w:sz w:val="20"/>
        </w:rPr>
      </w:pPr>
    </w:p>
    <w:p w:rsidR="00676BD5" w:rsidRPr="00A0221F" w:rsidRDefault="00676BD5" w:rsidP="00676BD5">
      <w:pPr>
        <w:pStyle w:val="SCCLawFirm"/>
        <w:spacing w:line="240" w:lineRule="auto"/>
        <w:rPr>
          <w:sz w:val="20"/>
          <w:lang w:val="fr-CA"/>
        </w:rPr>
      </w:pPr>
      <w:r w:rsidRPr="00A0221F">
        <w:rPr>
          <w:sz w:val="20"/>
        </w:rPr>
        <w:tab/>
      </w:r>
      <w:r w:rsidRPr="00A0221F">
        <w:rPr>
          <w:sz w:val="20"/>
          <w:lang w:val="fr-CA"/>
        </w:rPr>
        <w:t>Solicitor for the intervener Commission des droits de la personne et des droits de la jeunesse:</w:t>
      </w:r>
      <w:proofErr w:type="gramStart"/>
      <w:r w:rsidRPr="00A0221F">
        <w:rPr>
          <w:sz w:val="20"/>
          <w:lang w:val="fr-CA"/>
        </w:rPr>
        <w:t>  Commission</w:t>
      </w:r>
      <w:proofErr w:type="gramEnd"/>
      <w:r w:rsidRPr="00A0221F">
        <w:rPr>
          <w:sz w:val="20"/>
          <w:lang w:val="fr-CA"/>
        </w:rPr>
        <w:t xml:space="preserve"> des droits de la personne et des droits de la jeunesse, Montréal.</w:t>
      </w:r>
    </w:p>
    <w:p w:rsidR="00676BD5" w:rsidRDefault="00676BD5" w:rsidP="00676BD5">
      <w:pPr>
        <w:pStyle w:val="SCCLawFirm"/>
        <w:spacing w:line="240" w:lineRule="auto"/>
        <w:rPr>
          <w:sz w:val="20"/>
          <w:lang w:val="fr-CA"/>
        </w:rPr>
      </w:pPr>
    </w:p>
    <w:p w:rsidR="00676BD5" w:rsidRPr="00A0221F" w:rsidRDefault="00676BD5" w:rsidP="00676BD5">
      <w:pPr>
        <w:pStyle w:val="SCCLawFirm"/>
        <w:spacing w:line="240" w:lineRule="auto"/>
        <w:rPr>
          <w:sz w:val="20"/>
        </w:rPr>
      </w:pPr>
      <w:r w:rsidRPr="00A0221F">
        <w:rPr>
          <w:sz w:val="20"/>
          <w:lang w:val="fr-CA"/>
        </w:rPr>
        <w:tab/>
      </w:r>
      <w:r w:rsidRPr="00A0221F">
        <w:rPr>
          <w:sz w:val="20"/>
        </w:rPr>
        <w:t>Solicitor for the intervener the British Columbia Human Rights Tribunal:  British Columbia Human Rights Tribunal, Vancouver.</w:t>
      </w:r>
    </w:p>
    <w:p w:rsidR="00676BD5" w:rsidRDefault="00676BD5" w:rsidP="00676BD5">
      <w:pPr>
        <w:pStyle w:val="SCCLawFirm"/>
        <w:spacing w:line="240" w:lineRule="auto"/>
        <w:rPr>
          <w:sz w:val="20"/>
        </w:rPr>
      </w:pPr>
    </w:p>
    <w:p w:rsidR="00676BD5" w:rsidRDefault="00676BD5" w:rsidP="00676BD5">
      <w:pPr>
        <w:pStyle w:val="SCCLawFirm"/>
        <w:spacing w:line="240" w:lineRule="auto"/>
        <w:rPr>
          <w:sz w:val="20"/>
        </w:rPr>
      </w:pPr>
      <w:r w:rsidRPr="00A0221F">
        <w:rPr>
          <w:sz w:val="20"/>
        </w:rPr>
        <w:tab/>
        <w:t>Solicitors for the intervener the First Nations Child and Family Caring Society of Canada:  Stikeman Elliott, Ottawa.</w:t>
      </w:r>
    </w:p>
    <w:p w:rsidR="00256147" w:rsidRPr="00676BD5" w:rsidRDefault="00256147" w:rsidP="00256147">
      <w:pPr>
        <w:rPr>
          <w:sz w:val="20"/>
          <w:szCs w:val="20"/>
          <w:lang w:val="fr-CA"/>
        </w:rPr>
      </w:pPr>
      <w:r w:rsidRPr="00676BD5">
        <w:rPr>
          <w:sz w:val="20"/>
          <w:szCs w:val="20"/>
          <w:lang w:val="fr-CA"/>
        </w:rPr>
        <w:t>________________________</w:t>
      </w:r>
    </w:p>
    <w:p w:rsidR="00256147" w:rsidRPr="00676BD5" w:rsidRDefault="00256147" w:rsidP="00256147">
      <w:pPr>
        <w:rPr>
          <w:sz w:val="20"/>
          <w:szCs w:val="20"/>
          <w:lang w:val="fr-CA"/>
        </w:rPr>
      </w:pPr>
    </w:p>
    <w:p w:rsidR="00676BD5" w:rsidRPr="00676BD5" w:rsidRDefault="00676BD5" w:rsidP="00676BD5">
      <w:pPr>
        <w:jc w:val="both"/>
        <w:rPr>
          <w:sz w:val="20"/>
          <w:szCs w:val="20"/>
          <w:lang w:val="fr-CA"/>
        </w:rPr>
      </w:pPr>
      <w:r w:rsidRPr="00676BD5">
        <w:rPr>
          <w:sz w:val="20"/>
          <w:szCs w:val="20"/>
          <w:lang w:val="fr-CA"/>
        </w:rPr>
        <w:t>Présents : La juge en chef McLachlin et les juges LeBel, Deschamps, Fish, Abella, Rothstein, Cromwell, Moldaver et Karakatsanis.</w:t>
      </w:r>
    </w:p>
    <w:p w:rsidR="00676BD5" w:rsidRPr="00676BD5" w:rsidRDefault="00676BD5" w:rsidP="00676BD5">
      <w:pPr>
        <w:jc w:val="both"/>
        <w:rPr>
          <w:smallCaps/>
          <w:sz w:val="20"/>
          <w:lang w:val="fr-CA"/>
        </w:rPr>
      </w:pPr>
    </w:p>
    <w:p w:rsidR="00676BD5" w:rsidRPr="00676BD5" w:rsidRDefault="00676BD5" w:rsidP="00676BD5">
      <w:pPr>
        <w:pStyle w:val="SCCNormalDoubleSpacing"/>
        <w:spacing w:line="240" w:lineRule="auto"/>
        <w:rPr>
          <w:i/>
          <w:sz w:val="20"/>
          <w:lang w:val="fr-CA"/>
        </w:rPr>
      </w:pPr>
      <w:r w:rsidRPr="00676BD5">
        <w:rPr>
          <w:sz w:val="20"/>
          <w:lang w:val="fr-CA"/>
        </w:rPr>
        <w:tab/>
      </w:r>
      <w:r w:rsidRPr="00676BD5">
        <w:rPr>
          <w:i/>
          <w:sz w:val="20"/>
          <w:lang w:val="fr-CA"/>
        </w:rPr>
        <w:t>Droits</w:t>
      </w:r>
      <w:r w:rsidRPr="00D03C2F">
        <w:rPr>
          <w:i/>
          <w:sz w:val="20"/>
          <w:lang w:val="fr-FR"/>
        </w:rPr>
        <w:t xml:space="preserve"> de la</w:t>
      </w:r>
      <w:r w:rsidRPr="00676BD5">
        <w:rPr>
          <w:i/>
          <w:sz w:val="20"/>
          <w:lang w:val="fr-CA"/>
        </w:rPr>
        <w:t xml:space="preserve"> personne — Discrimination — Motifs de distinction illicite — Déficience mentale ou physique — Éducation — Fréquentation de l’école publique par un élève dyslexique — L’annulation par le district scolaire d’un programme d’éducation spécialisée a eu pour effet d’obliger l’élève à s’inscrire dans une école privée spécialisée — Le district scolaire a</w:t>
      </w:r>
      <w:r w:rsidRPr="00676BD5">
        <w:rPr>
          <w:i/>
          <w:sz w:val="20"/>
          <w:lang w:val="fr-CA"/>
        </w:rPr>
        <w:noBreakHyphen/>
        <w:t>t</w:t>
      </w:r>
      <w:r w:rsidRPr="00676BD5">
        <w:rPr>
          <w:i/>
          <w:sz w:val="20"/>
          <w:lang w:val="fr-CA"/>
        </w:rPr>
        <w:noBreakHyphen/>
        <w:t>il commis de la discrimination à l’endroit de l’élève en ne lui fournissant pas les mesures de remédiation nécessaires? — Human Rights Code, R.S.B.C. 1996, ch. 210, art. 8.</w:t>
      </w:r>
    </w:p>
    <w:p w:rsidR="00676BD5" w:rsidRPr="00676BD5" w:rsidRDefault="00676BD5" w:rsidP="00676BD5">
      <w:pPr>
        <w:pStyle w:val="SCCNormalDoubleSpacing"/>
        <w:spacing w:line="240" w:lineRule="auto"/>
        <w:rPr>
          <w:i/>
          <w:sz w:val="20"/>
          <w:lang w:val="fr-CA"/>
        </w:rPr>
      </w:pPr>
    </w:p>
    <w:p w:rsidR="00676BD5" w:rsidRPr="00676BD5" w:rsidRDefault="00676BD5" w:rsidP="00676BD5">
      <w:pPr>
        <w:pStyle w:val="SCCNormalDoubleSpacing"/>
        <w:spacing w:line="240" w:lineRule="auto"/>
        <w:rPr>
          <w:i/>
          <w:sz w:val="20"/>
          <w:lang w:val="fr-CA"/>
        </w:rPr>
      </w:pPr>
      <w:r w:rsidRPr="00676BD5">
        <w:rPr>
          <w:i/>
          <w:sz w:val="20"/>
          <w:lang w:val="fr-CA"/>
        </w:rPr>
        <w:tab/>
        <w:t>Droit de l’éducation — Réglementation et administration des écoles — Programmes d’éducation — Obligations des autorités scolaires — En quoi consiste l’accès concret à l’éducation dans le cas des élèves ayant des troubles d’apprentissage? — School Act, S.B.C. 1989, ch. 61.</w:t>
      </w:r>
    </w:p>
    <w:p w:rsidR="00676BD5" w:rsidRPr="00676BD5" w:rsidRDefault="00676BD5" w:rsidP="00676BD5">
      <w:pPr>
        <w:pStyle w:val="SCCNormalDoubleSpacing"/>
        <w:spacing w:line="240" w:lineRule="auto"/>
        <w:rPr>
          <w:sz w:val="20"/>
          <w:lang w:val="fr-CA"/>
        </w:rPr>
      </w:pPr>
    </w:p>
    <w:p w:rsidR="00676BD5" w:rsidRPr="00676BD5" w:rsidRDefault="00676BD5" w:rsidP="00676BD5">
      <w:pPr>
        <w:pStyle w:val="SCCNormalDoubleSpacing"/>
        <w:spacing w:line="240" w:lineRule="auto"/>
        <w:rPr>
          <w:sz w:val="20"/>
          <w:lang w:val="fr-CA"/>
        </w:rPr>
      </w:pPr>
      <w:r w:rsidRPr="00676BD5">
        <w:rPr>
          <w:sz w:val="20"/>
          <w:lang w:val="fr-CA"/>
        </w:rPr>
        <w:tab/>
        <w:t>Atteint de dyslexie grave, J profitait à cet égard de mesures d’éducation spécialisée à l’école publique qu’il fréquentait.  En deuxième année du primaire, comme il ne pouvait pas obtenir l’assistance dont il avait besoin au sein de son école, une psychologue travaillant pour le district scolaire a recommandé qu’il fréquente le Centre de diagnostic local afin de bénéficier des mesures de remédiation nécessaires.  Lorsque le district scolaire a fermé le Centre de diagnostic, J a été transféré dans une école privée pour y recevoir l’enseignement dont il avait besoin.  Le père de J a déposé au nom de ce dernier, auprès du Tribunal des droits de la personne de la C.</w:t>
      </w:r>
      <w:r w:rsidRPr="00676BD5">
        <w:rPr>
          <w:sz w:val="20"/>
          <w:lang w:val="fr-CA"/>
        </w:rPr>
        <w:noBreakHyphen/>
        <w:t xml:space="preserve">B., une plainte contre le district scolaire et la province, leur reprochant d’avoir privé J d’« un service destiné au public » visé à l’art. 8 du </w:t>
      </w:r>
      <w:r w:rsidRPr="00676BD5">
        <w:rPr>
          <w:i/>
          <w:sz w:val="20"/>
          <w:lang w:val="fr-CA"/>
        </w:rPr>
        <w:t>Human Rights Code</w:t>
      </w:r>
      <w:r w:rsidRPr="00676BD5">
        <w:rPr>
          <w:sz w:val="20"/>
          <w:lang w:val="fr-CA"/>
        </w:rPr>
        <w:t xml:space="preserve"> de la C.</w:t>
      </w:r>
      <w:r w:rsidRPr="00676BD5">
        <w:rPr>
          <w:sz w:val="20"/>
          <w:lang w:val="fr-CA"/>
        </w:rPr>
        <w:noBreakHyphen/>
        <w:t xml:space="preserve">B.  Le Tribunal a conclu que J avait fait l’objet de discrimination par le district et par la province et il a prononcé contre eux un large éventail de mesures de réparation d’ordre systémique de portée considérable.  De plus, il a ordonné le remboursement à la famille des frais de scolarité payés pour que J fréquente l’école privée.  La juge siégeant en révision a annulé la décision du Tribunal, concluant qu’il n’y avait pas eu discrimination.  La Cour d’appel à la majorité a rejeté l’appel. </w:t>
      </w:r>
    </w:p>
    <w:p w:rsidR="00676BD5" w:rsidRPr="00676BD5" w:rsidRDefault="00676BD5" w:rsidP="00676BD5">
      <w:pPr>
        <w:pStyle w:val="SCCNormalDoubleSpacing"/>
        <w:spacing w:line="240" w:lineRule="auto"/>
        <w:rPr>
          <w:sz w:val="20"/>
          <w:lang w:val="fr-CA"/>
        </w:rPr>
      </w:pPr>
    </w:p>
    <w:p w:rsidR="00676BD5" w:rsidRPr="00676BD5" w:rsidRDefault="00676BD5" w:rsidP="00676BD5">
      <w:pPr>
        <w:pStyle w:val="SCCNormalDoubleSpacing"/>
        <w:spacing w:line="240" w:lineRule="auto"/>
        <w:rPr>
          <w:b/>
          <w:sz w:val="20"/>
          <w:lang w:val="fr-CA"/>
        </w:rPr>
      </w:pPr>
      <w:r w:rsidRPr="00676BD5">
        <w:rPr>
          <w:sz w:val="20"/>
          <w:lang w:val="fr-CA"/>
        </w:rPr>
        <w:tab/>
      </w:r>
      <w:r w:rsidRPr="00676BD5">
        <w:rPr>
          <w:i/>
          <w:sz w:val="20"/>
          <w:lang w:val="fr-CA"/>
        </w:rPr>
        <w:t>Arrêt</w:t>
      </w:r>
      <w:r w:rsidRPr="00676BD5">
        <w:rPr>
          <w:sz w:val="20"/>
          <w:lang w:val="fr-CA"/>
        </w:rPr>
        <w:t> : Le pourvoi est accueilli en grande partie.</w:t>
      </w:r>
    </w:p>
    <w:p w:rsidR="00676BD5" w:rsidRPr="00676BD5" w:rsidRDefault="00676BD5" w:rsidP="00676BD5">
      <w:pPr>
        <w:pStyle w:val="SCCNormalDoubleSpacing"/>
        <w:spacing w:line="240" w:lineRule="auto"/>
        <w:rPr>
          <w:i/>
          <w:sz w:val="20"/>
          <w:lang w:val="fr-CA"/>
        </w:rPr>
      </w:pPr>
    </w:p>
    <w:p w:rsidR="00676BD5" w:rsidRPr="00676BD5" w:rsidRDefault="00676BD5" w:rsidP="00676BD5">
      <w:pPr>
        <w:pStyle w:val="SCCNormalDoubleSpacing"/>
        <w:spacing w:line="240" w:lineRule="auto"/>
        <w:rPr>
          <w:sz w:val="20"/>
          <w:lang w:val="fr-CA"/>
        </w:rPr>
      </w:pPr>
      <w:r w:rsidRPr="00676BD5">
        <w:rPr>
          <w:i/>
          <w:sz w:val="20"/>
          <w:lang w:val="fr-CA"/>
        </w:rPr>
        <w:lastRenderedPageBreak/>
        <w:tab/>
      </w:r>
      <w:r w:rsidRPr="00676BD5">
        <w:rPr>
          <w:sz w:val="20"/>
          <w:lang w:val="fr-CA"/>
        </w:rPr>
        <w:t xml:space="preserve">La </w:t>
      </w:r>
      <w:r w:rsidRPr="00676BD5">
        <w:rPr>
          <w:i/>
          <w:sz w:val="20"/>
          <w:lang w:val="fr-CA"/>
        </w:rPr>
        <w:t>School Act</w:t>
      </w:r>
      <w:r w:rsidRPr="00676BD5">
        <w:rPr>
          <w:sz w:val="20"/>
          <w:lang w:val="fr-CA"/>
        </w:rPr>
        <w:t xml:space="preserve"> de la Colombie</w:t>
      </w:r>
      <w:r w:rsidRPr="00676BD5">
        <w:rPr>
          <w:sz w:val="20"/>
          <w:lang w:val="fr-CA"/>
        </w:rPr>
        <w:noBreakHyphen/>
        <w:t xml:space="preserve">Britannique a pour objectif de faire en sorte que « tous les apprenants [. . .] développe[nt] leur potentiel et [. . .] </w:t>
      </w:r>
      <w:proofErr w:type="gramStart"/>
      <w:r w:rsidRPr="00676BD5">
        <w:rPr>
          <w:sz w:val="20"/>
          <w:lang w:val="fr-CA"/>
        </w:rPr>
        <w:t>acqu[</w:t>
      </w:r>
      <w:proofErr w:type="gramEnd"/>
      <w:r w:rsidRPr="00676BD5">
        <w:rPr>
          <w:sz w:val="20"/>
          <w:lang w:val="fr-CA"/>
        </w:rPr>
        <w:t xml:space="preserve">ièrent] les connaissances, les habiletés et les attitudes nécessaires pour contribuer à l’établissement d’une société saine, démocratique et pluraliste et d’une économie durable et florissante ».  Le gouvernement reconnaît par là que la raison pour laquelle les enfants ont droit à l’éducation est qu’une démocratie et une économie saines requièrent leur contribution en tant que citoyens instruits.  Des services d’éducation spécialisée adéquats ne sont donc pas un luxe dont la société peut se passer.  Dans le cas des personnes atteintes de troubles d’apprentissage sévères, de tels services servent de rampe permettant de concrétiser l’engagement pris dans la loi envers </w:t>
      </w:r>
      <w:r w:rsidRPr="00676BD5">
        <w:rPr>
          <w:i/>
          <w:sz w:val="20"/>
          <w:lang w:val="fr-CA"/>
        </w:rPr>
        <w:t>tous</w:t>
      </w:r>
      <w:r w:rsidRPr="00676BD5">
        <w:rPr>
          <w:sz w:val="20"/>
          <w:lang w:val="fr-CA"/>
        </w:rPr>
        <w:t xml:space="preserve"> les enfants en Colombie</w:t>
      </w:r>
      <w:r w:rsidRPr="00676BD5">
        <w:rPr>
          <w:sz w:val="20"/>
          <w:lang w:val="fr-CA"/>
        </w:rPr>
        <w:noBreakHyphen/>
        <w:t>Britannique, à savoir l’accès à l’éducation.</w:t>
      </w:r>
    </w:p>
    <w:p w:rsidR="00676BD5" w:rsidRPr="00676BD5" w:rsidRDefault="00676BD5" w:rsidP="00676BD5">
      <w:pPr>
        <w:pStyle w:val="SCCNormalDoubleSpacing"/>
        <w:spacing w:line="240" w:lineRule="auto"/>
        <w:rPr>
          <w:sz w:val="20"/>
          <w:lang w:val="fr-CA"/>
        </w:rPr>
      </w:pPr>
    </w:p>
    <w:p w:rsidR="00676BD5" w:rsidRPr="00676BD5" w:rsidRDefault="00676BD5" w:rsidP="00676BD5">
      <w:pPr>
        <w:pStyle w:val="SCCNormalDoubleSpacing"/>
        <w:spacing w:line="240" w:lineRule="auto"/>
        <w:rPr>
          <w:sz w:val="20"/>
          <w:lang w:val="fr-CA"/>
        </w:rPr>
      </w:pPr>
      <w:r w:rsidRPr="00676BD5">
        <w:rPr>
          <w:sz w:val="20"/>
          <w:lang w:val="fr-CA"/>
        </w:rPr>
        <w:tab/>
        <w:t xml:space="preserve">Le « service » auquel J a droit en vertu de l’art. 8 du </w:t>
      </w:r>
      <w:r w:rsidRPr="00676BD5">
        <w:rPr>
          <w:i/>
          <w:sz w:val="20"/>
          <w:lang w:val="fr-CA"/>
        </w:rPr>
        <w:t xml:space="preserve">Human Rights Code </w:t>
      </w:r>
      <w:r w:rsidRPr="00676BD5">
        <w:rPr>
          <w:sz w:val="20"/>
          <w:lang w:val="fr-CA"/>
        </w:rPr>
        <w:t>de la C.</w:t>
      </w:r>
      <w:r w:rsidRPr="00676BD5">
        <w:rPr>
          <w:sz w:val="20"/>
          <w:lang w:val="fr-CA"/>
        </w:rPr>
        <w:noBreakHyphen/>
        <w:t xml:space="preserve">B. est l’éducation en général.  Considérer l’éducation spécialisée comme le service en cause risque d’aboutir à des justifications du genre « séparé mais équivalent ».  Si J était comparé uniquement à d’autres élèves ayant des besoins spéciaux, cela signifierait que le district pourrait supprimer </w:t>
      </w:r>
      <w:r w:rsidRPr="00676BD5">
        <w:rPr>
          <w:i/>
          <w:sz w:val="20"/>
          <w:lang w:val="fr-CA"/>
        </w:rPr>
        <w:t xml:space="preserve">tous </w:t>
      </w:r>
      <w:r w:rsidRPr="00676BD5">
        <w:rPr>
          <w:sz w:val="20"/>
          <w:lang w:val="fr-CA"/>
        </w:rPr>
        <w:t xml:space="preserve">les programmes destinés à ces élèves mais rester néanmoins à l’abri d’une plainte de discrimination.  </w:t>
      </w:r>
      <w:r w:rsidRPr="00676BD5">
        <w:rPr>
          <w:sz w:val="20"/>
          <w:lang w:val="fr-CA" w:bidi="en-US"/>
        </w:rPr>
        <w:t>S’il est comparé uniquement à d’autres élèves ayant des besoins spéciaux, il n’est pas possible d’examiner dans son ensemble la question de savoir s’il a profité de l’accès concret</w:t>
      </w:r>
      <w:r w:rsidRPr="00676BD5">
        <w:rPr>
          <w:i/>
          <w:sz w:val="20"/>
          <w:lang w:val="fr-CA" w:bidi="en-US"/>
        </w:rPr>
        <w:t xml:space="preserve"> </w:t>
      </w:r>
      <w:r w:rsidRPr="00676BD5">
        <w:rPr>
          <w:sz w:val="20"/>
          <w:lang w:val="fr-CA"/>
        </w:rPr>
        <w:t xml:space="preserve">à l’éducation auquel ont droit </w:t>
      </w:r>
      <w:r w:rsidRPr="00676BD5">
        <w:rPr>
          <w:i/>
          <w:sz w:val="20"/>
          <w:lang w:val="fr-CA"/>
        </w:rPr>
        <w:t>tous</w:t>
      </w:r>
      <w:r w:rsidRPr="00676BD5">
        <w:rPr>
          <w:sz w:val="20"/>
          <w:lang w:val="fr-CA"/>
        </w:rPr>
        <w:t xml:space="preserve"> les élèves de la Colombie</w:t>
      </w:r>
      <w:r w:rsidRPr="00676BD5">
        <w:rPr>
          <w:sz w:val="20"/>
          <w:lang w:val="fr-CA"/>
        </w:rPr>
        <w:noBreakHyphen/>
        <w:t xml:space="preserve">Britannique.  Cette approche risque de perpétuer exactement le désavantage et l’exclusion que le </w:t>
      </w:r>
      <w:r w:rsidRPr="00676BD5">
        <w:rPr>
          <w:i/>
          <w:sz w:val="20"/>
          <w:lang w:val="fr-CA"/>
        </w:rPr>
        <w:t xml:space="preserve">Code </w:t>
      </w:r>
      <w:r w:rsidRPr="00676BD5">
        <w:rPr>
          <w:sz w:val="20"/>
          <w:lang w:val="fr-CA"/>
        </w:rPr>
        <w:t xml:space="preserve">est censé corriger. </w:t>
      </w:r>
    </w:p>
    <w:p w:rsidR="00676BD5" w:rsidRPr="00676BD5" w:rsidRDefault="00676BD5" w:rsidP="00676BD5">
      <w:pPr>
        <w:pStyle w:val="SCCNormalDoubleSpacing"/>
        <w:spacing w:line="240" w:lineRule="auto"/>
        <w:rPr>
          <w:sz w:val="20"/>
          <w:lang w:val="fr-CA"/>
        </w:rPr>
      </w:pPr>
    </w:p>
    <w:p w:rsidR="00676BD5" w:rsidRPr="00676BD5" w:rsidRDefault="00676BD5" w:rsidP="00676BD5">
      <w:pPr>
        <w:pStyle w:val="SCCNormalDoubleSpacing"/>
        <w:spacing w:line="240" w:lineRule="auto"/>
        <w:rPr>
          <w:sz w:val="20"/>
          <w:lang w:val="fr-CA"/>
        </w:rPr>
      </w:pPr>
      <w:r w:rsidRPr="00676BD5">
        <w:rPr>
          <w:sz w:val="20"/>
          <w:lang w:val="fr-CA"/>
        </w:rPr>
        <w:tab/>
        <w:t>Pour</w:t>
      </w:r>
      <w:r w:rsidRPr="00676BD5">
        <w:rPr>
          <w:sz w:val="20"/>
          <w:lang w:val="fr-CA" w:bidi="en-US"/>
        </w:rPr>
        <w:t xml:space="preserve"> établir à première vue l’existence de discrimination visée à l’art. 8, les plaignants doivent démontrer qu’ils possèdent une caractéristique protégée contre la discrimination,</w:t>
      </w:r>
      <w:r w:rsidRPr="00676BD5">
        <w:rPr>
          <w:sz w:val="20"/>
          <w:lang w:val="fr-CA"/>
        </w:rPr>
        <w:t xml:space="preserve"> qu’ils ont subi un effet préjudiciable relativement à un service destiné au public et que la caractéristique protégée a constitué un facteur dans la manifestation de l’effet préjudiciable.  Une fois la discrimination établie à première vue,</w:t>
      </w:r>
      <w:r w:rsidRPr="00676BD5">
        <w:rPr>
          <w:i/>
          <w:sz w:val="20"/>
          <w:lang w:val="fr-CA"/>
        </w:rPr>
        <w:t xml:space="preserve"> </w:t>
      </w:r>
      <w:r w:rsidRPr="00676BD5">
        <w:rPr>
          <w:sz w:val="20"/>
          <w:lang w:val="fr-CA"/>
        </w:rPr>
        <w:t>l’intimé a alors le fardeau de justifier la conduite ou la pratique.  Si la conduite ou pratique ne peut être justifiée, le tribunal conclura à l’existence de la discrimination.</w:t>
      </w:r>
    </w:p>
    <w:p w:rsidR="00676BD5" w:rsidRPr="00676BD5" w:rsidRDefault="00676BD5" w:rsidP="00676BD5">
      <w:pPr>
        <w:pStyle w:val="SCCNormalDoubleSpacing"/>
        <w:spacing w:line="240" w:lineRule="auto"/>
        <w:rPr>
          <w:sz w:val="20"/>
          <w:lang w:val="fr-CA"/>
        </w:rPr>
      </w:pPr>
    </w:p>
    <w:p w:rsidR="00676BD5" w:rsidRPr="00676BD5" w:rsidRDefault="00676BD5" w:rsidP="00676BD5">
      <w:pPr>
        <w:pStyle w:val="SCCNormalDoubleSpacing"/>
        <w:spacing w:line="240" w:lineRule="auto"/>
        <w:rPr>
          <w:sz w:val="20"/>
          <w:lang w:val="fr-CA" w:bidi="en-US"/>
        </w:rPr>
      </w:pPr>
      <w:r w:rsidRPr="00676BD5">
        <w:rPr>
          <w:sz w:val="20"/>
          <w:lang w:val="fr-CA"/>
        </w:rPr>
        <w:tab/>
        <w:t>Personne</w:t>
      </w:r>
      <w:r w:rsidRPr="00676BD5">
        <w:rPr>
          <w:sz w:val="20"/>
          <w:lang w:val="fr-CA" w:bidi="en-US"/>
        </w:rPr>
        <w:t xml:space="preserve"> ne conteste que la dyslexie dont J est atteint constitue une déficience.  Il ne fait également aucun doute que tout effet préjudiciable qu’il a pu subir est lié à cette déficience.  La question à trancher consiste donc à se demander si l’on a sans justification raisonnable privé J, en raison de la déficience dont il est atteint, de l’accès concret aux services d’éducation générale destinés à tous les enfants en Colombie</w:t>
      </w:r>
      <w:r w:rsidRPr="00676BD5">
        <w:rPr>
          <w:sz w:val="20"/>
          <w:lang w:val="fr-CA" w:bidi="en-US"/>
        </w:rPr>
        <w:noBreakHyphen/>
        <w:t xml:space="preserve">Britannique.  </w:t>
      </w:r>
    </w:p>
    <w:p w:rsidR="00676BD5" w:rsidRPr="00676BD5" w:rsidRDefault="00676BD5" w:rsidP="00676BD5">
      <w:pPr>
        <w:pStyle w:val="SCCNormalDoubleSpacing"/>
        <w:spacing w:line="240" w:lineRule="auto"/>
        <w:rPr>
          <w:sz w:val="20"/>
          <w:lang w:val="fr-CA"/>
        </w:rPr>
      </w:pPr>
    </w:p>
    <w:p w:rsidR="00676BD5" w:rsidRPr="00676BD5" w:rsidRDefault="00676BD5" w:rsidP="00676BD5">
      <w:pPr>
        <w:pStyle w:val="SCCNormalDoubleSpacing"/>
        <w:spacing w:line="240" w:lineRule="auto"/>
        <w:rPr>
          <w:sz w:val="20"/>
          <w:lang w:val="fr-CA" w:bidi="en-US"/>
        </w:rPr>
      </w:pPr>
      <w:r w:rsidRPr="00676BD5">
        <w:rPr>
          <w:sz w:val="20"/>
          <w:lang w:val="fr-CA"/>
        </w:rPr>
        <w:tab/>
        <w:t xml:space="preserve">La discrimination à première vue a été établie en raison du caractère insuffisamment intensif des </w:t>
      </w:r>
      <w:r w:rsidRPr="00676BD5">
        <w:rPr>
          <w:sz w:val="20"/>
          <w:lang w:val="fr-CA" w:bidi="en-US"/>
        </w:rPr>
        <w:t>mesures de remédiation mises en œuvre par le district, compte tenu des troubles d’apprentissage de J, afin de donner à ce dernier accès à l’éducation à laquelle il avait droit.  J a reçu une forme d’aide pédagogique spécialisée jusqu’en troisième année, mais la conclusion du Tribunal que les mesures de remédiation étaient loin d’être suffisantes pour fournir à J l’éducation à laquelle il avait droit était entièrement étayée par la preuve.  Le Tribunal a jugé que des employés du district avaient prévenu la famille que J avait besoin de mesures de remédiation intensives.  Par suite de la fermeture du Centre de diagnostic, ces mesures ne pouvaient être obtenues que dans une école privée.</w:t>
      </w:r>
    </w:p>
    <w:p w:rsidR="00676BD5" w:rsidRPr="00676BD5" w:rsidRDefault="00676BD5" w:rsidP="00676BD5">
      <w:pPr>
        <w:pStyle w:val="SCCNormalDoubleSpacing"/>
        <w:spacing w:line="240" w:lineRule="auto"/>
        <w:rPr>
          <w:sz w:val="20"/>
          <w:lang w:val="fr-CA" w:bidi="en-US"/>
        </w:rPr>
      </w:pPr>
    </w:p>
    <w:p w:rsidR="00676BD5" w:rsidRPr="00676BD5" w:rsidRDefault="00676BD5" w:rsidP="00676BD5">
      <w:pPr>
        <w:pStyle w:val="SCCNormalDoubleSpacing"/>
        <w:spacing w:line="240" w:lineRule="auto"/>
        <w:rPr>
          <w:sz w:val="20"/>
          <w:lang w:val="fr-CA" w:bidi="en-US"/>
        </w:rPr>
      </w:pPr>
      <w:r w:rsidRPr="00676BD5">
        <w:rPr>
          <w:sz w:val="20"/>
          <w:lang w:val="fr-CA" w:bidi="en-US"/>
        </w:rPr>
        <w:tab/>
        <w:t xml:space="preserve">Le </w:t>
      </w:r>
      <w:r w:rsidRPr="00676BD5">
        <w:rPr>
          <w:sz w:val="20"/>
          <w:lang w:val="fr-CA"/>
        </w:rPr>
        <w:t>Tribunal</w:t>
      </w:r>
      <w:r w:rsidRPr="00676BD5">
        <w:rPr>
          <w:sz w:val="20"/>
          <w:lang w:val="fr-CA" w:bidi="en-US"/>
        </w:rPr>
        <w:t xml:space="preserve"> a jugé que, lorsque le district a décidé de fermer le Centre de diagnostic, il l’a fait sans savoir comment il serait satisfait aux besoins des élèves comme J, et sans avoir réalisé d’analyse des besoins, considéré quelles mesures pourraient remplacer le Centre de diagnostic </w:t>
      </w:r>
      <w:r w:rsidRPr="00676BD5">
        <w:rPr>
          <w:sz w:val="20"/>
          <w:lang w:val="fr-CA"/>
        </w:rPr>
        <w:t xml:space="preserve">ou évalué l’effet de cette fermeture sur les élèves ayant des troubles d’apprentissage sévères.  </w:t>
      </w:r>
      <w:r w:rsidRPr="00676BD5">
        <w:rPr>
          <w:sz w:val="20"/>
          <w:lang w:val="fr-CA" w:bidi="en-US"/>
        </w:rPr>
        <w:t>C’est la combinaison de la reconnaissance sans équivoque par le district, par ses employés et par les experts du besoin de J de profiter des mesures de remédiation intensives pour avoir accès concrètement à l’éducation, de la fermeture du Centre de diagnostic et du fait que la famille avait été avisée que le district n’était pas en mesure de fournir autrement ces services qui a justifié le Tribunal de conclure que l’omission du district de répondre aux besoins de J en matière d’éducation constituait de la discrimination à première vue.</w:t>
      </w:r>
    </w:p>
    <w:p w:rsidR="00676BD5" w:rsidRPr="00676BD5" w:rsidRDefault="00676BD5" w:rsidP="00676BD5">
      <w:pPr>
        <w:pStyle w:val="SCCNormalDoubleSpacing"/>
        <w:spacing w:line="240" w:lineRule="auto"/>
        <w:rPr>
          <w:sz w:val="20"/>
          <w:lang w:val="fr-CA" w:bidi="en-US"/>
        </w:rPr>
      </w:pPr>
    </w:p>
    <w:p w:rsidR="00676BD5" w:rsidRPr="00676BD5" w:rsidRDefault="00676BD5" w:rsidP="00676BD5">
      <w:pPr>
        <w:pStyle w:val="SCCNormalDoubleSpacing"/>
        <w:spacing w:line="240" w:lineRule="auto"/>
        <w:rPr>
          <w:sz w:val="20"/>
          <w:lang w:val="fr-CA"/>
        </w:rPr>
      </w:pPr>
      <w:r w:rsidRPr="00676BD5">
        <w:rPr>
          <w:sz w:val="20"/>
          <w:lang w:val="fr-CA" w:bidi="en-US"/>
        </w:rPr>
        <w:tab/>
        <w:t xml:space="preserve">La </w:t>
      </w:r>
      <w:r w:rsidRPr="00676BD5">
        <w:rPr>
          <w:sz w:val="20"/>
          <w:lang w:val="fr-CA"/>
        </w:rPr>
        <w:t>question</w:t>
      </w:r>
      <w:r w:rsidRPr="00676BD5">
        <w:rPr>
          <w:sz w:val="20"/>
          <w:lang w:val="fr-CA" w:bidi="en-US"/>
        </w:rPr>
        <w:t xml:space="preserve"> suivante consiste à décider si la conduite du district était justifiée.  La justification invoquée par le district repose sur la crise financière qu’il traversait durant la période pertinente et qui a mené à la fermeture du Centre de diagnostic et à d’autres compressions connexes</w:t>
      </w:r>
      <w:r w:rsidRPr="00676BD5">
        <w:rPr>
          <w:sz w:val="20"/>
          <w:lang w:val="fr-CA"/>
        </w:rPr>
        <w:t xml:space="preserve">.  Il n’y a pas lieu de modifier les constatations du Tribunal suivant lesquelles le district disposait d’autres solutions pour régler sa crise budgétaire.  </w:t>
      </w:r>
      <w:r w:rsidRPr="00676BD5">
        <w:rPr>
          <w:sz w:val="20"/>
          <w:lang w:val="fr-CA" w:bidi="en-US"/>
        </w:rPr>
        <w:t xml:space="preserve">Le Tribunal a accepté que le district </w:t>
      </w:r>
      <w:proofErr w:type="gramStart"/>
      <w:r w:rsidRPr="00676BD5">
        <w:rPr>
          <w:sz w:val="20"/>
          <w:lang w:val="fr-CA" w:bidi="en-US"/>
        </w:rPr>
        <w:t>était</w:t>
      </w:r>
      <w:proofErr w:type="gramEnd"/>
      <w:r w:rsidRPr="00676BD5">
        <w:rPr>
          <w:sz w:val="20"/>
          <w:lang w:val="fr-CA" w:bidi="en-US"/>
        </w:rPr>
        <w:t xml:space="preserve"> aux prises avec des difficultés financières durant la période pertinente.  Toutefois, il a en outre conclu que des compressions avaient visé de manière disproportionnée les programmes destinés aux élèves ayant des besoins spéciaux.  En effet, le district avait maintenu des programmes discrétionnaires comme l’école en plein air</w:t>
      </w:r>
      <w:r w:rsidRPr="00676BD5">
        <w:rPr>
          <w:sz w:val="20"/>
          <w:lang w:val="fr-CA"/>
        </w:rPr>
        <w:t xml:space="preserve"> (« </w:t>
      </w:r>
      <w:r w:rsidRPr="00676BD5">
        <w:rPr>
          <w:i/>
          <w:sz w:val="20"/>
          <w:lang w:val="fr-CA"/>
        </w:rPr>
        <w:t>Outdoor School </w:t>
      </w:r>
      <w:r w:rsidRPr="00676BD5">
        <w:rPr>
          <w:sz w:val="20"/>
          <w:lang w:val="fr-CA"/>
        </w:rPr>
        <w:t xml:space="preserve">») — un centre de plein air où les élèves recevaient de l’enseignement sur la collectivité et l’environnement — alors qu’il avait supprimé le </w:t>
      </w:r>
      <w:r w:rsidRPr="00676BD5">
        <w:rPr>
          <w:sz w:val="20"/>
          <w:lang w:val="fr-CA" w:bidi="en-US"/>
        </w:rPr>
        <w:t>Centre de diagnostic</w:t>
      </w:r>
      <w:r w:rsidRPr="00676BD5">
        <w:rPr>
          <w:sz w:val="20"/>
          <w:lang w:val="fr-CA"/>
        </w:rPr>
        <w:t>, et ce, malgré les coûts similaires de ces programmes.</w:t>
      </w:r>
    </w:p>
    <w:p w:rsidR="00676BD5" w:rsidRPr="00676BD5" w:rsidRDefault="00676BD5" w:rsidP="00676BD5">
      <w:pPr>
        <w:pStyle w:val="SCCNormalDoubleSpacing"/>
        <w:spacing w:line="240" w:lineRule="auto"/>
        <w:rPr>
          <w:sz w:val="20"/>
          <w:lang w:val="fr-CA"/>
        </w:rPr>
      </w:pPr>
    </w:p>
    <w:p w:rsidR="00676BD5" w:rsidRPr="00676BD5" w:rsidRDefault="00676BD5" w:rsidP="00676BD5">
      <w:pPr>
        <w:pStyle w:val="SCCNormalDoubleSpacing"/>
        <w:spacing w:line="240" w:lineRule="auto"/>
        <w:rPr>
          <w:sz w:val="20"/>
          <w:lang w:val="fr-CA" w:bidi="en-US"/>
        </w:rPr>
      </w:pPr>
      <w:r w:rsidRPr="00676BD5">
        <w:rPr>
          <w:sz w:val="20"/>
          <w:lang w:val="fr-CA"/>
        </w:rPr>
        <w:tab/>
        <w:t xml:space="preserve">Fait plus important encore, le Tribunal a conclu que le district n’avait procédé à </w:t>
      </w:r>
      <w:r w:rsidRPr="00676BD5">
        <w:rPr>
          <w:i/>
          <w:sz w:val="20"/>
          <w:lang w:val="fr-CA"/>
        </w:rPr>
        <w:t xml:space="preserve">aucune </w:t>
      </w:r>
      <w:r w:rsidRPr="00676BD5">
        <w:rPr>
          <w:sz w:val="20"/>
          <w:lang w:val="fr-CA"/>
        </w:rPr>
        <w:t xml:space="preserve">évaluation, financière ou autre, des solutions de rechange qui existaient ou auraient pu raisonnablement être trouvées pour répondre aux besoins de J si la décision de fermer le </w:t>
      </w:r>
      <w:r w:rsidRPr="00676BD5">
        <w:rPr>
          <w:sz w:val="20"/>
          <w:lang w:val="fr-CA" w:bidi="en-US"/>
        </w:rPr>
        <w:t xml:space="preserve">Centre de diagnostic </w:t>
      </w:r>
      <w:r w:rsidRPr="00676BD5">
        <w:rPr>
          <w:sz w:val="20"/>
          <w:lang w:val="fr-CA"/>
        </w:rPr>
        <w:t xml:space="preserve">était prise.  </w:t>
      </w:r>
      <w:r w:rsidRPr="00676BD5">
        <w:rPr>
          <w:sz w:val="20"/>
          <w:lang w:val="fr-CA" w:bidi="en-US"/>
        </w:rPr>
        <w:t xml:space="preserve">L’omission d’envisager d’autres réaménagements financiers invalide complètement l’argument du district, à savoir qu’il avait été justifié de </w:t>
      </w:r>
      <w:r w:rsidRPr="00676BD5">
        <w:rPr>
          <w:i/>
          <w:sz w:val="20"/>
          <w:lang w:val="fr-CA" w:bidi="en-US"/>
        </w:rPr>
        <w:t>ne pas</w:t>
      </w:r>
      <w:r w:rsidRPr="00676BD5">
        <w:rPr>
          <w:sz w:val="20"/>
          <w:lang w:val="fr-CA" w:bidi="en-US"/>
        </w:rPr>
        <w:t xml:space="preserve"> fournir à J d’accès concret à l’éducation, parce qu’il n’avait pas eu le choix d’agir comme il l’a fait.  Pour décider qu’il ne disposait d’aucune autre solution, le district devait à tout le moins se demander quelles auraient pu être ces autres solutions.</w:t>
      </w:r>
    </w:p>
    <w:p w:rsidR="00676BD5" w:rsidRPr="00676BD5" w:rsidRDefault="00676BD5" w:rsidP="00676BD5">
      <w:pPr>
        <w:pStyle w:val="SCCNormalDoubleSpacing"/>
        <w:spacing w:line="240" w:lineRule="auto"/>
        <w:rPr>
          <w:sz w:val="20"/>
          <w:lang w:val="fr-CA"/>
        </w:rPr>
      </w:pPr>
    </w:p>
    <w:p w:rsidR="00676BD5" w:rsidRPr="00676BD5" w:rsidRDefault="00676BD5" w:rsidP="00676BD5">
      <w:pPr>
        <w:pStyle w:val="SCCNormalDoubleSpacing"/>
        <w:spacing w:line="240" w:lineRule="auto"/>
        <w:rPr>
          <w:sz w:val="20"/>
          <w:lang w:val="fr-CA" w:bidi="en-US"/>
        </w:rPr>
      </w:pPr>
      <w:r w:rsidRPr="00676BD5">
        <w:rPr>
          <w:sz w:val="20"/>
          <w:lang w:val="fr-CA"/>
        </w:rPr>
        <w:tab/>
        <w:t>La conclusion de discrimination prononcée à l’encontre du district est rétablie.</w:t>
      </w:r>
      <w:r w:rsidRPr="00676BD5">
        <w:rPr>
          <w:sz w:val="20"/>
          <w:lang w:val="fr-CA" w:bidi="en-US"/>
        </w:rPr>
        <w:t xml:space="preserve"> </w:t>
      </w:r>
    </w:p>
    <w:p w:rsidR="00676BD5" w:rsidRPr="00676BD5" w:rsidRDefault="00676BD5" w:rsidP="00676BD5">
      <w:pPr>
        <w:pStyle w:val="SCCNormalDoubleSpacing"/>
        <w:spacing w:line="240" w:lineRule="auto"/>
        <w:rPr>
          <w:sz w:val="20"/>
          <w:lang w:val="fr-CA" w:bidi="en-US"/>
        </w:rPr>
      </w:pPr>
    </w:p>
    <w:p w:rsidR="00676BD5" w:rsidRPr="00676BD5" w:rsidRDefault="00676BD5" w:rsidP="00676BD5">
      <w:pPr>
        <w:pStyle w:val="SCCNormalDoubleSpacing"/>
        <w:spacing w:line="240" w:lineRule="auto"/>
        <w:rPr>
          <w:sz w:val="20"/>
          <w:lang w:val="fr-CA"/>
        </w:rPr>
      </w:pPr>
      <w:r w:rsidRPr="00676BD5">
        <w:rPr>
          <w:sz w:val="20"/>
          <w:lang w:val="fr-CA"/>
        </w:rPr>
        <w:tab/>
        <w:t>POURVOI contre un arrêt de la Cour d’appel de la Colombie</w:t>
      </w:r>
      <w:r w:rsidRPr="00676BD5">
        <w:rPr>
          <w:sz w:val="20"/>
          <w:lang w:val="fr-CA"/>
        </w:rPr>
        <w:noBreakHyphen/>
        <w:t xml:space="preserve">Britannique (les juges </w:t>
      </w:r>
      <w:r w:rsidR="00BF3B03" w:rsidRPr="00D03C2F">
        <w:rPr>
          <w:sz w:val="20"/>
        </w:rPr>
        <w:fldChar w:fldCharType="begin"/>
      </w:r>
      <w:r w:rsidRPr="00676BD5">
        <w:rPr>
          <w:sz w:val="20"/>
          <w:lang w:val="fr-CA"/>
        </w:rPr>
        <w:instrText xml:space="preserve"> SEQ CHAPTER \h \r 1</w:instrText>
      </w:r>
      <w:r w:rsidR="00BF3B03" w:rsidRPr="00D03C2F">
        <w:rPr>
          <w:sz w:val="20"/>
        </w:rPr>
        <w:fldChar w:fldCharType="end"/>
      </w:r>
      <w:r w:rsidRPr="00676BD5">
        <w:rPr>
          <w:sz w:val="20"/>
          <w:lang w:val="fr-CA"/>
        </w:rPr>
        <w:t xml:space="preserve">Rowles, Saunders et Low), </w:t>
      </w:r>
      <w:r w:rsidR="00BF3B03" w:rsidRPr="00D03C2F">
        <w:rPr>
          <w:sz w:val="20"/>
        </w:rPr>
        <w:fldChar w:fldCharType="begin"/>
      </w:r>
      <w:r w:rsidRPr="00676BD5">
        <w:rPr>
          <w:sz w:val="20"/>
          <w:lang w:val="fr-CA"/>
        </w:rPr>
        <w:instrText xml:space="preserve"> SEQ CHAPTER \h \r 1</w:instrText>
      </w:r>
      <w:r w:rsidR="00BF3B03" w:rsidRPr="00D03C2F">
        <w:rPr>
          <w:sz w:val="20"/>
        </w:rPr>
        <w:fldChar w:fldCharType="end"/>
      </w:r>
      <w:r w:rsidRPr="00676BD5">
        <w:rPr>
          <w:sz w:val="20"/>
          <w:lang w:val="fr-CA"/>
        </w:rPr>
        <w:t xml:space="preserve">2010 BCCA 478, 12 B.C.L.R. (5th) 246, 326 D.L.R. (4th) 77, 294 B.C.A.C. 185, 498 W.A.C. 185, 71 C.H.R.R. D/238, [2011] 3 W.W.R. 383, [2010] B.C.J. No. 2097 (QL), 2010 CarswellBC 3446, qui a confirmé une décision de la juge </w:t>
      </w:r>
      <w:r w:rsidR="00BF3B03" w:rsidRPr="00D03C2F">
        <w:rPr>
          <w:sz w:val="20"/>
        </w:rPr>
        <w:fldChar w:fldCharType="begin"/>
      </w:r>
      <w:r w:rsidRPr="00676BD5">
        <w:rPr>
          <w:sz w:val="20"/>
          <w:lang w:val="fr-CA"/>
        </w:rPr>
        <w:instrText xml:space="preserve"> SEQ CHAPTER \h \r 1</w:instrText>
      </w:r>
      <w:r w:rsidR="00BF3B03" w:rsidRPr="00D03C2F">
        <w:rPr>
          <w:sz w:val="20"/>
        </w:rPr>
        <w:fldChar w:fldCharType="end"/>
      </w:r>
      <w:r w:rsidRPr="00676BD5">
        <w:rPr>
          <w:sz w:val="20"/>
          <w:lang w:val="fr-CA"/>
        </w:rPr>
        <w:t xml:space="preserve">Dillon, </w:t>
      </w:r>
      <w:r w:rsidR="00BF3B03" w:rsidRPr="00D03C2F">
        <w:rPr>
          <w:sz w:val="20"/>
        </w:rPr>
        <w:fldChar w:fldCharType="begin"/>
      </w:r>
      <w:r w:rsidRPr="00676BD5">
        <w:rPr>
          <w:sz w:val="20"/>
          <w:lang w:val="fr-CA"/>
        </w:rPr>
        <w:instrText xml:space="preserve"> SEQ CHAPTER \h \r 1</w:instrText>
      </w:r>
      <w:r w:rsidR="00BF3B03" w:rsidRPr="00D03C2F">
        <w:rPr>
          <w:sz w:val="20"/>
        </w:rPr>
        <w:fldChar w:fldCharType="end"/>
      </w:r>
      <w:r w:rsidRPr="00676BD5">
        <w:rPr>
          <w:sz w:val="20"/>
          <w:lang w:val="fr-CA"/>
        </w:rPr>
        <w:t>2008 BCSC 264, 81 B.C.L.R. (4th) 107, 62 C.H.R.R. D/289, [2008] 10 W.W.R. 518, [2008] B.C.J. No. 348 (QL), 2008 CarswellBC 388, ayant infirmé une décision du Tribunal des droits de la personne de la Colombie-Britannique, 2005 BCHRT 580, 54 C.H.R.R. D/245.  Pourvoi accueilli en grande partie.</w:t>
      </w:r>
    </w:p>
    <w:p w:rsidR="00676BD5" w:rsidRPr="00676BD5" w:rsidRDefault="00676BD5" w:rsidP="00676BD5">
      <w:pPr>
        <w:pStyle w:val="SCCNormalDoubleSpacing"/>
        <w:spacing w:line="240" w:lineRule="auto"/>
        <w:rPr>
          <w:i/>
          <w:sz w:val="20"/>
          <w:lang w:val="fr-CA"/>
        </w:rPr>
      </w:pPr>
    </w:p>
    <w:p w:rsidR="00676BD5" w:rsidRPr="00676BD5" w:rsidRDefault="00676BD5" w:rsidP="00676BD5">
      <w:pPr>
        <w:pStyle w:val="SCCNormalDoubleSpacing"/>
        <w:spacing w:line="240" w:lineRule="auto"/>
        <w:rPr>
          <w:sz w:val="20"/>
          <w:lang w:val="fr-CA"/>
        </w:rPr>
      </w:pPr>
      <w:r w:rsidRPr="00676BD5">
        <w:rPr>
          <w:i/>
          <w:sz w:val="20"/>
          <w:lang w:val="fr-CA"/>
        </w:rPr>
        <w:tab/>
        <w:t xml:space="preserve">Frances M. Kelly </w:t>
      </w:r>
      <w:r w:rsidRPr="00676BD5">
        <w:rPr>
          <w:sz w:val="20"/>
          <w:lang w:val="fr-CA"/>
        </w:rPr>
        <w:t xml:space="preserve">et </w:t>
      </w:r>
      <w:r w:rsidRPr="00676BD5">
        <w:rPr>
          <w:i/>
          <w:sz w:val="20"/>
          <w:lang w:val="fr-CA"/>
        </w:rPr>
        <w:t>Devyn Cousineau</w:t>
      </w:r>
      <w:r w:rsidRPr="00676BD5">
        <w:rPr>
          <w:sz w:val="20"/>
          <w:lang w:val="fr-CA"/>
        </w:rPr>
        <w:t>, pour l’appelant.</w:t>
      </w:r>
    </w:p>
    <w:p w:rsidR="00676BD5" w:rsidRPr="00676BD5" w:rsidRDefault="00676BD5" w:rsidP="00676BD5">
      <w:pPr>
        <w:pStyle w:val="SCCNormalDoubleSpacing"/>
        <w:spacing w:line="240" w:lineRule="auto"/>
        <w:rPr>
          <w:i/>
          <w:sz w:val="20"/>
          <w:lang w:val="fr-CA"/>
        </w:rPr>
      </w:pPr>
    </w:p>
    <w:p w:rsidR="00676BD5" w:rsidRPr="00676BD5" w:rsidRDefault="00676BD5" w:rsidP="00676BD5">
      <w:pPr>
        <w:pStyle w:val="SCCNormalDoubleSpacing"/>
        <w:spacing w:line="240" w:lineRule="auto"/>
        <w:rPr>
          <w:sz w:val="20"/>
          <w:lang w:val="fr-CA"/>
        </w:rPr>
      </w:pPr>
      <w:r w:rsidRPr="00676BD5">
        <w:rPr>
          <w:i/>
          <w:sz w:val="20"/>
          <w:lang w:val="fr-CA"/>
        </w:rPr>
        <w:tab/>
        <w:t>Leah Greathead</w:t>
      </w:r>
      <w:r w:rsidRPr="00676BD5">
        <w:rPr>
          <w:sz w:val="20"/>
          <w:lang w:val="fr-CA"/>
        </w:rPr>
        <w:t xml:space="preserve"> et </w:t>
      </w:r>
      <w:r w:rsidRPr="00676BD5">
        <w:rPr>
          <w:i/>
          <w:sz w:val="20"/>
          <w:lang w:val="fr-CA"/>
        </w:rPr>
        <w:t>E.W. (Heidi) Hughes</w:t>
      </w:r>
      <w:r w:rsidRPr="00676BD5">
        <w:rPr>
          <w:sz w:val="20"/>
          <w:lang w:val="fr-CA"/>
        </w:rPr>
        <w:t>, pour l’intimée Sa Majesté la Reine du chef de la province de la Colombie</w:t>
      </w:r>
      <w:r w:rsidRPr="00676BD5">
        <w:rPr>
          <w:sz w:val="20"/>
          <w:lang w:val="fr-CA"/>
        </w:rPr>
        <w:noBreakHyphen/>
        <w:t>Britannique, représentée par le ministère de l’Éducation.</w:t>
      </w:r>
    </w:p>
    <w:p w:rsidR="00676BD5" w:rsidRPr="00676BD5" w:rsidRDefault="00676BD5" w:rsidP="00676BD5">
      <w:pPr>
        <w:pStyle w:val="SCCNormalDoubleSpacing"/>
        <w:spacing w:line="240" w:lineRule="auto"/>
        <w:rPr>
          <w:i/>
          <w:sz w:val="20"/>
          <w:lang w:val="fr-CA"/>
        </w:rPr>
      </w:pPr>
    </w:p>
    <w:p w:rsidR="00676BD5" w:rsidRPr="00D03C2F" w:rsidRDefault="00676BD5" w:rsidP="00676BD5">
      <w:pPr>
        <w:pStyle w:val="SCCNormalDoubleSpacing"/>
        <w:spacing w:line="240" w:lineRule="auto"/>
        <w:rPr>
          <w:sz w:val="20"/>
          <w:lang w:val="en-US"/>
        </w:rPr>
      </w:pPr>
      <w:r w:rsidRPr="00676BD5">
        <w:rPr>
          <w:i/>
          <w:sz w:val="20"/>
          <w:lang w:val="fr-CA"/>
        </w:rPr>
        <w:tab/>
      </w:r>
      <w:r w:rsidRPr="00D03C2F">
        <w:rPr>
          <w:i/>
          <w:sz w:val="20"/>
          <w:lang w:val="en-US"/>
        </w:rPr>
        <w:t xml:space="preserve">Laura N. Bakan, </w:t>
      </w:r>
      <w:proofErr w:type="gramStart"/>
      <w:r w:rsidRPr="00D03C2F">
        <w:rPr>
          <w:i/>
          <w:sz w:val="20"/>
          <w:lang w:val="en-US"/>
        </w:rPr>
        <w:t>c.r</w:t>
      </w:r>
      <w:proofErr w:type="gramEnd"/>
      <w:r w:rsidRPr="00D03C2F">
        <w:rPr>
          <w:i/>
          <w:sz w:val="20"/>
          <w:lang w:val="en-US"/>
        </w:rPr>
        <w:t>.</w:t>
      </w:r>
      <w:r w:rsidRPr="00D03C2F">
        <w:rPr>
          <w:sz w:val="20"/>
          <w:lang w:val="en-US"/>
        </w:rPr>
        <w:t xml:space="preserve">, </w:t>
      </w:r>
      <w:r w:rsidRPr="00D03C2F">
        <w:rPr>
          <w:i/>
          <w:sz w:val="20"/>
          <w:lang w:val="en-US"/>
        </w:rPr>
        <w:t>David J. Bell</w:t>
      </w:r>
      <w:r w:rsidRPr="00D03C2F">
        <w:rPr>
          <w:sz w:val="20"/>
          <w:lang w:val="en-US"/>
        </w:rPr>
        <w:t xml:space="preserve"> et </w:t>
      </w:r>
      <w:r w:rsidRPr="00D03C2F">
        <w:rPr>
          <w:i/>
          <w:sz w:val="20"/>
          <w:lang w:val="en-US"/>
        </w:rPr>
        <w:t>Kristal M. Low</w:t>
      </w:r>
      <w:r w:rsidRPr="00D03C2F">
        <w:rPr>
          <w:sz w:val="20"/>
          <w:lang w:val="en-US"/>
        </w:rPr>
        <w:t>, pour l’intimé Board of Education of School District No. 44 (North Vancouver), anciennement appelé The Board of School Trustees of School District No. 44 (North Vancouver).</w:t>
      </w:r>
    </w:p>
    <w:p w:rsidR="00676BD5" w:rsidRDefault="00676BD5" w:rsidP="00676BD5">
      <w:pPr>
        <w:pStyle w:val="SCCNormalDoubleSpacing"/>
        <w:spacing w:line="240" w:lineRule="auto"/>
        <w:rPr>
          <w:i/>
          <w:sz w:val="20"/>
          <w:lang w:val="en-US"/>
        </w:rPr>
      </w:pPr>
    </w:p>
    <w:p w:rsidR="00676BD5" w:rsidRPr="00676BD5" w:rsidRDefault="00676BD5" w:rsidP="00676BD5">
      <w:pPr>
        <w:pStyle w:val="SCCNormalDoubleSpacing"/>
        <w:spacing w:line="240" w:lineRule="auto"/>
        <w:rPr>
          <w:sz w:val="20"/>
          <w:lang w:val="fr-CA"/>
        </w:rPr>
      </w:pPr>
      <w:r w:rsidRPr="00D03C2F">
        <w:rPr>
          <w:i/>
          <w:sz w:val="20"/>
          <w:lang w:val="en-US"/>
        </w:rPr>
        <w:tab/>
      </w:r>
      <w:r w:rsidRPr="00676BD5">
        <w:rPr>
          <w:i/>
          <w:sz w:val="20"/>
          <w:lang w:val="fr-CA"/>
        </w:rPr>
        <w:t>Robert E. Charney</w:t>
      </w:r>
      <w:r w:rsidRPr="00676BD5">
        <w:rPr>
          <w:sz w:val="20"/>
          <w:lang w:val="fr-CA"/>
        </w:rPr>
        <w:t xml:space="preserve"> et </w:t>
      </w:r>
      <w:r w:rsidRPr="00676BD5">
        <w:rPr>
          <w:i/>
          <w:sz w:val="20"/>
          <w:lang w:val="fr-CA"/>
        </w:rPr>
        <w:t>Sarah Kraicer</w:t>
      </w:r>
      <w:r w:rsidRPr="00676BD5">
        <w:rPr>
          <w:sz w:val="20"/>
          <w:lang w:val="fr-CA"/>
        </w:rPr>
        <w:t>, pour l’intervenant le procureur général de l’Ontario.</w:t>
      </w:r>
    </w:p>
    <w:p w:rsidR="00676BD5" w:rsidRPr="00676BD5" w:rsidRDefault="00676BD5" w:rsidP="00676BD5">
      <w:pPr>
        <w:pStyle w:val="SCCNormalDoubleSpacing"/>
        <w:spacing w:line="240" w:lineRule="auto"/>
        <w:rPr>
          <w:i/>
          <w:sz w:val="20"/>
          <w:lang w:val="fr-CA"/>
        </w:rPr>
      </w:pPr>
    </w:p>
    <w:p w:rsidR="00676BD5" w:rsidRPr="00D03C2F" w:rsidRDefault="00676BD5" w:rsidP="00676BD5">
      <w:pPr>
        <w:pStyle w:val="SCCNormalDoubleSpacing"/>
        <w:spacing w:line="240" w:lineRule="auto"/>
        <w:rPr>
          <w:sz w:val="20"/>
          <w:lang w:val="en-US"/>
        </w:rPr>
      </w:pPr>
      <w:r w:rsidRPr="00676BD5">
        <w:rPr>
          <w:i/>
          <w:sz w:val="20"/>
          <w:lang w:val="fr-CA"/>
        </w:rPr>
        <w:tab/>
      </w:r>
      <w:r w:rsidRPr="00D03C2F">
        <w:rPr>
          <w:i/>
          <w:sz w:val="20"/>
          <w:lang w:val="en-US"/>
        </w:rPr>
        <w:t>Andrea Luey</w:t>
      </w:r>
      <w:r w:rsidRPr="00D03C2F">
        <w:rPr>
          <w:sz w:val="20"/>
          <w:lang w:val="en-US"/>
        </w:rPr>
        <w:t>, pour l’intervenante Justice for Children and Youth.</w:t>
      </w:r>
    </w:p>
    <w:p w:rsidR="00676BD5" w:rsidRDefault="00676BD5" w:rsidP="00676BD5">
      <w:pPr>
        <w:pStyle w:val="SCCNormalDoubleSpacing"/>
        <w:spacing w:line="240" w:lineRule="auto"/>
        <w:rPr>
          <w:i/>
          <w:sz w:val="20"/>
          <w:lang w:val="en-US"/>
        </w:rPr>
      </w:pPr>
    </w:p>
    <w:p w:rsidR="00676BD5" w:rsidRPr="00676BD5" w:rsidRDefault="00676BD5" w:rsidP="00676BD5">
      <w:pPr>
        <w:pStyle w:val="SCCNormalDoubleSpacing"/>
        <w:spacing w:line="240" w:lineRule="auto"/>
        <w:rPr>
          <w:sz w:val="20"/>
          <w:lang w:val="fr-CA"/>
        </w:rPr>
      </w:pPr>
      <w:r w:rsidRPr="00D03C2F">
        <w:rPr>
          <w:i/>
          <w:sz w:val="20"/>
          <w:lang w:val="en-US"/>
        </w:rPr>
        <w:tab/>
      </w:r>
      <w:r w:rsidRPr="00676BD5">
        <w:rPr>
          <w:i/>
          <w:sz w:val="20"/>
          <w:lang w:val="fr-CA"/>
        </w:rPr>
        <w:t>Diane MacDonald et Robyn Trask</w:t>
      </w:r>
      <w:r w:rsidRPr="00676BD5">
        <w:rPr>
          <w:sz w:val="20"/>
          <w:lang w:val="fr-CA"/>
        </w:rPr>
        <w:t>, pour l’intervenante British Columbia Teachers’ Federation.</w:t>
      </w:r>
    </w:p>
    <w:p w:rsidR="00676BD5" w:rsidRPr="00676BD5" w:rsidRDefault="00676BD5" w:rsidP="00676BD5">
      <w:pPr>
        <w:pStyle w:val="SCCNormalDoubleSpacing"/>
        <w:spacing w:line="240" w:lineRule="auto"/>
        <w:rPr>
          <w:i/>
          <w:sz w:val="20"/>
          <w:lang w:val="fr-CA"/>
        </w:rPr>
      </w:pPr>
    </w:p>
    <w:p w:rsidR="00676BD5" w:rsidRPr="00676BD5" w:rsidRDefault="00676BD5" w:rsidP="00676BD5">
      <w:pPr>
        <w:pStyle w:val="SCCNormalDoubleSpacing"/>
        <w:spacing w:line="240" w:lineRule="auto"/>
        <w:rPr>
          <w:sz w:val="20"/>
          <w:lang w:val="fr-CA"/>
        </w:rPr>
      </w:pPr>
      <w:r w:rsidRPr="00676BD5">
        <w:rPr>
          <w:i/>
          <w:sz w:val="20"/>
          <w:lang w:val="fr-CA"/>
        </w:rPr>
        <w:tab/>
      </w:r>
      <w:r w:rsidRPr="00676BD5">
        <w:rPr>
          <w:sz w:val="20"/>
          <w:lang w:val="fr-CA"/>
        </w:rPr>
        <w:t>Argumentation écrite seulement par</w:t>
      </w:r>
      <w:r w:rsidRPr="00676BD5">
        <w:rPr>
          <w:i/>
          <w:sz w:val="20"/>
          <w:lang w:val="fr-CA"/>
        </w:rPr>
        <w:t xml:space="preserve"> Gwen Brodsky</w:t>
      </w:r>
      <w:r w:rsidRPr="00676BD5">
        <w:rPr>
          <w:sz w:val="20"/>
          <w:lang w:val="fr-CA"/>
        </w:rPr>
        <w:t>, pour l’intervenant le Conseil des Canadiens avec déficiences.</w:t>
      </w:r>
    </w:p>
    <w:p w:rsidR="00676BD5" w:rsidRPr="00676BD5" w:rsidRDefault="00676BD5" w:rsidP="00676BD5">
      <w:pPr>
        <w:pStyle w:val="SCCNormalDoubleSpacing"/>
        <w:spacing w:line="240" w:lineRule="auto"/>
        <w:rPr>
          <w:i/>
          <w:sz w:val="20"/>
          <w:lang w:val="fr-CA"/>
        </w:rPr>
      </w:pPr>
    </w:p>
    <w:p w:rsidR="00676BD5" w:rsidRPr="00676BD5" w:rsidRDefault="00676BD5" w:rsidP="00676BD5">
      <w:pPr>
        <w:pStyle w:val="SCCNormalDoubleSpacing"/>
        <w:spacing w:line="240" w:lineRule="auto"/>
        <w:rPr>
          <w:sz w:val="20"/>
          <w:lang w:val="fr-CA"/>
        </w:rPr>
      </w:pPr>
      <w:r w:rsidRPr="00676BD5">
        <w:rPr>
          <w:i/>
          <w:sz w:val="20"/>
          <w:lang w:val="fr-CA"/>
        </w:rPr>
        <w:tab/>
        <w:t>Anthony D. Griffin</w:t>
      </w:r>
      <w:r w:rsidRPr="00676BD5">
        <w:rPr>
          <w:sz w:val="20"/>
          <w:lang w:val="fr-CA"/>
        </w:rPr>
        <w:t>, pour les intervenantes la Commission ontarienne des droits de la personne, Saskatchewan Human Rights Commission et Alberta Human Rights Commission.</w:t>
      </w:r>
    </w:p>
    <w:p w:rsidR="00676BD5" w:rsidRPr="00676BD5" w:rsidRDefault="00676BD5" w:rsidP="00676BD5">
      <w:pPr>
        <w:pStyle w:val="SCCNormalDoubleSpacing"/>
        <w:spacing w:line="240" w:lineRule="auto"/>
        <w:rPr>
          <w:i/>
          <w:sz w:val="20"/>
          <w:lang w:val="fr-CA"/>
        </w:rPr>
      </w:pPr>
    </w:p>
    <w:p w:rsidR="00676BD5" w:rsidRPr="00676BD5" w:rsidRDefault="00676BD5" w:rsidP="00676BD5">
      <w:pPr>
        <w:pStyle w:val="SCCNormalDoubleSpacing"/>
        <w:spacing w:line="240" w:lineRule="auto"/>
        <w:rPr>
          <w:sz w:val="20"/>
          <w:lang w:val="fr-CA"/>
        </w:rPr>
      </w:pPr>
      <w:r w:rsidRPr="00676BD5">
        <w:rPr>
          <w:i/>
          <w:sz w:val="20"/>
          <w:lang w:val="fr-CA"/>
        </w:rPr>
        <w:tab/>
        <w:t>Rahool P. Agarwal</w:t>
      </w:r>
      <w:r w:rsidRPr="00676BD5">
        <w:rPr>
          <w:sz w:val="20"/>
          <w:lang w:val="fr-CA"/>
        </w:rPr>
        <w:t xml:space="preserve">, </w:t>
      </w:r>
      <w:r w:rsidRPr="00676BD5">
        <w:rPr>
          <w:i/>
          <w:sz w:val="20"/>
          <w:lang w:val="fr-CA"/>
        </w:rPr>
        <w:t xml:space="preserve">Christopher W. Cummins </w:t>
      </w:r>
      <w:r w:rsidRPr="00676BD5">
        <w:rPr>
          <w:sz w:val="20"/>
          <w:lang w:val="fr-CA"/>
        </w:rPr>
        <w:t xml:space="preserve">et </w:t>
      </w:r>
      <w:r w:rsidRPr="00676BD5">
        <w:rPr>
          <w:i/>
          <w:sz w:val="20"/>
          <w:lang w:val="fr-CA"/>
        </w:rPr>
        <w:t>Rowan E. Weaver,</w:t>
      </w:r>
      <w:r w:rsidRPr="00676BD5">
        <w:rPr>
          <w:sz w:val="20"/>
          <w:lang w:val="fr-CA"/>
        </w:rPr>
        <w:t xml:space="preserve"> pour l’intervenante International Dyslexia Association, Ontario Branch.</w:t>
      </w:r>
    </w:p>
    <w:p w:rsidR="00676BD5" w:rsidRPr="00676BD5" w:rsidRDefault="00676BD5" w:rsidP="00676BD5">
      <w:pPr>
        <w:pStyle w:val="SCCNormalDoubleSpacing"/>
        <w:spacing w:line="240" w:lineRule="auto"/>
        <w:rPr>
          <w:i/>
          <w:sz w:val="20"/>
          <w:lang w:val="fr-CA"/>
        </w:rPr>
      </w:pPr>
    </w:p>
    <w:p w:rsidR="00676BD5" w:rsidRPr="00676BD5" w:rsidRDefault="00676BD5" w:rsidP="00676BD5">
      <w:pPr>
        <w:pStyle w:val="SCCNormalDoubleSpacing"/>
        <w:spacing w:line="240" w:lineRule="auto"/>
        <w:rPr>
          <w:sz w:val="20"/>
          <w:lang w:val="fr-CA"/>
        </w:rPr>
      </w:pPr>
      <w:r w:rsidRPr="00676BD5">
        <w:rPr>
          <w:i/>
          <w:sz w:val="20"/>
          <w:lang w:val="fr-CA"/>
        </w:rPr>
        <w:tab/>
        <w:t xml:space="preserve">Brian Smith </w:t>
      </w:r>
      <w:r w:rsidRPr="00676BD5">
        <w:rPr>
          <w:sz w:val="20"/>
          <w:lang w:val="fr-CA"/>
        </w:rPr>
        <w:t>et</w:t>
      </w:r>
      <w:r w:rsidRPr="00676BD5">
        <w:rPr>
          <w:i/>
          <w:sz w:val="20"/>
          <w:lang w:val="fr-CA"/>
        </w:rPr>
        <w:t xml:space="preserve"> Philippe Dufresne</w:t>
      </w:r>
      <w:r w:rsidRPr="00676BD5">
        <w:rPr>
          <w:sz w:val="20"/>
          <w:lang w:val="fr-CA"/>
        </w:rPr>
        <w:t>, pour l’intervenante la Commission canadienne des droits de la personne.</w:t>
      </w:r>
    </w:p>
    <w:p w:rsidR="00676BD5" w:rsidRPr="00676BD5" w:rsidRDefault="00676BD5" w:rsidP="00676BD5">
      <w:pPr>
        <w:pStyle w:val="SCCNormalDoubleSpacing"/>
        <w:spacing w:line="240" w:lineRule="auto"/>
        <w:rPr>
          <w:i/>
          <w:sz w:val="20"/>
          <w:lang w:val="fr-CA"/>
        </w:rPr>
      </w:pPr>
    </w:p>
    <w:p w:rsidR="00676BD5" w:rsidRPr="00676BD5" w:rsidRDefault="00676BD5" w:rsidP="00676BD5">
      <w:pPr>
        <w:pStyle w:val="SCCNormalDoubleSpacing"/>
        <w:spacing w:line="240" w:lineRule="auto"/>
        <w:rPr>
          <w:sz w:val="20"/>
          <w:lang w:val="fr-CA"/>
        </w:rPr>
      </w:pPr>
      <w:r w:rsidRPr="00676BD5">
        <w:rPr>
          <w:i/>
          <w:sz w:val="20"/>
          <w:lang w:val="fr-CA"/>
        </w:rPr>
        <w:tab/>
        <w:t>Yude M. Henteleff, c.r.</w:t>
      </w:r>
      <w:r w:rsidRPr="00676BD5">
        <w:rPr>
          <w:sz w:val="20"/>
          <w:lang w:val="fr-CA"/>
        </w:rPr>
        <w:t xml:space="preserve">, et </w:t>
      </w:r>
      <w:r w:rsidRPr="00676BD5">
        <w:rPr>
          <w:i/>
          <w:sz w:val="20"/>
          <w:lang w:val="fr-CA"/>
        </w:rPr>
        <w:t>Darla L. Rettie</w:t>
      </w:r>
      <w:r w:rsidRPr="00676BD5">
        <w:rPr>
          <w:sz w:val="20"/>
          <w:lang w:val="fr-CA"/>
        </w:rPr>
        <w:t>, pour l’intervenante l’Association canadienne des troubles d’apprentissage.</w:t>
      </w:r>
    </w:p>
    <w:p w:rsidR="00676BD5" w:rsidRPr="00676BD5" w:rsidRDefault="00676BD5" w:rsidP="00676BD5">
      <w:pPr>
        <w:pStyle w:val="SCCNormalDoubleSpacing"/>
        <w:spacing w:line="240" w:lineRule="auto"/>
        <w:rPr>
          <w:i/>
          <w:sz w:val="20"/>
          <w:lang w:val="fr-CA"/>
        </w:rPr>
      </w:pPr>
    </w:p>
    <w:p w:rsidR="00676BD5" w:rsidRPr="00676BD5" w:rsidRDefault="00676BD5" w:rsidP="00676BD5">
      <w:pPr>
        <w:pStyle w:val="SCCNormalDoubleSpacing"/>
        <w:spacing w:line="240" w:lineRule="auto"/>
        <w:rPr>
          <w:sz w:val="20"/>
          <w:lang w:val="fr-CA"/>
        </w:rPr>
      </w:pPr>
      <w:r w:rsidRPr="00676BD5">
        <w:rPr>
          <w:i/>
          <w:sz w:val="20"/>
          <w:lang w:val="fr-CA"/>
        </w:rPr>
        <w:tab/>
        <w:t>Ranjan K. Agarwal</w:t>
      </w:r>
      <w:r w:rsidRPr="00676BD5">
        <w:rPr>
          <w:sz w:val="20"/>
          <w:lang w:val="fr-CA"/>
        </w:rPr>
        <w:t xml:space="preserve"> et </w:t>
      </w:r>
      <w:r w:rsidRPr="00676BD5">
        <w:rPr>
          <w:i/>
          <w:sz w:val="20"/>
          <w:lang w:val="fr-CA"/>
        </w:rPr>
        <w:t>Daniel Holden</w:t>
      </w:r>
      <w:r w:rsidRPr="00676BD5">
        <w:rPr>
          <w:sz w:val="20"/>
          <w:lang w:val="fr-CA"/>
        </w:rPr>
        <w:t>, pour l’intervenante Canadian Constitution Foundation.</w:t>
      </w:r>
    </w:p>
    <w:p w:rsidR="00676BD5" w:rsidRPr="00676BD5" w:rsidRDefault="00676BD5" w:rsidP="00676BD5">
      <w:pPr>
        <w:pStyle w:val="SCCNormalDoubleSpacing"/>
        <w:spacing w:line="240" w:lineRule="auto"/>
        <w:rPr>
          <w:i/>
          <w:sz w:val="20"/>
          <w:lang w:val="fr-CA"/>
        </w:rPr>
      </w:pPr>
    </w:p>
    <w:p w:rsidR="00676BD5" w:rsidRPr="00676BD5" w:rsidRDefault="00676BD5" w:rsidP="00676BD5">
      <w:pPr>
        <w:pStyle w:val="SCCNormalDoubleSpacing"/>
        <w:spacing w:line="240" w:lineRule="auto"/>
        <w:rPr>
          <w:sz w:val="20"/>
          <w:lang w:val="fr-CA"/>
        </w:rPr>
      </w:pPr>
      <w:r w:rsidRPr="00676BD5">
        <w:rPr>
          <w:i/>
          <w:sz w:val="20"/>
          <w:lang w:val="fr-CA"/>
        </w:rPr>
        <w:tab/>
      </w:r>
      <w:r w:rsidRPr="00676BD5">
        <w:rPr>
          <w:sz w:val="20"/>
          <w:lang w:val="fr-CA"/>
        </w:rPr>
        <w:t>Argumentation écrite seulement par</w:t>
      </w:r>
      <w:r w:rsidRPr="00676BD5">
        <w:rPr>
          <w:i/>
          <w:sz w:val="20"/>
          <w:lang w:val="fr-CA"/>
        </w:rPr>
        <w:t xml:space="preserve"> Isha Khan</w:t>
      </w:r>
      <w:r w:rsidRPr="00676BD5">
        <w:rPr>
          <w:sz w:val="20"/>
          <w:lang w:val="fr-CA"/>
        </w:rPr>
        <w:t>, pour l’intervenante la Commission des droits de la personne du Manitoba.</w:t>
      </w:r>
    </w:p>
    <w:p w:rsidR="00676BD5" w:rsidRPr="00676BD5" w:rsidRDefault="00676BD5" w:rsidP="00676BD5">
      <w:pPr>
        <w:pStyle w:val="SCCNormalDoubleSpacing"/>
        <w:spacing w:line="240" w:lineRule="auto"/>
        <w:rPr>
          <w:i/>
          <w:sz w:val="20"/>
          <w:lang w:val="fr-CA"/>
        </w:rPr>
      </w:pPr>
    </w:p>
    <w:p w:rsidR="00676BD5" w:rsidRPr="00D03C2F" w:rsidRDefault="00676BD5" w:rsidP="00676BD5">
      <w:pPr>
        <w:pStyle w:val="SCCNormalDoubleSpacing"/>
        <w:spacing w:line="240" w:lineRule="auto"/>
        <w:rPr>
          <w:sz w:val="20"/>
          <w:lang w:val="en-US"/>
        </w:rPr>
      </w:pPr>
      <w:r w:rsidRPr="00676BD5">
        <w:rPr>
          <w:i/>
          <w:sz w:val="20"/>
          <w:lang w:val="fr-CA"/>
        </w:rPr>
        <w:tab/>
      </w:r>
      <w:r w:rsidRPr="00D03C2F">
        <w:rPr>
          <w:i/>
          <w:sz w:val="20"/>
          <w:lang w:val="en-US"/>
        </w:rPr>
        <w:t>Alison Dewar</w:t>
      </w:r>
      <w:r w:rsidRPr="00D03C2F">
        <w:rPr>
          <w:sz w:val="20"/>
          <w:lang w:val="en-US"/>
        </w:rPr>
        <w:t>, pour l’intervenant West Coast Women’s Legal Education and Action Fund.</w:t>
      </w:r>
    </w:p>
    <w:p w:rsidR="00676BD5" w:rsidRDefault="00676BD5" w:rsidP="00676BD5">
      <w:pPr>
        <w:pStyle w:val="SCCNormalDoubleSpacing"/>
        <w:spacing w:line="240" w:lineRule="auto"/>
        <w:rPr>
          <w:i/>
          <w:sz w:val="20"/>
          <w:lang w:val="en-US"/>
        </w:rPr>
      </w:pPr>
    </w:p>
    <w:p w:rsidR="00676BD5" w:rsidRPr="00676BD5" w:rsidRDefault="00676BD5" w:rsidP="00676BD5">
      <w:pPr>
        <w:pStyle w:val="SCCNormalDoubleSpacing"/>
        <w:spacing w:line="240" w:lineRule="auto"/>
        <w:rPr>
          <w:sz w:val="20"/>
          <w:lang w:val="fr-CA"/>
        </w:rPr>
      </w:pPr>
      <w:r w:rsidRPr="00D03C2F">
        <w:rPr>
          <w:i/>
          <w:sz w:val="20"/>
          <w:lang w:val="en-US"/>
        </w:rPr>
        <w:lastRenderedPageBreak/>
        <w:tab/>
      </w:r>
      <w:r w:rsidRPr="00676BD5">
        <w:rPr>
          <w:i/>
          <w:sz w:val="20"/>
          <w:lang w:val="fr-CA"/>
        </w:rPr>
        <w:t xml:space="preserve">Roberto Lattanzio </w:t>
      </w:r>
      <w:r w:rsidRPr="00676BD5">
        <w:rPr>
          <w:sz w:val="20"/>
          <w:lang w:val="fr-CA"/>
        </w:rPr>
        <w:t>et</w:t>
      </w:r>
      <w:r w:rsidRPr="00676BD5">
        <w:rPr>
          <w:i/>
          <w:sz w:val="20"/>
          <w:lang w:val="fr-CA"/>
        </w:rPr>
        <w:t xml:space="preserve"> Laurie Letheren</w:t>
      </w:r>
      <w:r w:rsidRPr="00676BD5">
        <w:rPr>
          <w:sz w:val="20"/>
          <w:lang w:val="fr-CA"/>
        </w:rPr>
        <w:t>, pour l’intervenante l’Association canadienne pour l’intégration communautaire.</w:t>
      </w:r>
    </w:p>
    <w:p w:rsidR="00676BD5" w:rsidRPr="00676BD5" w:rsidRDefault="00676BD5" w:rsidP="00676BD5">
      <w:pPr>
        <w:pStyle w:val="SCCNormalDoubleSpacing"/>
        <w:spacing w:line="240" w:lineRule="auto"/>
        <w:rPr>
          <w:i/>
          <w:sz w:val="20"/>
          <w:lang w:val="fr-CA"/>
        </w:rPr>
      </w:pPr>
    </w:p>
    <w:p w:rsidR="00676BD5" w:rsidRPr="00676BD5" w:rsidRDefault="00676BD5" w:rsidP="00676BD5">
      <w:pPr>
        <w:pStyle w:val="SCCNormalDoubleSpacing"/>
        <w:spacing w:line="240" w:lineRule="auto"/>
        <w:rPr>
          <w:sz w:val="20"/>
          <w:lang w:val="fr-CA"/>
        </w:rPr>
      </w:pPr>
      <w:r w:rsidRPr="00676BD5">
        <w:rPr>
          <w:i/>
          <w:sz w:val="20"/>
          <w:lang w:val="fr-CA"/>
        </w:rPr>
        <w:tab/>
        <w:t>Athanassia Bitzakidis</w:t>
      </w:r>
      <w:r w:rsidRPr="00676BD5">
        <w:rPr>
          <w:sz w:val="20"/>
          <w:lang w:val="fr-CA"/>
        </w:rPr>
        <w:t>, pour l’intervenante la Commission des droits de la personne et des droits de la jeunesse.</w:t>
      </w:r>
    </w:p>
    <w:p w:rsidR="00676BD5" w:rsidRPr="00676BD5" w:rsidRDefault="00676BD5" w:rsidP="00676BD5">
      <w:pPr>
        <w:pStyle w:val="SCCNormalDoubleSpacing"/>
        <w:spacing w:line="240" w:lineRule="auto"/>
        <w:rPr>
          <w:i/>
          <w:sz w:val="20"/>
          <w:lang w:val="fr-CA"/>
        </w:rPr>
      </w:pPr>
    </w:p>
    <w:p w:rsidR="00676BD5" w:rsidRPr="00D03C2F" w:rsidRDefault="00676BD5" w:rsidP="00676BD5">
      <w:pPr>
        <w:pStyle w:val="SCCNormalDoubleSpacing"/>
        <w:spacing w:line="240" w:lineRule="auto"/>
        <w:rPr>
          <w:sz w:val="20"/>
          <w:lang w:val="en-US"/>
        </w:rPr>
      </w:pPr>
      <w:r w:rsidRPr="00676BD5">
        <w:rPr>
          <w:i/>
          <w:sz w:val="20"/>
          <w:lang w:val="fr-CA"/>
        </w:rPr>
        <w:tab/>
      </w:r>
      <w:r w:rsidRPr="00D03C2F">
        <w:rPr>
          <w:i/>
          <w:sz w:val="20"/>
          <w:lang w:val="en-US"/>
        </w:rPr>
        <w:t>Denise E. Paluck</w:t>
      </w:r>
      <w:r w:rsidRPr="00D03C2F">
        <w:rPr>
          <w:sz w:val="20"/>
          <w:lang w:val="en-US"/>
        </w:rPr>
        <w:t>, pour l’intervenant British Columbia Human Rights Tribunal.</w:t>
      </w:r>
    </w:p>
    <w:p w:rsidR="00676BD5" w:rsidRDefault="00676BD5" w:rsidP="00676BD5">
      <w:pPr>
        <w:pStyle w:val="SCCNormalDoubleSpacing"/>
        <w:spacing w:line="240" w:lineRule="auto"/>
        <w:rPr>
          <w:i/>
          <w:sz w:val="20"/>
          <w:lang w:val="en-US"/>
        </w:rPr>
      </w:pPr>
    </w:p>
    <w:p w:rsidR="00676BD5" w:rsidRPr="00676BD5" w:rsidRDefault="00676BD5" w:rsidP="00676BD5">
      <w:pPr>
        <w:pStyle w:val="SCCNormalDoubleSpacing"/>
        <w:spacing w:line="240" w:lineRule="auto"/>
        <w:rPr>
          <w:sz w:val="20"/>
          <w:lang w:val="fr-CA"/>
        </w:rPr>
      </w:pPr>
      <w:r w:rsidRPr="00D03C2F">
        <w:rPr>
          <w:i/>
          <w:sz w:val="20"/>
          <w:lang w:val="en-US"/>
        </w:rPr>
        <w:tab/>
      </w:r>
      <w:r w:rsidRPr="00676BD5">
        <w:rPr>
          <w:i/>
          <w:sz w:val="20"/>
          <w:lang w:val="fr-CA"/>
        </w:rPr>
        <w:t>Nicholas McHaffie</w:t>
      </w:r>
      <w:r w:rsidRPr="00676BD5">
        <w:rPr>
          <w:sz w:val="20"/>
          <w:lang w:val="fr-CA"/>
        </w:rPr>
        <w:t xml:space="preserve"> et </w:t>
      </w:r>
      <w:r w:rsidRPr="00676BD5">
        <w:rPr>
          <w:i/>
          <w:sz w:val="20"/>
          <w:lang w:val="fr-CA"/>
        </w:rPr>
        <w:t>Sarah Clarke</w:t>
      </w:r>
      <w:r w:rsidRPr="00676BD5">
        <w:rPr>
          <w:sz w:val="20"/>
          <w:lang w:val="fr-CA"/>
        </w:rPr>
        <w:t>, pour l’intervenante la Société de soutien à l’enfance et à la famille des Premières Nations du Canada.</w:t>
      </w:r>
    </w:p>
    <w:p w:rsidR="00676BD5" w:rsidRPr="00676BD5" w:rsidRDefault="00676BD5" w:rsidP="00676BD5">
      <w:pPr>
        <w:pStyle w:val="SCCLawFirm"/>
        <w:spacing w:line="240" w:lineRule="auto"/>
        <w:rPr>
          <w:sz w:val="20"/>
          <w:lang w:val="fr-CA"/>
        </w:rPr>
      </w:pPr>
    </w:p>
    <w:p w:rsidR="00676BD5" w:rsidRPr="00676BD5" w:rsidRDefault="00676BD5" w:rsidP="00676BD5">
      <w:pPr>
        <w:pStyle w:val="SCCLawFirm"/>
        <w:spacing w:line="240" w:lineRule="auto"/>
        <w:rPr>
          <w:sz w:val="20"/>
          <w:lang w:val="fr-CA"/>
        </w:rPr>
      </w:pPr>
      <w:r w:rsidRPr="00676BD5">
        <w:rPr>
          <w:sz w:val="20"/>
          <w:lang w:val="fr-CA"/>
        </w:rPr>
        <w:tab/>
        <w:t>Procureur de l’appelant : Community Legal Assistance Society, Vancouver.</w:t>
      </w:r>
    </w:p>
    <w:p w:rsidR="00676BD5" w:rsidRPr="00676BD5" w:rsidRDefault="00676BD5" w:rsidP="00676BD5">
      <w:pPr>
        <w:pStyle w:val="SCCLawFirm"/>
        <w:spacing w:line="240" w:lineRule="auto"/>
        <w:rPr>
          <w:sz w:val="20"/>
          <w:lang w:val="fr-CA"/>
        </w:rPr>
      </w:pPr>
    </w:p>
    <w:p w:rsidR="00676BD5" w:rsidRPr="00676BD5" w:rsidRDefault="00676BD5" w:rsidP="00676BD5">
      <w:pPr>
        <w:pStyle w:val="SCCLawFirm"/>
        <w:spacing w:line="240" w:lineRule="auto"/>
        <w:rPr>
          <w:sz w:val="20"/>
          <w:lang w:val="fr-CA"/>
        </w:rPr>
      </w:pPr>
      <w:r w:rsidRPr="00676BD5">
        <w:rPr>
          <w:sz w:val="20"/>
          <w:lang w:val="fr-CA"/>
        </w:rPr>
        <w:tab/>
        <w:t>Procureur de l’intimée Sa Majesté la Reine du chef de la province de la Colombie</w:t>
      </w:r>
      <w:r w:rsidRPr="00676BD5">
        <w:rPr>
          <w:sz w:val="20"/>
          <w:lang w:val="fr-CA"/>
        </w:rPr>
        <w:noBreakHyphen/>
        <w:t>Britannique, représentée par le ministère de l’Éducation : Procureur général de la Colombie</w:t>
      </w:r>
      <w:r w:rsidRPr="00676BD5">
        <w:rPr>
          <w:sz w:val="20"/>
          <w:lang w:val="fr-CA"/>
        </w:rPr>
        <w:noBreakHyphen/>
        <w:t>Britannique, Victoria.</w:t>
      </w:r>
    </w:p>
    <w:p w:rsidR="00676BD5" w:rsidRPr="00676BD5" w:rsidRDefault="00676BD5" w:rsidP="00676BD5">
      <w:pPr>
        <w:pStyle w:val="SCCLawFirm"/>
        <w:spacing w:line="240" w:lineRule="auto"/>
        <w:rPr>
          <w:sz w:val="20"/>
          <w:lang w:val="fr-CA"/>
        </w:rPr>
      </w:pPr>
    </w:p>
    <w:p w:rsidR="00676BD5" w:rsidRPr="00D03C2F" w:rsidRDefault="00676BD5" w:rsidP="00676BD5">
      <w:pPr>
        <w:pStyle w:val="SCCLawFirm"/>
        <w:spacing w:line="240" w:lineRule="auto"/>
        <w:rPr>
          <w:sz w:val="20"/>
          <w:lang w:val="en-US"/>
        </w:rPr>
      </w:pPr>
      <w:r w:rsidRPr="00676BD5">
        <w:rPr>
          <w:sz w:val="20"/>
          <w:lang w:val="fr-CA"/>
        </w:rPr>
        <w:tab/>
      </w:r>
      <w:r w:rsidRPr="00D03C2F">
        <w:rPr>
          <w:sz w:val="20"/>
          <w:lang w:val="en-US"/>
        </w:rPr>
        <w:t>Procureurs de l’intimé Board of Education of School District No. 44 (North Vancouver), anciennement appelé The Board of School Trustees of School District No. 44 (North Vancouver</w:t>
      </w:r>
      <w:proofErr w:type="gramStart"/>
      <w:r w:rsidRPr="00D03C2F">
        <w:rPr>
          <w:sz w:val="20"/>
          <w:lang w:val="en-US"/>
        </w:rPr>
        <w:t>) :</w:t>
      </w:r>
      <w:proofErr w:type="gramEnd"/>
      <w:r w:rsidRPr="00D03C2F">
        <w:rPr>
          <w:sz w:val="20"/>
          <w:lang w:val="en-US"/>
        </w:rPr>
        <w:t> Guild Yule, Vancouver.</w:t>
      </w:r>
    </w:p>
    <w:p w:rsidR="00676BD5" w:rsidRDefault="00676BD5" w:rsidP="00676BD5">
      <w:pPr>
        <w:pStyle w:val="SCCLawFirm"/>
        <w:spacing w:line="240" w:lineRule="auto"/>
        <w:rPr>
          <w:sz w:val="20"/>
          <w:lang w:val="en-US"/>
        </w:rPr>
      </w:pPr>
    </w:p>
    <w:p w:rsidR="00676BD5" w:rsidRPr="00676BD5" w:rsidRDefault="00676BD5" w:rsidP="00676BD5">
      <w:pPr>
        <w:pStyle w:val="SCCLawFirm"/>
        <w:spacing w:line="240" w:lineRule="auto"/>
        <w:rPr>
          <w:sz w:val="20"/>
          <w:lang w:val="fr-CA"/>
        </w:rPr>
      </w:pPr>
      <w:r w:rsidRPr="00D03C2F">
        <w:rPr>
          <w:sz w:val="20"/>
          <w:lang w:val="en-US"/>
        </w:rPr>
        <w:tab/>
      </w:r>
      <w:r w:rsidRPr="00676BD5">
        <w:rPr>
          <w:sz w:val="20"/>
          <w:lang w:val="fr-CA"/>
        </w:rPr>
        <w:t>Procureur de l’intervenant le procureur général de l’Ontario : Procureur général de l’Ontario, Toronto.</w:t>
      </w:r>
    </w:p>
    <w:p w:rsidR="00676BD5" w:rsidRPr="00676BD5" w:rsidRDefault="00676BD5" w:rsidP="00676BD5">
      <w:pPr>
        <w:pStyle w:val="SCCLawFirm"/>
        <w:spacing w:line="240" w:lineRule="auto"/>
        <w:rPr>
          <w:sz w:val="20"/>
          <w:lang w:val="fr-CA"/>
        </w:rPr>
      </w:pPr>
    </w:p>
    <w:p w:rsidR="00676BD5" w:rsidRPr="00D03C2F" w:rsidRDefault="00676BD5" w:rsidP="00676BD5">
      <w:pPr>
        <w:pStyle w:val="SCCLawFirm"/>
        <w:spacing w:line="240" w:lineRule="auto"/>
        <w:rPr>
          <w:sz w:val="20"/>
          <w:lang w:val="en-US"/>
        </w:rPr>
      </w:pPr>
      <w:r w:rsidRPr="00676BD5">
        <w:rPr>
          <w:sz w:val="20"/>
          <w:lang w:val="fr-CA"/>
        </w:rPr>
        <w:tab/>
      </w:r>
      <w:r w:rsidRPr="00D03C2F">
        <w:rPr>
          <w:sz w:val="20"/>
          <w:lang w:val="en-US"/>
        </w:rPr>
        <w:t xml:space="preserve">Procureur de l’intervenante Justice for Children and </w:t>
      </w:r>
      <w:proofErr w:type="gramStart"/>
      <w:r w:rsidRPr="00D03C2F">
        <w:rPr>
          <w:sz w:val="20"/>
          <w:lang w:val="en-US"/>
        </w:rPr>
        <w:t>Youth :</w:t>
      </w:r>
      <w:proofErr w:type="gramEnd"/>
      <w:r w:rsidRPr="00D03C2F">
        <w:rPr>
          <w:sz w:val="20"/>
          <w:lang w:val="en-US"/>
        </w:rPr>
        <w:t> Canadian Foundation for Children, Youth and the Law, Toronto.</w:t>
      </w:r>
    </w:p>
    <w:p w:rsidR="00676BD5" w:rsidRDefault="00676BD5" w:rsidP="00676BD5">
      <w:pPr>
        <w:pStyle w:val="SCCLawFirm"/>
        <w:spacing w:line="240" w:lineRule="auto"/>
        <w:rPr>
          <w:sz w:val="20"/>
          <w:lang w:val="en-US"/>
        </w:rPr>
      </w:pPr>
    </w:p>
    <w:p w:rsidR="00676BD5" w:rsidRPr="00D03C2F" w:rsidRDefault="00676BD5" w:rsidP="00676BD5">
      <w:pPr>
        <w:pStyle w:val="SCCLawFirm"/>
        <w:spacing w:line="240" w:lineRule="auto"/>
        <w:rPr>
          <w:sz w:val="20"/>
          <w:lang w:val="en-US"/>
        </w:rPr>
      </w:pPr>
      <w:r w:rsidRPr="00D03C2F">
        <w:rPr>
          <w:sz w:val="20"/>
          <w:lang w:val="en-US"/>
        </w:rPr>
        <w:tab/>
        <w:t xml:space="preserve">Procureur de l’intervenante British Columbia Teachers’ </w:t>
      </w:r>
      <w:proofErr w:type="gramStart"/>
      <w:r w:rsidRPr="00D03C2F">
        <w:rPr>
          <w:sz w:val="20"/>
          <w:lang w:val="en-US"/>
        </w:rPr>
        <w:t>Federation :</w:t>
      </w:r>
      <w:proofErr w:type="gramEnd"/>
      <w:r w:rsidRPr="00D03C2F">
        <w:rPr>
          <w:sz w:val="20"/>
          <w:lang w:val="en-US"/>
        </w:rPr>
        <w:t> British Columbia Teachers’ Federation, Vancouver.</w:t>
      </w:r>
    </w:p>
    <w:p w:rsidR="00676BD5" w:rsidRDefault="00676BD5" w:rsidP="00676BD5">
      <w:pPr>
        <w:pStyle w:val="SCCLawFirm"/>
        <w:spacing w:line="240" w:lineRule="auto"/>
        <w:rPr>
          <w:sz w:val="20"/>
          <w:lang w:val="en-US"/>
        </w:rPr>
      </w:pPr>
    </w:p>
    <w:p w:rsidR="00676BD5" w:rsidRPr="00676BD5" w:rsidRDefault="00676BD5" w:rsidP="00676BD5">
      <w:pPr>
        <w:pStyle w:val="SCCLawFirm"/>
        <w:spacing w:line="240" w:lineRule="auto"/>
        <w:rPr>
          <w:sz w:val="20"/>
          <w:lang w:val="fr-CA"/>
        </w:rPr>
      </w:pPr>
      <w:r w:rsidRPr="00D03C2F">
        <w:rPr>
          <w:sz w:val="20"/>
          <w:lang w:val="en-US"/>
        </w:rPr>
        <w:tab/>
      </w:r>
      <w:r w:rsidRPr="00676BD5">
        <w:rPr>
          <w:sz w:val="20"/>
          <w:lang w:val="fr-CA"/>
        </w:rPr>
        <w:t>Procureurs de l’intervenant le Conseil des Canadiens avec déficiences : Camp Fiorante Matthews, Vancouver.</w:t>
      </w:r>
    </w:p>
    <w:p w:rsidR="00676BD5" w:rsidRPr="00676BD5" w:rsidRDefault="00676BD5" w:rsidP="00676BD5">
      <w:pPr>
        <w:pStyle w:val="SCCLawFirm"/>
        <w:spacing w:line="240" w:lineRule="auto"/>
        <w:rPr>
          <w:sz w:val="20"/>
          <w:lang w:val="fr-CA"/>
        </w:rPr>
      </w:pPr>
    </w:p>
    <w:p w:rsidR="00676BD5" w:rsidRPr="00676BD5" w:rsidRDefault="00676BD5" w:rsidP="00676BD5">
      <w:pPr>
        <w:pStyle w:val="SCCLawFirm"/>
        <w:spacing w:line="240" w:lineRule="auto"/>
        <w:rPr>
          <w:sz w:val="20"/>
          <w:lang w:val="fr-CA"/>
        </w:rPr>
      </w:pPr>
      <w:r w:rsidRPr="00676BD5">
        <w:rPr>
          <w:sz w:val="20"/>
          <w:lang w:val="fr-CA"/>
        </w:rPr>
        <w:tab/>
        <w:t>Procureur des intervenantes la Commission ontarienne des droits de la personne, Saskatchewan Human Rights Commission et Alberta Human Rights Commission : Commission ontarienne des droits de la personne, Toronto.</w:t>
      </w:r>
    </w:p>
    <w:p w:rsidR="00676BD5" w:rsidRPr="00676BD5" w:rsidRDefault="00676BD5" w:rsidP="00676BD5">
      <w:pPr>
        <w:pStyle w:val="SCCLawFirm"/>
        <w:spacing w:line="240" w:lineRule="auto"/>
        <w:rPr>
          <w:sz w:val="20"/>
          <w:lang w:val="fr-CA"/>
        </w:rPr>
      </w:pPr>
    </w:p>
    <w:p w:rsidR="00676BD5" w:rsidRPr="00676BD5" w:rsidRDefault="00676BD5" w:rsidP="00676BD5">
      <w:pPr>
        <w:pStyle w:val="SCCLawFirm"/>
        <w:spacing w:line="240" w:lineRule="auto"/>
        <w:rPr>
          <w:sz w:val="20"/>
          <w:lang w:val="fr-CA"/>
        </w:rPr>
      </w:pPr>
      <w:r w:rsidRPr="00676BD5">
        <w:rPr>
          <w:sz w:val="20"/>
          <w:lang w:val="fr-CA"/>
        </w:rPr>
        <w:tab/>
        <w:t>Procureurs de l’intervenante International Dyslexia Association, Ontario Branch : Norton Rose Canada, Toronto.</w:t>
      </w:r>
    </w:p>
    <w:p w:rsidR="00676BD5" w:rsidRPr="00676BD5" w:rsidRDefault="00676BD5" w:rsidP="00676BD5">
      <w:pPr>
        <w:pStyle w:val="SCCLawFirm"/>
        <w:spacing w:line="240" w:lineRule="auto"/>
        <w:rPr>
          <w:sz w:val="20"/>
          <w:lang w:val="fr-CA"/>
        </w:rPr>
      </w:pPr>
    </w:p>
    <w:p w:rsidR="00676BD5" w:rsidRPr="00676BD5" w:rsidRDefault="00676BD5" w:rsidP="00676BD5">
      <w:pPr>
        <w:pStyle w:val="SCCLawFirm"/>
        <w:spacing w:line="240" w:lineRule="auto"/>
        <w:rPr>
          <w:sz w:val="20"/>
          <w:lang w:val="fr-CA"/>
        </w:rPr>
      </w:pPr>
      <w:r w:rsidRPr="00676BD5">
        <w:rPr>
          <w:sz w:val="20"/>
          <w:lang w:val="fr-CA"/>
        </w:rPr>
        <w:tab/>
        <w:t>Procureur de l’intervenante la Commission canadienne des droits de la personne : Commission canadienne des droits de la personne, Ottawa.</w:t>
      </w:r>
    </w:p>
    <w:p w:rsidR="00676BD5" w:rsidRPr="00676BD5" w:rsidRDefault="00676BD5" w:rsidP="00676BD5">
      <w:pPr>
        <w:pStyle w:val="SCCLawFirm"/>
        <w:spacing w:line="240" w:lineRule="auto"/>
        <w:rPr>
          <w:sz w:val="20"/>
          <w:lang w:val="fr-CA"/>
        </w:rPr>
      </w:pPr>
    </w:p>
    <w:p w:rsidR="00676BD5" w:rsidRPr="00676BD5" w:rsidRDefault="00676BD5" w:rsidP="00676BD5">
      <w:pPr>
        <w:pStyle w:val="SCCLawFirm"/>
        <w:spacing w:line="240" w:lineRule="auto"/>
        <w:rPr>
          <w:sz w:val="20"/>
          <w:lang w:val="fr-CA"/>
        </w:rPr>
      </w:pPr>
      <w:r w:rsidRPr="00676BD5">
        <w:rPr>
          <w:sz w:val="20"/>
          <w:lang w:val="fr-CA"/>
        </w:rPr>
        <w:tab/>
        <w:t>Procureurs de l’intervenante l’Association canadienne des troubles d’apprentissage : Pitblado, Winnipeg.</w:t>
      </w:r>
    </w:p>
    <w:p w:rsidR="00676BD5" w:rsidRPr="00676BD5" w:rsidRDefault="00676BD5" w:rsidP="00676BD5">
      <w:pPr>
        <w:pStyle w:val="SCCLawFirm"/>
        <w:spacing w:line="240" w:lineRule="auto"/>
        <w:rPr>
          <w:sz w:val="20"/>
          <w:lang w:val="fr-CA"/>
        </w:rPr>
      </w:pPr>
    </w:p>
    <w:p w:rsidR="00676BD5" w:rsidRPr="00676BD5" w:rsidRDefault="00676BD5" w:rsidP="00676BD5">
      <w:pPr>
        <w:pStyle w:val="SCCLawFirm"/>
        <w:spacing w:line="240" w:lineRule="auto"/>
        <w:rPr>
          <w:sz w:val="20"/>
          <w:lang w:val="fr-CA"/>
        </w:rPr>
      </w:pPr>
      <w:r w:rsidRPr="00676BD5">
        <w:rPr>
          <w:sz w:val="20"/>
          <w:lang w:val="fr-CA"/>
        </w:rPr>
        <w:tab/>
        <w:t>Procureurs de l’intervenante Canadian Constitution Foundation : Bennett Jones, Ottawa.</w:t>
      </w:r>
    </w:p>
    <w:p w:rsidR="00676BD5" w:rsidRPr="00676BD5" w:rsidRDefault="00676BD5" w:rsidP="00676BD5">
      <w:pPr>
        <w:pStyle w:val="SCCLawFirm"/>
        <w:spacing w:line="240" w:lineRule="auto"/>
        <w:rPr>
          <w:sz w:val="20"/>
          <w:lang w:val="fr-CA"/>
        </w:rPr>
      </w:pPr>
    </w:p>
    <w:p w:rsidR="00676BD5" w:rsidRPr="00676BD5" w:rsidRDefault="00676BD5" w:rsidP="00676BD5">
      <w:pPr>
        <w:pStyle w:val="SCCLawFirm"/>
        <w:spacing w:line="240" w:lineRule="auto"/>
        <w:rPr>
          <w:sz w:val="20"/>
          <w:lang w:val="fr-CA"/>
        </w:rPr>
      </w:pPr>
      <w:r w:rsidRPr="00676BD5">
        <w:rPr>
          <w:sz w:val="20"/>
          <w:lang w:val="fr-CA"/>
        </w:rPr>
        <w:tab/>
        <w:t>Procureur de l’intervenante la Commission des droits de la personne du Manitoba : Commission des droits de la personne du Manitoba, Winnipeg.</w:t>
      </w:r>
    </w:p>
    <w:p w:rsidR="00676BD5" w:rsidRPr="00676BD5" w:rsidRDefault="00676BD5" w:rsidP="00676BD5">
      <w:pPr>
        <w:pStyle w:val="SCCLawFirm"/>
        <w:spacing w:line="240" w:lineRule="auto"/>
        <w:rPr>
          <w:sz w:val="20"/>
          <w:lang w:val="fr-CA"/>
        </w:rPr>
      </w:pPr>
    </w:p>
    <w:p w:rsidR="00676BD5" w:rsidRPr="00D03C2F" w:rsidRDefault="00676BD5" w:rsidP="00676BD5">
      <w:pPr>
        <w:pStyle w:val="SCCLawFirm"/>
        <w:spacing w:line="240" w:lineRule="auto"/>
        <w:rPr>
          <w:sz w:val="20"/>
          <w:lang w:val="en-US"/>
        </w:rPr>
      </w:pPr>
      <w:r w:rsidRPr="00676BD5">
        <w:rPr>
          <w:sz w:val="20"/>
          <w:lang w:val="fr-CA"/>
        </w:rPr>
        <w:tab/>
      </w:r>
      <w:r w:rsidRPr="00D03C2F">
        <w:rPr>
          <w:sz w:val="20"/>
          <w:lang w:val="en-US"/>
        </w:rPr>
        <w:t>Procureur de l’intervenant West Coast Women’s Legal Education and Action Fund : West Coast Women’s Legal Education and Action Fund, Vancouver.</w:t>
      </w:r>
    </w:p>
    <w:p w:rsidR="00676BD5" w:rsidRDefault="00676BD5" w:rsidP="00676BD5">
      <w:pPr>
        <w:pStyle w:val="SCCLawFirm"/>
        <w:spacing w:line="240" w:lineRule="auto"/>
        <w:rPr>
          <w:sz w:val="20"/>
          <w:lang w:val="en-US"/>
        </w:rPr>
      </w:pPr>
    </w:p>
    <w:p w:rsidR="00676BD5" w:rsidRPr="00676BD5" w:rsidRDefault="00676BD5" w:rsidP="00676BD5">
      <w:pPr>
        <w:pStyle w:val="SCCLawFirm"/>
        <w:spacing w:line="240" w:lineRule="auto"/>
        <w:rPr>
          <w:sz w:val="20"/>
          <w:lang w:val="fr-CA"/>
        </w:rPr>
      </w:pPr>
      <w:r w:rsidRPr="00D03C2F">
        <w:rPr>
          <w:sz w:val="20"/>
          <w:lang w:val="en-US"/>
        </w:rPr>
        <w:tab/>
      </w:r>
      <w:r w:rsidRPr="00676BD5">
        <w:rPr>
          <w:sz w:val="20"/>
          <w:lang w:val="fr-CA"/>
        </w:rPr>
        <w:t>Procureur de l’intervenante l’Association canadienne pour l’intégration communautaire : ARCH Disability Law Centre, Toronto.</w:t>
      </w:r>
    </w:p>
    <w:p w:rsidR="00676BD5" w:rsidRPr="00676BD5" w:rsidRDefault="00676BD5" w:rsidP="00676BD5">
      <w:pPr>
        <w:pStyle w:val="SCCLawFirm"/>
        <w:spacing w:line="240" w:lineRule="auto"/>
        <w:rPr>
          <w:sz w:val="20"/>
          <w:lang w:val="fr-CA"/>
        </w:rPr>
      </w:pPr>
    </w:p>
    <w:p w:rsidR="00676BD5" w:rsidRPr="00676BD5" w:rsidRDefault="00676BD5" w:rsidP="00676BD5">
      <w:pPr>
        <w:pStyle w:val="SCCLawFirm"/>
        <w:spacing w:line="240" w:lineRule="auto"/>
        <w:rPr>
          <w:sz w:val="20"/>
          <w:lang w:val="fr-CA"/>
        </w:rPr>
      </w:pPr>
      <w:r w:rsidRPr="00676BD5">
        <w:rPr>
          <w:sz w:val="20"/>
          <w:lang w:val="fr-CA"/>
        </w:rPr>
        <w:tab/>
        <w:t>Procureur de l’intervenante la Commission des droits de la personne et des droits de la jeunesse : Commission des droits de la personne et des droits de la jeunesse, Montréal.</w:t>
      </w:r>
    </w:p>
    <w:p w:rsidR="00676BD5" w:rsidRPr="00676BD5" w:rsidRDefault="00676BD5" w:rsidP="00676BD5">
      <w:pPr>
        <w:pStyle w:val="SCCLawFirm"/>
        <w:spacing w:line="240" w:lineRule="auto"/>
        <w:rPr>
          <w:sz w:val="20"/>
          <w:lang w:val="fr-CA"/>
        </w:rPr>
      </w:pPr>
    </w:p>
    <w:p w:rsidR="00676BD5" w:rsidRPr="00D03C2F" w:rsidRDefault="00676BD5" w:rsidP="00676BD5">
      <w:pPr>
        <w:pStyle w:val="SCCLawFirm"/>
        <w:spacing w:line="240" w:lineRule="auto"/>
        <w:rPr>
          <w:sz w:val="20"/>
          <w:lang w:val="en-US"/>
        </w:rPr>
      </w:pPr>
      <w:r w:rsidRPr="00676BD5">
        <w:rPr>
          <w:sz w:val="20"/>
          <w:lang w:val="fr-CA"/>
        </w:rPr>
        <w:lastRenderedPageBreak/>
        <w:tab/>
      </w:r>
      <w:r w:rsidRPr="00D03C2F">
        <w:rPr>
          <w:sz w:val="20"/>
          <w:lang w:val="en-US"/>
        </w:rPr>
        <w:t xml:space="preserve">Procureur de l’intervenant British Columbia Human Rights </w:t>
      </w:r>
      <w:proofErr w:type="gramStart"/>
      <w:r w:rsidRPr="00D03C2F">
        <w:rPr>
          <w:sz w:val="20"/>
          <w:lang w:val="en-US"/>
        </w:rPr>
        <w:t>Tribunal :</w:t>
      </w:r>
      <w:proofErr w:type="gramEnd"/>
      <w:r w:rsidRPr="00D03C2F">
        <w:rPr>
          <w:sz w:val="20"/>
          <w:lang w:val="en-US"/>
        </w:rPr>
        <w:t> British Columbia Human Rights Tribunal, Vancouver.</w:t>
      </w:r>
    </w:p>
    <w:p w:rsidR="00676BD5" w:rsidRDefault="00676BD5" w:rsidP="00676BD5">
      <w:pPr>
        <w:pStyle w:val="SCCLawFirm"/>
        <w:spacing w:line="240" w:lineRule="auto"/>
        <w:rPr>
          <w:sz w:val="20"/>
          <w:lang w:val="en-US"/>
        </w:rPr>
      </w:pPr>
    </w:p>
    <w:p w:rsidR="00676BD5" w:rsidRPr="00676BD5" w:rsidRDefault="00676BD5" w:rsidP="00676BD5">
      <w:pPr>
        <w:pStyle w:val="SCCLawFirm"/>
        <w:spacing w:line="240" w:lineRule="auto"/>
        <w:rPr>
          <w:sz w:val="20"/>
          <w:lang w:val="fr-CA"/>
        </w:rPr>
      </w:pPr>
      <w:r w:rsidRPr="00D03C2F">
        <w:rPr>
          <w:sz w:val="20"/>
          <w:lang w:val="en-US"/>
        </w:rPr>
        <w:tab/>
      </w:r>
      <w:r w:rsidRPr="00676BD5">
        <w:rPr>
          <w:sz w:val="20"/>
          <w:lang w:val="fr-CA"/>
        </w:rPr>
        <w:t>Procureurs de l’intervenante la Société de soutien à l’enfance et à la famille des Premières Nations du Canada : Stikeman Elliott, Ottawa.</w:t>
      </w:r>
    </w:p>
    <w:p w:rsidR="00256147" w:rsidRDefault="00256147" w:rsidP="00256147">
      <w:pPr>
        <w:rPr>
          <w:rFonts w:cs="Times New Roman"/>
          <w:sz w:val="20"/>
          <w:szCs w:val="20"/>
          <w:lang w:val="fr-CA"/>
        </w:rPr>
      </w:pPr>
    </w:p>
    <w:p w:rsidR="00256147" w:rsidRDefault="00BF3B03" w:rsidP="00256147">
      <w:pPr>
        <w:rPr>
          <w:rFonts w:cs="Times New Roman"/>
          <w:sz w:val="20"/>
          <w:szCs w:val="20"/>
          <w:lang w:val="fr-CA"/>
        </w:rPr>
      </w:pPr>
      <w:r w:rsidRPr="00BF3B03">
        <w:rPr>
          <w:rFonts w:cs="Times New Roman"/>
          <w:sz w:val="20"/>
          <w:szCs w:val="20"/>
          <w:lang w:val="fr-CA"/>
        </w:rPr>
        <w:pict>
          <v:rect id="_x0000_i1111" style="width:144.3pt;height:1pt" o:hrpct="300" o:hralign="center" o:hrstd="t" o:hrnoshade="t" o:hr="t" fillcolor="black [3213]" stroked="f"/>
        </w:pict>
      </w:r>
    </w:p>
    <w:p w:rsidR="00256147" w:rsidRDefault="00256147" w:rsidP="00256147">
      <w:pPr>
        <w:rPr>
          <w:sz w:val="20"/>
          <w:szCs w:val="20"/>
        </w:rPr>
      </w:pPr>
    </w:p>
    <w:p w:rsidR="00256147" w:rsidRDefault="00256147" w:rsidP="003B3977">
      <w:pPr>
        <w:rPr>
          <w:sz w:val="20"/>
          <w:szCs w:val="20"/>
        </w:rPr>
      </w:pPr>
    </w:p>
    <w:p w:rsidR="00256147" w:rsidRPr="003F4721" w:rsidRDefault="00256147"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59"/>
          <w:headerReference w:type="default" r:id="rId60"/>
          <w:footerReference w:type="even" r:id="rId61"/>
          <w:footerReference w:type="default" r:id="rId62"/>
          <w:headerReference w:type="first" r:id="rId63"/>
          <w:footerReference w:type="first" r:id="rId64"/>
          <w:pgSz w:w="12240" w:h="15840"/>
          <w:pgMar w:top="720" w:right="965" w:bottom="1080" w:left="1656" w:header="576" w:footer="960" w:gutter="0"/>
          <w:cols w:space="720"/>
          <w:titlePg/>
          <w:docGrid w:linePitch="272"/>
        </w:sectPr>
      </w:pPr>
    </w:p>
    <w:p w:rsidR="00091FA6" w:rsidRPr="002E0C7E" w:rsidRDefault="00BF3B03" w:rsidP="00091FA6">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091FA6"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091FA6" w:rsidRPr="002E0C7E">
        <w:rPr>
          <w:rFonts w:asciiTheme="minorHAnsi" w:hAnsiTheme="minorHAnsi" w:cstheme="minorHAnsi"/>
          <w:b/>
          <w:szCs w:val="24"/>
        </w:rPr>
        <w:t>SUPREME COURT OF CANADA SCHEDULE / CALENDRIER DE LA COUR SUPREME</w:t>
      </w:r>
    </w:p>
    <w:p w:rsidR="00091FA6" w:rsidRPr="002E0C7E" w:rsidRDefault="00091FA6" w:rsidP="00091FA6">
      <w:pPr>
        <w:widowControl w:val="0"/>
        <w:spacing w:line="180" w:lineRule="auto"/>
        <w:rPr>
          <w:rFonts w:asciiTheme="minorHAnsi" w:hAnsiTheme="minorHAnsi" w:cstheme="minorHAnsi"/>
          <w:szCs w:val="24"/>
        </w:rPr>
      </w:pPr>
    </w:p>
    <w:p w:rsidR="00091FA6" w:rsidRPr="002E0C7E" w:rsidRDefault="00091FA6" w:rsidP="00091FA6">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2</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091FA6" w:rsidRPr="002E0C7E" w:rsidTr="009D0C06">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D0C06">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D0C06">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D0C06">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D0C06">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9D0C06">
            <w:pPr>
              <w:widowControl w:val="0"/>
              <w:jc w:val="center"/>
              <w:rPr>
                <w:rFonts w:ascii="Arial" w:hAnsi="Arial"/>
                <w:sz w:val="14"/>
              </w:rPr>
            </w:pPr>
            <w:r w:rsidRPr="002E0C7E">
              <w:rPr>
                <w:rFonts w:ascii="Arial" w:hAnsi="Arial"/>
                <w:b/>
                <w:sz w:val="14"/>
              </w:rPr>
              <w:t>DECEMBER - DÉCEMBRE</w:t>
            </w:r>
          </w:p>
        </w:tc>
      </w:tr>
      <w:tr w:rsidR="00091FA6" w:rsidRPr="002E0C7E" w:rsidTr="009D0C06">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S</w:t>
            </w:r>
          </w:p>
          <w:p w:rsidR="00091FA6" w:rsidRPr="002E0C7E" w:rsidRDefault="00091FA6" w:rsidP="009D0C06">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M</w:t>
            </w:r>
          </w:p>
          <w:p w:rsidR="00091FA6" w:rsidRPr="002E0C7E" w:rsidRDefault="00091FA6" w:rsidP="009D0C06">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T</w:t>
            </w:r>
          </w:p>
          <w:p w:rsidR="00091FA6" w:rsidRPr="002E0C7E" w:rsidRDefault="00091FA6" w:rsidP="009D0C06">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W</w:t>
            </w:r>
          </w:p>
          <w:p w:rsidR="00091FA6" w:rsidRPr="002E0C7E" w:rsidRDefault="00091FA6" w:rsidP="009D0C06">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T</w:t>
            </w:r>
          </w:p>
          <w:p w:rsidR="00091FA6" w:rsidRPr="002E0C7E" w:rsidRDefault="00091FA6" w:rsidP="009D0C06">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F</w:t>
            </w:r>
          </w:p>
          <w:p w:rsidR="00091FA6" w:rsidRPr="002E0C7E" w:rsidRDefault="00091FA6" w:rsidP="009D0C06">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S</w:t>
            </w:r>
          </w:p>
          <w:p w:rsidR="00091FA6" w:rsidRPr="002E0C7E" w:rsidRDefault="00091FA6" w:rsidP="009D0C06">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S</w:t>
            </w:r>
          </w:p>
          <w:p w:rsidR="00091FA6" w:rsidRPr="002E0C7E" w:rsidRDefault="00091FA6" w:rsidP="009D0C06">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M</w:t>
            </w:r>
          </w:p>
          <w:p w:rsidR="00091FA6" w:rsidRPr="002E0C7E" w:rsidRDefault="00091FA6" w:rsidP="009D0C06">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T</w:t>
            </w:r>
          </w:p>
          <w:p w:rsidR="00091FA6" w:rsidRPr="002E0C7E" w:rsidRDefault="00091FA6" w:rsidP="009D0C06">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W</w:t>
            </w:r>
          </w:p>
          <w:p w:rsidR="00091FA6" w:rsidRPr="002E0C7E" w:rsidRDefault="00091FA6" w:rsidP="009D0C06">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T</w:t>
            </w:r>
          </w:p>
          <w:p w:rsidR="00091FA6" w:rsidRPr="002E0C7E" w:rsidRDefault="00091FA6" w:rsidP="009D0C06">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F</w:t>
            </w:r>
          </w:p>
          <w:p w:rsidR="00091FA6" w:rsidRPr="002E0C7E" w:rsidRDefault="00091FA6" w:rsidP="009D0C06">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S</w:t>
            </w:r>
          </w:p>
          <w:p w:rsidR="00091FA6" w:rsidRPr="002E0C7E" w:rsidRDefault="00091FA6" w:rsidP="009D0C06">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S</w:t>
            </w:r>
          </w:p>
          <w:p w:rsidR="00091FA6" w:rsidRPr="002E0C7E" w:rsidRDefault="00091FA6" w:rsidP="009D0C06">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M</w:t>
            </w:r>
          </w:p>
          <w:p w:rsidR="00091FA6" w:rsidRPr="002E0C7E" w:rsidRDefault="00091FA6" w:rsidP="009D0C06">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T</w:t>
            </w:r>
          </w:p>
          <w:p w:rsidR="00091FA6" w:rsidRPr="002E0C7E" w:rsidRDefault="00091FA6" w:rsidP="009D0C06">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W</w:t>
            </w:r>
          </w:p>
          <w:p w:rsidR="00091FA6" w:rsidRPr="002E0C7E" w:rsidRDefault="00091FA6" w:rsidP="009D0C06">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T</w:t>
            </w:r>
          </w:p>
          <w:p w:rsidR="00091FA6" w:rsidRPr="002E0C7E" w:rsidRDefault="00091FA6" w:rsidP="009D0C06">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F</w:t>
            </w:r>
          </w:p>
          <w:p w:rsidR="00091FA6" w:rsidRPr="002E0C7E" w:rsidRDefault="00091FA6" w:rsidP="009D0C06">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S</w:t>
            </w:r>
          </w:p>
          <w:p w:rsidR="00091FA6" w:rsidRPr="002E0C7E" w:rsidRDefault="00091FA6" w:rsidP="009D0C06">
            <w:pPr>
              <w:widowControl w:val="0"/>
              <w:jc w:val="center"/>
              <w:rPr>
                <w:rFonts w:ascii="Arial" w:hAnsi="Arial"/>
                <w:sz w:val="14"/>
              </w:rPr>
            </w:pPr>
            <w:r w:rsidRPr="002E0C7E">
              <w:rPr>
                <w:rFonts w:ascii="Arial" w:hAnsi="Arial"/>
                <w:sz w:val="14"/>
              </w:rPr>
              <w:t>S</w:t>
            </w:r>
          </w:p>
        </w:tc>
      </w:tr>
      <w:tr w:rsidR="00091FA6" w:rsidRPr="002E0C7E" w:rsidTr="009D0C06">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p>
        </w:tc>
        <w:tc>
          <w:tcPr>
            <w:tcW w:w="488"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3</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4</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p>
        </w:tc>
        <w:tc>
          <w:tcPr>
            <w:tcW w:w="457"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2</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1</w:t>
            </w:r>
          </w:p>
        </w:tc>
      </w:tr>
      <w:tr w:rsidR="00091FA6" w:rsidRPr="002E0C7E" w:rsidTr="009D0C06">
        <w:trPr>
          <w:cantSplit/>
          <w:trHeight w:val="288"/>
          <w:jc w:val="center"/>
        </w:trPr>
        <w:tc>
          <w:tcPr>
            <w:tcW w:w="45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7</w:t>
            </w:r>
          </w:p>
        </w:tc>
        <w:tc>
          <w:tcPr>
            <w:tcW w:w="488"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0C583B" w:rsidRDefault="00091FA6" w:rsidP="009D0C06">
            <w:pPr>
              <w:widowControl w:val="0"/>
              <w:jc w:val="center"/>
              <w:rPr>
                <w:rFonts w:ascii="Arial" w:hAnsi="Arial"/>
                <w:b/>
                <w:sz w:val="14"/>
              </w:rPr>
            </w:pPr>
            <w:r w:rsidRPr="000C583B">
              <w:rPr>
                <w:rFonts w:ascii="Arial" w:hAnsi="Arial"/>
                <w:b/>
                <w:sz w:val="14"/>
              </w:rPr>
              <w:t>H</w:t>
            </w:r>
          </w:p>
          <w:p w:rsidR="00091FA6" w:rsidRPr="002E0C7E" w:rsidRDefault="00091FA6" w:rsidP="009D0C06">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091FA6" w:rsidRPr="000C583B" w:rsidRDefault="00091FA6" w:rsidP="009D0C06">
            <w:pPr>
              <w:widowControl w:val="0"/>
              <w:jc w:val="center"/>
              <w:rPr>
                <w:rFonts w:ascii="Arial" w:hAnsi="Arial"/>
                <w:b/>
                <w:sz w:val="14"/>
              </w:rPr>
            </w:pPr>
            <w:r w:rsidRPr="000C583B">
              <w:rPr>
                <w:rFonts w:ascii="Arial" w:hAnsi="Arial"/>
                <w:b/>
                <w:sz w:val="14"/>
              </w:rPr>
              <w:t>M</w:t>
            </w:r>
          </w:p>
          <w:p w:rsidR="00091FA6" w:rsidRPr="002E0C7E" w:rsidRDefault="00091FA6" w:rsidP="009D0C06">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10</w:t>
            </w:r>
          </w:p>
        </w:tc>
        <w:tc>
          <w:tcPr>
            <w:tcW w:w="463"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11</w:t>
            </w:r>
          </w:p>
        </w:tc>
        <w:tc>
          <w:tcPr>
            <w:tcW w:w="475"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4</w:t>
            </w:r>
          </w:p>
        </w:tc>
        <w:tc>
          <w:tcPr>
            <w:tcW w:w="457"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b/>
                <w:sz w:val="14"/>
              </w:rPr>
              <w:t>M</w:t>
            </w:r>
          </w:p>
          <w:p w:rsidR="00091FA6" w:rsidRPr="002E0C7E" w:rsidRDefault="00091FA6" w:rsidP="009D0C06">
            <w:pPr>
              <w:widowControl w:val="0"/>
              <w:jc w:val="center"/>
              <w:rPr>
                <w:rFonts w:ascii="Arial" w:hAnsi="Arial"/>
                <w:sz w:val="14"/>
              </w:rPr>
            </w:pPr>
            <w:r>
              <w:rPr>
                <w:rFonts w:ascii="Arial" w:hAnsi="Arial"/>
                <w:sz w:val="14"/>
              </w:rPr>
              <w:t>5</w:t>
            </w:r>
          </w:p>
        </w:tc>
        <w:tc>
          <w:tcPr>
            <w:tcW w:w="506"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7</w:t>
            </w:r>
          </w:p>
        </w:tc>
        <w:tc>
          <w:tcPr>
            <w:tcW w:w="484"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9</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2</w:t>
            </w:r>
          </w:p>
        </w:tc>
        <w:tc>
          <w:tcPr>
            <w:tcW w:w="45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b/>
                <w:sz w:val="14"/>
              </w:rPr>
              <w:t>M</w:t>
            </w:r>
          </w:p>
          <w:p w:rsidR="00091FA6" w:rsidRPr="002E0C7E" w:rsidRDefault="00091FA6" w:rsidP="009D0C06">
            <w:pPr>
              <w:widowControl w:val="0"/>
              <w:jc w:val="center"/>
              <w:rPr>
                <w:rFonts w:ascii="Arial" w:hAnsi="Arial"/>
                <w:sz w:val="14"/>
              </w:rPr>
            </w:pPr>
            <w:r>
              <w:rPr>
                <w:rFonts w:ascii="Arial" w:hAnsi="Arial"/>
                <w:sz w:val="14"/>
              </w:rPr>
              <w:t>3</w:t>
            </w:r>
          </w:p>
        </w:tc>
        <w:tc>
          <w:tcPr>
            <w:tcW w:w="54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8</w:t>
            </w:r>
          </w:p>
        </w:tc>
      </w:tr>
      <w:tr w:rsidR="00091FA6" w:rsidRPr="002E0C7E" w:rsidTr="009D0C06">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14</w:t>
            </w:r>
          </w:p>
        </w:tc>
        <w:tc>
          <w:tcPr>
            <w:tcW w:w="488"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0C583B" w:rsidRDefault="00091FA6" w:rsidP="009D0C06">
            <w:pPr>
              <w:widowControl w:val="0"/>
              <w:jc w:val="center"/>
              <w:rPr>
                <w:rFonts w:ascii="Arial" w:hAnsi="Arial"/>
                <w:b/>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0C583B"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7</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8</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11</w:t>
            </w:r>
          </w:p>
        </w:tc>
        <w:tc>
          <w:tcPr>
            <w:tcW w:w="457"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4030BA" w:rsidRDefault="00091FA6" w:rsidP="009D0C06">
            <w:pPr>
              <w:widowControl w:val="0"/>
              <w:jc w:val="center"/>
              <w:rPr>
                <w:rFonts w:ascii="Arial" w:hAnsi="Arial"/>
                <w:sz w:val="14"/>
              </w:rPr>
            </w:pPr>
            <w:r>
              <w:rPr>
                <w:rFonts w:ascii="Arial" w:hAnsi="Arial"/>
                <w:b/>
                <w:sz w:val="14"/>
              </w:rPr>
              <w:t>H</w:t>
            </w: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2</w:t>
            </w:r>
          </w:p>
        </w:tc>
        <w:tc>
          <w:tcPr>
            <w:tcW w:w="506"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13</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4</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6</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9</w:t>
            </w:r>
          </w:p>
        </w:tc>
        <w:tc>
          <w:tcPr>
            <w:tcW w:w="45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0</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3</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9D0C06">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2</w:t>
            </w:r>
            <w:r w:rsidRPr="002E0C7E">
              <w:rPr>
                <w:rFonts w:ascii="Arial" w:hAnsi="Arial"/>
                <w:sz w:val="14"/>
              </w:rPr>
              <w:t>1</w:t>
            </w:r>
          </w:p>
        </w:tc>
        <w:tc>
          <w:tcPr>
            <w:tcW w:w="48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24</w:t>
            </w:r>
          </w:p>
        </w:tc>
        <w:tc>
          <w:tcPr>
            <w:tcW w:w="463"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5</w:t>
            </w:r>
          </w:p>
        </w:tc>
        <w:tc>
          <w:tcPr>
            <w:tcW w:w="475"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18</w:t>
            </w:r>
          </w:p>
        </w:tc>
        <w:tc>
          <w:tcPr>
            <w:tcW w:w="457" w:type="dxa"/>
            <w:tcBorders>
              <w:top w:val="double" w:sz="6" w:space="0" w:color="000000"/>
              <w:left w:val="single" w:sz="8" w:space="0" w:color="000000"/>
              <w:bottom w:val="nil"/>
              <w:right w:val="nil"/>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9</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1</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3</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7</w:t>
            </w:r>
          </w:p>
        </w:tc>
        <w:tc>
          <w:tcPr>
            <w:tcW w:w="54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18</w:t>
            </w: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0</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9D0C06">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28</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31</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5</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6</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28</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30</w:t>
            </w: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Pr>
                <w:rFonts w:ascii="Arial" w:hAnsi="Arial"/>
                <w:sz w:val="14"/>
              </w:rPr>
              <w:t>23</w:t>
            </w:r>
          </w:p>
          <w:p w:rsidR="00091FA6" w:rsidRPr="002E0C7E" w:rsidRDefault="00091FA6" w:rsidP="009D0C06">
            <w:pPr>
              <w:widowControl w:val="0"/>
              <w:jc w:val="center"/>
              <w:rPr>
                <w:rFonts w:ascii="Arial" w:hAnsi="Arial"/>
                <w:sz w:val="14"/>
              </w:rPr>
            </w:pPr>
            <w:r>
              <w:rPr>
                <w:rFonts w:ascii="Arial" w:hAnsi="Arial"/>
                <w:sz w:val="14"/>
              </w:rPr>
              <w:t xml:space="preserve">  30</w:t>
            </w:r>
          </w:p>
        </w:tc>
        <w:tc>
          <w:tcPr>
            <w:tcW w:w="450" w:type="dxa"/>
            <w:tcBorders>
              <w:top w:val="single" w:sz="8" w:space="0" w:color="000000"/>
              <w:left w:val="single" w:sz="8"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Pr>
                <w:rFonts w:ascii="Arial" w:hAnsi="Arial"/>
                <w:sz w:val="14"/>
              </w:rPr>
              <w:t>24</w:t>
            </w:r>
          </w:p>
          <w:p w:rsidR="00091FA6" w:rsidRPr="002E0C7E" w:rsidRDefault="00091FA6" w:rsidP="009D0C06">
            <w:pPr>
              <w:widowControl w:val="0"/>
              <w:jc w:val="center"/>
              <w:rPr>
                <w:rFonts w:ascii="Arial" w:hAnsi="Arial"/>
                <w:sz w:val="14"/>
              </w:rPr>
            </w:pPr>
            <w:r>
              <w:rPr>
                <w:rFonts w:ascii="Arial" w:hAnsi="Arial"/>
                <w:sz w:val="14"/>
              </w:rPr>
              <w:t xml:space="preserve">  31</w:t>
            </w:r>
          </w:p>
        </w:tc>
        <w:tc>
          <w:tcPr>
            <w:tcW w:w="54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b/>
                <w:sz w:val="14"/>
              </w:rPr>
              <w:t>H</w:t>
            </w: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5</w:t>
            </w:r>
          </w:p>
        </w:tc>
        <w:tc>
          <w:tcPr>
            <w:tcW w:w="45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6</w:t>
            </w:r>
          </w:p>
        </w:tc>
        <w:tc>
          <w:tcPr>
            <w:tcW w:w="450" w:type="dxa"/>
            <w:tcBorders>
              <w:top w:val="single" w:sz="8" w:space="0" w:color="000000"/>
              <w:left w:val="double" w:sz="6"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7</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29</w:t>
            </w:r>
          </w:p>
        </w:tc>
      </w:tr>
    </w:tbl>
    <w:p w:rsidR="00091FA6" w:rsidRPr="002E0C7E" w:rsidRDefault="00091FA6" w:rsidP="00091FA6">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091FA6" w:rsidRPr="002E0C7E" w:rsidTr="009D0C06">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D0C06">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D0C06">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D0C06">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D0C06">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9D0C06">
            <w:pPr>
              <w:widowControl w:val="0"/>
              <w:jc w:val="center"/>
              <w:rPr>
                <w:rFonts w:ascii="Arial" w:hAnsi="Arial"/>
                <w:sz w:val="14"/>
              </w:rPr>
            </w:pPr>
            <w:r w:rsidRPr="002E0C7E">
              <w:rPr>
                <w:rFonts w:ascii="Arial" w:hAnsi="Arial"/>
                <w:b/>
                <w:sz w:val="14"/>
              </w:rPr>
              <w:t>MARCH - MARS</w:t>
            </w:r>
          </w:p>
        </w:tc>
      </w:tr>
      <w:tr w:rsidR="00091FA6" w:rsidRPr="002E0C7E" w:rsidTr="009D0C06">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S</w:t>
            </w:r>
          </w:p>
          <w:p w:rsidR="00091FA6" w:rsidRPr="002E0C7E" w:rsidRDefault="00091FA6" w:rsidP="009D0C06">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M</w:t>
            </w:r>
          </w:p>
          <w:p w:rsidR="00091FA6" w:rsidRPr="002E0C7E" w:rsidRDefault="00091FA6" w:rsidP="009D0C06">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T</w:t>
            </w:r>
          </w:p>
          <w:p w:rsidR="00091FA6" w:rsidRPr="002E0C7E" w:rsidRDefault="00091FA6" w:rsidP="009D0C06">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W</w:t>
            </w:r>
          </w:p>
          <w:p w:rsidR="00091FA6" w:rsidRPr="002E0C7E" w:rsidRDefault="00091FA6" w:rsidP="009D0C06">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T</w:t>
            </w:r>
          </w:p>
          <w:p w:rsidR="00091FA6" w:rsidRPr="002E0C7E" w:rsidRDefault="00091FA6" w:rsidP="009D0C06">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F</w:t>
            </w:r>
          </w:p>
          <w:p w:rsidR="00091FA6" w:rsidRPr="002E0C7E" w:rsidRDefault="00091FA6" w:rsidP="009D0C06">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S</w:t>
            </w:r>
          </w:p>
          <w:p w:rsidR="00091FA6" w:rsidRPr="002E0C7E" w:rsidRDefault="00091FA6" w:rsidP="009D0C06">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S</w:t>
            </w:r>
          </w:p>
          <w:p w:rsidR="00091FA6" w:rsidRPr="002E0C7E" w:rsidRDefault="00091FA6" w:rsidP="009D0C06">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M</w:t>
            </w:r>
          </w:p>
          <w:p w:rsidR="00091FA6" w:rsidRPr="002E0C7E" w:rsidRDefault="00091FA6" w:rsidP="009D0C06">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T</w:t>
            </w:r>
          </w:p>
          <w:p w:rsidR="00091FA6" w:rsidRPr="002E0C7E" w:rsidRDefault="00091FA6" w:rsidP="009D0C06">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W</w:t>
            </w:r>
          </w:p>
          <w:p w:rsidR="00091FA6" w:rsidRPr="002E0C7E" w:rsidRDefault="00091FA6" w:rsidP="009D0C06">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T</w:t>
            </w:r>
          </w:p>
          <w:p w:rsidR="00091FA6" w:rsidRPr="002E0C7E" w:rsidRDefault="00091FA6" w:rsidP="009D0C06">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F</w:t>
            </w:r>
          </w:p>
          <w:p w:rsidR="00091FA6" w:rsidRPr="002E0C7E" w:rsidRDefault="00091FA6" w:rsidP="009D0C06">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S</w:t>
            </w:r>
          </w:p>
          <w:p w:rsidR="00091FA6" w:rsidRPr="002E0C7E" w:rsidRDefault="00091FA6" w:rsidP="009D0C06">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S</w:t>
            </w:r>
          </w:p>
          <w:p w:rsidR="00091FA6" w:rsidRPr="002E0C7E" w:rsidRDefault="00091FA6" w:rsidP="009D0C06">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M</w:t>
            </w:r>
          </w:p>
          <w:p w:rsidR="00091FA6" w:rsidRPr="002E0C7E" w:rsidRDefault="00091FA6" w:rsidP="009D0C06">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T</w:t>
            </w:r>
          </w:p>
          <w:p w:rsidR="00091FA6" w:rsidRPr="002E0C7E" w:rsidRDefault="00091FA6" w:rsidP="009D0C06">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W</w:t>
            </w:r>
          </w:p>
          <w:p w:rsidR="00091FA6" w:rsidRPr="002E0C7E" w:rsidRDefault="00091FA6" w:rsidP="009D0C06">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T</w:t>
            </w:r>
          </w:p>
          <w:p w:rsidR="00091FA6" w:rsidRPr="002E0C7E" w:rsidRDefault="00091FA6" w:rsidP="009D0C06">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F</w:t>
            </w:r>
          </w:p>
          <w:p w:rsidR="00091FA6" w:rsidRPr="002E0C7E" w:rsidRDefault="00091FA6" w:rsidP="009D0C06">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S</w:t>
            </w:r>
          </w:p>
          <w:p w:rsidR="00091FA6" w:rsidRPr="002E0C7E" w:rsidRDefault="00091FA6" w:rsidP="009D0C06">
            <w:pPr>
              <w:widowControl w:val="0"/>
              <w:jc w:val="center"/>
              <w:rPr>
                <w:rFonts w:ascii="Arial" w:hAnsi="Arial"/>
                <w:sz w:val="14"/>
              </w:rPr>
            </w:pPr>
            <w:r w:rsidRPr="002E0C7E">
              <w:rPr>
                <w:rFonts w:ascii="Arial" w:hAnsi="Arial"/>
                <w:sz w:val="14"/>
              </w:rPr>
              <w:t>S</w:t>
            </w:r>
          </w:p>
        </w:tc>
      </w:tr>
      <w:tr w:rsidR="00091FA6" w:rsidRPr="002E0C7E" w:rsidTr="009D0C06">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p>
        </w:tc>
        <w:tc>
          <w:tcPr>
            <w:tcW w:w="498"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317A69" w:rsidRDefault="00091FA6" w:rsidP="009D0C06">
            <w:pPr>
              <w:widowControl w:val="0"/>
              <w:jc w:val="center"/>
              <w:rPr>
                <w:rFonts w:ascii="Arial" w:hAnsi="Arial"/>
                <w:b/>
                <w:sz w:val="14"/>
              </w:rPr>
            </w:pPr>
            <w:r>
              <w:rPr>
                <w:rFonts w:ascii="Arial" w:hAnsi="Arial"/>
                <w:b/>
                <w:sz w:val="14"/>
              </w:rPr>
              <w:t>H</w:t>
            </w:r>
          </w:p>
          <w:p w:rsidR="00091FA6" w:rsidRPr="002E0C7E" w:rsidRDefault="00091FA6" w:rsidP="009D0C06">
            <w:pPr>
              <w:widowControl w:val="0"/>
              <w:jc w:val="center"/>
              <w:rPr>
                <w:rFonts w:ascii="Arial" w:hAnsi="Arial"/>
                <w:sz w:val="14"/>
              </w:rPr>
            </w:pPr>
            <w:r>
              <w:rPr>
                <w:rFonts w:ascii="Arial" w:hAnsi="Arial"/>
                <w:sz w:val="14"/>
              </w:rPr>
              <w:t>1</w:t>
            </w:r>
          </w:p>
        </w:tc>
        <w:tc>
          <w:tcPr>
            <w:tcW w:w="44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2</w:t>
            </w:r>
          </w:p>
        </w:tc>
      </w:tr>
      <w:tr w:rsidR="00091FA6" w:rsidRPr="002E0C7E" w:rsidTr="009D0C06">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7</w:t>
            </w:r>
          </w:p>
        </w:tc>
        <w:tc>
          <w:tcPr>
            <w:tcW w:w="498"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8</w:t>
            </w:r>
          </w:p>
        </w:tc>
        <w:tc>
          <w:tcPr>
            <w:tcW w:w="44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7</w:t>
            </w:r>
          </w:p>
        </w:tc>
        <w:tc>
          <w:tcPr>
            <w:tcW w:w="45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3</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5</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7</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9</w:t>
            </w:r>
          </w:p>
        </w:tc>
      </w:tr>
      <w:tr w:rsidR="00091FA6" w:rsidRPr="002E0C7E" w:rsidTr="009D0C06">
        <w:trPr>
          <w:cantSplit/>
          <w:jc w:val="center"/>
        </w:trPr>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7255AD" w:rsidRDefault="00091FA6" w:rsidP="009D0C06">
            <w:pPr>
              <w:widowControl w:val="0"/>
              <w:jc w:val="center"/>
              <w:rPr>
                <w:rFonts w:ascii="Arial" w:hAnsi="Arial"/>
                <w:b/>
                <w:sz w:val="14"/>
              </w:rPr>
            </w:pPr>
            <w:r>
              <w:rPr>
                <w:rFonts w:ascii="Arial" w:hAnsi="Arial"/>
                <w:b/>
                <w:sz w:val="14"/>
              </w:rPr>
              <w:t>M</w:t>
            </w: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4</w:t>
            </w:r>
          </w:p>
        </w:tc>
        <w:tc>
          <w:tcPr>
            <w:tcW w:w="49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5</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0E2B85" w:rsidRDefault="00091FA6" w:rsidP="009D0C06">
            <w:pPr>
              <w:widowControl w:val="0"/>
              <w:jc w:val="center"/>
              <w:rPr>
                <w:rFonts w:ascii="Arial" w:hAnsi="Arial"/>
                <w:b/>
                <w:sz w:val="14"/>
              </w:rPr>
            </w:pPr>
            <w:r>
              <w:rPr>
                <w:rFonts w:ascii="Arial" w:hAnsi="Arial"/>
                <w:b/>
                <w:sz w:val="14"/>
              </w:rPr>
              <w:t>M</w:t>
            </w: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13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0</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1</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2</w:t>
            </w:r>
          </w:p>
        </w:tc>
        <w:tc>
          <w:tcPr>
            <w:tcW w:w="44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4</w:t>
            </w:r>
          </w:p>
        </w:tc>
        <w:tc>
          <w:tcPr>
            <w:tcW w:w="51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6</w:t>
            </w:r>
          </w:p>
        </w:tc>
      </w:tr>
      <w:tr w:rsidR="00091FA6" w:rsidRPr="002E0C7E" w:rsidTr="009D0C06">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1</w:t>
            </w:r>
          </w:p>
        </w:tc>
        <w:tc>
          <w:tcPr>
            <w:tcW w:w="49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2</w:t>
            </w:r>
          </w:p>
        </w:tc>
        <w:tc>
          <w:tcPr>
            <w:tcW w:w="44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0</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1</w:t>
            </w:r>
          </w:p>
        </w:tc>
        <w:tc>
          <w:tcPr>
            <w:tcW w:w="452"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7</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34238" w:rsidRDefault="00091FA6" w:rsidP="009D0C06">
            <w:pPr>
              <w:widowControl w:val="0"/>
              <w:jc w:val="center"/>
              <w:rPr>
                <w:rFonts w:ascii="Arial" w:hAnsi="Arial"/>
                <w:b/>
                <w:sz w:val="14"/>
              </w:rPr>
            </w:pPr>
            <w:r>
              <w:rPr>
                <w:rFonts w:ascii="Arial" w:hAnsi="Arial"/>
                <w:b/>
                <w:sz w:val="14"/>
              </w:rPr>
              <w:t>M</w:t>
            </w: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8</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19</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1</w:t>
            </w:r>
          </w:p>
        </w:tc>
        <w:tc>
          <w:tcPr>
            <w:tcW w:w="516" w:type="dxa"/>
            <w:tcBorders>
              <w:top w:val="single" w:sz="8" w:space="0" w:color="000000"/>
              <w:left w:val="single" w:sz="8" w:space="0" w:color="000000"/>
              <w:bottom w:val="double" w:sz="6"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3</w:t>
            </w:r>
          </w:p>
        </w:tc>
      </w:tr>
      <w:tr w:rsidR="00091FA6" w:rsidRPr="002E0C7E" w:rsidTr="009D0C06">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28</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29</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7</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28</w:t>
            </w: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Pr>
                <w:rFonts w:ascii="Arial" w:hAnsi="Arial"/>
                <w:sz w:val="14"/>
              </w:rPr>
              <w:t>24</w:t>
            </w:r>
          </w:p>
          <w:p w:rsidR="00091FA6" w:rsidRPr="002E0C7E" w:rsidRDefault="00091FA6" w:rsidP="009D0C06">
            <w:pPr>
              <w:widowControl w:val="0"/>
              <w:jc w:val="center"/>
              <w:rPr>
                <w:rFonts w:ascii="Arial" w:hAnsi="Arial"/>
                <w:sz w:val="14"/>
              </w:rPr>
            </w:pPr>
            <w:r>
              <w:rPr>
                <w:rFonts w:ascii="Arial" w:hAnsi="Arial"/>
                <w:sz w:val="14"/>
              </w:rPr>
              <w:t xml:space="preserve">  31</w:t>
            </w:r>
          </w:p>
        </w:tc>
        <w:tc>
          <w:tcPr>
            <w:tcW w:w="480" w:type="dxa"/>
            <w:tcBorders>
              <w:top w:val="double" w:sz="6"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5</w:t>
            </w:r>
          </w:p>
        </w:tc>
        <w:tc>
          <w:tcPr>
            <w:tcW w:w="458"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6</w:t>
            </w:r>
          </w:p>
        </w:tc>
        <w:tc>
          <w:tcPr>
            <w:tcW w:w="442"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double" w:sz="6" w:space="0" w:color="000000"/>
            </w:tcBorders>
            <w:shd w:val="pct30" w:color="auto"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8</w:t>
            </w:r>
          </w:p>
        </w:tc>
        <w:tc>
          <w:tcPr>
            <w:tcW w:w="516"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61B35" w:rsidRDefault="00091FA6" w:rsidP="009D0C06">
            <w:pPr>
              <w:widowControl w:val="0"/>
              <w:jc w:val="center"/>
              <w:rPr>
                <w:rFonts w:ascii="Arial" w:hAnsi="Arial"/>
                <w:b/>
                <w:sz w:val="14"/>
              </w:rPr>
            </w:pPr>
            <w:r w:rsidRPr="00261B35">
              <w:rPr>
                <w:rFonts w:ascii="Arial" w:hAnsi="Arial"/>
                <w:b/>
                <w:sz w:val="14"/>
              </w:rPr>
              <w:t>H</w:t>
            </w:r>
          </w:p>
          <w:p w:rsidR="00091FA6" w:rsidRPr="002E0C7E" w:rsidRDefault="00091FA6" w:rsidP="009D0C06">
            <w:pPr>
              <w:widowControl w:val="0"/>
              <w:jc w:val="center"/>
              <w:rPr>
                <w:rFonts w:ascii="Arial" w:hAnsi="Arial"/>
                <w:sz w:val="14"/>
              </w:rPr>
            </w:pPr>
            <w:r>
              <w:rPr>
                <w:rFonts w:ascii="Arial" w:hAnsi="Arial"/>
                <w:sz w:val="14"/>
              </w:rPr>
              <w:t>29</w:t>
            </w:r>
          </w:p>
        </w:tc>
        <w:tc>
          <w:tcPr>
            <w:tcW w:w="470" w:type="dxa"/>
            <w:tcBorders>
              <w:top w:val="single" w:sz="8" w:space="0" w:color="000000"/>
              <w:left w:val="double" w:sz="6"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3</w:t>
            </w:r>
            <w:r>
              <w:rPr>
                <w:rFonts w:ascii="Arial" w:hAnsi="Arial"/>
                <w:sz w:val="14"/>
              </w:rPr>
              <w:t>0</w:t>
            </w:r>
          </w:p>
        </w:tc>
      </w:tr>
    </w:tbl>
    <w:p w:rsidR="00091FA6" w:rsidRPr="002E0C7E" w:rsidRDefault="00091FA6" w:rsidP="00091FA6">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091FA6" w:rsidRPr="002E0C7E" w:rsidTr="009D0C06">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D0C06">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D0C06">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D0C06">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D0C06">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9D0C06">
            <w:pPr>
              <w:widowControl w:val="0"/>
              <w:jc w:val="center"/>
              <w:rPr>
                <w:rFonts w:ascii="Arial" w:hAnsi="Arial"/>
                <w:sz w:val="14"/>
              </w:rPr>
            </w:pPr>
            <w:r w:rsidRPr="002E0C7E">
              <w:rPr>
                <w:rFonts w:ascii="Arial" w:hAnsi="Arial"/>
                <w:b/>
                <w:sz w:val="14"/>
              </w:rPr>
              <w:t>JUNE - JUIN</w:t>
            </w:r>
          </w:p>
        </w:tc>
      </w:tr>
      <w:tr w:rsidR="00091FA6" w:rsidRPr="002E0C7E" w:rsidTr="009D0C06">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S</w:t>
            </w:r>
          </w:p>
          <w:p w:rsidR="00091FA6" w:rsidRPr="002E0C7E" w:rsidRDefault="00091FA6" w:rsidP="009D0C06">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M</w:t>
            </w:r>
          </w:p>
          <w:p w:rsidR="00091FA6" w:rsidRPr="002E0C7E" w:rsidRDefault="00091FA6" w:rsidP="009D0C06">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T</w:t>
            </w:r>
          </w:p>
          <w:p w:rsidR="00091FA6" w:rsidRPr="002E0C7E" w:rsidRDefault="00091FA6" w:rsidP="009D0C06">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W</w:t>
            </w:r>
          </w:p>
          <w:p w:rsidR="00091FA6" w:rsidRPr="002E0C7E" w:rsidRDefault="00091FA6" w:rsidP="009D0C06">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T</w:t>
            </w:r>
          </w:p>
          <w:p w:rsidR="00091FA6" w:rsidRPr="002E0C7E" w:rsidRDefault="00091FA6" w:rsidP="009D0C06">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F</w:t>
            </w:r>
          </w:p>
          <w:p w:rsidR="00091FA6" w:rsidRPr="002E0C7E" w:rsidRDefault="00091FA6" w:rsidP="009D0C06">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S</w:t>
            </w:r>
          </w:p>
          <w:p w:rsidR="00091FA6" w:rsidRPr="002E0C7E" w:rsidRDefault="00091FA6" w:rsidP="009D0C06">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S</w:t>
            </w:r>
          </w:p>
          <w:p w:rsidR="00091FA6" w:rsidRPr="002E0C7E" w:rsidRDefault="00091FA6" w:rsidP="009D0C06">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M</w:t>
            </w:r>
          </w:p>
          <w:p w:rsidR="00091FA6" w:rsidRPr="002E0C7E" w:rsidRDefault="00091FA6" w:rsidP="009D0C06">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T</w:t>
            </w:r>
          </w:p>
          <w:p w:rsidR="00091FA6" w:rsidRPr="002E0C7E" w:rsidRDefault="00091FA6" w:rsidP="009D0C06">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W</w:t>
            </w:r>
          </w:p>
          <w:p w:rsidR="00091FA6" w:rsidRPr="002E0C7E" w:rsidRDefault="00091FA6" w:rsidP="009D0C06">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T</w:t>
            </w:r>
          </w:p>
          <w:p w:rsidR="00091FA6" w:rsidRPr="002E0C7E" w:rsidRDefault="00091FA6" w:rsidP="009D0C06">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F</w:t>
            </w:r>
          </w:p>
          <w:p w:rsidR="00091FA6" w:rsidRPr="002E0C7E" w:rsidRDefault="00091FA6" w:rsidP="009D0C06">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S</w:t>
            </w:r>
          </w:p>
          <w:p w:rsidR="00091FA6" w:rsidRPr="002E0C7E" w:rsidRDefault="00091FA6" w:rsidP="009D0C06">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S</w:t>
            </w:r>
          </w:p>
          <w:p w:rsidR="00091FA6" w:rsidRPr="002E0C7E" w:rsidRDefault="00091FA6" w:rsidP="009D0C06">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M</w:t>
            </w:r>
          </w:p>
          <w:p w:rsidR="00091FA6" w:rsidRPr="002E0C7E" w:rsidRDefault="00091FA6" w:rsidP="009D0C06">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T</w:t>
            </w:r>
          </w:p>
          <w:p w:rsidR="00091FA6" w:rsidRPr="002E0C7E" w:rsidRDefault="00091FA6" w:rsidP="009D0C06">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W</w:t>
            </w:r>
          </w:p>
          <w:p w:rsidR="00091FA6" w:rsidRPr="002E0C7E" w:rsidRDefault="00091FA6" w:rsidP="009D0C06">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T</w:t>
            </w:r>
          </w:p>
          <w:p w:rsidR="00091FA6" w:rsidRPr="002E0C7E" w:rsidRDefault="00091FA6" w:rsidP="009D0C06">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F</w:t>
            </w:r>
          </w:p>
          <w:p w:rsidR="00091FA6" w:rsidRPr="002E0C7E" w:rsidRDefault="00091FA6" w:rsidP="009D0C06">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sidRPr="002E0C7E">
              <w:rPr>
                <w:rFonts w:ascii="Arial" w:hAnsi="Arial"/>
                <w:sz w:val="14"/>
              </w:rPr>
              <w:t>s</w:t>
            </w:r>
          </w:p>
          <w:p w:rsidR="00091FA6" w:rsidRPr="002E0C7E" w:rsidRDefault="00091FA6" w:rsidP="009D0C06">
            <w:pPr>
              <w:widowControl w:val="0"/>
              <w:jc w:val="center"/>
              <w:rPr>
                <w:rFonts w:ascii="Arial" w:hAnsi="Arial"/>
                <w:sz w:val="14"/>
              </w:rPr>
            </w:pPr>
            <w:r w:rsidRPr="002E0C7E">
              <w:rPr>
                <w:rFonts w:ascii="Arial" w:hAnsi="Arial"/>
                <w:sz w:val="14"/>
              </w:rPr>
              <w:t>s</w:t>
            </w:r>
          </w:p>
        </w:tc>
      </w:tr>
      <w:tr w:rsidR="00091FA6" w:rsidRPr="002E0C7E" w:rsidTr="009D0C06">
        <w:trPr>
          <w:cantSplit/>
          <w:trHeight w:val="422"/>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p>
        </w:tc>
        <w:tc>
          <w:tcPr>
            <w:tcW w:w="492"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2453E3" w:rsidRDefault="00091FA6" w:rsidP="009D0C06">
            <w:pPr>
              <w:widowControl w:val="0"/>
              <w:jc w:val="center"/>
              <w:rPr>
                <w:rFonts w:ascii="Arial" w:hAnsi="Arial"/>
                <w:b/>
                <w:sz w:val="14"/>
              </w:rPr>
            </w:pPr>
            <w:r w:rsidRPr="002453E3">
              <w:rPr>
                <w:rFonts w:ascii="Arial" w:hAnsi="Arial"/>
                <w:b/>
                <w:sz w:val="14"/>
              </w:rPr>
              <w:t>H</w:t>
            </w:r>
          </w:p>
          <w:p w:rsidR="00091FA6" w:rsidRPr="002E0C7E" w:rsidRDefault="00091FA6" w:rsidP="009D0C06">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b/>
                <w:sz w:val="14"/>
              </w:rPr>
            </w:pPr>
          </w:p>
          <w:p w:rsidR="00091FA6" w:rsidRPr="002E0C7E" w:rsidRDefault="00091FA6" w:rsidP="009D0C06">
            <w:pPr>
              <w:widowControl w:val="0"/>
              <w:jc w:val="center"/>
              <w:rPr>
                <w:rFonts w:ascii="Arial" w:hAnsi="Arial"/>
                <w:sz w:val="14"/>
              </w:rPr>
            </w:pPr>
            <w:r>
              <w:rPr>
                <w:rFonts w:ascii="Arial" w:hAnsi="Arial"/>
                <w:sz w:val="14"/>
              </w:rPr>
              <w:t>3</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1</w:t>
            </w:r>
          </w:p>
        </w:tc>
      </w:tr>
      <w:tr w:rsidR="00091FA6" w:rsidRPr="002E0C7E" w:rsidTr="009D0C06">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7</w:t>
            </w:r>
          </w:p>
        </w:tc>
        <w:tc>
          <w:tcPr>
            <w:tcW w:w="492"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091FA6" w:rsidRPr="00710C8B" w:rsidRDefault="00091FA6" w:rsidP="009D0C06">
            <w:pPr>
              <w:widowControl w:val="0"/>
              <w:jc w:val="center"/>
              <w:rPr>
                <w:rFonts w:ascii="Arial" w:hAnsi="Arial"/>
                <w:b/>
                <w:sz w:val="14"/>
              </w:rPr>
            </w:pPr>
          </w:p>
          <w:p w:rsidR="00091FA6" w:rsidRPr="002E0C7E" w:rsidRDefault="00091FA6" w:rsidP="009D0C06">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5</w:t>
            </w:r>
          </w:p>
        </w:tc>
        <w:tc>
          <w:tcPr>
            <w:tcW w:w="466"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0</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2</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3</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8</w:t>
            </w:r>
          </w:p>
        </w:tc>
      </w:tr>
      <w:tr w:rsidR="00091FA6" w:rsidRPr="002E0C7E" w:rsidTr="009D0C06">
        <w:trPr>
          <w:cantSplit/>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14</w:t>
            </w:r>
          </w:p>
        </w:tc>
        <w:tc>
          <w:tcPr>
            <w:tcW w:w="492"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B5777" w:rsidRDefault="00091FA6" w:rsidP="009D0C06">
            <w:pPr>
              <w:widowControl w:val="0"/>
              <w:jc w:val="center"/>
              <w:rPr>
                <w:rFonts w:ascii="Arial" w:hAnsi="Arial"/>
                <w:b/>
                <w:sz w:val="14"/>
              </w:rPr>
            </w:pPr>
            <w:r w:rsidRPr="00DB5777">
              <w:rPr>
                <w:rFonts w:ascii="Arial" w:hAnsi="Arial"/>
                <w:b/>
                <w:sz w:val="14"/>
              </w:rPr>
              <w:t>M</w:t>
            </w: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2</w:t>
            </w:r>
          </w:p>
        </w:tc>
        <w:tc>
          <w:tcPr>
            <w:tcW w:w="466"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453E3" w:rsidRDefault="00091FA6" w:rsidP="009D0C06">
            <w:pPr>
              <w:widowControl w:val="0"/>
              <w:jc w:val="center"/>
              <w:rPr>
                <w:rFonts w:ascii="Arial" w:hAnsi="Arial"/>
                <w:b/>
                <w:sz w:val="14"/>
              </w:rPr>
            </w:pPr>
            <w:r w:rsidRPr="002453E3">
              <w:rPr>
                <w:rFonts w:ascii="Arial" w:hAnsi="Arial"/>
                <w:b/>
                <w:sz w:val="14"/>
              </w:rPr>
              <w:t>M</w:t>
            </w: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7</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9</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6A1E8D" w:rsidRDefault="00091FA6" w:rsidP="009D0C06">
            <w:pPr>
              <w:widowControl w:val="0"/>
              <w:jc w:val="center"/>
              <w:rPr>
                <w:rFonts w:ascii="Arial" w:hAnsi="Arial"/>
                <w:b/>
                <w:sz w:val="14"/>
              </w:rPr>
            </w:pPr>
            <w:r w:rsidRPr="006A1E8D">
              <w:rPr>
                <w:rFonts w:ascii="Arial" w:hAnsi="Arial"/>
                <w:b/>
                <w:sz w:val="14"/>
              </w:rPr>
              <w:t>M</w:t>
            </w: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0</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9D0C06">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21</w:t>
            </w:r>
          </w:p>
        </w:tc>
        <w:tc>
          <w:tcPr>
            <w:tcW w:w="492"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19</w:t>
            </w:r>
          </w:p>
        </w:tc>
        <w:tc>
          <w:tcPr>
            <w:tcW w:w="466"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2453E3" w:rsidRDefault="00091FA6" w:rsidP="009D0C06">
            <w:pPr>
              <w:widowControl w:val="0"/>
              <w:jc w:val="center"/>
              <w:rPr>
                <w:rFonts w:ascii="Arial" w:hAnsi="Arial"/>
                <w:b/>
                <w:sz w:val="14"/>
              </w:rPr>
            </w:pPr>
            <w:r>
              <w:rPr>
                <w:rFonts w:ascii="Arial" w:hAnsi="Arial"/>
                <w:b/>
                <w:sz w:val="14"/>
              </w:rPr>
              <w:t>H</w:t>
            </w: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6</w:t>
            </w:r>
          </w:p>
        </w:tc>
        <w:tc>
          <w:tcPr>
            <w:tcW w:w="480"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7</w:t>
            </w:r>
          </w:p>
        </w:tc>
        <w:tc>
          <w:tcPr>
            <w:tcW w:w="45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9D0C06">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28</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6</w:t>
            </w:r>
          </w:p>
        </w:tc>
        <w:tc>
          <w:tcPr>
            <w:tcW w:w="466" w:type="dxa"/>
            <w:tcBorders>
              <w:top w:val="double" w:sz="6"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3</w:t>
            </w:r>
            <w:r>
              <w:rPr>
                <w:rFonts w:ascii="Arial" w:hAnsi="Arial"/>
                <w:sz w:val="14"/>
              </w:rPr>
              <w:t>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31</w:t>
            </w: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r>
              <w:rPr>
                <w:rFonts w:ascii="Arial" w:hAnsi="Arial"/>
                <w:sz w:val="14"/>
              </w:rPr>
              <w:t>23</w:t>
            </w:r>
          </w:p>
          <w:p w:rsidR="00091FA6" w:rsidRPr="002E0C7E" w:rsidRDefault="00091FA6" w:rsidP="009D0C06">
            <w:pPr>
              <w:widowControl w:val="0"/>
              <w:jc w:val="center"/>
              <w:rPr>
                <w:rFonts w:ascii="Arial" w:hAnsi="Arial"/>
                <w:sz w:val="14"/>
              </w:rPr>
            </w:pPr>
            <w:r>
              <w:rPr>
                <w:rFonts w:ascii="Arial" w:hAnsi="Arial"/>
                <w:sz w:val="14"/>
              </w:rPr>
              <w:t xml:space="preserve">  30</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4</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9D0C06">
            <w:pPr>
              <w:widowControl w:val="0"/>
              <w:jc w:val="center"/>
              <w:rPr>
                <w:rFonts w:ascii="Arial" w:hAnsi="Arial"/>
                <w:sz w:val="14"/>
              </w:rPr>
            </w:pPr>
          </w:p>
          <w:p w:rsidR="00091FA6" w:rsidRPr="002E0C7E" w:rsidRDefault="00091FA6" w:rsidP="009D0C06">
            <w:pPr>
              <w:widowControl w:val="0"/>
              <w:jc w:val="center"/>
              <w:rPr>
                <w:rFonts w:ascii="Arial" w:hAnsi="Arial"/>
                <w:sz w:val="14"/>
              </w:rPr>
            </w:pPr>
            <w:r>
              <w:rPr>
                <w:rFonts w:ascii="Arial" w:hAnsi="Arial"/>
                <w:sz w:val="14"/>
              </w:rPr>
              <w:t>29</w:t>
            </w:r>
          </w:p>
        </w:tc>
      </w:tr>
    </w:tbl>
    <w:p w:rsidR="00091FA6" w:rsidRPr="002E0C7E" w:rsidRDefault="00091FA6" w:rsidP="00091FA6">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091FA6" w:rsidRPr="002E0C7E" w:rsidTr="009D0C06">
        <w:trPr>
          <w:cantSplit/>
        </w:trPr>
        <w:tc>
          <w:tcPr>
            <w:tcW w:w="1710" w:type="dxa"/>
            <w:tcBorders>
              <w:top w:val="nil"/>
              <w:left w:val="nil"/>
              <w:bottom w:val="nil"/>
              <w:right w:val="nil"/>
            </w:tcBorders>
            <w:tcMar>
              <w:top w:w="43" w:type="dxa"/>
              <w:left w:w="120" w:type="dxa"/>
              <w:bottom w:w="29" w:type="dxa"/>
              <w:right w:w="120" w:type="dxa"/>
            </w:tcMar>
          </w:tcPr>
          <w:p w:rsidR="00091FA6" w:rsidRPr="002E0C7E" w:rsidRDefault="00091FA6" w:rsidP="009D0C06">
            <w:pPr>
              <w:widowControl w:val="0"/>
              <w:rPr>
                <w:rFonts w:ascii="Arial" w:hAnsi="Arial"/>
                <w:sz w:val="16"/>
              </w:rPr>
            </w:pPr>
            <w:r w:rsidRPr="002E0C7E">
              <w:rPr>
                <w:rFonts w:ascii="Arial" w:hAnsi="Arial"/>
                <w:sz w:val="16"/>
              </w:rPr>
              <w:t>Sittings of the court:</w:t>
            </w:r>
          </w:p>
          <w:p w:rsidR="00091FA6" w:rsidRPr="002E0C7E" w:rsidRDefault="00091FA6" w:rsidP="009D0C06">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091FA6" w:rsidRPr="002E0C7E" w:rsidRDefault="00091FA6" w:rsidP="009D0C06">
            <w:pPr>
              <w:widowControl w:val="0"/>
              <w:rPr>
                <w:rFonts w:ascii="Arial" w:hAnsi="Arial"/>
                <w:sz w:val="16"/>
              </w:rPr>
            </w:pPr>
          </w:p>
          <w:p w:rsidR="00091FA6" w:rsidRPr="002E0C7E" w:rsidRDefault="00091FA6" w:rsidP="009D0C06">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091FA6" w:rsidRPr="00B058C3" w:rsidRDefault="00091FA6" w:rsidP="009D0C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091FA6" w:rsidRPr="00B058C3" w:rsidRDefault="00091FA6" w:rsidP="009D0C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091FA6" w:rsidRPr="00B058C3" w:rsidRDefault="00091FA6" w:rsidP="009D0C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091FA6" w:rsidRPr="002E0C7E" w:rsidRDefault="00091FA6" w:rsidP="009D0C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091FA6" w:rsidRPr="002E0C7E" w:rsidRDefault="00091FA6" w:rsidP="009D0C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9D0C06">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9D0C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091FA6" w:rsidRPr="002E0C7E" w:rsidRDefault="00091FA6" w:rsidP="009D0C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091FA6" w:rsidRPr="002E0C7E" w:rsidRDefault="00091FA6" w:rsidP="009D0C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9D0C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9D0C06">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9D0C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091FA6" w:rsidRPr="002E0C7E" w:rsidRDefault="00091FA6" w:rsidP="009D0C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091FA6" w:rsidRPr="002E0C7E" w:rsidRDefault="00091FA6" w:rsidP="009D0C06">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9D0C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091FA6" w:rsidRPr="002E0C7E" w:rsidRDefault="00091FA6" w:rsidP="00091FA6">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65"/>
      <w:footerReference w:type="default" r:id="rId66"/>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D1F" w:rsidRDefault="00DC2D1F" w:rsidP="00A87207">
      <w:r>
        <w:separator/>
      </w:r>
    </w:p>
  </w:endnote>
  <w:endnote w:type="continuationSeparator" w:id="0">
    <w:p w:rsidR="00DC2D1F" w:rsidRDefault="00DC2D1F"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1F" w:rsidRDefault="00DC2D1F">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1F" w:rsidRDefault="00DC2D1F">
    <w:pPr>
      <w:pStyle w:val="Footer"/>
      <w:rPr>
        <w:lang w:val="fr-CA"/>
      </w:rPr>
    </w:pPr>
    <w:r w:rsidRPr="00BF3B03">
      <w:rPr>
        <w:lang w:val="fr-CA"/>
      </w:rPr>
      <w:pict>
        <v:rect id="_x0000_i1087" style="width:480.95pt;height:1pt" o:hralign="center" o:hrstd="t" o:hrnoshade="t" o:hr="t" fillcolor="black [3213]" stroked="f"/>
      </w:pict>
    </w:r>
  </w:p>
  <w:p w:rsidR="00DC2D1F" w:rsidRDefault="00DC2D1F" w:rsidP="00245129">
    <w:pPr>
      <w:tabs>
        <w:tab w:val="center" w:pos="4680"/>
      </w:tabs>
    </w:pPr>
    <w:r>
      <w:tab/>
    </w:r>
    <w:r w:rsidRPr="0009648D">
      <w:t xml:space="preserve">- </w:t>
    </w:r>
    <w:fldSimple w:instr=" PAGE   \* MERGEFORMAT ">
      <w:r>
        <w:rPr>
          <w:noProof/>
        </w:rPr>
        <w:t>1681</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1F" w:rsidRDefault="00DC2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C2D1F" w:rsidRDefault="00DC2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C2D1F" w:rsidRDefault="00DC2D1F">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1F" w:rsidRDefault="00DC2D1F" w:rsidP="00755F22">
    <w:pPr>
      <w:tabs>
        <w:tab w:val="left" w:pos="-1440"/>
        <w:tab w:val="left" w:pos="-720"/>
      </w:tabs>
    </w:pPr>
    <w:r>
      <w:pict>
        <v:rect id="_x0000_i1091" style="width:480.95pt;height:1pt" o:hralign="center" o:hrstd="t" o:hrnoshade="t" o:hr="t" fillcolor="black [3213]" stroked="f"/>
      </w:pict>
    </w:r>
  </w:p>
  <w:p w:rsidR="00DC2D1F" w:rsidRDefault="00DC2D1F" w:rsidP="00EB2B90">
    <w:pPr>
      <w:tabs>
        <w:tab w:val="center" w:pos="4680"/>
      </w:tabs>
    </w:pPr>
    <w:r>
      <w:tab/>
      <w:t xml:space="preserve">- </w:t>
    </w:r>
    <w:fldSimple w:instr=" PAGE   \* MERGEFORMAT ">
      <w:r>
        <w:rPr>
          <w:noProof/>
        </w:rPr>
        <w:t>1724</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1F" w:rsidRDefault="00DC2D1F" w:rsidP="00EB2B90">
    <w:pPr>
      <w:tabs>
        <w:tab w:val="center" w:pos="4680"/>
      </w:tabs>
    </w:pPr>
    <w:r>
      <w:pict>
        <v:rect id="_x0000_i1092" style="width:480.95pt;height:1pt" o:hralign="center" o:hrstd="t" o:hrnoshade="t" o:hr="t" fillcolor="black [3213]" stroked="f"/>
      </w:pict>
    </w:r>
  </w:p>
  <w:p w:rsidR="00DC2D1F" w:rsidRPr="0031432F" w:rsidRDefault="00DC2D1F" w:rsidP="00EB2B90">
    <w:pPr>
      <w:tabs>
        <w:tab w:val="center" w:pos="4680"/>
      </w:tabs>
    </w:pPr>
    <w:r>
      <w:tab/>
      <w:t xml:space="preserve">- </w:t>
    </w:r>
    <w:fldSimple w:instr=" PAGE   \* MERGEFORMAT ">
      <w:r>
        <w:rPr>
          <w:noProof/>
        </w:rPr>
        <w:t>1722</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1F" w:rsidRDefault="00DC2D1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C2D1F" w:rsidRDefault="00DC2D1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C2D1F" w:rsidRDefault="00DC2D1F">
    <w:pPr>
      <w:widowControl w:val="0"/>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1F" w:rsidRDefault="00DC2D1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F3B03">
      <w:rPr>
        <w:lang w:val="fr-CA"/>
      </w:rPr>
      <w:pict>
        <v:rect id="_x0000_i1094" style="width:480.95pt;height:1pt" o:hralign="center" o:hrstd="t" o:hrnoshade="t" o:hr="t" fillcolor="black [3213]" stroked="f"/>
      </w:pict>
    </w:r>
  </w:p>
  <w:p w:rsidR="00DC2D1F" w:rsidRDefault="00DC2D1F"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1710</w:t>
    </w:r>
    <w:r w:rsidRPr="00B74FED">
      <w:rPr>
        <w:szCs w:val="24"/>
      </w:rPr>
      <w:fldChar w:fldCharType="end"/>
    </w:r>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1F" w:rsidRDefault="00DC2D1F" w:rsidP="00802863">
    <w:pPr>
      <w:widowControl w:val="0"/>
      <w:tabs>
        <w:tab w:val="left" w:pos="-1440"/>
        <w:tab w:val="left" w:pos="-720"/>
      </w:tabs>
    </w:pPr>
    <w:r w:rsidRPr="00BF3B03">
      <w:rPr>
        <w:lang w:val="fr-CA"/>
      </w:rPr>
      <w:pict>
        <v:rect id="_x0000_i1095" style="width:480.95pt;height:1pt" o:hralign="center" o:hrstd="t" o:hrnoshade="t" o:hr="t" fillcolor="black [3213]" stroked="f"/>
      </w:pict>
    </w:r>
  </w:p>
  <w:p w:rsidR="00DC2D1F" w:rsidRPr="00180897" w:rsidRDefault="00DC2D1F"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1725</w:t>
    </w:r>
    <w:r w:rsidRPr="00B74FED">
      <w:rPr>
        <w:szCs w:val="24"/>
      </w:rPr>
      <w:fldChar w:fldCharType="end"/>
    </w:r>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1F" w:rsidRDefault="00DC2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C2D1F" w:rsidRDefault="00DC2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C2D1F" w:rsidRDefault="00DC2D1F">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1F" w:rsidRDefault="00DC2D1F" w:rsidP="00732DB7">
    <w:r>
      <w:pict>
        <v:rect id="_x0000_i1099" style="width:480.95pt;height:1pt" o:hralign="center" o:hrstd="t" o:hrnoshade="t" o:hr="t" fillcolor="black" stroked="f"/>
      </w:pict>
    </w:r>
  </w:p>
  <w:p w:rsidR="00DC2D1F" w:rsidRDefault="00DC2D1F">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1F" w:rsidRDefault="00DC2D1F">
    <w:pPr>
      <w:pStyle w:val="Footer"/>
    </w:pPr>
    <w:r>
      <w:pict>
        <v:rect id="_x0000_i1100" style="width:480.95pt;height:1pt" o:hralign="center" o:hrstd="t" o:hrnoshade="t" o:hr="t" fillcolor="black" stroked="f"/>
      </w:pict>
    </w:r>
  </w:p>
  <w:p w:rsidR="00DC2D1F" w:rsidRPr="00283C52" w:rsidRDefault="00DC2D1F">
    <w:pPr>
      <w:pStyle w:val="Footer"/>
    </w:pPr>
    <w:r>
      <w:tab/>
    </w:r>
    <w:r w:rsidRPr="00283C52">
      <w:t xml:space="preserve">- </w:t>
    </w:r>
    <w:r w:rsidRPr="00283C52">
      <w:pgNum/>
    </w:r>
    <w:r w:rsidRPr="00283C52">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1F" w:rsidRDefault="00DC2D1F">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1F" w:rsidRDefault="00DC2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C2D1F" w:rsidRDefault="00DC2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C2D1F" w:rsidRDefault="00DC2D1F">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1F" w:rsidRDefault="00DC2D1F" w:rsidP="00732DB7">
    <w:r>
      <w:pict>
        <v:rect id="_x0000_i1104" style="width:480.95pt;height:1pt" o:hralign="center" o:hrstd="t" o:hrnoshade="t" o:hr="t" fillcolor="black" stroked="f"/>
      </w:pict>
    </w:r>
  </w:p>
  <w:p w:rsidR="00DC2D1F" w:rsidRDefault="00DC2D1F">
    <w:pPr>
      <w:tabs>
        <w:tab w:val="center" w:pos="4740"/>
      </w:tabs>
      <w:spacing w:line="0" w:lineRule="atLeast"/>
    </w:pPr>
    <w:r>
      <w:tab/>
      <w:t xml:space="preserve">- </w:t>
    </w:r>
    <w:r>
      <w:pgNum/>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1F" w:rsidRDefault="00DC2D1F">
    <w:pPr>
      <w:pStyle w:val="Footer"/>
    </w:pPr>
    <w:r>
      <w:pict>
        <v:rect id="_x0000_i1105" style="width:480.95pt;height:1pt" o:hralign="center" o:hrstd="t" o:hrnoshade="t" o:hr="t" fillcolor="black [3213]" stroked="f"/>
      </w:pict>
    </w:r>
  </w:p>
  <w:p w:rsidR="00DC2D1F" w:rsidRPr="003C2C0F" w:rsidRDefault="00DC2D1F" w:rsidP="00697C62">
    <w:pPr>
      <w:tabs>
        <w:tab w:val="center" w:pos="4680"/>
      </w:tabs>
    </w:pPr>
    <w:r>
      <w:tab/>
      <w:t xml:space="preserve">- </w:t>
    </w:r>
    <w:fldSimple w:instr=" PAGE   \* MERGEFORMAT ">
      <w:r>
        <w:rPr>
          <w:noProof/>
        </w:rPr>
        <w:t>1728</w:t>
      </w:r>
    </w:fldSimple>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1F" w:rsidRDefault="00DC2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C2D1F" w:rsidRDefault="00DC2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C2D1F" w:rsidRDefault="00DC2D1F">
    <w:pPr>
      <w:tabs>
        <w:tab w:val="center" w:pos="4740"/>
      </w:tabs>
    </w:pPr>
    <w:r>
      <w:tab/>
      <w:t xml:space="preserve">- </w:t>
    </w:r>
    <w:r>
      <w:pgNum/>
    </w: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1F" w:rsidRDefault="00DC2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C2D1F" w:rsidRDefault="00DC2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12" style="width:480.95pt;height:1pt" o:hralign="center" o:hrstd="t" o:hrnoshade="t" o:hr="t" fillcolor="black [3213]" stroked="f"/>
      </w:pict>
    </w:r>
  </w:p>
  <w:p w:rsidR="00DC2D1F" w:rsidRDefault="00DC2D1F"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1747</w:t>
    </w:r>
    <w:r w:rsidRPr="001775C1">
      <w:rPr>
        <w:szCs w:val="24"/>
      </w:rPr>
      <w:fldChar w:fldCharType="end"/>
    </w:r>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1F" w:rsidRDefault="00DC2D1F" w:rsidP="00782AE4">
    <w:pPr>
      <w:tabs>
        <w:tab w:val="center" w:pos="4680"/>
      </w:tabs>
    </w:pPr>
    <w:r>
      <w:pict>
        <v:rect id="_x0000_i1113" style="width:480.95pt;height:1pt" o:hralign="center" o:hrstd="t" o:hrnoshade="t" o:hr="t" fillcolor="black [3213]" stroked="f"/>
      </w:pict>
    </w:r>
  </w:p>
  <w:p w:rsidR="00DC2D1F" w:rsidRDefault="00DC2D1F"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1730</w:t>
    </w:r>
    <w:r w:rsidRPr="001775C1">
      <w:rPr>
        <w:szCs w:val="24"/>
      </w:rPr>
      <w:fldChar w:fldCharType="end"/>
    </w:r>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1F" w:rsidRPr="00924065" w:rsidRDefault="00DC2D1F"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1F" w:rsidRDefault="00DC2D1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1F" w:rsidRDefault="00DC2D1F" w:rsidP="00A87207">
    <w:pPr>
      <w:pStyle w:val="Footer"/>
    </w:pPr>
    <w:r>
      <w:pict>
        <v:rect id="_x0000_i1037" style="width:480.95pt;height:1pt" o:hralign="center" o:hrstd="t" o:hrnoshade="t" o:hr="t" fillcolor="black [3213]" stroked="f"/>
      </w:pict>
    </w:r>
  </w:p>
  <w:p w:rsidR="00DC2D1F" w:rsidRPr="00B7374B" w:rsidRDefault="00DC2D1F"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7F7AE8">
      <w:rPr>
        <w:noProof/>
        <w:szCs w:val="24"/>
      </w:rPr>
      <w:t>1679</w:t>
    </w:r>
    <w:r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1F" w:rsidRDefault="00DC2D1F" w:rsidP="00755F22">
    <w:pPr>
      <w:tabs>
        <w:tab w:val="left" w:pos="-1440"/>
        <w:tab w:val="left" w:pos="-720"/>
      </w:tabs>
    </w:pPr>
    <w:r>
      <w:pict>
        <v:rect id="_x0000_i1038" style="width:480.95pt;height:1pt" o:hralign="center" o:hrstd="t" o:hrnoshade="t" o:hr="t" fillcolor="black [3213]" stroked="f"/>
      </w:pict>
    </w:r>
  </w:p>
  <w:p w:rsidR="00DC2D1F" w:rsidRPr="00954D22" w:rsidRDefault="00DC2D1F"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7F7AE8">
      <w:rPr>
        <w:noProof/>
        <w:szCs w:val="24"/>
      </w:rPr>
      <w:t>1678</w:t>
    </w:r>
    <w:r>
      <w:rPr>
        <w:szCs w:val="24"/>
      </w:rPr>
      <w:fldChar w:fldCharType="end"/>
    </w:r>
    <w:r w:rsidRPr="00954D22">
      <w:rPr>
        <w:szCs w:val="24"/>
      </w:rPr>
      <w:t xml:space="preserve"> -</w:t>
    </w:r>
  </w:p>
  <w:p w:rsidR="00DC2D1F" w:rsidRDefault="00DC2D1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1F" w:rsidRDefault="00DC2D1F" w:rsidP="00A87207">
    <w:pPr>
      <w:pStyle w:val="Footer"/>
    </w:pPr>
    <w:r>
      <w:pict>
        <v:rect id="_x0000_i1040" style="width:480.95pt;height:1pt" o:hralign="center" o:hrstd="t" o:hrnoshade="t" o:hr="t" fillcolor="black [3213]" stroked="f"/>
      </w:pict>
    </w:r>
  </w:p>
  <w:p w:rsidR="00DC2D1F" w:rsidRPr="00B7374B" w:rsidRDefault="00DC2D1F"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1681</w:t>
    </w:r>
    <w:r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1F" w:rsidRDefault="00DC2D1F"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1" style="width:480.95pt;height:1pt" o:hralign="center" o:hrstd="t" o:hrnoshade="t" o:hr="t" fillcolor="black [3213]" stroked="f"/>
      </w:pict>
    </w:r>
  </w:p>
  <w:p w:rsidR="00DC2D1F" w:rsidRPr="00954D22" w:rsidRDefault="00DC2D1F"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1680</w:t>
    </w:r>
    <w:r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1F" w:rsidRDefault="00DC2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DC2D1F" w:rsidRDefault="00DC2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C2D1F" w:rsidRDefault="00DC2D1F">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1F" w:rsidRDefault="00DC2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F3B03">
      <w:rPr>
        <w:lang w:val="fr-CA"/>
      </w:rPr>
      <w:pict>
        <v:rect id="_x0000_i1086" style="width:480.95pt;height:1pt" o:hralign="center" o:hrstd="t" o:hrnoshade="t" o:hr="t" fillcolor="black [3213]" stroked="f"/>
      </w:pict>
    </w:r>
  </w:p>
  <w:p w:rsidR="00DC2D1F" w:rsidRPr="0009648D" w:rsidRDefault="00DC2D1F" w:rsidP="00ED7E83">
    <w:pPr>
      <w:tabs>
        <w:tab w:val="center" w:pos="4680"/>
      </w:tabs>
    </w:pPr>
    <w:r>
      <w:tab/>
    </w:r>
    <w:r w:rsidRPr="0009648D">
      <w:t xml:space="preserve">- </w:t>
    </w:r>
    <w:fldSimple w:instr=" PAGE   \* MERGEFORMAT ">
      <w:r>
        <w:rPr>
          <w:noProof/>
        </w:rPr>
        <w:t>1721</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D1F" w:rsidRDefault="00DC2D1F" w:rsidP="00A87207">
      <w:r>
        <w:separator/>
      </w:r>
    </w:p>
  </w:footnote>
  <w:footnote w:type="continuationSeparator" w:id="0">
    <w:p w:rsidR="00DC2D1F" w:rsidRDefault="00DC2D1F"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1F" w:rsidRDefault="00DC2D1F">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1F" w:rsidRDefault="00DC2D1F">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DC2D1F">
      <w:tc>
        <w:tcPr>
          <w:tcW w:w="4230" w:type="dxa"/>
          <w:tcMar>
            <w:left w:w="0" w:type="dxa"/>
            <w:right w:w="0" w:type="dxa"/>
          </w:tcMar>
        </w:tcPr>
        <w:p w:rsidR="00DC2D1F" w:rsidRDefault="00DC2D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DC2D1F" w:rsidRDefault="00DC2D1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C2D1F" w:rsidRDefault="00DC2D1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DC2D1F">
      <w:trPr>
        <w:gridAfter w:val="2"/>
        <w:wAfter w:w="5250" w:type="dxa"/>
      </w:trPr>
      <w:tc>
        <w:tcPr>
          <w:tcW w:w="4230" w:type="dxa"/>
          <w:tcMar>
            <w:left w:w="0" w:type="dxa"/>
            <w:right w:w="0" w:type="dxa"/>
          </w:tcMar>
        </w:tcPr>
        <w:p w:rsidR="00DC2D1F" w:rsidRDefault="00DC2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DC2D1F" w:rsidRDefault="00DC2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DC2D1F" w:rsidRPr="00755F22" w:rsidTr="00245129">
      <w:tc>
        <w:tcPr>
          <w:tcW w:w="4230" w:type="dxa"/>
          <w:tcMar>
            <w:left w:w="0" w:type="dxa"/>
            <w:right w:w="0" w:type="dxa"/>
          </w:tcMar>
        </w:tcPr>
        <w:p w:rsidR="00DC2D1F" w:rsidRPr="00755F22" w:rsidRDefault="00DC2D1F" w:rsidP="00831CA9">
          <w:pPr>
            <w:keepNext/>
            <w:keepLines/>
            <w:rPr>
              <w:sz w:val="20"/>
              <w:szCs w:val="20"/>
            </w:rPr>
          </w:pPr>
          <w:r w:rsidRPr="00755F22">
            <w:rPr>
              <w:sz w:val="20"/>
              <w:szCs w:val="20"/>
            </w:rPr>
            <w:t>MOTIONS</w:t>
          </w:r>
        </w:p>
      </w:tc>
      <w:tc>
        <w:tcPr>
          <w:tcW w:w="1170" w:type="dxa"/>
          <w:tcMar>
            <w:left w:w="0" w:type="dxa"/>
            <w:right w:w="0" w:type="dxa"/>
          </w:tcMar>
        </w:tcPr>
        <w:p w:rsidR="00DC2D1F" w:rsidRPr="00755F22" w:rsidRDefault="00DC2D1F" w:rsidP="00831CA9">
          <w:pPr>
            <w:keepLines/>
            <w:jc w:val="center"/>
            <w:rPr>
              <w:sz w:val="20"/>
              <w:szCs w:val="20"/>
            </w:rPr>
          </w:pPr>
        </w:p>
        <w:p w:rsidR="00DC2D1F" w:rsidRPr="00755F22" w:rsidRDefault="00DC2D1F" w:rsidP="00831CA9">
          <w:pPr>
            <w:keepLines/>
            <w:tabs>
              <w:tab w:val="left" w:pos="-1440"/>
              <w:tab w:val="left" w:pos="-720"/>
            </w:tabs>
            <w:jc w:val="center"/>
            <w:rPr>
              <w:sz w:val="20"/>
              <w:szCs w:val="20"/>
            </w:rPr>
          </w:pPr>
        </w:p>
      </w:tc>
      <w:tc>
        <w:tcPr>
          <w:tcW w:w="4080" w:type="dxa"/>
          <w:tcMar>
            <w:left w:w="0" w:type="dxa"/>
            <w:right w:w="0" w:type="dxa"/>
          </w:tcMar>
        </w:tcPr>
        <w:p w:rsidR="00DC2D1F" w:rsidRPr="00BA6468" w:rsidRDefault="00DC2D1F" w:rsidP="00BA6468">
          <w:pPr>
            <w:keepLines/>
            <w:rPr>
              <w:sz w:val="20"/>
              <w:szCs w:val="20"/>
              <w:lang w:val="fr-CA"/>
            </w:rPr>
          </w:pPr>
          <w:r w:rsidRPr="00BA6468">
            <w:rPr>
              <w:sz w:val="20"/>
              <w:szCs w:val="20"/>
              <w:lang w:val="fr-CA"/>
            </w:rPr>
            <w:t>REQUÊTES</w:t>
          </w:r>
        </w:p>
      </w:tc>
    </w:tr>
  </w:tbl>
  <w:p w:rsidR="00DC2D1F" w:rsidRDefault="00DC2D1F"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1F" w:rsidRDefault="00DC2D1F">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DC2D1F" w:rsidRPr="00DC2D1F">
      <w:tc>
        <w:tcPr>
          <w:tcW w:w="4200" w:type="dxa"/>
          <w:tcMar>
            <w:left w:w="0" w:type="dxa"/>
            <w:right w:w="0" w:type="dxa"/>
          </w:tcMar>
        </w:tcPr>
        <w:p w:rsidR="00DC2D1F" w:rsidRDefault="00DC2D1F">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DC2D1F" w:rsidRDefault="00DC2D1F">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DC2D1F" w:rsidRDefault="00DC2D1F">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C2D1F" w:rsidRPr="009256DC" w:rsidRDefault="00DC2D1F">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DC2D1F" w:rsidRPr="009256DC" w:rsidRDefault="00DC2D1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DC2D1F" w:rsidRPr="009256DC" w:rsidRDefault="00DC2D1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DC2D1F" w:rsidRPr="00DC2D1F" w:rsidTr="00245129">
      <w:tc>
        <w:tcPr>
          <w:tcW w:w="4200" w:type="dxa"/>
          <w:tcMar>
            <w:left w:w="0" w:type="dxa"/>
            <w:right w:w="0" w:type="dxa"/>
          </w:tcMar>
        </w:tcPr>
        <w:p w:rsidR="00DC2D1F" w:rsidRPr="00802863" w:rsidRDefault="00DC2D1F"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DC2D1F" w:rsidRPr="00802863" w:rsidRDefault="00DC2D1F" w:rsidP="00802863">
          <w:pPr>
            <w:keepNext/>
            <w:keepLines/>
            <w:widowControl w:val="0"/>
            <w:tabs>
              <w:tab w:val="left" w:pos="-1440"/>
              <w:tab w:val="left" w:pos="-720"/>
            </w:tabs>
            <w:jc w:val="center"/>
            <w:rPr>
              <w:sz w:val="20"/>
              <w:szCs w:val="20"/>
            </w:rPr>
          </w:pPr>
        </w:p>
        <w:p w:rsidR="00DC2D1F" w:rsidRPr="00802863" w:rsidRDefault="00DC2D1F" w:rsidP="00802863">
          <w:pPr>
            <w:keepNext/>
            <w:keepLines/>
            <w:widowControl w:val="0"/>
            <w:tabs>
              <w:tab w:val="left" w:pos="-1440"/>
              <w:tab w:val="left" w:pos="-720"/>
            </w:tabs>
            <w:jc w:val="center"/>
            <w:rPr>
              <w:sz w:val="20"/>
              <w:szCs w:val="20"/>
            </w:rPr>
          </w:pPr>
        </w:p>
        <w:p w:rsidR="00DC2D1F" w:rsidRPr="00802863" w:rsidRDefault="00DC2D1F"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DC2D1F" w:rsidRPr="00802863" w:rsidRDefault="00DC2D1F"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DC2D1F" w:rsidRPr="009256DC" w:rsidRDefault="00DC2D1F"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1F" w:rsidRDefault="00DC2D1F">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DC2D1F" w:rsidRPr="00DC2D1F">
      <w:tc>
        <w:tcPr>
          <w:tcW w:w="4200" w:type="dxa"/>
          <w:tcMar>
            <w:left w:w="0" w:type="dxa"/>
            <w:right w:w="0" w:type="dxa"/>
          </w:tcMar>
        </w:tcPr>
        <w:p w:rsidR="00DC2D1F" w:rsidRDefault="00DC2D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DC2D1F" w:rsidRDefault="00DC2D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C2D1F" w:rsidRPr="00283C52" w:rsidRDefault="00DC2D1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DC2D1F" w:rsidRPr="00283C52" w:rsidRDefault="00DC2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DC2D1F" w:rsidRPr="00283C52" w:rsidRDefault="00DC2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DC2D1F" w:rsidRPr="00DC2D1F" w:rsidTr="00245129">
      <w:tc>
        <w:tcPr>
          <w:tcW w:w="4200" w:type="dxa"/>
          <w:tcMar>
            <w:left w:w="0" w:type="dxa"/>
            <w:right w:w="0" w:type="dxa"/>
          </w:tcMar>
        </w:tcPr>
        <w:p w:rsidR="00DC2D1F" w:rsidRPr="00732DB7" w:rsidRDefault="00DC2D1F"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DC2D1F" w:rsidRPr="00732DB7" w:rsidRDefault="00DC2D1F" w:rsidP="00732DB7">
          <w:pPr>
            <w:keepNext/>
            <w:keepLines/>
            <w:tabs>
              <w:tab w:val="left" w:pos="-1440"/>
              <w:tab w:val="left" w:pos="-720"/>
            </w:tabs>
            <w:jc w:val="center"/>
            <w:rPr>
              <w:sz w:val="20"/>
              <w:szCs w:val="20"/>
            </w:rPr>
          </w:pPr>
        </w:p>
        <w:p w:rsidR="00DC2D1F" w:rsidRPr="00732DB7" w:rsidRDefault="00DC2D1F" w:rsidP="00732DB7">
          <w:pPr>
            <w:keepNext/>
            <w:keepLines/>
            <w:tabs>
              <w:tab w:val="left" w:pos="-1440"/>
              <w:tab w:val="left" w:pos="-720"/>
            </w:tabs>
            <w:jc w:val="center"/>
            <w:rPr>
              <w:sz w:val="20"/>
              <w:szCs w:val="20"/>
            </w:rPr>
          </w:pPr>
        </w:p>
        <w:p w:rsidR="00DC2D1F" w:rsidRPr="00732DB7" w:rsidRDefault="00DC2D1F" w:rsidP="00732DB7">
          <w:pPr>
            <w:keepNext/>
            <w:keepLines/>
            <w:tabs>
              <w:tab w:val="left" w:pos="-1440"/>
              <w:tab w:val="left" w:pos="-720"/>
            </w:tabs>
            <w:jc w:val="center"/>
            <w:rPr>
              <w:sz w:val="20"/>
              <w:szCs w:val="20"/>
            </w:rPr>
          </w:pPr>
        </w:p>
      </w:tc>
      <w:tc>
        <w:tcPr>
          <w:tcW w:w="4080" w:type="dxa"/>
          <w:tcMar>
            <w:left w:w="0" w:type="dxa"/>
            <w:right w:w="0" w:type="dxa"/>
          </w:tcMar>
        </w:tcPr>
        <w:p w:rsidR="00DC2D1F" w:rsidRPr="00732DB7" w:rsidRDefault="00DC2D1F"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DC2D1F" w:rsidRPr="00283C52" w:rsidRDefault="00DC2D1F"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1F" w:rsidRDefault="00DC2D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1F" w:rsidRDefault="00DC2D1F">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DC2D1F" w:rsidRPr="00DC2D1F">
      <w:tc>
        <w:tcPr>
          <w:tcW w:w="4200" w:type="dxa"/>
          <w:tcMar>
            <w:left w:w="0" w:type="dxa"/>
            <w:right w:w="0" w:type="dxa"/>
          </w:tcMar>
        </w:tcPr>
        <w:p w:rsidR="00DC2D1F" w:rsidRDefault="00DC2D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DC2D1F" w:rsidRDefault="00DC2D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DC2D1F" w:rsidRDefault="00DC2D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DC2D1F" w:rsidRPr="003C2C0F" w:rsidRDefault="00DC2D1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DC2D1F" w:rsidRPr="003C2C0F" w:rsidRDefault="00DC2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DC2D1F" w:rsidRPr="003C2C0F" w:rsidRDefault="00DC2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DC2D1F" w:rsidRPr="00DC2D1F" w:rsidTr="00245129">
      <w:tc>
        <w:tcPr>
          <w:tcW w:w="4200" w:type="dxa"/>
          <w:tcMar>
            <w:left w:w="0" w:type="dxa"/>
            <w:right w:w="0" w:type="dxa"/>
          </w:tcMar>
        </w:tcPr>
        <w:p w:rsidR="00DC2D1F" w:rsidRPr="00FF6EEC" w:rsidRDefault="00DC2D1F" w:rsidP="00FF6EEC">
          <w:pPr>
            <w:rPr>
              <w:sz w:val="20"/>
              <w:szCs w:val="20"/>
            </w:rPr>
          </w:pPr>
          <w:r w:rsidRPr="00FF6EEC">
            <w:rPr>
              <w:sz w:val="20"/>
              <w:szCs w:val="20"/>
            </w:rPr>
            <w:t>PRONOUNCEMENTS OF APPEALS RESERVED</w:t>
          </w:r>
        </w:p>
      </w:tc>
      <w:tc>
        <w:tcPr>
          <w:tcW w:w="1200" w:type="dxa"/>
          <w:tcMar>
            <w:left w:w="0" w:type="dxa"/>
            <w:right w:w="0" w:type="dxa"/>
          </w:tcMar>
        </w:tcPr>
        <w:p w:rsidR="00DC2D1F" w:rsidRPr="00FF6EEC" w:rsidRDefault="00DC2D1F" w:rsidP="00FF6EEC">
          <w:pPr>
            <w:jc w:val="center"/>
            <w:rPr>
              <w:sz w:val="20"/>
              <w:szCs w:val="20"/>
            </w:rPr>
          </w:pPr>
        </w:p>
        <w:p w:rsidR="00DC2D1F" w:rsidRPr="00FF6EEC" w:rsidRDefault="00DC2D1F" w:rsidP="00FF6EEC">
          <w:pPr>
            <w:jc w:val="center"/>
            <w:rPr>
              <w:sz w:val="20"/>
              <w:szCs w:val="20"/>
            </w:rPr>
          </w:pPr>
        </w:p>
        <w:p w:rsidR="00DC2D1F" w:rsidRPr="00FF6EEC" w:rsidRDefault="00DC2D1F" w:rsidP="00FF6EEC">
          <w:pPr>
            <w:jc w:val="center"/>
            <w:rPr>
              <w:sz w:val="20"/>
              <w:szCs w:val="20"/>
            </w:rPr>
          </w:pPr>
        </w:p>
      </w:tc>
      <w:tc>
        <w:tcPr>
          <w:tcW w:w="4080" w:type="dxa"/>
          <w:tcMar>
            <w:left w:w="0" w:type="dxa"/>
            <w:right w:w="0" w:type="dxa"/>
          </w:tcMar>
        </w:tcPr>
        <w:p w:rsidR="00DC2D1F" w:rsidRPr="00FF6EEC" w:rsidRDefault="00DC2D1F" w:rsidP="00FF6EEC">
          <w:pPr>
            <w:rPr>
              <w:sz w:val="20"/>
              <w:szCs w:val="20"/>
              <w:lang w:val="fr-CA"/>
            </w:rPr>
          </w:pPr>
          <w:r w:rsidRPr="00FF6EEC">
            <w:rPr>
              <w:sz w:val="20"/>
              <w:szCs w:val="20"/>
              <w:lang w:val="fr-CA"/>
            </w:rPr>
            <w:t>JUGEMENTS RENDUS SUR LES APPELS EN DÉLIBÉRÉ</w:t>
          </w:r>
        </w:p>
      </w:tc>
    </w:tr>
  </w:tbl>
  <w:p w:rsidR="00DC2D1F" w:rsidRPr="003C2C0F" w:rsidRDefault="00DC2D1F"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1F" w:rsidRDefault="00DC2D1F">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DC2D1F">
      <w:tc>
        <w:tcPr>
          <w:tcW w:w="4230" w:type="dxa"/>
          <w:tcMar>
            <w:left w:w="0" w:type="dxa"/>
            <w:right w:w="0" w:type="dxa"/>
          </w:tcMar>
        </w:tcPr>
        <w:p w:rsidR="00DC2D1F" w:rsidRDefault="00DC2D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DC2D1F" w:rsidRDefault="00DC2D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DC2D1F" w:rsidRDefault="00DC2D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DC2D1F" w:rsidRDefault="00DC2D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C2D1F" w:rsidRDefault="00DC2D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DC2D1F" w:rsidRDefault="00DC2D1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DC2D1F" w:rsidRDefault="00DC2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DC2D1F" w:rsidRDefault="00DC2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DC2D1F" w:rsidRPr="00782AE4" w:rsidTr="00245129">
      <w:tc>
        <w:tcPr>
          <w:tcW w:w="4230" w:type="dxa"/>
          <w:tcMar>
            <w:left w:w="0" w:type="dxa"/>
            <w:right w:w="0" w:type="dxa"/>
          </w:tcMar>
        </w:tcPr>
        <w:p w:rsidR="00DC2D1F" w:rsidRPr="00782AE4" w:rsidRDefault="00DC2D1F" w:rsidP="00102926">
          <w:pPr>
            <w:keepNext/>
            <w:keepLines/>
            <w:tabs>
              <w:tab w:val="left" w:pos="-1440"/>
              <w:tab w:val="left" w:pos="-720"/>
            </w:tabs>
            <w:rPr>
              <w:sz w:val="20"/>
              <w:szCs w:val="20"/>
            </w:rPr>
          </w:pPr>
          <w:r w:rsidRPr="00782AE4">
            <w:rPr>
              <w:sz w:val="20"/>
              <w:szCs w:val="20"/>
            </w:rPr>
            <w:t xml:space="preserve">HEADNOTES OF RECENT </w:t>
          </w:r>
        </w:p>
        <w:p w:rsidR="00DC2D1F" w:rsidRPr="00782AE4" w:rsidRDefault="00DC2D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DC2D1F" w:rsidRDefault="00DC2D1F" w:rsidP="00102926">
          <w:pPr>
            <w:keepNext/>
            <w:keepLines/>
            <w:tabs>
              <w:tab w:val="left" w:pos="-1440"/>
              <w:tab w:val="left" w:pos="-720"/>
            </w:tabs>
            <w:jc w:val="center"/>
            <w:rPr>
              <w:sz w:val="20"/>
              <w:szCs w:val="20"/>
            </w:rPr>
          </w:pPr>
        </w:p>
        <w:p w:rsidR="00DC2D1F" w:rsidRDefault="00DC2D1F" w:rsidP="00102926">
          <w:pPr>
            <w:keepNext/>
            <w:keepLines/>
            <w:tabs>
              <w:tab w:val="left" w:pos="-1440"/>
              <w:tab w:val="left" w:pos="-720"/>
            </w:tabs>
            <w:jc w:val="center"/>
            <w:rPr>
              <w:sz w:val="20"/>
              <w:szCs w:val="20"/>
            </w:rPr>
          </w:pPr>
        </w:p>
        <w:p w:rsidR="00DC2D1F" w:rsidRPr="00782AE4" w:rsidRDefault="00DC2D1F" w:rsidP="00102926">
          <w:pPr>
            <w:keepNext/>
            <w:keepLines/>
            <w:tabs>
              <w:tab w:val="left" w:pos="-1440"/>
              <w:tab w:val="left" w:pos="-720"/>
            </w:tabs>
            <w:jc w:val="center"/>
            <w:rPr>
              <w:sz w:val="20"/>
              <w:szCs w:val="20"/>
            </w:rPr>
          </w:pPr>
        </w:p>
      </w:tc>
      <w:tc>
        <w:tcPr>
          <w:tcW w:w="4080" w:type="dxa"/>
          <w:tcMar>
            <w:left w:w="0" w:type="dxa"/>
            <w:right w:w="0" w:type="dxa"/>
          </w:tcMar>
        </w:tcPr>
        <w:p w:rsidR="00DC2D1F" w:rsidRPr="00102926" w:rsidRDefault="00DC2D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DC2D1F" w:rsidRPr="00782AE4" w:rsidRDefault="00DC2D1F" w:rsidP="00102926">
          <w:pPr>
            <w:keepLines/>
            <w:tabs>
              <w:tab w:val="left" w:pos="-1440"/>
              <w:tab w:val="left" w:pos="-720"/>
            </w:tabs>
            <w:rPr>
              <w:sz w:val="20"/>
              <w:szCs w:val="20"/>
            </w:rPr>
          </w:pPr>
          <w:r w:rsidRPr="00102926">
            <w:rPr>
              <w:sz w:val="20"/>
              <w:szCs w:val="20"/>
              <w:lang w:val="fr-CA"/>
            </w:rPr>
            <w:t>RÉCENTS</w:t>
          </w:r>
        </w:p>
      </w:tc>
    </w:tr>
  </w:tbl>
  <w:p w:rsidR="00DC2D1F" w:rsidRDefault="00DC2D1F"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1F" w:rsidRDefault="00DC2D1F">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1F" w:rsidRDefault="00DC2D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1F" w:rsidRDefault="00DC2D1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DC2D1F" w:rsidRPr="0044776A" w:rsidTr="00245129">
      <w:tc>
        <w:tcPr>
          <w:tcW w:w="4290" w:type="dxa"/>
          <w:tcMar>
            <w:left w:w="0" w:type="dxa"/>
            <w:right w:w="0" w:type="dxa"/>
          </w:tcMar>
        </w:tcPr>
        <w:p w:rsidR="00DC2D1F" w:rsidRPr="0044776A" w:rsidRDefault="00DC2D1F"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DC2D1F" w:rsidRPr="0044776A" w:rsidRDefault="00DC2D1F" w:rsidP="002E2327">
          <w:pPr>
            <w:keepNext/>
            <w:keepLines/>
            <w:tabs>
              <w:tab w:val="left" w:pos="-1440"/>
              <w:tab w:val="left" w:pos="-720"/>
            </w:tabs>
            <w:jc w:val="center"/>
            <w:rPr>
              <w:sz w:val="20"/>
              <w:szCs w:val="20"/>
            </w:rPr>
          </w:pPr>
        </w:p>
        <w:p w:rsidR="00DC2D1F" w:rsidRPr="0044776A" w:rsidRDefault="00DC2D1F" w:rsidP="002E2327">
          <w:pPr>
            <w:keepNext/>
            <w:keepLines/>
            <w:tabs>
              <w:tab w:val="left" w:pos="-1440"/>
              <w:tab w:val="left" w:pos="-720"/>
            </w:tabs>
            <w:jc w:val="center"/>
            <w:rPr>
              <w:sz w:val="20"/>
              <w:szCs w:val="20"/>
            </w:rPr>
          </w:pPr>
        </w:p>
        <w:p w:rsidR="00DC2D1F" w:rsidRPr="0044776A" w:rsidRDefault="00DC2D1F" w:rsidP="002E2327">
          <w:pPr>
            <w:keepNext/>
            <w:keepLines/>
            <w:tabs>
              <w:tab w:val="left" w:pos="-1440"/>
              <w:tab w:val="left" w:pos="-720"/>
            </w:tabs>
            <w:jc w:val="center"/>
            <w:rPr>
              <w:sz w:val="20"/>
              <w:szCs w:val="20"/>
            </w:rPr>
          </w:pPr>
        </w:p>
      </w:tc>
      <w:tc>
        <w:tcPr>
          <w:tcW w:w="4320" w:type="dxa"/>
          <w:tcMar>
            <w:left w:w="0" w:type="dxa"/>
            <w:right w:w="0" w:type="dxa"/>
          </w:tcMar>
        </w:tcPr>
        <w:p w:rsidR="00DC2D1F" w:rsidRPr="0044776A" w:rsidRDefault="00DC2D1F" w:rsidP="002E2327">
          <w:pPr>
            <w:keepLines/>
            <w:rPr>
              <w:sz w:val="20"/>
              <w:szCs w:val="20"/>
              <w:lang w:val="fr-CA"/>
            </w:rPr>
          </w:pPr>
          <w:r w:rsidRPr="0044776A">
            <w:rPr>
              <w:sz w:val="20"/>
              <w:szCs w:val="20"/>
              <w:lang w:val="fr-CA"/>
            </w:rPr>
            <w:t>DEMANDES D'AUTORISATION D'APPEL DÉPOSÉES</w:t>
          </w:r>
        </w:p>
      </w:tc>
    </w:tr>
  </w:tbl>
  <w:p w:rsidR="00DC2D1F" w:rsidRDefault="00DC2D1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1F" w:rsidRDefault="00DC2D1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DC2D1F" w:rsidRPr="00DC2D1F" w:rsidTr="00245129">
      <w:tc>
        <w:tcPr>
          <w:tcW w:w="4200" w:type="dxa"/>
          <w:tcMar>
            <w:left w:w="0" w:type="dxa"/>
            <w:right w:w="0" w:type="dxa"/>
          </w:tcMar>
        </w:tcPr>
        <w:p w:rsidR="00DC2D1F" w:rsidRPr="0044776A" w:rsidRDefault="00DC2D1F" w:rsidP="0044776A">
          <w:pPr>
            <w:keepNext/>
            <w:keepLines/>
            <w:widowControl w:val="0"/>
            <w:rPr>
              <w:sz w:val="20"/>
              <w:szCs w:val="20"/>
            </w:rPr>
          </w:pPr>
          <w:r>
            <w:rPr>
              <w:sz w:val="20"/>
              <w:szCs w:val="20"/>
            </w:rPr>
            <w:t>APPLICATIONS FOR LEAVE</w:t>
          </w:r>
        </w:p>
        <w:p w:rsidR="00DC2D1F" w:rsidRPr="0044776A" w:rsidRDefault="00DC2D1F"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DC2D1F" w:rsidRPr="0044776A" w:rsidRDefault="00DC2D1F" w:rsidP="0044776A">
          <w:pPr>
            <w:keepNext/>
            <w:keepLines/>
            <w:widowControl w:val="0"/>
            <w:jc w:val="center"/>
            <w:rPr>
              <w:sz w:val="20"/>
              <w:szCs w:val="20"/>
            </w:rPr>
          </w:pPr>
        </w:p>
        <w:p w:rsidR="00DC2D1F" w:rsidRPr="0044776A" w:rsidRDefault="00DC2D1F" w:rsidP="0044776A">
          <w:pPr>
            <w:keepNext/>
            <w:keepLines/>
            <w:widowControl w:val="0"/>
            <w:jc w:val="center"/>
            <w:rPr>
              <w:sz w:val="20"/>
              <w:szCs w:val="20"/>
            </w:rPr>
          </w:pPr>
        </w:p>
        <w:p w:rsidR="00DC2D1F" w:rsidRPr="0044776A" w:rsidRDefault="00DC2D1F" w:rsidP="0044776A">
          <w:pPr>
            <w:keepNext/>
            <w:keepLines/>
            <w:widowControl w:val="0"/>
            <w:jc w:val="center"/>
            <w:rPr>
              <w:sz w:val="20"/>
              <w:szCs w:val="20"/>
            </w:rPr>
          </w:pPr>
        </w:p>
      </w:tc>
      <w:tc>
        <w:tcPr>
          <w:tcW w:w="4080" w:type="dxa"/>
          <w:tcMar>
            <w:left w:w="0" w:type="dxa"/>
            <w:right w:w="0" w:type="dxa"/>
          </w:tcMar>
        </w:tcPr>
        <w:p w:rsidR="00DC2D1F" w:rsidRPr="0044776A" w:rsidRDefault="00DC2D1F" w:rsidP="0044776A">
          <w:pPr>
            <w:keepLines/>
            <w:widowControl w:val="0"/>
            <w:rPr>
              <w:sz w:val="20"/>
              <w:szCs w:val="20"/>
              <w:lang w:val="fr-CA"/>
            </w:rPr>
          </w:pPr>
          <w:r w:rsidRPr="0044776A">
            <w:rPr>
              <w:sz w:val="20"/>
              <w:szCs w:val="20"/>
              <w:lang w:val="fr-CA"/>
            </w:rPr>
            <w:t>DEMANDES SOUMISES À LA COUR DEPUIS LA DERNIÈRE PARUTION</w:t>
          </w:r>
        </w:p>
        <w:p w:rsidR="00DC2D1F" w:rsidRPr="0044776A" w:rsidRDefault="00DC2D1F" w:rsidP="0044776A">
          <w:pPr>
            <w:widowControl w:val="0"/>
            <w:rPr>
              <w:sz w:val="20"/>
              <w:szCs w:val="20"/>
              <w:lang w:val="fr-CA"/>
            </w:rPr>
          </w:pPr>
        </w:p>
      </w:tc>
    </w:tr>
  </w:tbl>
  <w:p w:rsidR="00DC2D1F" w:rsidRPr="002E2327" w:rsidRDefault="00DC2D1F">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1F" w:rsidRDefault="00DC2D1F">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DC2D1F" w:rsidRPr="00DC2D1F">
      <w:tc>
        <w:tcPr>
          <w:tcW w:w="4200" w:type="dxa"/>
          <w:tcMar>
            <w:left w:w="0" w:type="dxa"/>
            <w:right w:w="0" w:type="dxa"/>
          </w:tcMar>
        </w:tcPr>
        <w:p w:rsidR="00DC2D1F" w:rsidRDefault="00DC2D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DC2D1F" w:rsidRDefault="00DC2D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DC2D1F" w:rsidRDefault="00DC2D1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C2D1F" w:rsidRPr="00FF6BA5" w:rsidRDefault="00DC2D1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DC2D1F" w:rsidRPr="00FF6BA5" w:rsidRDefault="00DC2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DC2D1F" w:rsidRPr="00FF6BA5" w:rsidRDefault="00DC2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DC2D1F" w:rsidRPr="00FF6BA5" w:rsidRDefault="00DC2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DC2D1F" w:rsidRPr="00DC2D1F" w:rsidTr="00245129">
      <w:tc>
        <w:tcPr>
          <w:tcW w:w="4200" w:type="dxa"/>
          <w:tcMar>
            <w:left w:w="0" w:type="dxa"/>
            <w:right w:w="0" w:type="dxa"/>
          </w:tcMar>
        </w:tcPr>
        <w:p w:rsidR="00DC2D1F" w:rsidRPr="00755F22" w:rsidRDefault="00DC2D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DC2D1F" w:rsidRPr="00755F22" w:rsidRDefault="00DC2D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DC2D1F" w:rsidRPr="00755F22" w:rsidRDefault="00DC2D1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DC2D1F" w:rsidRPr="00755F22" w:rsidRDefault="00DC2D1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DC2D1F" w:rsidRPr="00755F22" w:rsidRDefault="00DC2D1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DC2D1F" w:rsidRPr="00755F22" w:rsidRDefault="00DC2D1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DC2D1F" w:rsidRPr="00FF6BA5" w:rsidRDefault="00DC2D1F"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grammar="clean"/>
  <w:defaultTabStop w:val="720"/>
  <w:drawingGridHorizontalSpacing w:val="120"/>
  <w:displayHorizontalDrawingGridEvery w:val="2"/>
  <w:characterSpacingControl w:val="doNotCompress"/>
  <w:hdrShapeDefaults>
    <o:shapedefaults v:ext="edit" spidmax="46097"/>
  </w:hdrShapeDefaults>
  <w:footnotePr>
    <w:footnote w:id="-1"/>
    <w:footnote w:id="0"/>
  </w:footnotePr>
  <w:endnotePr>
    <w:endnote w:id="-1"/>
    <w:endnote w:id="0"/>
  </w:endnotePr>
  <w:compat/>
  <w:rsids>
    <w:rsidRoot w:val="009D0C06"/>
    <w:rsid w:val="0003223B"/>
    <w:rsid w:val="000327B2"/>
    <w:rsid w:val="000851FB"/>
    <w:rsid w:val="00085DE2"/>
    <w:rsid w:val="00091FA6"/>
    <w:rsid w:val="00096BD9"/>
    <w:rsid w:val="000B3C9A"/>
    <w:rsid w:val="000B40A2"/>
    <w:rsid w:val="000B4624"/>
    <w:rsid w:val="000C0ACD"/>
    <w:rsid w:val="00102926"/>
    <w:rsid w:val="0010587F"/>
    <w:rsid w:val="00111C6B"/>
    <w:rsid w:val="00115D3F"/>
    <w:rsid w:val="0012102B"/>
    <w:rsid w:val="0013369E"/>
    <w:rsid w:val="00164E6D"/>
    <w:rsid w:val="00182E71"/>
    <w:rsid w:val="001B157C"/>
    <w:rsid w:val="001B5C23"/>
    <w:rsid w:val="001C4DF3"/>
    <w:rsid w:val="001D0D5F"/>
    <w:rsid w:val="001D6B8C"/>
    <w:rsid w:val="001F1F83"/>
    <w:rsid w:val="002021A9"/>
    <w:rsid w:val="002139A7"/>
    <w:rsid w:val="00215F7C"/>
    <w:rsid w:val="0022323B"/>
    <w:rsid w:val="002410B8"/>
    <w:rsid w:val="00242AEE"/>
    <w:rsid w:val="00245129"/>
    <w:rsid w:val="00245879"/>
    <w:rsid w:val="00247396"/>
    <w:rsid w:val="00256147"/>
    <w:rsid w:val="00267FD5"/>
    <w:rsid w:val="002868D0"/>
    <w:rsid w:val="00294BC8"/>
    <w:rsid w:val="002A27D1"/>
    <w:rsid w:val="002A4AFA"/>
    <w:rsid w:val="002B516C"/>
    <w:rsid w:val="002C4A64"/>
    <w:rsid w:val="002C5DDA"/>
    <w:rsid w:val="002D72EB"/>
    <w:rsid w:val="002E1AA8"/>
    <w:rsid w:val="002E2327"/>
    <w:rsid w:val="002E3583"/>
    <w:rsid w:val="002E5576"/>
    <w:rsid w:val="002F79DF"/>
    <w:rsid w:val="003117D0"/>
    <w:rsid w:val="00312CAC"/>
    <w:rsid w:val="00324E42"/>
    <w:rsid w:val="00331B52"/>
    <w:rsid w:val="003359D3"/>
    <w:rsid w:val="00355967"/>
    <w:rsid w:val="0036566A"/>
    <w:rsid w:val="00382C47"/>
    <w:rsid w:val="00384384"/>
    <w:rsid w:val="003866AE"/>
    <w:rsid w:val="003957EF"/>
    <w:rsid w:val="003B3977"/>
    <w:rsid w:val="003C2DDC"/>
    <w:rsid w:val="003C4E56"/>
    <w:rsid w:val="003D5714"/>
    <w:rsid w:val="003F697D"/>
    <w:rsid w:val="004016D1"/>
    <w:rsid w:val="00401E04"/>
    <w:rsid w:val="00405D65"/>
    <w:rsid w:val="00432989"/>
    <w:rsid w:val="00433892"/>
    <w:rsid w:val="004401CE"/>
    <w:rsid w:val="00440E24"/>
    <w:rsid w:val="0044776A"/>
    <w:rsid w:val="00460AFC"/>
    <w:rsid w:val="0047471F"/>
    <w:rsid w:val="004814B2"/>
    <w:rsid w:val="00483D29"/>
    <w:rsid w:val="004B195E"/>
    <w:rsid w:val="004B640C"/>
    <w:rsid w:val="004B66B4"/>
    <w:rsid w:val="004B7F60"/>
    <w:rsid w:val="004C1AAC"/>
    <w:rsid w:val="004D7851"/>
    <w:rsid w:val="004E1E0A"/>
    <w:rsid w:val="004F090E"/>
    <w:rsid w:val="004F2BEC"/>
    <w:rsid w:val="00516FD5"/>
    <w:rsid w:val="00527CC7"/>
    <w:rsid w:val="005324FE"/>
    <w:rsid w:val="005427C2"/>
    <w:rsid w:val="00565D14"/>
    <w:rsid w:val="00571CA4"/>
    <w:rsid w:val="00582136"/>
    <w:rsid w:val="005B1F40"/>
    <w:rsid w:val="005B4C57"/>
    <w:rsid w:val="005B5C4D"/>
    <w:rsid w:val="005C4AB1"/>
    <w:rsid w:val="005C6840"/>
    <w:rsid w:val="005D1C57"/>
    <w:rsid w:val="005F263E"/>
    <w:rsid w:val="00600252"/>
    <w:rsid w:val="00612A40"/>
    <w:rsid w:val="00613480"/>
    <w:rsid w:val="00624B5C"/>
    <w:rsid w:val="0062714A"/>
    <w:rsid w:val="00657EE6"/>
    <w:rsid w:val="00675479"/>
    <w:rsid w:val="00676BD5"/>
    <w:rsid w:val="00680709"/>
    <w:rsid w:val="00680B0A"/>
    <w:rsid w:val="00696BF9"/>
    <w:rsid w:val="006975EA"/>
    <w:rsid w:val="00697C62"/>
    <w:rsid w:val="006A329B"/>
    <w:rsid w:val="006A6EF2"/>
    <w:rsid w:val="006A7EB8"/>
    <w:rsid w:val="006B12EE"/>
    <w:rsid w:val="006B6926"/>
    <w:rsid w:val="006C3F47"/>
    <w:rsid w:val="006C5F7A"/>
    <w:rsid w:val="006E06AF"/>
    <w:rsid w:val="006F350F"/>
    <w:rsid w:val="00706EDA"/>
    <w:rsid w:val="007175E7"/>
    <w:rsid w:val="00732DB7"/>
    <w:rsid w:val="0074238B"/>
    <w:rsid w:val="00745EF7"/>
    <w:rsid w:val="00755F22"/>
    <w:rsid w:val="00766E4A"/>
    <w:rsid w:val="0077555D"/>
    <w:rsid w:val="00781F72"/>
    <w:rsid w:val="007820CE"/>
    <w:rsid w:val="00782AE4"/>
    <w:rsid w:val="0079724F"/>
    <w:rsid w:val="007A1180"/>
    <w:rsid w:val="007A3EAE"/>
    <w:rsid w:val="007C04FC"/>
    <w:rsid w:val="007C40B1"/>
    <w:rsid w:val="007D3E0F"/>
    <w:rsid w:val="007E4282"/>
    <w:rsid w:val="007F387B"/>
    <w:rsid w:val="007F7AE8"/>
    <w:rsid w:val="00802863"/>
    <w:rsid w:val="008111C9"/>
    <w:rsid w:val="00815B3C"/>
    <w:rsid w:val="0082783A"/>
    <w:rsid w:val="00831CA9"/>
    <w:rsid w:val="00850E1F"/>
    <w:rsid w:val="0085476B"/>
    <w:rsid w:val="0085599B"/>
    <w:rsid w:val="00880E10"/>
    <w:rsid w:val="00883278"/>
    <w:rsid w:val="00890FEB"/>
    <w:rsid w:val="008A5889"/>
    <w:rsid w:val="008D292F"/>
    <w:rsid w:val="008E03DC"/>
    <w:rsid w:val="009151CA"/>
    <w:rsid w:val="00924065"/>
    <w:rsid w:val="00930D68"/>
    <w:rsid w:val="00932DB4"/>
    <w:rsid w:val="00941A4B"/>
    <w:rsid w:val="00946242"/>
    <w:rsid w:val="0095096B"/>
    <w:rsid w:val="009618B7"/>
    <w:rsid w:val="00970CD3"/>
    <w:rsid w:val="009723FA"/>
    <w:rsid w:val="00984546"/>
    <w:rsid w:val="009935E6"/>
    <w:rsid w:val="00996510"/>
    <w:rsid w:val="009B199B"/>
    <w:rsid w:val="009C0687"/>
    <w:rsid w:val="009D0C06"/>
    <w:rsid w:val="009D1F15"/>
    <w:rsid w:val="009D555E"/>
    <w:rsid w:val="009E2DDF"/>
    <w:rsid w:val="009F3024"/>
    <w:rsid w:val="00A0355E"/>
    <w:rsid w:val="00A375D1"/>
    <w:rsid w:val="00A51D10"/>
    <w:rsid w:val="00A52A83"/>
    <w:rsid w:val="00A6552C"/>
    <w:rsid w:val="00A655B0"/>
    <w:rsid w:val="00A740D1"/>
    <w:rsid w:val="00A77928"/>
    <w:rsid w:val="00A81A07"/>
    <w:rsid w:val="00A87207"/>
    <w:rsid w:val="00A935AA"/>
    <w:rsid w:val="00AB2201"/>
    <w:rsid w:val="00AD3259"/>
    <w:rsid w:val="00AE1D14"/>
    <w:rsid w:val="00AF1715"/>
    <w:rsid w:val="00AF31B3"/>
    <w:rsid w:val="00AF3904"/>
    <w:rsid w:val="00B010C0"/>
    <w:rsid w:val="00B4740D"/>
    <w:rsid w:val="00B61629"/>
    <w:rsid w:val="00B670AC"/>
    <w:rsid w:val="00B7374B"/>
    <w:rsid w:val="00B803D5"/>
    <w:rsid w:val="00B90DC0"/>
    <w:rsid w:val="00BA116A"/>
    <w:rsid w:val="00BA37D8"/>
    <w:rsid w:val="00BA5582"/>
    <w:rsid w:val="00BA6468"/>
    <w:rsid w:val="00BB1D44"/>
    <w:rsid w:val="00BC7C7F"/>
    <w:rsid w:val="00BD06DA"/>
    <w:rsid w:val="00BD4217"/>
    <w:rsid w:val="00BF25F3"/>
    <w:rsid w:val="00BF3B03"/>
    <w:rsid w:val="00C1697B"/>
    <w:rsid w:val="00C21CB5"/>
    <w:rsid w:val="00C4561E"/>
    <w:rsid w:val="00C46290"/>
    <w:rsid w:val="00C50A5C"/>
    <w:rsid w:val="00C50FDF"/>
    <w:rsid w:val="00C63381"/>
    <w:rsid w:val="00C66993"/>
    <w:rsid w:val="00C73D06"/>
    <w:rsid w:val="00C73E1B"/>
    <w:rsid w:val="00C759B4"/>
    <w:rsid w:val="00C77713"/>
    <w:rsid w:val="00C80CA7"/>
    <w:rsid w:val="00C85BB7"/>
    <w:rsid w:val="00CB43D5"/>
    <w:rsid w:val="00CC4D84"/>
    <w:rsid w:val="00CC7F28"/>
    <w:rsid w:val="00CE198A"/>
    <w:rsid w:val="00CE2CFA"/>
    <w:rsid w:val="00D3651F"/>
    <w:rsid w:val="00D41C9D"/>
    <w:rsid w:val="00D43A9E"/>
    <w:rsid w:val="00D64901"/>
    <w:rsid w:val="00D65563"/>
    <w:rsid w:val="00D72FDB"/>
    <w:rsid w:val="00D76BDF"/>
    <w:rsid w:val="00D862C1"/>
    <w:rsid w:val="00D8701C"/>
    <w:rsid w:val="00D878AF"/>
    <w:rsid w:val="00D93B50"/>
    <w:rsid w:val="00D94670"/>
    <w:rsid w:val="00DA46F6"/>
    <w:rsid w:val="00DC2D1F"/>
    <w:rsid w:val="00DD0B49"/>
    <w:rsid w:val="00DE7FA8"/>
    <w:rsid w:val="00E06DFA"/>
    <w:rsid w:val="00E20A0A"/>
    <w:rsid w:val="00E356C7"/>
    <w:rsid w:val="00E45C23"/>
    <w:rsid w:val="00E45FE4"/>
    <w:rsid w:val="00E47F18"/>
    <w:rsid w:val="00E64FA7"/>
    <w:rsid w:val="00E770CB"/>
    <w:rsid w:val="00E819B8"/>
    <w:rsid w:val="00E823AA"/>
    <w:rsid w:val="00E903A1"/>
    <w:rsid w:val="00E91C2F"/>
    <w:rsid w:val="00E940EB"/>
    <w:rsid w:val="00E9703F"/>
    <w:rsid w:val="00EB2B90"/>
    <w:rsid w:val="00EB5134"/>
    <w:rsid w:val="00ED7E83"/>
    <w:rsid w:val="00EF4B63"/>
    <w:rsid w:val="00F0068D"/>
    <w:rsid w:val="00F0576D"/>
    <w:rsid w:val="00F14E6D"/>
    <w:rsid w:val="00F15EA8"/>
    <w:rsid w:val="00F16C8D"/>
    <w:rsid w:val="00F26C61"/>
    <w:rsid w:val="00F33CCE"/>
    <w:rsid w:val="00F40249"/>
    <w:rsid w:val="00F526C8"/>
    <w:rsid w:val="00F54F93"/>
    <w:rsid w:val="00F86C0A"/>
    <w:rsid w:val="00F9272D"/>
    <w:rsid w:val="00F9518C"/>
    <w:rsid w:val="00FA316E"/>
    <w:rsid w:val="00FA59EF"/>
    <w:rsid w:val="00FB19A2"/>
    <w:rsid w:val="00FB2259"/>
    <w:rsid w:val="00FB7CFF"/>
    <w:rsid w:val="00FF2383"/>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6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SCCLsocParty">
    <w:name w:val="SCC.Lsoc.Party"/>
    <w:basedOn w:val="Normal"/>
    <w:next w:val="Normal"/>
    <w:link w:val="SCCLsocPartyChar"/>
    <w:rsid w:val="003C2DDC"/>
    <w:pPr>
      <w:jc w:val="both"/>
    </w:pPr>
    <w:rPr>
      <w:rFonts w:eastAsia="Calibri" w:cs="Times New Roman"/>
      <w:i/>
      <w:lang w:val="fr-CA"/>
    </w:rPr>
  </w:style>
  <w:style w:type="character" w:customStyle="1" w:styleId="SCCLsocPartyChar">
    <w:name w:val="SCC.Lsoc.Party Char"/>
    <w:basedOn w:val="DefaultParagraphFont"/>
    <w:link w:val="SCCLsocParty"/>
    <w:rsid w:val="003C2DDC"/>
    <w:rPr>
      <w:rFonts w:eastAsia="Calibri" w:cs="Times New Roman"/>
      <w:i/>
      <w:lang w:val="fr-CA"/>
    </w:rPr>
  </w:style>
  <w:style w:type="paragraph" w:customStyle="1" w:styleId="SCCLsocSubfileSeparator">
    <w:name w:val="SCC.Lsoc.SubfileSeparator"/>
    <w:basedOn w:val="Normal"/>
    <w:next w:val="Normal"/>
    <w:link w:val="SCCLsocSubfileSeparatorChar"/>
    <w:uiPriority w:val="99"/>
    <w:rsid w:val="009151CA"/>
    <w:pPr>
      <w:jc w:val="both"/>
    </w:pPr>
    <w:rPr>
      <w:rFonts w:eastAsia="Calibri" w:cs="Times New Roman"/>
      <w:b/>
      <w:szCs w:val="24"/>
    </w:rPr>
  </w:style>
  <w:style w:type="character" w:customStyle="1" w:styleId="SCCLsocSubfileSeparatorChar">
    <w:name w:val="SCC.Lsoc.SubfileSeparator Char"/>
    <w:basedOn w:val="DefaultParagraphFont"/>
    <w:link w:val="SCCLsocSubfileSeparator"/>
    <w:uiPriority w:val="99"/>
    <w:rsid w:val="009151CA"/>
    <w:rPr>
      <w:rFonts w:eastAsia="Calibri" w:cs="Times New Roman"/>
      <w:b/>
      <w:szCs w:val="24"/>
      <w:lang w:val="en-CA"/>
    </w:rPr>
  </w:style>
  <w:style w:type="paragraph" w:customStyle="1" w:styleId="loose">
    <w:name w:val="loose"/>
    <w:basedOn w:val="Normal"/>
    <w:rsid w:val="009151CA"/>
    <w:pPr>
      <w:spacing w:before="182"/>
    </w:pPr>
    <w:rPr>
      <w:rFonts w:eastAsia="Times New Roman" w:cs="Times New Roman"/>
      <w:szCs w:val="24"/>
      <w:lang w:val="en-US"/>
    </w:rPr>
  </w:style>
  <w:style w:type="character" w:customStyle="1" w:styleId="italic1">
    <w:name w:val="italic1"/>
    <w:basedOn w:val="DefaultParagraphFont"/>
    <w:rsid w:val="009151CA"/>
    <w:rPr>
      <w:i/>
      <w:iCs/>
    </w:rPr>
  </w:style>
  <w:style w:type="paragraph" w:customStyle="1" w:styleId="SCCLowerCourtNameLowercase">
    <w:name w:val="SCC.LowerCourtNameLowercase"/>
    <w:basedOn w:val="SCCNormalDoubleSpacing"/>
    <w:next w:val="SCCNormalDoubleSpacing"/>
    <w:rsid w:val="00883278"/>
    <w:pPr>
      <w:tabs>
        <w:tab w:val="left" w:pos="1168"/>
      </w:tabs>
    </w:pPr>
    <w:rPr>
      <w:smallCaps/>
    </w:rPr>
  </w:style>
  <w:style w:type="paragraph" w:styleId="BodyText">
    <w:name w:val="Body Text"/>
    <w:basedOn w:val="Normal"/>
    <w:link w:val="BodyTextChar"/>
    <w:rsid w:val="00E823AA"/>
    <w:pPr>
      <w:spacing w:after="240"/>
    </w:pPr>
    <w:rPr>
      <w:rFonts w:eastAsia="Times New Roman" w:cs="Times New Roman"/>
      <w:szCs w:val="24"/>
    </w:rPr>
  </w:style>
  <w:style w:type="character" w:customStyle="1" w:styleId="BodyTextChar">
    <w:name w:val="Body Text Char"/>
    <w:basedOn w:val="DefaultParagraphFont"/>
    <w:link w:val="BodyText"/>
    <w:rsid w:val="00E823AA"/>
    <w:rPr>
      <w:rFonts w:eastAsia="Times New Roman" w:cs="Times New Roman"/>
      <w:szCs w:val="24"/>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lexisnexis.com:80/ca/legal/search/runRemoteLink.do?langcountry=CA&amp;linkInfo=F%23CA%23SCC%23onum%2561%25decisiondate%252011%25year%252011%25sel1%252011%25&amp;risb=21_T15526864848&amp;bct=A&amp;service=citation&amp;A=0.12490587876893422" TargetMode="External"/><Relationship Id="rId39" Type="http://schemas.openxmlformats.org/officeDocument/2006/relationships/header" Target="header13.xml"/><Relationship Id="rId21" Type="http://schemas.openxmlformats.org/officeDocument/2006/relationships/header" Target="header6.xml"/><Relationship Id="rId34" Type="http://schemas.openxmlformats.org/officeDocument/2006/relationships/footer" Target="footer10.xml"/><Relationship Id="rId42" Type="http://schemas.openxmlformats.org/officeDocument/2006/relationships/header" Target="header15.xml"/><Relationship Id="rId47" Type="http://schemas.openxmlformats.org/officeDocument/2006/relationships/header" Target="header17.xml"/><Relationship Id="rId50" Type="http://schemas.openxmlformats.org/officeDocument/2006/relationships/footer" Target="footer18.xml"/><Relationship Id="rId55" Type="http://schemas.openxmlformats.org/officeDocument/2006/relationships/footer" Target="footer20.xml"/><Relationship Id="rId63" Type="http://schemas.openxmlformats.org/officeDocument/2006/relationships/header" Target="header25.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footer" Target="footer13.xml"/><Relationship Id="rId45" Type="http://schemas.openxmlformats.org/officeDocument/2006/relationships/header" Target="header16.xml"/><Relationship Id="rId53" Type="http://schemas.openxmlformats.org/officeDocument/2006/relationships/header" Target="header20.xml"/><Relationship Id="rId58" Type="http://schemas.openxmlformats.org/officeDocument/2006/relationships/footer" Target="footer22.xml"/><Relationship Id="rId66" Type="http://schemas.openxmlformats.org/officeDocument/2006/relationships/footer" Target="footer2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lexisnexis.com:80/ca/legal/search/runRemoteLink.do?langcountry=CA&amp;linkInfo=F%23CA%23SCC%23onum%2561%25decisiondate%252011%25year%252011%25sel1%252011%25&amp;risb=21_T15526864848&amp;bct=A&amp;service=citation&amp;A=0.12490587876893422" TargetMode="External"/><Relationship Id="rId36" Type="http://schemas.openxmlformats.org/officeDocument/2006/relationships/header" Target="header12.xml"/><Relationship Id="rId49" Type="http://schemas.openxmlformats.org/officeDocument/2006/relationships/footer" Target="footer17.xml"/><Relationship Id="rId57" Type="http://schemas.openxmlformats.org/officeDocument/2006/relationships/header" Target="header22.xml"/><Relationship Id="rId61" Type="http://schemas.openxmlformats.org/officeDocument/2006/relationships/footer" Target="footer23.xml"/><Relationship Id="rId10" Type="http://schemas.openxmlformats.org/officeDocument/2006/relationships/hyperlink" Target="http://www.scc-csc.gc.ca" TargetMode="External"/><Relationship Id="rId19" Type="http://schemas.openxmlformats.org/officeDocument/2006/relationships/header" Target="header5.xml"/><Relationship Id="rId31" Type="http://schemas.openxmlformats.org/officeDocument/2006/relationships/footer" Target="footer8.xml"/><Relationship Id="rId44" Type="http://schemas.openxmlformats.org/officeDocument/2006/relationships/footer" Target="footer15.xml"/><Relationship Id="rId52" Type="http://schemas.openxmlformats.org/officeDocument/2006/relationships/footer" Target="footer19.xml"/><Relationship Id="rId60" Type="http://schemas.openxmlformats.org/officeDocument/2006/relationships/header" Target="header24.xml"/><Relationship Id="rId65"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yperlink" Target="http://www.scc-csc.g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lexisnexis.com:80/ca/legal/search/runRemoteLink.do?langcountry=CA&amp;linkInfo=F%23CA%23SCR%23sel2%253%25year%252011%25page%25654%25sel1%252011%25vol%253%25&amp;risb=21_T15526864848&amp;bct=A&amp;service=citation&amp;A=0.19470649077687052" TargetMode="External"/><Relationship Id="rId30" Type="http://schemas.openxmlformats.org/officeDocument/2006/relationships/header" Target="header9.xml"/><Relationship Id="rId35" Type="http://schemas.openxmlformats.org/officeDocument/2006/relationships/header" Target="header11.xml"/><Relationship Id="rId43" Type="http://schemas.openxmlformats.org/officeDocument/2006/relationships/footer" Target="footer14.xml"/><Relationship Id="rId48" Type="http://schemas.openxmlformats.org/officeDocument/2006/relationships/header" Target="header18.xml"/><Relationship Id="rId56" Type="http://schemas.openxmlformats.org/officeDocument/2006/relationships/footer" Target="footer21.xml"/><Relationship Id="rId64" Type="http://schemas.openxmlformats.org/officeDocument/2006/relationships/footer" Target="footer25.xml"/><Relationship Id="rId8" Type="http://schemas.openxmlformats.org/officeDocument/2006/relationships/image" Target="media/image1.wmf"/><Relationship Id="rId51" Type="http://schemas.openxmlformats.org/officeDocument/2006/relationships/header" Target="header19.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lexisnexis.com:80/ca/legal/search/runRemoteLink.do?langcountry=CA&amp;linkInfo=F%23CA%23SCR%23sel2%253%25year%252011%25page%25654%25sel1%252011%25vol%253%25&amp;risb=21_T15526864848&amp;bct=A&amp;service=citation&amp;A=0.19470649077687052" TargetMode="External"/><Relationship Id="rId33" Type="http://schemas.openxmlformats.org/officeDocument/2006/relationships/header" Target="header10.xml"/><Relationship Id="rId38" Type="http://schemas.openxmlformats.org/officeDocument/2006/relationships/footer" Target="footer12.xml"/><Relationship Id="rId46" Type="http://schemas.openxmlformats.org/officeDocument/2006/relationships/footer" Target="footer16.xml"/><Relationship Id="rId59" Type="http://schemas.openxmlformats.org/officeDocument/2006/relationships/header" Target="header23.xml"/><Relationship Id="rId67" Type="http://schemas.openxmlformats.org/officeDocument/2006/relationships/fontTable" Target="fontTable.xml"/><Relationship Id="rId20" Type="http://schemas.openxmlformats.org/officeDocument/2006/relationships/footer" Target="footer5.xml"/><Relationship Id="rId41" Type="http://schemas.openxmlformats.org/officeDocument/2006/relationships/header" Target="header14.xml"/><Relationship Id="rId54" Type="http://schemas.openxmlformats.org/officeDocument/2006/relationships/header" Target="header21.xml"/><Relationship Id="rId62" Type="http://schemas.openxmlformats.org/officeDocument/2006/relationships/footer" Target="foot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ED003-607B-4F64-987E-C9F189566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30147</Words>
  <Characters>171843</Characters>
  <Application>Microsoft Office Word</Application>
  <DocSecurity>0</DocSecurity>
  <Lines>1432</Lines>
  <Paragraphs>403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2012-11-09T17:56:00Z</dcterms:created>
  <dcterms:modified xsi:type="dcterms:W3CDTF">2012-11-13T14:27:00Z</dcterms:modified>
</cp:coreProperties>
</file>