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C0B5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C0B5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C0B5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C0B5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C0B5F" w:rsidTr="002E5576">
        <w:tc>
          <w:tcPr>
            <w:tcW w:w="4518" w:type="dxa"/>
          </w:tcPr>
          <w:p w:rsidR="00BF25F3" w:rsidRPr="002E2327" w:rsidRDefault="00D32E7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32E7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C0B5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C0B5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C0B5F" w:rsidP="00F0068D">
      <w:pPr>
        <w:pBdr>
          <w:bottom w:val="single" w:sz="6" w:space="1" w:color="auto"/>
        </w:pBdr>
        <w:tabs>
          <w:tab w:val="center" w:pos="4680"/>
          <w:tab w:val="right" w:pos="9360"/>
        </w:tabs>
        <w:rPr>
          <w:lang w:val="fr-CA"/>
        </w:rPr>
      </w:pPr>
      <w:proofErr w:type="spellStart"/>
      <w:r>
        <w:rPr>
          <w:lang w:val="fr-CA"/>
        </w:rPr>
        <w:t>December</w:t>
      </w:r>
      <w:proofErr w:type="spellEnd"/>
      <w:r w:rsidR="00440E24" w:rsidRPr="00675479">
        <w:rPr>
          <w:lang w:val="fr-CA"/>
        </w:rPr>
        <w:t xml:space="preserve"> </w:t>
      </w:r>
      <w:r w:rsidR="003359D3">
        <w:rPr>
          <w:lang w:val="fr-CA"/>
        </w:rPr>
        <w:t>1</w:t>
      </w:r>
      <w:r>
        <w:rPr>
          <w:lang w:val="fr-CA"/>
        </w:rPr>
        <w:t>4</w:t>
      </w:r>
      <w:r w:rsidR="00440E24" w:rsidRPr="00675479">
        <w:rPr>
          <w:lang w:val="fr-CA"/>
        </w:rPr>
        <w:t>, 201</w:t>
      </w:r>
      <w:r w:rsidR="00C73D06">
        <w:rPr>
          <w:lang w:val="fr-CA"/>
        </w:rPr>
        <w:t>2</w:t>
      </w:r>
      <w:r w:rsidR="00F0068D" w:rsidRPr="00675479">
        <w:rPr>
          <w:lang w:val="fr-CA"/>
        </w:rPr>
        <w:tab/>
        <w:t>1</w:t>
      </w:r>
      <w:r>
        <w:rPr>
          <w:lang w:val="fr-CA"/>
        </w:rPr>
        <w:t>939</w:t>
      </w:r>
      <w:r w:rsidR="00F0068D" w:rsidRPr="00675479">
        <w:rPr>
          <w:lang w:val="fr-CA"/>
        </w:rPr>
        <w:t xml:space="preserve"> - </w:t>
      </w:r>
      <w:r>
        <w:rPr>
          <w:lang w:val="fr-CA"/>
        </w:rPr>
        <w:t>1983</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4 décembre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522D9B">
            <w:pPr>
              <w:tabs>
                <w:tab w:val="right" w:pos="9360"/>
              </w:tabs>
              <w:rPr>
                <w:rFonts w:cs="Times New Roman"/>
                <w:sz w:val="20"/>
                <w:szCs w:val="20"/>
              </w:rPr>
            </w:pPr>
          </w:p>
        </w:tc>
        <w:tc>
          <w:tcPr>
            <w:tcW w:w="1980" w:type="dxa"/>
          </w:tcPr>
          <w:p w:rsidR="0095096B" w:rsidRPr="002E2327" w:rsidRDefault="00522D9B" w:rsidP="0095096B">
            <w:pPr>
              <w:jc w:val="center"/>
              <w:rPr>
                <w:rFonts w:cs="Times New Roman"/>
                <w:sz w:val="20"/>
                <w:szCs w:val="20"/>
              </w:rPr>
            </w:pPr>
            <w:r>
              <w:rPr>
                <w:rFonts w:cs="Times New Roman"/>
                <w:sz w:val="20"/>
                <w:szCs w:val="20"/>
              </w:rPr>
              <w:t xml:space="preserve">1939 </w:t>
            </w:r>
            <w:r w:rsidR="00D32E73" w:rsidRPr="002E2327">
              <w:rPr>
                <w:rFonts w:cs="Times New Roman"/>
                <w:sz w:val="20"/>
                <w:szCs w:val="20"/>
              </w:rPr>
              <w:fldChar w:fldCharType="begin"/>
            </w:r>
            <w:r w:rsidR="0095096B" w:rsidRPr="002E2327">
              <w:rPr>
                <w:rFonts w:cs="Times New Roman"/>
                <w:sz w:val="20"/>
                <w:szCs w:val="20"/>
              </w:rPr>
              <w:instrText xml:space="preserve"> SEQ CHAPTER \h \r 1</w:instrText>
            </w:r>
            <w:r w:rsidR="00D32E7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1940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22D9B" w:rsidP="0095096B">
            <w:pPr>
              <w:jc w:val="center"/>
              <w:rPr>
                <w:rFonts w:cs="Times New Roman"/>
                <w:sz w:val="20"/>
                <w:szCs w:val="20"/>
              </w:rPr>
            </w:pPr>
            <w:r>
              <w:rPr>
                <w:rFonts w:cs="Times New Roman"/>
                <w:sz w:val="20"/>
                <w:szCs w:val="20"/>
              </w:rPr>
              <w:t>1941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22D9B" w:rsidP="0095096B">
            <w:pPr>
              <w:jc w:val="center"/>
              <w:rPr>
                <w:rFonts w:cs="Times New Roman"/>
                <w:sz w:val="20"/>
                <w:szCs w:val="20"/>
              </w:rPr>
            </w:pPr>
            <w:r>
              <w:rPr>
                <w:rFonts w:cs="Times New Roman"/>
                <w:sz w:val="20"/>
                <w:szCs w:val="20"/>
              </w:rPr>
              <w:t xml:space="preserve">1942 </w:t>
            </w:r>
            <w:r w:rsidR="0095096B" w:rsidRPr="002E2327">
              <w:rPr>
                <w:rFonts w:cs="Times New Roman"/>
                <w:sz w:val="20"/>
                <w:szCs w:val="20"/>
              </w:rPr>
              <w:t>-</w:t>
            </w:r>
            <w:r>
              <w:rPr>
                <w:rFonts w:cs="Times New Roman"/>
                <w:sz w:val="20"/>
                <w:szCs w:val="20"/>
              </w:rPr>
              <w:t xml:space="preserve"> 1956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22D9B" w:rsidP="0095096B">
            <w:pPr>
              <w:jc w:val="center"/>
              <w:rPr>
                <w:rFonts w:cs="Times New Roman"/>
                <w:sz w:val="20"/>
                <w:szCs w:val="20"/>
              </w:rPr>
            </w:pPr>
            <w:r>
              <w:rPr>
                <w:rFonts w:cs="Times New Roman"/>
                <w:sz w:val="20"/>
                <w:szCs w:val="20"/>
              </w:rPr>
              <w:t xml:space="preserve">1957 </w:t>
            </w:r>
            <w:r w:rsidR="0095096B" w:rsidRPr="002E2327">
              <w:rPr>
                <w:rFonts w:cs="Times New Roman"/>
                <w:sz w:val="20"/>
                <w:szCs w:val="20"/>
              </w:rPr>
              <w:t>-</w:t>
            </w:r>
            <w:r>
              <w:rPr>
                <w:rFonts w:cs="Times New Roman"/>
                <w:sz w:val="20"/>
                <w:szCs w:val="20"/>
              </w:rPr>
              <w:t xml:space="preserve"> 1959</w:t>
            </w:r>
          </w:p>
          <w:p w:rsidR="0095096B" w:rsidRPr="002E2327" w:rsidRDefault="0095096B" w:rsidP="0095096B">
            <w:pPr>
              <w:jc w:val="center"/>
              <w:rPr>
                <w:rFonts w:cs="Times New Roman"/>
                <w:sz w:val="20"/>
                <w:szCs w:val="20"/>
              </w:rPr>
            </w:pPr>
          </w:p>
          <w:p w:rsidR="0095096B" w:rsidRPr="002E2327" w:rsidRDefault="00522D9B" w:rsidP="0095096B">
            <w:pPr>
              <w:jc w:val="center"/>
              <w:rPr>
                <w:rFonts w:cs="Times New Roman"/>
                <w:sz w:val="20"/>
                <w:szCs w:val="20"/>
              </w:rPr>
            </w:pPr>
            <w:r>
              <w:rPr>
                <w:rFonts w:cs="Times New Roman"/>
                <w:sz w:val="20"/>
                <w:szCs w:val="20"/>
              </w:rPr>
              <w:t xml:space="preserve">1960 </w:t>
            </w:r>
            <w:r w:rsidR="0095096B" w:rsidRPr="002E2327">
              <w:rPr>
                <w:rFonts w:cs="Times New Roman"/>
                <w:sz w:val="20"/>
                <w:szCs w:val="20"/>
              </w:rPr>
              <w:t>-</w:t>
            </w:r>
            <w:r>
              <w:rPr>
                <w:rFonts w:cs="Times New Roman"/>
                <w:sz w:val="20"/>
                <w:szCs w:val="20"/>
              </w:rPr>
              <w:t xml:space="preserve"> 1964</w:t>
            </w:r>
          </w:p>
          <w:p w:rsidR="0095096B" w:rsidRPr="002E2327" w:rsidRDefault="0095096B" w:rsidP="0095096B">
            <w:pPr>
              <w:jc w:val="center"/>
              <w:rPr>
                <w:rFonts w:cs="Times New Roman"/>
                <w:sz w:val="20"/>
                <w:szCs w:val="20"/>
              </w:rPr>
            </w:pPr>
          </w:p>
          <w:p w:rsidR="00522D9B" w:rsidRDefault="00522D9B" w:rsidP="0095096B">
            <w:pPr>
              <w:jc w:val="center"/>
              <w:rPr>
                <w:rFonts w:cs="Times New Roman"/>
                <w:sz w:val="20"/>
                <w:szCs w:val="20"/>
              </w:rPr>
            </w:pPr>
          </w:p>
          <w:p w:rsidR="0095096B" w:rsidRPr="002E2327" w:rsidRDefault="00522D9B" w:rsidP="0095096B">
            <w:pPr>
              <w:jc w:val="center"/>
              <w:rPr>
                <w:rFonts w:cs="Times New Roman"/>
                <w:sz w:val="20"/>
                <w:szCs w:val="20"/>
              </w:rPr>
            </w:pPr>
            <w:r>
              <w:rPr>
                <w:rFonts w:cs="Times New Roman"/>
                <w:sz w:val="20"/>
                <w:szCs w:val="20"/>
              </w:rPr>
              <w:t xml:space="preserve">1965 </w:t>
            </w:r>
            <w:r w:rsidR="0095096B" w:rsidRPr="002E2327">
              <w:rPr>
                <w:rFonts w:cs="Times New Roman"/>
                <w:sz w:val="20"/>
                <w:szCs w:val="20"/>
              </w:rPr>
              <w:t>-</w:t>
            </w:r>
            <w:r>
              <w:rPr>
                <w:rFonts w:cs="Times New Roman"/>
                <w:sz w:val="20"/>
                <w:szCs w:val="20"/>
              </w:rPr>
              <w:t xml:space="preserve"> 1966</w:t>
            </w:r>
          </w:p>
          <w:p w:rsidR="0095096B" w:rsidRDefault="0095096B" w:rsidP="0095096B">
            <w:pPr>
              <w:jc w:val="center"/>
              <w:rPr>
                <w:rFonts w:cs="Times New Roman"/>
                <w:sz w:val="20"/>
                <w:szCs w:val="20"/>
              </w:rPr>
            </w:pPr>
          </w:p>
          <w:p w:rsidR="00522D9B" w:rsidRPr="002E2327" w:rsidRDefault="00522D9B" w:rsidP="0095096B">
            <w:pPr>
              <w:jc w:val="center"/>
              <w:rPr>
                <w:rFonts w:cs="Times New Roman"/>
                <w:sz w:val="20"/>
                <w:szCs w:val="20"/>
              </w:rPr>
            </w:pPr>
          </w:p>
          <w:p w:rsidR="0095096B" w:rsidRPr="002E2327" w:rsidRDefault="00522D9B" w:rsidP="0095096B">
            <w:pPr>
              <w:jc w:val="center"/>
              <w:rPr>
                <w:rFonts w:cs="Times New Roman"/>
                <w:sz w:val="20"/>
                <w:szCs w:val="20"/>
              </w:rPr>
            </w:pPr>
            <w:r>
              <w:rPr>
                <w:rFonts w:cs="Times New Roman"/>
                <w:sz w:val="20"/>
                <w:szCs w:val="20"/>
              </w:rPr>
              <w:t xml:space="preserve">1967 </w:t>
            </w:r>
            <w:r w:rsidR="0095096B" w:rsidRPr="002E2327">
              <w:rPr>
                <w:rFonts w:cs="Times New Roman"/>
                <w:sz w:val="20"/>
                <w:szCs w:val="20"/>
              </w:rPr>
              <w:t>-</w:t>
            </w:r>
            <w:r>
              <w:rPr>
                <w:rFonts w:cs="Times New Roman"/>
                <w:sz w:val="20"/>
                <w:szCs w:val="20"/>
              </w:rPr>
              <w:t xml:space="preserve"> 1983</w:t>
            </w:r>
          </w:p>
          <w:p w:rsidR="00A87207" w:rsidRPr="002E2327" w:rsidRDefault="00A87207" w:rsidP="00522D9B">
            <w:pPr>
              <w:tabs>
                <w:tab w:val="right" w:pos="9360"/>
              </w:tabs>
              <w:jc w:val="center"/>
              <w:rPr>
                <w:rFonts w:cs="Times New Roman"/>
                <w:sz w:val="20"/>
                <w:szCs w:val="20"/>
              </w:rPr>
            </w:pPr>
          </w:p>
        </w:tc>
        <w:tc>
          <w:tcPr>
            <w:tcW w:w="3888" w:type="dxa"/>
          </w:tcPr>
          <w:p w:rsidR="0095096B" w:rsidRPr="002E2327" w:rsidRDefault="00D32E7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522D9B">
            <w:pPr>
              <w:tabs>
                <w:tab w:val="right" w:pos="9360"/>
              </w:tabs>
              <w:rPr>
                <w:rFonts w:cs="Times New Roman"/>
                <w:sz w:val="20"/>
                <w:szCs w:val="20"/>
                <w:lang w:val="fr-CA"/>
              </w:rPr>
            </w:pPr>
          </w:p>
        </w:tc>
      </w:tr>
    </w:tbl>
    <w:p w:rsidR="0095096B" w:rsidRDefault="0095096B" w:rsidP="0095096B">
      <w:pPr>
        <w:tabs>
          <w:tab w:val="right" w:pos="9360"/>
        </w:tabs>
      </w:pPr>
    </w:p>
    <w:p w:rsidR="00522D9B" w:rsidRDefault="00522D9B" w:rsidP="0095096B">
      <w:pPr>
        <w:tabs>
          <w:tab w:val="right" w:pos="9360"/>
        </w:tabs>
      </w:pPr>
    </w:p>
    <w:p w:rsidR="00522D9B" w:rsidRDefault="00522D9B" w:rsidP="0095096B">
      <w:pPr>
        <w:tabs>
          <w:tab w:val="right" w:pos="9360"/>
        </w:tabs>
      </w:pPr>
    </w:p>
    <w:p w:rsidR="00522D9B" w:rsidRDefault="00522D9B" w:rsidP="0095096B">
      <w:pPr>
        <w:tabs>
          <w:tab w:val="right" w:pos="9360"/>
        </w:tabs>
      </w:pPr>
    </w:p>
    <w:p w:rsidR="00522D9B" w:rsidRDefault="00522D9B" w:rsidP="0095096B">
      <w:pPr>
        <w:tabs>
          <w:tab w:val="right" w:pos="9360"/>
        </w:tabs>
      </w:pPr>
    </w:p>
    <w:p w:rsidR="00522D9B" w:rsidRPr="002E2327" w:rsidRDefault="00522D9B" w:rsidP="0095096B">
      <w:pPr>
        <w:tabs>
          <w:tab w:val="right" w:pos="9360"/>
        </w:tabs>
      </w:pPr>
    </w:p>
    <w:tbl>
      <w:tblPr>
        <w:tblStyle w:val="TableGrid"/>
        <w:tblW w:w="0" w:type="auto"/>
        <w:tblLook w:val="04A0"/>
      </w:tblPr>
      <w:tblGrid>
        <w:gridCol w:w="9576"/>
      </w:tblGrid>
      <w:tr w:rsidR="0079724F" w:rsidRPr="005C0B5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9E124A" w:rsidRPr="00A935AA" w:rsidTr="008F6F48">
        <w:tc>
          <w:tcPr>
            <w:tcW w:w="4320" w:type="dxa"/>
            <w:shd w:val="clear" w:color="auto" w:fill="auto"/>
          </w:tcPr>
          <w:p w:rsidR="009E124A" w:rsidRPr="00B328D2" w:rsidRDefault="009E124A" w:rsidP="008F6F48">
            <w:pPr>
              <w:rPr>
                <w:b/>
                <w:sz w:val="20"/>
                <w:szCs w:val="20"/>
              </w:rPr>
            </w:pPr>
            <w:r w:rsidRPr="00B328D2">
              <w:rPr>
                <w:b/>
                <w:sz w:val="20"/>
                <w:szCs w:val="20"/>
              </w:rPr>
              <w:t xml:space="preserve">Richard </w:t>
            </w:r>
            <w:proofErr w:type="spellStart"/>
            <w:r w:rsidRPr="00B328D2">
              <w:rPr>
                <w:b/>
                <w:sz w:val="20"/>
                <w:szCs w:val="20"/>
              </w:rPr>
              <w:t>Timm</w:t>
            </w:r>
            <w:proofErr w:type="spellEnd"/>
          </w:p>
          <w:p w:rsidR="009E124A" w:rsidRPr="00B328D2" w:rsidRDefault="009E124A" w:rsidP="008F6F48">
            <w:pPr>
              <w:rPr>
                <w:sz w:val="20"/>
                <w:szCs w:val="20"/>
              </w:rPr>
            </w:pPr>
            <w:r w:rsidRPr="00B328D2">
              <w:rPr>
                <w:sz w:val="20"/>
                <w:szCs w:val="20"/>
              </w:rPr>
              <w:tab/>
              <w:t xml:space="preserve">Richard </w:t>
            </w:r>
            <w:proofErr w:type="spellStart"/>
            <w:r w:rsidRPr="00B328D2">
              <w:rPr>
                <w:sz w:val="20"/>
                <w:szCs w:val="20"/>
              </w:rPr>
              <w:t>Timm</w:t>
            </w:r>
            <w:proofErr w:type="spellEnd"/>
          </w:p>
          <w:p w:rsidR="009E124A" w:rsidRPr="00B328D2" w:rsidRDefault="009E124A" w:rsidP="008F6F48">
            <w:pPr>
              <w:tabs>
                <w:tab w:val="left" w:pos="-1440"/>
                <w:tab w:val="left" w:pos="-720"/>
              </w:tabs>
              <w:rPr>
                <w:sz w:val="20"/>
                <w:szCs w:val="20"/>
              </w:rPr>
            </w:pPr>
          </w:p>
          <w:p w:rsidR="009E124A" w:rsidRPr="00041FC2" w:rsidRDefault="009E124A" w:rsidP="008F6F48">
            <w:pPr>
              <w:tabs>
                <w:tab w:val="left" w:pos="-1440"/>
                <w:tab w:val="left" w:pos="-720"/>
              </w:tabs>
              <w:rPr>
                <w:sz w:val="20"/>
                <w:szCs w:val="20"/>
                <w:lang w:val="en-US"/>
              </w:rPr>
            </w:pPr>
            <w:r w:rsidRPr="00B328D2">
              <w:rPr>
                <w:sz w:val="20"/>
                <w:szCs w:val="20"/>
              </w:rPr>
              <w:tab/>
            </w:r>
            <w:r w:rsidRPr="00041FC2">
              <w:rPr>
                <w:sz w:val="20"/>
                <w:szCs w:val="20"/>
                <w:lang w:val="en-US"/>
              </w:rPr>
              <w:t>c. (35101)</w:t>
            </w:r>
          </w:p>
          <w:p w:rsidR="009E124A" w:rsidRPr="00041FC2" w:rsidRDefault="009E124A" w:rsidP="008F6F48">
            <w:pPr>
              <w:tabs>
                <w:tab w:val="left" w:pos="-1440"/>
                <w:tab w:val="left" w:pos="-720"/>
              </w:tabs>
              <w:rPr>
                <w:sz w:val="20"/>
                <w:szCs w:val="20"/>
                <w:lang w:val="en-US"/>
              </w:rPr>
            </w:pPr>
          </w:p>
          <w:p w:rsidR="009E124A" w:rsidRPr="00B328D2" w:rsidRDefault="009E124A" w:rsidP="008F6F48">
            <w:pPr>
              <w:tabs>
                <w:tab w:val="left" w:pos="-1440"/>
                <w:tab w:val="left" w:pos="-720"/>
              </w:tabs>
              <w:rPr>
                <w:b/>
                <w:sz w:val="20"/>
                <w:szCs w:val="20"/>
                <w:lang w:val="fr-CA"/>
              </w:rPr>
            </w:pPr>
            <w:r w:rsidRPr="00B328D2">
              <w:rPr>
                <w:b/>
                <w:sz w:val="20"/>
                <w:szCs w:val="20"/>
                <w:lang w:val="fr-CA"/>
              </w:rPr>
              <w:t>Procureur général du Canada (C.F.)</w:t>
            </w:r>
          </w:p>
          <w:p w:rsidR="009E124A" w:rsidRPr="00B328D2" w:rsidRDefault="009E124A" w:rsidP="008F6F48">
            <w:pPr>
              <w:tabs>
                <w:tab w:val="left" w:pos="-1440"/>
                <w:tab w:val="left" w:pos="-720"/>
              </w:tabs>
              <w:rPr>
                <w:sz w:val="20"/>
                <w:szCs w:val="20"/>
                <w:lang w:val="fr-CA"/>
              </w:rPr>
            </w:pPr>
            <w:r w:rsidRPr="00B328D2">
              <w:rPr>
                <w:sz w:val="20"/>
                <w:szCs w:val="20"/>
                <w:lang w:val="fr-CA"/>
              </w:rPr>
              <w:tab/>
              <w:t>Jacques Savary</w:t>
            </w:r>
          </w:p>
          <w:p w:rsidR="009E124A" w:rsidRPr="00B328D2" w:rsidRDefault="009E124A" w:rsidP="008F6F48">
            <w:pPr>
              <w:tabs>
                <w:tab w:val="left" w:pos="-1440"/>
                <w:tab w:val="left" w:pos="-720"/>
              </w:tabs>
              <w:rPr>
                <w:sz w:val="20"/>
                <w:szCs w:val="20"/>
                <w:lang w:val="fr-CA"/>
              </w:rPr>
            </w:pPr>
            <w:r w:rsidRPr="00B328D2">
              <w:rPr>
                <w:sz w:val="20"/>
                <w:szCs w:val="20"/>
                <w:lang w:val="fr-CA"/>
              </w:rPr>
              <w:tab/>
              <w:t>P</w:t>
            </w:r>
            <w:r>
              <w:rPr>
                <w:sz w:val="20"/>
                <w:szCs w:val="20"/>
                <w:lang w:val="fr-CA"/>
              </w:rPr>
              <w:t xml:space="preserve">.G. </w:t>
            </w:r>
            <w:r w:rsidRPr="00B328D2">
              <w:rPr>
                <w:sz w:val="20"/>
                <w:szCs w:val="20"/>
                <w:lang w:val="fr-CA"/>
              </w:rPr>
              <w:t>du Canada</w:t>
            </w:r>
          </w:p>
          <w:p w:rsidR="009E124A" w:rsidRPr="00B328D2" w:rsidRDefault="009E124A" w:rsidP="008F6F48">
            <w:pPr>
              <w:tabs>
                <w:tab w:val="left" w:pos="-1440"/>
                <w:tab w:val="left" w:pos="-720"/>
              </w:tabs>
              <w:rPr>
                <w:sz w:val="20"/>
                <w:szCs w:val="20"/>
                <w:lang w:val="fr-CA"/>
              </w:rPr>
            </w:pPr>
          </w:p>
          <w:p w:rsidR="009E124A" w:rsidRPr="00B328D2" w:rsidRDefault="009E124A" w:rsidP="008F6F48">
            <w:pPr>
              <w:rPr>
                <w:sz w:val="20"/>
                <w:szCs w:val="20"/>
                <w:lang w:val="fr-CA"/>
              </w:rPr>
            </w:pPr>
            <w:r w:rsidRPr="00B328D2">
              <w:rPr>
                <w:sz w:val="20"/>
                <w:szCs w:val="20"/>
                <w:lang w:val="fr-CA"/>
              </w:rPr>
              <w:t>DATE DE PRODUCTION</w:t>
            </w:r>
            <w:r>
              <w:rPr>
                <w:sz w:val="20"/>
                <w:szCs w:val="20"/>
                <w:lang w:val="fr-CA"/>
              </w:rPr>
              <w:t xml:space="preserve"> </w:t>
            </w:r>
            <w:r w:rsidRPr="00B328D2">
              <w:rPr>
                <w:sz w:val="20"/>
                <w:szCs w:val="20"/>
                <w:lang w:val="fr-CA"/>
              </w:rPr>
              <w:t>: 23.11.2012</w:t>
            </w:r>
          </w:p>
          <w:p w:rsidR="009E124A" w:rsidRPr="00B328D2" w:rsidRDefault="00D32E73" w:rsidP="008F6F48">
            <w:pPr>
              <w:rPr>
                <w:sz w:val="20"/>
                <w:szCs w:val="20"/>
              </w:rPr>
            </w:pPr>
            <w:r w:rsidRPr="00D32E7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p w:rsidR="009E124A" w:rsidRPr="00B328D2" w:rsidRDefault="009E124A" w:rsidP="008F6F48">
            <w:pPr>
              <w:jc w:val="center"/>
              <w:rPr>
                <w:sz w:val="20"/>
                <w:szCs w:val="20"/>
              </w:rPr>
            </w:pPr>
          </w:p>
        </w:tc>
        <w:tc>
          <w:tcPr>
            <w:tcW w:w="4320" w:type="dxa"/>
            <w:shd w:val="clear" w:color="auto" w:fill="auto"/>
          </w:tcPr>
          <w:p w:rsidR="009E124A" w:rsidRPr="000721B9" w:rsidRDefault="009E124A" w:rsidP="008F6F48">
            <w:pPr>
              <w:keepNext/>
              <w:keepLines/>
              <w:tabs>
                <w:tab w:val="left" w:pos="-1440"/>
                <w:tab w:val="left" w:pos="-720"/>
              </w:tabs>
              <w:rPr>
                <w:b/>
                <w:sz w:val="20"/>
                <w:szCs w:val="20"/>
                <w:lang w:val="fr-CA"/>
              </w:rPr>
            </w:pPr>
            <w:r w:rsidRPr="000721B9">
              <w:rPr>
                <w:b/>
                <w:sz w:val="20"/>
                <w:szCs w:val="20"/>
                <w:lang w:val="fr-CA"/>
              </w:rPr>
              <w:t xml:space="preserve">Nicole </w:t>
            </w:r>
            <w:proofErr w:type="spellStart"/>
            <w:r w:rsidRPr="000721B9">
              <w:rPr>
                <w:b/>
                <w:sz w:val="20"/>
                <w:szCs w:val="20"/>
                <w:lang w:val="fr-CA"/>
              </w:rPr>
              <w:t>Lajeunesse</w:t>
            </w:r>
            <w:proofErr w:type="spellEnd"/>
            <w:r>
              <w:rPr>
                <w:b/>
                <w:sz w:val="20"/>
                <w:szCs w:val="20"/>
                <w:lang w:val="fr-CA"/>
              </w:rPr>
              <w:t xml:space="preserve"> et autre</w:t>
            </w:r>
          </w:p>
          <w:p w:rsidR="009E124A" w:rsidRPr="000721B9" w:rsidRDefault="009E124A" w:rsidP="008F6F48">
            <w:pPr>
              <w:keepNext/>
              <w:keepLines/>
              <w:tabs>
                <w:tab w:val="left" w:pos="-1440"/>
                <w:tab w:val="left" w:pos="-720"/>
              </w:tabs>
              <w:rPr>
                <w:sz w:val="20"/>
                <w:szCs w:val="20"/>
                <w:lang w:val="fr-CA"/>
              </w:rPr>
            </w:pPr>
            <w:r w:rsidRPr="000721B9">
              <w:rPr>
                <w:sz w:val="20"/>
                <w:szCs w:val="20"/>
                <w:lang w:val="fr-CA"/>
              </w:rPr>
              <w:tab/>
              <w:t xml:space="preserve">Nicole </w:t>
            </w:r>
            <w:proofErr w:type="spellStart"/>
            <w:r w:rsidRPr="000721B9">
              <w:rPr>
                <w:sz w:val="20"/>
                <w:szCs w:val="20"/>
                <w:lang w:val="fr-CA"/>
              </w:rPr>
              <w:t>Lajeunesse</w:t>
            </w:r>
            <w:proofErr w:type="spellEnd"/>
          </w:p>
          <w:p w:rsidR="009E124A" w:rsidRPr="00041FC2" w:rsidRDefault="009E124A" w:rsidP="008F6F48">
            <w:pPr>
              <w:keepNext/>
              <w:keepLines/>
              <w:tabs>
                <w:tab w:val="left" w:pos="-1440"/>
                <w:tab w:val="left" w:pos="-720"/>
              </w:tabs>
              <w:rPr>
                <w:sz w:val="20"/>
                <w:szCs w:val="20"/>
                <w:lang w:val="fr-CA"/>
              </w:rPr>
            </w:pPr>
          </w:p>
          <w:p w:rsidR="009E124A" w:rsidRPr="00B328D2" w:rsidRDefault="009E124A" w:rsidP="008F6F48">
            <w:pPr>
              <w:keepNext/>
              <w:keepLines/>
              <w:tabs>
                <w:tab w:val="left" w:pos="-1440"/>
                <w:tab w:val="left" w:pos="-720"/>
              </w:tabs>
              <w:rPr>
                <w:sz w:val="20"/>
                <w:szCs w:val="20"/>
                <w:lang w:val="fr-CA"/>
              </w:rPr>
            </w:pPr>
            <w:r w:rsidRPr="00041FC2">
              <w:rPr>
                <w:sz w:val="20"/>
                <w:szCs w:val="20"/>
                <w:lang w:val="fr-CA"/>
              </w:rPr>
              <w:tab/>
            </w:r>
            <w:r>
              <w:rPr>
                <w:sz w:val="20"/>
                <w:szCs w:val="20"/>
                <w:lang w:val="fr-CA"/>
              </w:rPr>
              <w:t>c</w:t>
            </w:r>
            <w:r w:rsidRPr="00B328D2">
              <w:rPr>
                <w:sz w:val="20"/>
                <w:szCs w:val="20"/>
                <w:lang w:val="fr-CA"/>
              </w:rPr>
              <w:t>. (3</w:t>
            </w:r>
            <w:r>
              <w:rPr>
                <w:sz w:val="20"/>
                <w:szCs w:val="20"/>
                <w:lang w:val="fr-CA"/>
              </w:rPr>
              <w:t>5111</w:t>
            </w:r>
            <w:r w:rsidRPr="00B328D2">
              <w:rPr>
                <w:sz w:val="20"/>
                <w:szCs w:val="20"/>
                <w:lang w:val="fr-CA"/>
              </w:rPr>
              <w:t>)</w:t>
            </w:r>
          </w:p>
          <w:p w:rsidR="009E124A" w:rsidRPr="00B328D2" w:rsidRDefault="009E124A" w:rsidP="008F6F48">
            <w:pPr>
              <w:keepNext/>
              <w:keepLines/>
              <w:tabs>
                <w:tab w:val="left" w:pos="-1440"/>
                <w:tab w:val="left" w:pos="-720"/>
              </w:tabs>
              <w:rPr>
                <w:sz w:val="20"/>
                <w:szCs w:val="20"/>
                <w:lang w:val="fr-CA"/>
              </w:rPr>
            </w:pPr>
          </w:p>
          <w:p w:rsidR="009E124A" w:rsidRPr="00B328D2" w:rsidRDefault="009E124A" w:rsidP="008F6F48">
            <w:pPr>
              <w:keepNext/>
              <w:keepLines/>
              <w:tabs>
                <w:tab w:val="left" w:pos="-1440"/>
                <w:tab w:val="left" w:pos="-720"/>
              </w:tabs>
              <w:rPr>
                <w:b/>
                <w:sz w:val="20"/>
                <w:szCs w:val="20"/>
                <w:lang w:val="fr-CA"/>
              </w:rPr>
            </w:pPr>
            <w:r>
              <w:rPr>
                <w:b/>
                <w:sz w:val="20"/>
                <w:szCs w:val="20"/>
                <w:lang w:val="fr-CA"/>
              </w:rPr>
              <w:t xml:space="preserve">Pierre </w:t>
            </w:r>
            <w:r w:rsidRPr="000721B9">
              <w:rPr>
                <w:b/>
                <w:sz w:val="20"/>
                <w:szCs w:val="20"/>
                <w:lang w:val="fr-CA"/>
              </w:rPr>
              <w:t>Hamel</w:t>
            </w:r>
            <w:r w:rsidRPr="00B328D2">
              <w:rPr>
                <w:b/>
                <w:sz w:val="20"/>
                <w:szCs w:val="20"/>
                <w:lang w:val="fr-CA"/>
              </w:rPr>
              <w:t xml:space="preserve"> </w:t>
            </w:r>
            <w:r>
              <w:rPr>
                <w:b/>
                <w:sz w:val="20"/>
                <w:szCs w:val="20"/>
                <w:lang w:val="fr-CA"/>
              </w:rPr>
              <w:t xml:space="preserve">et autre </w:t>
            </w:r>
            <w:r w:rsidRPr="00B328D2">
              <w:rPr>
                <w:b/>
                <w:sz w:val="20"/>
                <w:szCs w:val="20"/>
                <w:lang w:val="fr-CA"/>
              </w:rPr>
              <w:t>(</w:t>
            </w:r>
            <w:proofErr w:type="spellStart"/>
            <w:r>
              <w:rPr>
                <w:b/>
                <w:sz w:val="20"/>
                <w:szCs w:val="20"/>
                <w:lang w:val="fr-CA"/>
              </w:rPr>
              <w:t>Qc</w:t>
            </w:r>
            <w:proofErr w:type="spellEnd"/>
            <w:r w:rsidRPr="00B328D2">
              <w:rPr>
                <w:b/>
                <w:sz w:val="20"/>
                <w:szCs w:val="20"/>
                <w:lang w:val="fr-CA"/>
              </w:rPr>
              <w:t>)</w:t>
            </w:r>
          </w:p>
          <w:p w:rsidR="009E124A" w:rsidRPr="00B328D2" w:rsidRDefault="009E124A" w:rsidP="008F6F48">
            <w:pPr>
              <w:keepNext/>
              <w:keepLines/>
              <w:tabs>
                <w:tab w:val="left" w:pos="-1440"/>
                <w:tab w:val="left" w:pos="-720"/>
              </w:tabs>
              <w:rPr>
                <w:sz w:val="20"/>
                <w:szCs w:val="20"/>
                <w:lang w:val="fr-CA"/>
              </w:rPr>
            </w:pPr>
            <w:r w:rsidRPr="00B328D2">
              <w:rPr>
                <w:sz w:val="20"/>
                <w:szCs w:val="20"/>
                <w:lang w:val="fr-CA"/>
              </w:rPr>
              <w:tab/>
            </w:r>
            <w:r>
              <w:rPr>
                <w:sz w:val="20"/>
                <w:szCs w:val="20"/>
                <w:lang w:val="fr-CA"/>
              </w:rPr>
              <w:t>Marie-Hélène Bélanger</w:t>
            </w:r>
          </w:p>
          <w:p w:rsidR="009E124A" w:rsidRPr="00B328D2" w:rsidRDefault="009E124A" w:rsidP="008F6F48">
            <w:pPr>
              <w:keepNext/>
              <w:keepLines/>
              <w:tabs>
                <w:tab w:val="left" w:pos="-1440"/>
                <w:tab w:val="left" w:pos="-720"/>
              </w:tabs>
              <w:rPr>
                <w:sz w:val="20"/>
                <w:szCs w:val="20"/>
                <w:lang w:val="fr-CA"/>
              </w:rPr>
            </w:pPr>
            <w:r w:rsidRPr="00B328D2">
              <w:rPr>
                <w:sz w:val="20"/>
                <w:szCs w:val="20"/>
                <w:lang w:val="fr-CA"/>
              </w:rPr>
              <w:tab/>
            </w:r>
            <w:r>
              <w:rPr>
                <w:sz w:val="20"/>
                <w:szCs w:val="20"/>
                <w:lang w:val="fr-CA"/>
              </w:rPr>
              <w:t>Robinson Sheppard Shapiro</w:t>
            </w:r>
          </w:p>
          <w:p w:rsidR="009E124A" w:rsidRPr="00B328D2" w:rsidRDefault="009E124A" w:rsidP="008F6F48">
            <w:pPr>
              <w:keepNext/>
              <w:keepLines/>
              <w:tabs>
                <w:tab w:val="left" w:pos="-1440"/>
                <w:tab w:val="left" w:pos="-720"/>
              </w:tabs>
              <w:rPr>
                <w:sz w:val="20"/>
                <w:szCs w:val="20"/>
                <w:lang w:val="fr-CA"/>
              </w:rPr>
            </w:pPr>
          </w:p>
          <w:p w:rsidR="009E124A" w:rsidRPr="00B328D2" w:rsidRDefault="009E124A" w:rsidP="008F6F48">
            <w:pPr>
              <w:rPr>
                <w:sz w:val="20"/>
                <w:szCs w:val="20"/>
              </w:rPr>
            </w:pPr>
            <w:r w:rsidRPr="00B328D2">
              <w:rPr>
                <w:sz w:val="20"/>
                <w:szCs w:val="20"/>
                <w:lang w:val="fr-CA"/>
              </w:rPr>
              <w:t>DATE DE PRODUCTION</w:t>
            </w:r>
            <w:r>
              <w:rPr>
                <w:sz w:val="20"/>
                <w:szCs w:val="20"/>
                <w:lang w:val="fr-CA"/>
              </w:rPr>
              <w:t xml:space="preserve"> </w:t>
            </w:r>
            <w:r w:rsidRPr="00B328D2">
              <w:rPr>
                <w:sz w:val="20"/>
                <w:szCs w:val="20"/>
              </w:rPr>
              <w:t xml:space="preserve">: </w:t>
            </w:r>
            <w:r>
              <w:rPr>
                <w:sz w:val="20"/>
                <w:szCs w:val="20"/>
              </w:rPr>
              <w:t>23</w:t>
            </w:r>
            <w:r w:rsidRPr="00B328D2">
              <w:rPr>
                <w:sz w:val="20"/>
                <w:szCs w:val="20"/>
              </w:rPr>
              <w:t>.</w:t>
            </w:r>
            <w:r>
              <w:rPr>
                <w:sz w:val="20"/>
                <w:szCs w:val="20"/>
              </w:rPr>
              <w:t>11</w:t>
            </w:r>
            <w:r w:rsidRPr="00B328D2">
              <w:rPr>
                <w:sz w:val="20"/>
                <w:szCs w:val="20"/>
              </w:rPr>
              <w:t>.201</w:t>
            </w:r>
            <w:r>
              <w:rPr>
                <w:sz w:val="20"/>
                <w:szCs w:val="20"/>
              </w:rPr>
              <w:t>2</w:t>
            </w:r>
            <w:r w:rsidR="00D32E73" w:rsidRPr="00D32E73">
              <w:rPr>
                <w:sz w:val="20"/>
                <w:szCs w:val="20"/>
                <w:lang w:val="fr-CA"/>
              </w:rPr>
              <w:pict>
                <v:rect id="_x0000_i1026" style="width:108pt;height:1pt" o:hrpct="0" o:hralign="center" o:hrstd="t" o:hrnoshade="t" o:hr="t" fillcolor="black [3213]" stroked="f"/>
              </w:pict>
            </w:r>
          </w:p>
        </w:tc>
      </w:tr>
      <w:tr w:rsidR="009E124A" w:rsidRPr="00B32C76" w:rsidTr="008F6F48">
        <w:tc>
          <w:tcPr>
            <w:tcW w:w="4320" w:type="dxa"/>
            <w:shd w:val="clear" w:color="auto" w:fill="auto"/>
          </w:tcPr>
          <w:p w:rsidR="009E124A" w:rsidRPr="000932C4" w:rsidRDefault="009E124A" w:rsidP="008F6F48">
            <w:pPr>
              <w:tabs>
                <w:tab w:val="left" w:pos="-1440"/>
                <w:tab w:val="left" w:pos="-720"/>
              </w:tabs>
              <w:rPr>
                <w:b/>
                <w:sz w:val="20"/>
                <w:szCs w:val="20"/>
              </w:rPr>
            </w:pPr>
            <w:proofErr w:type="spellStart"/>
            <w:r w:rsidRPr="000932C4">
              <w:rPr>
                <w:b/>
                <w:sz w:val="20"/>
                <w:szCs w:val="20"/>
              </w:rPr>
              <w:t>Waleed</w:t>
            </w:r>
            <w:proofErr w:type="spellEnd"/>
            <w:r>
              <w:rPr>
                <w:b/>
                <w:sz w:val="20"/>
                <w:szCs w:val="20"/>
              </w:rPr>
              <w:t xml:space="preserve"> </w:t>
            </w:r>
            <w:proofErr w:type="spellStart"/>
            <w:r w:rsidRPr="000932C4">
              <w:rPr>
                <w:b/>
                <w:sz w:val="20"/>
                <w:szCs w:val="20"/>
              </w:rPr>
              <w:t>Alghaithy</w:t>
            </w:r>
            <w:proofErr w:type="spellEnd"/>
          </w:p>
          <w:p w:rsidR="009E124A" w:rsidRPr="000932C4" w:rsidRDefault="009E124A" w:rsidP="008F6F48">
            <w:pPr>
              <w:tabs>
                <w:tab w:val="left" w:pos="-1440"/>
                <w:tab w:val="left" w:pos="-720"/>
              </w:tabs>
              <w:rPr>
                <w:sz w:val="20"/>
                <w:szCs w:val="20"/>
              </w:rPr>
            </w:pPr>
            <w:r w:rsidRPr="000932C4">
              <w:rPr>
                <w:sz w:val="20"/>
                <w:szCs w:val="20"/>
              </w:rPr>
              <w:tab/>
              <w:t>Douglas H. Christie</w:t>
            </w:r>
          </w:p>
          <w:p w:rsidR="009E124A" w:rsidRPr="000932C4" w:rsidRDefault="009E124A" w:rsidP="008F6F48">
            <w:pPr>
              <w:tabs>
                <w:tab w:val="left" w:pos="-1440"/>
                <w:tab w:val="left" w:pos="-720"/>
              </w:tabs>
              <w:rPr>
                <w:sz w:val="20"/>
                <w:szCs w:val="20"/>
              </w:rPr>
            </w:pPr>
          </w:p>
          <w:p w:rsidR="009E124A" w:rsidRPr="000932C4" w:rsidRDefault="009E124A" w:rsidP="008F6F48">
            <w:pPr>
              <w:tabs>
                <w:tab w:val="left" w:pos="-1440"/>
                <w:tab w:val="left" w:pos="-720"/>
              </w:tabs>
              <w:rPr>
                <w:sz w:val="20"/>
                <w:szCs w:val="20"/>
              </w:rPr>
            </w:pPr>
            <w:r w:rsidRPr="000932C4">
              <w:rPr>
                <w:sz w:val="20"/>
                <w:szCs w:val="20"/>
              </w:rPr>
              <w:tab/>
              <w:t>v. (35096)</w:t>
            </w:r>
          </w:p>
          <w:p w:rsidR="009E124A" w:rsidRPr="000932C4" w:rsidRDefault="009E124A" w:rsidP="008F6F48">
            <w:pPr>
              <w:tabs>
                <w:tab w:val="left" w:pos="-1440"/>
                <w:tab w:val="left" w:pos="-720"/>
              </w:tabs>
              <w:rPr>
                <w:sz w:val="20"/>
                <w:szCs w:val="20"/>
              </w:rPr>
            </w:pPr>
          </w:p>
          <w:p w:rsidR="009E124A" w:rsidRPr="000932C4" w:rsidRDefault="009E124A" w:rsidP="008F6F48">
            <w:pPr>
              <w:tabs>
                <w:tab w:val="left" w:pos="-1440"/>
                <w:tab w:val="left" w:pos="-720"/>
              </w:tabs>
              <w:rPr>
                <w:b/>
                <w:sz w:val="20"/>
                <w:szCs w:val="20"/>
              </w:rPr>
            </w:pPr>
            <w:r w:rsidRPr="000932C4">
              <w:rPr>
                <w:b/>
                <w:sz w:val="20"/>
                <w:szCs w:val="20"/>
              </w:rPr>
              <w:t>University of Ottawa (Ont.)</w:t>
            </w:r>
          </w:p>
          <w:p w:rsidR="009E124A" w:rsidRPr="000932C4" w:rsidRDefault="009E124A" w:rsidP="008F6F48">
            <w:pPr>
              <w:tabs>
                <w:tab w:val="left" w:pos="-1440"/>
                <w:tab w:val="left" w:pos="-720"/>
              </w:tabs>
              <w:rPr>
                <w:sz w:val="20"/>
                <w:szCs w:val="20"/>
              </w:rPr>
            </w:pPr>
            <w:r w:rsidRPr="000932C4">
              <w:rPr>
                <w:sz w:val="20"/>
                <w:szCs w:val="20"/>
              </w:rPr>
              <w:tab/>
              <w:t xml:space="preserve">Sally </w:t>
            </w:r>
            <w:proofErr w:type="spellStart"/>
            <w:r w:rsidRPr="000932C4">
              <w:rPr>
                <w:sz w:val="20"/>
                <w:szCs w:val="20"/>
              </w:rPr>
              <w:t>Gomery</w:t>
            </w:r>
            <w:proofErr w:type="spellEnd"/>
          </w:p>
          <w:p w:rsidR="009E124A" w:rsidRPr="000932C4" w:rsidRDefault="009E124A" w:rsidP="008F6F48">
            <w:pPr>
              <w:tabs>
                <w:tab w:val="left" w:pos="-1440"/>
                <w:tab w:val="left" w:pos="-720"/>
              </w:tabs>
              <w:rPr>
                <w:sz w:val="20"/>
                <w:szCs w:val="20"/>
              </w:rPr>
            </w:pPr>
            <w:r w:rsidRPr="000932C4">
              <w:rPr>
                <w:sz w:val="20"/>
                <w:szCs w:val="20"/>
              </w:rPr>
              <w:tab/>
              <w:t>Norton Rose Canada LLP</w:t>
            </w:r>
          </w:p>
          <w:p w:rsidR="009E124A" w:rsidRPr="000932C4" w:rsidRDefault="009E124A" w:rsidP="008F6F48">
            <w:pPr>
              <w:tabs>
                <w:tab w:val="left" w:pos="-1440"/>
                <w:tab w:val="left" w:pos="-720"/>
              </w:tabs>
              <w:rPr>
                <w:sz w:val="20"/>
                <w:szCs w:val="20"/>
              </w:rPr>
            </w:pPr>
          </w:p>
          <w:p w:rsidR="009E124A" w:rsidRPr="000932C4" w:rsidRDefault="009E124A" w:rsidP="008F6F48">
            <w:pPr>
              <w:rPr>
                <w:sz w:val="20"/>
                <w:szCs w:val="20"/>
              </w:rPr>
            </w:pPr>
            <w:r w:rsidRPr="000932C4">
              <w:rPr>
                <w:sz w:val="20"/>
                <w:szCs w:val="20"/>
              </w:rPr>
              <w:t>FILING DATE: 26.11.2012</w:t>
            </w:r>
          </w:p>
          <w:p w:rsidR="009E124A" w:rsidRPr="000932C4" w:rsidRDefault="00D32E73" w:rsidP="008F6F48">
            <w:pPr>
              <w:rPr>
                <w:sz w:val="20"/>
                <w:szCs w:val="20"/>
              </w:rPr>
            </w:pPr>
            <w:r w:rsidRPr="00D32E7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p w:rsidR="009E124A" w:rsidRPr="000932C4" w:rsidRDefault="009E124A" w:rsidP="008F6F48">
            <w:pPr>
              <w:jc w:val="center"/>
              <w:rPr>
                <w:sz w:val="20"/>
                <w:szCs w:val="20"/>
              </w:rPr>
            </w:pPr>
          </w:p>
        </w:tc>
        <w:tc>
          <w:tcPr>
            <w:tcW w:w="4320" w:type="dxa"/>
            <w:shd w:val="clear" w:color="auto" w:fill="auto"/>
          </w:tcPr>
          <w:p w:rsidR="009E124A" w:rsidRPr="00137E82" w:rsidRDefault="009E124A" w:rsidP="008F6F48">
            <w:pPr>
              <w:keepNext/>
              <w:keepLines/>
              <w:tabs>
                <w:tab w:val="left" w:pos="-1440"/>
                <w:tab w:val="left" w:pos="-720"/>
              </w:tabs>
              <w:rPr>
                <w:b/>
                <w:sz w:val="20"/>
                <w:szCs w:val="20"/>
                <w:lang w:val="fr-CA"/>
              </w:rPr>
            </w:pPr>
            <w:r w:rsidRPr="00137E82">
              <w:rPr>
                <w:b/>
                <w:sz w:val="20"/>
                <w:szCs w:val="20"/>
                <w:lang w:val="fr-CA"/>
              </w:rPr>
              <w:t>Gérald Doucet et autre</w:t>
            </w:r>
          </w:p>
          <w:p w:rsidR="009E124A" w:rsidRPr="00137E82" w:rsidRDefault="009E124A" w:rsidP="008F6F48">
            <w:pPr>
              <w:keepNext/>
              <w:keepLines/>
              <w:tabs>
                <w:tab w:val="left" w:pos="-1440"/>
                <w:tab w:val="left" w:pos="-720"/>
              </w:tabs>
              <w:rPr>
                <w:sz w:val="20"/>
                <w:szCs w:val="20"/>
                <w:lang w:val="fr-CA"/>
              </w:rPr>
            </w:pPr>
            <w:r w:rsidRPr="00137E82">
              <w:rPr>
                <w:sz w:val="20"/>
                <w:szCs w:val="20"/>
                <w:lang w:val="fr-CA"/>
              </w:rPr>
              <w:tab/>
              <w:t>Jean-Carol Boucher</w:t>
            </w:r>
          </w:p>
          <w:p w:rsidR="009E124A" w:rsidRPr="007D7978" w:rsidRDefault="009E124A" w:rsidP="008F6F48">
            <w:pPr>
              <w:keepNext/>
              <w:keepLines/>
              <w:tabs>
                <w:tab w:val="left" w:pos="-1440"/>
                <w:tab w:val="left" w:pos="-720"/>
              </w:tabs>
              <w:rPr>
                <w:sz w:val="20"/>
                <w:szCs w:val="20"/>
                <w:lang w:val="fr-CA"/>
              </w:rPr>
            </w:pPr>
            <w:r w:rsidRPr="00137E82">
              <w:rPr>
                <w:sz w:val="20"/>
                <w:szCs w:val="20"/>
                <w:lang w:val="fr-CA"/>
              </w:rPr>
              <w:tab/>
            </w:r>
            <w:r w:rsidRPr="007D7978">
              <w:rPr>
                <w:sz w:val="20"/>
                <w:szCs w:val="20"/>
                <w:lang w:val="fr-CA"/>
              </w:rPr>
              <w:t>Boucher et Associés</w:t>
            </w:r>
          </w:p>
          <w:p w:rsidR="009E124A" w:rsidRPr="007D7978" w:rsidRDefault="009E124A" w:rsidP="008F6F48">
            <w:pPr>
              <w:keepNext/>
              <w:keepLines/>
              <w:tabs>
                <w:tab w:val="left" w:pos="-1440"/>
                <w:tab w:val="left" w:pos="-720"/>
              </w:tabs>
              <w:rPr>
                <w:sz w:val="20"/>
                <w:szCs w:val="20"/>
                <w:lang w:val="fr-CA"/>
              </w:rPr>
            </w:pPr>
          </w:p>
          <w:p w:rsidR="009E124A" w:rsidRPr="00137E82" w:rsidRDefault="009E124A" w:rsidP="008F6F48">
            <w:pPr>
              <w:keepNext/>
              <w:keepLines/>
              <w:tabs>
                <w:tab w:val="left" w:pos="-1440"/>
                <w:tab w:val="left" w:pos="-720"/>
              </w:tabs>
              <w:rPr>
                <w:sz w:val="20"/>
                <w:szCs w:val="20"/>
                <w:lang w:val="fr-CA"/>
              </w:rPr>
            </w:pPr>
            <w:r w:rsidRPr="007D7978">
              <w:rPr>
                <w:sz w:val="20"/>
                <w:szCs w:val="20"/>
                <w:lang w:val="fr-CA"/>
              </w:rPr>
              <w:tab/>
            </w:r>
            <w:r w:rsidRPr="00137E82">
              <w:rPr>
                <w:sz w:val="20"/>
                <w:szCs w:val="20"/>
                <w:lang w:val="fr-CA"/>
              </w:rPr>
              <w:t>c. (35113)</w:t>
            </w:r>
          </w:p>
          <w:p w:rsidR="009E124A" w:rsidRPr="00137E82" w:rsidRDefault="009E124A" w:rsidP="008F6F48">
            <w:pPr>
              <w:keepNext/>
              <w:keepLines/>
              <w:tabs>
                <w:tab w:val="left" w:pos="-1440"/>
                <w:tab w:val="left" w:pos="-720"/>
              </w:tabs>
              <w:rPr>
                <w:sz w:val="20"/>
                <w:szCs w:val="20"/>
                <w:lang w:val="fr-CA"/>
              </w:rPr>
            </w:pPr>
          </w:p>
          <w:p w:rsidR="009E124A" w:rsidRPr="00137E82" w:rsidRDefault="009E124A" w:rsidP="008F6F48">
            <w:pPr>
              <w:keepNext/>
              <w:keepLines/>
              <w:tabs>
                <w:tab w:val="left" w:pos="-1440"/>
                <w:tab w:val="left" w:pos="-720"/>
              </w:tabs>
              <w:rPr>
                <w:b/>
                <w:sz w:val="20"/>
                <w:szCs w:val="20"/>
                <w:lang w:val="fr-CA"/>
              </w:rPr>
            </w:pPr>
            <w:r>
              <w:rPr>
                <w:b/>
                <w:sz w:val="20"/>
                <w:szCs w:val="20"/>
                <w:lang w:val="fr-CA"/>
              </w:rPr>
              <w:t xml:space="preserve">Pierre </w:t>
            </w:r>
            <w:proofErr w:type="spellStart"/>
            <w:r w:rsidRPr="00137E82">
              <w:rPr>
                <w:b/>
                <w:sz w:val="20"/>
                <w:szCs w:val="20"/>
                <w:lang w:val="fr-CA"/>
              </w:rPr>
              <w:t>Bourque</w:t>
            </w:r>
            <w:proofErr w:type="spellEnd"/>
            <w:r>
              <w:rPr>
                <w:b/>
                <w:sz w:val="20"/>
                <w:szCs w:val="20"/>
                <w:lang w:val="fr-CA"/>
              </w:rPr>
              <w:t xml:space="preserve"> et autres</w:t>
            </w:r>
            <w:r w:rsidRPr="00137E82">
              <w:rPr>
                <w:b/>
                <w:sz w:val="20"/>
                <w:szCs w:val="20"/>
                <w:lang w:val="fr-CA"/>
              </w:rPr>
              <w:t xml:space="preserve"> (</w:t>
            </w:r>
            <w:proofErr w:type="spellStart"/>
            <w:r w:rsidRPr="00137E82">
              <w:rPr>
                <w:b/>
                <w:sz w:val="20"/>
                <w:szCs w:val="20"/>
                <w:lang w:val="fr-CA"/>
              </w:rPr>
              <w:t>Qc</w:t>
            </w:r>
            <w:proofErr w:type="spellEnd"/>
            <w:r w:rsidRPr="00137E82">
              <w:rPr>
                <w:b/>
                <w:sz w:val="20"/>
                <w:szCs w:val="20"/>
                <w:lang w:val="fr-CA"/>
              </w:rPr>
              <w:t>)</w:t>
            </w:r>
          </w:p>
          <w:p w:rsidR="009E124A" w:rsidRPr="007D7978" w:rsidRDefault="009E124A" w:rsidP="008F6F48">
            <w:pPr>
              <w:keepNext/>
              <w:keepLines/>
              <w:tabs>
                <w:tab w:val="left" w:pos="-1440"/>
                <w:tab w:val="left" w:pos="-720"/>
              </w:tabs>
              <w:rPr>
                <w:sz w:val="20"/>
                <w:szCs w:val="20"/>
                <w:lang w:val="fr-CA"/>
              </w:rPr>
            </w:pPr>
            <w:r w:rsidRPr="007D7978">
              <w:rPr>
                <w:sz w:val="20"/>
                <w:szCs w:val="20"/>
                <w:lang w:val="fr-CA"/>
              </w:rPr>
              <w:tab/>
              <w:t xml:space="preserve">André </w:t>
            </w:r>
            <w:proofErr w:type="spellStart"/>
            <w:r w:rsidRPr="007D7978">
              <w:rPr>
                <w:sz w:val="20"/>
                <w:szCs w:val="20"/>
                <w:lang w:val="fr-CA"/>
              </w:rPr>
              <w:t>Gingras</w:t>
            </w:r>
            <w:proofErr w:type="spellEnd"/>
          </w:p>
          <w:p w:rsidR="009E124A" w:rsidRPr="007D7978" w:rsidRDefault="009E124A" w:rsidP="008F6F48">
            <w:pPr>
              <w:keepNext/>
              <w:keepLines/>
              <w:tabs>
                <w:tab w:val="left" w:pos="-1440"/>
                <w:tab w:val="left" w:pos="-720"/>
              </w:tabs>
              <w:rPr>
                <w:sz w:val="20"/>
                <w:szCs w:val="20"/>
                <w:lang w:val="fr-CA"/>
              </w:rPr>
            </w:pPr>
          </w:p>
          <w:p w:rsidR="009E124A" w:rsidRPr="00455739" w:rsidRDefault="009E124A" w:rsidP="008F6F48">
            <w:pPr>
              <w:rPr>
                <w:sz w:val="20"/>
                <w:szCs w:val="20"/>
                <w:lang w:val="fr-CA"/>
              </w:rPr>
            </w:pPr>
            <w:r>
              <w:rPr>
                <w:sz w:val="20"/>
                <w:szCs w:val="20"/>
                <w:lang w:val="fr-CA"/>
              </w:rPr>
              <w:t>DATE DE PRODUCTION : 03</w:t>
            </w:r>
            <w:r w:rsidRPr="00137E82">
              <w:rPr>
                <w:sz w:val="20"/>
                <w:szCs w:val="20"/>
                <w:lang w:val="fr-CA"/>
              </w:rPr>
              <w:t>.1</w:t>
            </w:r>
            <w:r>
              <w:rPr>
                <w:sz w:val="20"/>
                <w:szCs w:val="20"/>
                <w:lang w:val="fr-CA"/>
              </w:rPr>
              <w:t>2</w:t>
            </w:r>
            <w:r w:rsidRPr="00137E82">
              <w:rPr>
                <w:sz w:val="20"/>
                <w:szCs w:val="20"/>
                <w:lang w:val="fr-CA"/>
              </w:rPr>
              <w:t>.2012</w:t>
            </w:r>
            <w:r w:rsidRPr="000932C4">
              <w:rPr>
                <w:b/>
                <w:sz w:val="20"/>
                <w:szCs w:val="20"/>
                <w:lang w:val="fr-CA"/>
              </w:rPr>
              <w:t xml:space="preserve"> </w:t>
            </w:r>
            <w:r w:rsidR="00D32E73" w:rsidRPr="00D32E73">
              <w:rPr>
                <w:sz w:val="20"/>
                <w:szCs w:val="20"/>
                <w:lang w:val="fr-CA"/>
              </w:rPr>
              <w:pict>
                <v:rect id="_x0000_i1028" style="width:108pt;height:1pt" o:hrpct="0" o:hralign="center" o:hrstd="t" o:hrnoshade="t" o:hr="t" fillcolor="black [3213]" stroked="f"/>
              </w:pict>
            </w:r>
          </w:p>
        </w:tc>
      </w:tr>
      <w:tr w:rsidR="009E124A" w:rsidRPr="007D7978" w:rsidTr="008F6F48">
        <w:tc>
          <w:tcPr>
            <w:tcW w:w="4320" w:type="dxa"/>
            <w:shd w:val="clear" w:color="auto" w:fill="auto"/>
          </w:tcPr>
          <w:p w:rsidR="009E124A" w:rsidRPr="00137E82" w:rsidRDefault="009E124A" w:rsidP="008F6F48">
            <w:pPr>
              <w:tabs>
                <w:tab w:val="left" w:pos="-1440"/>
                <w:tab w:val="left" w:pos="-720"/>
              </w:tabs>
              <w:rPr>
                <w:b/>
                <w:sz w:val="20"/>
                <w:szCs w:val="20"/>
              </w:rPr>
            </w:pPr>
            <w:proofErr w:type="spellStart"/>
            <w:r w:rsidRPr="00137E82">
              <w:rPr>
                <w:b/>
                <w:sz w:val="20"/>
                <w:szCs w:val="20"/>
              </w:rPr>
              <w:t>Liliane</w:t>
            </w:r>
            <w:proofErr w:type="spellEnd"/>
            <w:r w:rsidRPr="00137E82">
              <w:rPr>
                <w:b/>
                <w:sz w:val="20"/>
                <w:szCs w:val="20"/>
              </w:rPr>
              <w:t xml:space="preserve"> Levy</w:t>
            </w:r>
          </w:p>
          <w:p w:rsidR="009E124A" w:rsidRPr="00137E82" w:rsidRDefault="009E124A" w:rsidP="008F6F48">
            <w:pPr>
              <w:tabs>
                <w:tab w:val="left" w:pos="-1440"/>
                <w:tab w:val="left" w:pos="-720"/>
              </w:tabs>
              <w:rPr>
                <w:sz w:val="20"/>
                <w:szCs w:val="20"/>
              </w:rPr>
            </w:pPr>
            <w:r w:rsidRPr="00137E82">
              <w:rPr>
                <w:sz w:val="20"/>
                <w:szCs w:val="20"/>
              </w:rPr>
              <w:tab/>
            </w:r>
            <w:proofErr w:type="spellStart"/>
            <w:r w:rsidRPr="00137E82">
              <w:rPr>
                <w:sz w:val="20"/>
                <w:szCs w:val="20"/>
              </w:rPr>
              <w:t>Liliane</w:t>
            </w:r>
            <w:proofErr w:type="spellEnd"/>
            <w:r w:rsidRPr="00137E82">
              <w:rPr>
                <w:sz w:val="20"/>
                <w:szCs w:val="20"/>
              </w:rPr>
              <w:t xml:space="preserve"> Levy</w:t>
            </w:r>
          </w:p>
          <w:p w:rsidR="009E124A" w:rsidRPr="00137E82" w:rsidRDefault="009E124A" w:rsidP="008F6F48">
            <w:pPr>
              <w:tabs>
                <w:tab w:val="left" w:pos="-1440"/>
                <w:tab w:val="left" w:pos="-720"/>
              </w:tabs>
              <w:rPr>
                <w:sz w:val="20"/>
                <w:szCs w:val="20"/>
              </w:rPr>
            </w:pPr>
          </w:p>
          <w:p w:rsidR="009E124A" w:rsidRPr="00137E82" w:rsidRDefault="009E124A" w:rsidP="008F6F48">
            <w:pPr>
              <w:tabs>
                <w:tab w:val="left" w:pos="-1440"/>
                <w:tab w:val="left" w:pos="-720"/>
              </w:tabs>
              <w:rPr>
                <w:sz w:val="20"/>
                <w:szCs w:val="20"/>
              </w:rPr>
            </w:pPr>
            <w:r w:rsidRPr="00137E82">
              <w:rPr>
                <w:sz w:val="20"/>
                <w:szCs w:val="20"/>
              </w:rPr>
              <w:tab/>
              <w:t>c. (3</w:t>
            </w:r>
            <w:r>
              <w:rPr>
                <w:sz w:val="20"/>
                <w:szCs w:val="20"/>
              </w:rPr>
              <w:t>510</w:t>
            </w:r>
            <w:r w:rsidRPr="00137E82">
              <w:rPr>
                <w:sz w:val="20"/>
                <w:szCs w:val="20"/>
              </w:rPr>
              <w:t xml:space="preserve">7) </w:t>
            </w:r>
          </w:p>
          <w:p w:rsidR="009E124A" w:rsidRPr="00137E82" w:rsidRDefault="009E124A" w:rsidP="008F6F48">
            <w:pPr>
              <w:tabs>
                <w:tab w:val="left" w:pos="-1440"/>
                <w:tab w:val="left" w:pos="-720"/>
              </w:tabs>
              <w:rPr>
                <w:sz w:val="20"/>
                <w:szCs w:val="20"/>
              </w:rPr>
            </w:pPr>
          </w:p>
          <w:p w:rsidR="009E124A" w:rsidRPr="00137E82" w:rsidRDefault="009E124A" w:rsidP="008F6F48">
            <w:pPr>
              <w:tabs>
                <w:tab w:val="left" w:pos="-1440"/>
                <w:tab w:val="left" w:pos="-720"/>
              </w:tabs>
              <w:rPr>
                <w:b/>
                <w:sz w:val="20"/>
                <w:szCs w:val="20"/>
              </w:rPr>
            </w:pPr>
            <w:proofErr w:type="spellStart"/>
            <w:r w:rsidRPr="00137E82">
              <w:rPr>
                <w:b/>
                <w:sz w:val="20"/>
                <w:szCs w:val="20"/>
              </w:rPr>
              <w:t>Evelyne</w:t>
            </w:r>
            <w:proofErr w:type="spellEnd"/>
            <w:r w:rsidRPr="00137E82">
              <w:rPr>
                <w:b/>
                <w:sz w:val="20"/>
                <w:szCs w:val="20"/>
              </w:rPr>
              <w:t xml:space="preserve"> Levy (Qc)</w:t>
            </w:r>
          </w:p>
          <w:p w:rsidR="009E124A" w:rsidRPr="00041FC2" w:rsidRDefault="009E124A" w:rsidP="008F6F48">
            <w:pPr>
              <w:tabs>
                <w:tab w:val="left" w:pos="-1440"/>
                <w:tab w:val="left" w:pos="-720"/>
              </w:tabs>
              <w:rPr>
                <w:sz w:val="20"/>
                <w:szCs w:val="20"/>
                <w:lang w:val="fr-CA"/>
              </w:rPr>
            </w:pPr>
            <w:r w:rsidRPr="00137E82">
              <w:rPr>
                <w:sz w:val="20"/>
                <w:szCs w:val="20"/>
              </w:rPr>
              <w:tab/>
            </w:r>
            <w:r w:rsidRPr="00041FC2">
              <w:rPr>
                <w:sz w:val="20"/>
                <w:szCs w:val="20"/>
                <w:lang w:val="fr-CA"/>
              </w:rPr>
              <w:t xml:space="preserve">Guy </w:t>
            </w:r>
            <w:proofErr w:type="spellStart"/>
            <w:r w:rsidRPr="00041FC2">
              <w:rPr>
                <w:sz w:val="20"/>
                <w:szCs w:val="20"/>
                <w:lang w:val="fr-CA"/>
              </w:rPr>
              <w:t>Sirois</w:t>
            </w:r>
            <w:proofErr w:type="spellEnd"/>
          </w:p>
          <w:p w:rsidR="009E124A" w:rsidRPr="00041FC2" w:rsidRDefault="009E124A" w:rsidP="008F6F48">
            <w:pPr>
              <w:tabs>
                <w:tab w:val="left" w:pos="-1440"/>
                <w:tab w:val="left" w:pos="-720"/>
              </w:tabs>
              <w:rPr>
                <w:sz w:val="20"/>
                <w:szCs w:val="20"/>
                <w:lang w:val="fr-CA"/>
              </w:rPr>
            </w:pPr>
          </w:p>
          <w:p w:rsidR="009E124A" w:rsidRPr="00041FC2" w:rsidRDefault="009E124A" w:rsidP="008F6F48">
            <w:pPr>
              <w:rPr>
                <w:sz w:val="20"/>
                <w:szCs w:val="20"/>
                <w:lang w:val="fr-CA"/>
              </w:rPr>
            </w:pPr>
            <w:r w:rsidRPr="00137E82">
              <w:rPr>
                <w:sz w:val="20"/>
                <w:szCs w:val="20"/>
                <w:lang w:val="fr-CA"/>
              </w:rPr>
              <w:t>DATE DE PRODUCTION : 27.11.2012</w:t>
            </w:r>
            <w:r w:rsidR="00D32E73" w:rsidRPr="00D32E7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tc>
        <w:tc>
          <w:tcPr>
            <w:tcW w:w="4320" w:type="dxa"/>
            <w:shd w:val="clear" w:color="auto" w:fill="auto"/>
          </w:tcPr>
          <w:p w:rsidR="009E124A" w:rsidRPr="00534FAE" w:rsidRDefault="009E124A" w:rsidP="008F6F48">
            <w:pPr>
              <w:rPr>
                <w:b/>
                <w:sz w:val="20"/>
                <w:szCs w:val="20"/>
                <w:lang w:val="fr-CA"/>
              </w:rPr>
            </w:pPr>
            <w:r w:rsidRPr="00534FAE">
              <w:rPr>
                <w:b/>
                <w:sz w:val="20"/>
                <w:szCs w:val="20"/>
                <w:lang w:val="fr-CA"/>
              </w:rPr>
              <w:t>Pascale Douze</w:t>
            </w:r>
          </w:p>
          <w:p w:rsidR="009E124A" w:rsidRPr="00534FAE" w:rsidRDefault="009E124A" w:rsidP="008F6F48">
            <w:pPr>
              <w:tabs>
                <w:tab w:val="left" w:pos="-1440"/>
                <w:tab w:val="left" w:pos="-720"/>
              </w:tabs>
              <w:rPr>
                <w:sz w:val="20"/>
                <w:szCs w:val="20"/>
                <w:lang w:val="fr-CA"/>
              </w:rPr>
            </w:pPr>
            <w:r w:rsidRPr="00534FAE">
              <w:rPr>
                <w:sz w:val="20"/>
                <w:szCs w:val="20"/>
                <w:lang w:val="fr-CA"/>
              </w:rPr>
              <w:tab/>
              <w:t xml:space="preserve">Aymar </w:t>
            </w:r>
            <w:proofErr w:type="spellStart"/>
            <w:r w:rsidRPr="00534FAE">
              <w:rPr>
                <w:sz w:val="20"/>
                <w:szCs w:val="20"/>
                <w:lang w:val="fr-CA"/>
              </w:rPr>
              <w:t>Missakila</w:t>
            </w:r>
            <w:proofErr w:type="spellEnd"/>
          </w:p>
          <w:p w:rsidR="009E124A" w:rsidRPr="00534FAE" w:rsidRDefault="009E124A" w:rsidP="008F6F48">
            <w:pPr>
              <w:tabs>
                <w:tab w:val="left" w:pos="-1440"/>
                <w:tab w:val="left" w:pos="-720"/>
              </w:tabs>
              <w:rPr>
                <w:sz w:val="20"/>
                <w:szCs w:val="20"/>
                <w:lang w:val="fr-CA"/>
              </w:rPr>
            </w:pPr>
          </w:p>
          <w:p w:rsidR="009E124A" w:rsidRPr="009C31D2" w:rsidRDefault="009E124A" w:rsidP="008F6F48">
            <w:pPr>
              <w:tabs>
                <w:tab w:val="left" w:pos="-1440"/>
                <w:tab w:val="left" w:pos="-720"/>
              </w:tabs>
              <w:rPr>
                <w:sz w:val="20"/>
                <w:szCs w:val="20"/>
                <w:lang w:val="fr-CA"/>
              </w:rPr>
            </w:pPr>
            <w:r w:rsidRPr="00534FAE">
              <w:rPr>
                <w:sz w:val="20"/>
                <w:szCs w:val="20"/>
                <w:lang w:val="fr-CA"/>
              </w:rPr>
              <w:tab/>
            </w:r>
            <w:r w:rsidRPr="009C31D2">
              <w:rPr>
                <w:sz w:val="20"/>
                <w:szCs w:val="20"/>
                <w:lang w:val="fr-CA"/>
              </w:rPr>
              <w:t>c. (35117)</w:t>
            </w:r>
          </w:p>
          <w:p w:rsidR="009E124A" w:rsidRPr="009C31D2" w:rsidRDefault="009E124A" w:rsidP="008F6F48">
            <w:pPr>
              <w:tabs>
                <w:tab w:val="left" w:pos="-1440"/>
                <w:tab w:val="left" w:pos="-720"/>
              </w:tabs>
              <w:rPr>
                <w:sz w:val="20"/>
                <w:szCs w:val="20"/>
                <w:lang w:val="fr-CA"/>
              </w:rPr>
            </w:pPr>
          </w:p>
          <w:p w:rsidR="009E124A" w:rsidRPr="009C31D2" w:rsidRDefault="009E124A" w:rsidP="008F6F48">
            <w:pPr>
              <w:tabs>
                <w:tab w:val="left" w:pos="-1440"/>
                <w:tab w:val="left" w:pos="-720"/>
              </w:tabs>
              <w:rPr>
                <w:b/>
                <w:sz w:val="20"/>
                <w:szCs w:val="20"/>
                <w:lang w:val="fr-CA"/>
              </w:rPr>
            </w:pPr>
            <w:r w:rsidRPr="009C31D2">
              <w:rPr>
                <w:b/>
                <w:sz w:val="20"/>
                <w:szCs w:val="20"/>
                <w:lang w:val="fr-CA"/>
              </w:rPr>
              <w:t>Gestion J.S.V. (</w:t>
            </w:r>
            <w:proofErr w:type="spellStart"/>
            <w:r w:rsidRPr="009C31D2">
              <w:rPr>
                <w:b/>
                <w:sz w:val="20"/>
                <w:szCs w:val="20"/>
                <w:lang w:val="fr-CA"/>
              </w:rPr>
              <w:t>Qc</w:t>
            </w:r>
            <w:proofErr w:type="spellEnd"/>
            <w:r w:rsidRPr="009C31D2">
              <w:rPr>
                <w:b/>
                <w:sz w:val="20"/>
                <w:szCs w:val="20"/>
                <w:lang w:val="fr-CA"/>
              </w:rPr>
              <w:t>)</w:t>
            </w:r>
          </w:p>
          <w:p w:rsidR="009E124A" w:rsidRPr="009C31D2" w:rsidRDefault="009E124A" w:rsidP="008F6F48">
            <w:pPr>
              <w:tabs>
                <w:tab w:val="left" w:pos="-1440"/>
                <w:tab w:val="left" w:pos="-720"/>
              </w:tabs>
              <w:rPr>
                <w:sz w:val="20"/>
                <w:szCs w:val="20"/>
                <w:lang w:val="fr-CA"/>
              </w:rPr>
            </w:pPr>
            <w:r w:rsidRPr="009C31D2">
              <w:rPr>
                <w:sz w:val="20"/>
                <w:szCs w:val="20"/>
                <w:lang w:val="fr-CA"/>
              </w:rPr>
              <w:tab/>
              <w:t>Benoît Fortier</w:t>
            </w:r>
          </w:p>
          <w:p w:rsidR="009E124A" w:rsidRPr="009C31D2" w:rsidRDefault="009E124A" w:rsidP="008F6F48">
            <w:pPr>
              <w:tabs>
                <w:tab w:val="left" w:pos="-1440"/>
                <w:tab w:val="left" w:pos="-720"/>
              </w:tabs>
              <w:rPr>
                <w:sz w:val="20"/>
                <w:szCs w:val="20"/>
                <w:lang w:val="fr-CA"/>
              </w:rPr>
            </w:pPr>
            <w:r w:rsidRPr="009C31D2">
              <w:rPr>
                <w:sz w:val="20"/>
                <w:szCs w:val="20"/>
                <w:lang w:val="fr-CA"/>
              </w:rPr>
              <w:tab/>
              <w:t>Fortier &amp; Boucher</w:t>
            </w:r>
          </w:p>
          <w:p w:rsidR="009E124A" w:rsidRPr="009C31D2" w:rsidRDefault="009E124A" w:rsidP="008F6F48">
            <w:pPr>
              <w:tabs>
                <w:tab w:val="left" w:pos="-1440"/>
                <w:tab w:val="left" w:pos="-720"/>
              </w:tabs>
              <w:rPr>
                <w:sz w:val="20"/>
                <w:szCs w:val="20"/>
                <w:lang w:val="fr-CA"/>
              </w:rPr>
            </w:pPr>
          </w:p>
          <w:p w:rsidR="009E124A" w:rsidRDefault="009E124A" w:rsidP="008F6F48">
            <w:pPr>
              <w:keepNext/>
              <w:keepLines/>
              <w:tabs>
                <w:tab w:val="left" w:pos="-1440"/>
                <w:tab w:val="left" w:pos="-720"/>
              </w:tabs>
              <w:rPr>
                <w:sz w:val="20"/>
                <w:szCs w:val="20"/>
                <w:lang w:val="fr-CA"/>
              </w:rPr>
            </w:pPr>
            <w:r w:rsidRPr="009C31D2">
              <w:rPr>
                <w:sz w:val="20"/>
                <w:szCs w:val="20"/>
                <w:lang w:val="fr-CA"/>
              </w:rPr>
              <w:t>DATE DE PRODUCTION : 04.12.2012</w:t>
            </w:r>
          </w:p>
          <w:p w:rsidR="009E124A" w:rsidRPr="007D7978" w:rsidRDefault="00D32E73" w:rsidP="008F6F48">
            <w:pPr>
              <w:keepNext/>
              <w:keepLines/>
              <w:tabs>
                <w:tab w:val="left" w:pos="-1440"/>
                <w:tab w:val="left" w:pos="-720"/>
              </w:tabs>
              <w:rPr>
                <w:sz w:val="20"/>
                <w:szCs w:val="20"/>
                <w:lang w:val="fr-CA"/>
              </w:rPr>
            </w:pPr>
            <w:r w:rsidRPr="00D32E73">
              <w:rPr>
                <w:sz w:val="20"/>
                <w:szCs w:val="20"/>
                <w:lang w:val="fr-CA"/>
              </w:rPr>
              <w:pict>
                <v:rect id="_x0000_i1030" style="width:108pt;height:1pt" o:hrpct="0" o:hralign="center" o:hrstd="t" o:hrnoshade="t" o:hr="t" fillcolor="black [3213]" stroked="f"/>
              </w:pict>
            </w:r>
          </w:p>
        </w:tc>
      </w:tr>
      <w:tr w:rsidR="009E124A" w:rsidRPr="00A935AA" w:rsidTr="008F6F48">
        <w:trPr>
          <w:cantSplit/>
        </w:trPr>
        <w:tc>
          <w:tcPr>
            <w:tcW w:w="4320" w:type="dxa"/>
            <w:shd w:val="clear" w:color="auto" w:fill="auto"/>
          </w:tcPr>
          <w:p w:rsidR="009E124A" w:rsidRPr="00EC44A0" w:rsidRDefault="009E124A" w:rsidP="008F6F48">
            <w:pPr>
              <w:keepNext/>
              <w:keepLines/>
              <w:tabs>
                <w:tab w:val="left" w:pos="-1440"/>
                <w:tab w:val="left" w:pos="-720"/>
              </w:tabs>
              <w:rPr>
                <w:b/>
                <w:sz w:val="20"/>
                <w:szCs w:val="20"/>
                <w:lang w:val="fr-CA"/>
              </w:rPr>
            </w:pPr>
            <w:r w:rsidRPr="00EC44A0">
              <w:rPr>
                <w:b/>
                <w:sz w:val="20"/>
                <w:szCs w:val="20"/>
                <w:lang w:val="fr-CA"/>
              </w:rPr>
              <w:t xml:space="preserve">Jack W. </w:t>
            </w:r>
            <w:proofErr w:type="spellStart"/>
            <w:r w:rsidRPr="00EC44A0">
              <w:rPr>
                <w:b/>
                <w:sz w:val="20"/>
                <w:szCs w:val="20"/>
                <w:lang w:val="fr-CA"/>
              </w:rPr>
              <w:t>Leclaire</w:t>
            </w:r>
            <w:proofErr w:type="spellEnd"/>
            <w:r w:rsidRPr="00EC44A0">
              <w:rPr>
                <w:b/>
                <w:sz w:val="20"/>
                <w:szCs w:val="20"/>
                <w:lang w:val="fr-CA"/>
              </w:rPr>
              <w:t xml:space="preserve"> et al.</w:t>
            </w:r>
          </w:p>
          <w:p w:rsidR="009E124A" w:rsidRPr="009C31D2" w:rsidRDefault="009E124A" w:rsidP="008F6F48">
            <w:pPr>
              <w:keepNext/>
              <w:keepLines/>
              <w:tabs>
                <w:tab w:val="left" w:pos="-1440"/>
                <w:tab w:val="left" w:pos="-720"/>
              </w:tabs>
              <w:rPr>
                <w:sz w:val="20"/>
                <w:szCs w:val="20"/>
              </w:rPr>
            </w:pPr>
            <w:r w:rsidRPr="00EC44A0">
              <w:rPr>
                <w:sz w:val="20"/>
                <w:szCs w:val="20"/>
                <w:lang w:val="fr-CA"/>
              </w:rPr>
              <w:tab/>
            </w:r>
            <w:proofErr w:type="spellStart"/>
            <w:r>
              <w:rPr>
                <w:sz w:val="20"/>
                <w:szCs w:val="20"/>
              </w:rPr>
              <w:t>Timothé</w:t>
            </w:r>
            <w:proofErr w:type="spellEnd"/>
            <w:r>
              <w:rPr>
                <w:sz w:val="20"/>
                <w:szCs w:val="20"/>
              </w:rPr>
              <w:t xml:space="preserve"> R. </w:t>
            </w:r>
            <w:proofErr w:type="spellStart"/>
            <w:r>
              <w:rPr>
                <w:sz w:val="20"/>
                <w:szCs w:val="20"/>
              </w:rPr>
              <w:t>Huot</w:t>
            </w:r>
            <w:proofErr w:type="spellEnd"/>
          </w:p>
          <w:p w:rsidR="009E124A" w:rsidRPr="009C31D2" w:rsidRDefault="009E124A" w:rsidP="008F6F48">
            <w:pPr>
              <w:keepNext/>
              <w:keepLines/>
              <w:tabs>
                <w:tab w:val="left" w:pos="-1440"/>
                <w:tab w:val="left" w:pos="-720"/>
              </w:tabs>
              <w:rPr>
                <w:sz w:val="20"/>
                <w:szCs w:val="20"/>
              </w:rPr>
            </w:pPr>
            <w:r w:rsidRPr="009C31D2">
              <w:rPr>
                <w:sz w:val="20"/>
                <w:szCs w:val="20"/>
              </w:rPr>
              <w:tab/>
            </w:r>
            <w:r>
              <w:rPr>
                <w:sz w:val="20"/>
                <w:szCs w:val="20"/>
              </w:rPr>
              <w:t>BCF</w:t>
            </w:r>
            <w:r w:rsidRPr="009C31D2">
              <w:rPr>
                <w:sz w:val="20"/>
                <w:szCs w:val="20"/>
              </w:rPr>
              <w:t xml:space="preserve"> LLP</w:t>
            </w:r>
          </w:p>
          <w:p w:rsidR="009E124A" w:rsidRPr="009C31D2" w:rsidRDefault="009E124A" w:rsidP="008F6F48">
            <w:pPr>
              <w:keepNext/>
              <w:keepLines/>
              <w:tabs>
                <w:tab w:val="left" w:pos="-1440"/>
                <w:tab w:val="left" w:pos="-720"/>
              </w:tabs>
              <w:rPr>
                <w:sz w:val="20"/>
                <w:szCs w:val="20"/>
              </w:rPr>
            </w:pPr>
          </w:p>
          <w:p w:rsidR="009E124A" w:rsidRPr="009C31D2" w:rsidRDefault="009E124A" w:rsidP="008F6F48">
            <w:pPr>
              <w:keepNext/>
              <w:keepLines/>
              <w:tabs>
                <w:tab w:val="left" w:pos="-1440"/>
                <w:tab w:val="left" w:pos="-720"/>
              </w:tabs>
              <w:rPr>
                <w:sz w:val="20"/>
                <w:szCs w:val="20"/>
              </w:rPr>
            </w:pPr>
            <w:r w:rsidRPr="009C31D2">
              <w:rPr>
                <w:sz w:val="20"/>
                <w:szCs w:val="20"/>
              </w:rPr>
              <w:tab/>
              <w:t>v. (3</w:t>
            </w:r>
            <w:r>
              <w:rPr>
                <w:sz w:val="20"/>
                <w:szCs w:val="20"/>
              </w:rPr>
              <w:t>5119</w:t>
            </w:r>
            <w:r w:rsidRPr="009C31D2">
              <w:rPr>
                <w:sz w:val="20"/>
                <w:szCs w:val="20"/>
              </w:rPr>
              <w:t>)</w:t>
            </w:r>
          </w:p>
          <w:p w:rsidR="009E124A" w:rsidRPr="009C31D2" w:rsidRDefault="009E124A" w:rsidP="008F6F48">
            <w:pPr>
              <w:keepNext/>
              <w:keepLines/>
              <w:tabs>
                <w:tab w:val="left" w:pos="-1440"/>
                <w:tab w:val="left" w:pos="-720"/>
              </w:tabs>
              <w:rPr>
                <w:sz w:val="20"/>
                <w:szCs w:val="20"/>
              </w:rPr>
            </w:pPr>
          </w:p>
          <w:p w:rsidR="009E124A" w:rsidRPr="009C31D2" w:rsidRDefault="009E124A" w:rsidP="008F6F48">
            <w:pPr>
              <w:keepNext/>
              <w:keepLines/>
              <w:tabs>
                <w:tab w:val="left" w:pos="-1440"/>
                <w:tab w:val="left" w:pos="-720"/>
              </w:tabs>
              <w:rPr>
                <w:b/>
                <w:sz w:val="20"/>
                <w:szCs w:val="20"/>
              </w:rPr>
            </w:pPr>
            <w:r w:rsidRPr="00034CEF">
              <w:rPr>
                <w:b/>
                <w:sz w:val="20"/>
                <w:szCs w:val="20"/>
              </w:rPr>
              <w:t xml:space="preserve">Attorney General of Canada </w:t>
            </w:r>
            <w:r>
              <w:rPr>
                <w:b/>
                <w:sz w:val="20"/>
                <w:szCs w:val="20"/>
              </w:rPr>
              <w:t xml:space="preserve">et al. </w:t>
            </w:r>
            <w:r w:rsidRPr="009C31D2">
              <w:rPr>
                <w:b/>
                <w:sz w:val="20"/>
                <w:szCs w:val="20"/>
              </w:rPr>
              <w:t>(</w:t>
            </w:r>
            <w:r>
              <w:rPr>
                <w:b/>
                <w:sz w:val="20"/>
                <w:szCs w:val="20"/>
              </w:rPr>
              <w:t>Que.</w:t>
            </w:r>
            <w:r w:rsidRPr="009C31D2">
              <w:rPr>
                <w:b/>
                <w:sz w:val="20"/>
                <w:szCs w:val="20"/>
              </w:rPr>
              <w:t>)</w:t>
            </w:r>
          </w:p>
          <w:p w:rsidR="009E124A" w:rsidRPr="009C31D2" w:rsidRDefault="009E124A" w:rsidP="008F6F48">
            <w:pPr>
              <w:keepNext/>
              <w:keepLines/>
              <w:tabs>
                <w:tab w:val="left" w:pos="-1440"/>
                <w:tab w:val="left" w:pos="-720"/>
              </w:tabs>
              <w:rPr>
                <w:sz w:val="20"/>
                <w:szCs w:val="20"/>
              </w:rPr>
            </w:pPr>
            <w:r w:rsidRPr="009C31D2">
              <w:rPr>
                <w:sz w:val="20"/>
                <w:szCs w:val="20"/>
              </w:rPr>
              <w:tab/>
            </w:r>
            <w:r>
              <w:rPr>
                <w:sz w:val="20"/>
                <w:szCs w:val="20"/>
              </w:rPr>
              <w:t xml:space="preserve">Nancy </w:t>
            </w:r>
            <w:proofErr w:type="spellStart"/>
            <w:r>
              <w:rPr>
                <w:sz w:val="20"/>
                <w:szCs w:val="20"/>
              </w:rPr>
              <w:t>Bonsaint</w:t>
            </w:r>
            <w:proofErr w:type="spellEnd"/>
          </w:p>
          <w:p w:rsidR="009E124A" w:rsidRPr="009C31D2" w:rsidRDefault="009E124A" w:rsidP="008F6F48">
            <w:pPr>
              <w:keepNext/>
              <w:keepLines/>
              <w:tabs>
                <w:tab w:val="left" w:pos="-1440"/>
                <w:tab w:val="left" w:pos="-720"/>
              </w:tabs>
              <w:rPr>
                <w:sz w:val="20"/>
                <w:szCs w:val="20"/>
              </w:rPr>
            </w:pPr>
            <w:r w:rsidRPr="009C31D2">
              <w:rPr>
                <w:sz w:val="20"/>
                <w:szCs w:val="20"/>
              </w:rPr>
              <w:tab/>
            </w:r>
            <w:r>
              <w:rPr>
                <w:sz w:val="20"/>
                <w:szCs w:val="20"/>
              </w:rPr>
              <w:t>A.G. of Canada</w:t>
            </w:r>
          </w:p>
          <w:p w:rsidR="009E124A" w:rsidRPr="009C31D2" w:rsidRDefault="009E124A" w:rsidP="008F6F48">
            <w:pPr>
              <w:keepNext/>
              <w:keepLines/>
              <w:tabs>
                <w:tab w:val="left" w:pos="-1440"/>
                <w:tab w:val="left" w:pos="-720"/>
              </w:tabs>
              <w:rPr>
                <w:sz w:val="20"/>
                <w:szCs w:val="20"/>
              </w:rPr>
            </w:pPr>
          </w:p>
          <w:p w:rsidR="009E124A" w:rsidRDefault="009E124A" w:rsidP="008F6F48">
            <w:pPr>
              <w:rPr>
                <w:b/>
                <w:sz w:val="20"/>
                <w:szCs w:val="20"/>
              </w:rPr>
            </w:pPr>
            <w:r w:rsidRPr="009C31D2">
              <w:rPr>
                <w:sz w:val="20"/>
                <w:szCs w:val="20"/>
              </w:rPr>
              <w:t xml:space="preserve">FILING DATE: </w:t>
            </w:r>
            <w:r w:rsidRPr="00034CEF">
              <w:rPr>
                <w:sz w:val="20"/>
                <w:szCs w:val="20"/>
                <w:lang w:val="en-US"/>
              </w:rPr>
              <w:t>05.12.2012</w:t>
            </w:r>
            <w:r w:rsidRPr="005D71B4">
              <w:rPr>
                <w:b/>
                <w:sz w:val="20"/>
                <w:szCs w:val="20"/>
              </w:rPr>
              <w:t xml:space="preserve"> </w:t>
            </w:r>
          </w:p>
          <w:p w:rsidR="009E124A" w:rsidRPr="005D71B4" w:rsidRDefault="00D32E73" w:rsidP="008F6F48">
            <w:pPr>
              <w:rPr>
                <w:sz w:val="20"/>
                <w:szCs w:val="20"/>
              </w:rPr>
            </w:pPr>
            <w:r w:rsidRPr="00D32E7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Pr="005D71B4" w:rsidRDefault="009E124A" w:rsidP="008F6F48">
            <w:pPr>
              <w:jc w:val="center"/>
              <w:rPr>
                <w:sz w:val="20"/>
                <w:szCs w:val="20"/>
              </w:rPr>
            </w:pPr>
          </w:p>
          <w:p w:rsidR="009E124A" w:rsidRDefault="009E124A" w:rsidP="008F6F48">
            <w:pPr>
              <w:jc w:val="center"/>
              <w:rPr>
                <w:sz w:val="20"/>
                <w:szCs w:val="20"/>
              </w:rPr>
            </w:pPr>
          </w:p>
          <w:p w:rsidR="009E124A" w:rsidRPr="005D71B4" w:rsidRDefault="009E124A" w:rsidP="008F6F48">
            <w:pPr>
              <w:jc w:val="center"/>
              <w:rPr>
                <w:sz w:val="20"/>
                <w:szCs w:val="20"/>
              </w:rPr>
            </w:pPr>
          </w:p>
        </w:tc>
        <w:tc>
          <w:tcPr>
            <w:tcW w:w="4320" w:type="dxa"/>
            <w:shd w:val="clear" w:color="auto" w:fill="auto"/>
          </w:tcPr>
          <w:p w:rsidR="009E124A" w:rsidRDefault="009E124A" w:rsidP="008F6F48">
            <w:pPr>
              <w:keepNext/>
              <w:keepLines/>
              <w:tabs>
                <w:tab w:val="left" w:pos="-1440"/>
                <w:tab w:val="left" w:pos="-720"/>
              </w:tabs>
              <w:rPr>
                <w:b/>
                <w:sz w:val="20"/>
                <w:szCs w:val="20"/>
                <w:lang w:val="en-US"/>
              </w:rPr>
            </w:pPr>
          </w:p>
          <w:p w:rsidR="009E124A" w:rsidRPr="00041FC2" w:rsidRDefault="009E124A" w:rsidP="008F6F48">
            <w:pPr>
              <w:keepNext/>
              <w:keepLines/>
              <w:tabs>
                <w:tab w:val="left" w:pos="-1440"/>
                <w:tab w:val="left" w:pos="-720"/>
              </w:tabs>
              <w:rPr>
                <w:b/>
                <w:sz w:val="20"/>
                <w:szCs w:val="20"/>
                <w:lang w:val="en-US"/>
              </w:rPr>
            </w:pPr>
            <w:r w:rsidRPr="00041FC2">
              <w:rPr>
                <w:b/>
                <w:sz w:val="20"/>
                <w:szCs w:val="20"/>
                <w:lang w:val="en-US"/>
              </w:rPr>
              <w:t xml:space="preserve">Jim </w:t>
            </w:r>
            <w:proofErr w:type="spellStart"/>
            <w:r w:rsidRPr="00041FC2">
              <w:rPr>
                <w:b/>
                <w:sz w:val="20"/>
                <w:szCs w:val="20"/>
                <w:lang w:val="en-US"/>
              </w:rPr>
              <w:t>Bronskill</w:t>
            </w:r>
            <w:proofErr w:type="spellEnd"/>
          </w:p>
          <w:p w:rsidR="009E124A" w:rsidRPr="005D71B4" w:rsidRDefault="009E124A" w:rsidP="008F6F48">
            <w:pPr>
              <w:keepNext/>
              <w:keepLines/>
              <w:tabs>
                <w:tab w:val="left" w:pos="-1440"/>
                <w:tab w:val="left" w:pos="-720"/>
              </w:tabs>
              <w:rPr>
                <w:sz w:val="20"/>
                <w:szCs w:val="20"/>
              </w:rPr>
            </w:pPr>
            <w:r w:rsidRPr="00041FC2">
              <w:rPr>
                <w:sz w:val="20"/>
                <w:szCs w:val="20"/>
                <w:lang w:val="en-US"/>
              </w:rPr>
              <w:tab/>
            </w:r>
            <w:r>
              <w:rPr>
                <w:sz w:val="20"/>
                <w:szCs w:val="20"/>
                <w:lang w:val="en-US"/>
              </w:rPr>
              <w:t>Paul Champ</w:t>
            </w:r>
          </w:p>
          <w:p w:rsidR="009E124A" w:rsidRPr="005D71B4" w:rsidRDefault="009E124A" w:rsidP="008F6F48">
            <w:pPr>
              <w:keepNext/>
              <w:keepLines/>
              <w:tabs>
                <w:tab w:val="left" w:pos="-1440"/>
                <w:tab w:val="left" w:pos="-720"/>
              </w:tabs>
              <w:rPr>
                <w:sz w:val="20"/>
                <w:szCs w:val="20"/>
              </w:rPr>
            </w:pPr>
            <w:r w:rsidRPr="005D71B4">
              <w:rPr>
                <w:sz w:val="20"/>
                <w:szCs w:val="20"/>
              </w:rPr>
              <w:tab/>
            </w:r>
            <w:r>
              <w:rPr>
                <w:sz w:val="20"/>
                <w:szCs w:val="20"/>
              </w:rPr>
              <w:t>Champ &amp; Associates</w:t>
            </w:r>
          </w:p>
          <w:p w:rsidR="009E124A" w:rsidRPr="005D71B4" w:rsidRDefault="009E124A" w:rsidP="008F6F48">
            <w:pPr>
              <w:keepNext/>
              <w:keepLines/>
              <w:tabs>
                <w:tab w:val="left" w:pos="-1440"/>
                <w:tab w:val="left" w:pos="-720"/>
              </w:tabs>
              <w:rPr>
                <w:sz w:val="20"/>
                <w:szCs w:val="20"/>
              </w:rPr>
            </w:pPr>
          </w:p>
          <w:p w:rsidR="009E124A" w:rsidRPr="005D71B4" w:rsidRDefault="009E124A" w:rsidP="008F6F48">
            <w:pPr>
              <w:keepNext/>
              <w:keepLines/>
              <w:tabs>
                <w:tab w:val="left" w:pos="-1440"/>
                <w:tab w:val="left" w:pos="-720"/>
              </w:tabs>
              <w:rPr>
                <w:sz w:val="20"/>
                <w:szCs w:val="20"/>
              </w:rPr>
            </w:pPr>
            <w:r>
              <w:rPr>
                <w:sz w:val="20"/>
                <w:szCs w:val="20"/>
              </w:rPr>
              <w:tab/>
              <w:t>v</w:t>
            </w:r>
            <w:r w:rsidRPr="005D71B4">
              <w:rPr>
                <w:sz w:val="20"/>
                <w:szCs w:val="20"/>
              </w:rPr>
              <w:t>. (3</w:t>
            </w:r>
            <w:r>
              <w:rPr>
                <w:sz w:val="20"/>
                <w:szCs w:val="20"/>
              </w:rPr>
              <w:t>5118</w:t>
            </w:r>
            <w:r w:rsidRPr="005D71B4">
              <w:rPr>
                <w:sz w:val="20"/>
                <w:szCs w:val="20"/>
              </w:rPr>
              <w:t>)</w:t>
            </w:r>
          </w:p>
          <w:p w:rsidR="009E124A" w:rsidRPr="005D71B4" w:rsidRDefault="009E124A" w:rsidP="008F6F48">
            <w:pPr>
              <w:keepNext/>
              <w:keepLines/>
              <w:tabs>
                <w:tab w:val="left" w:pos="-1440"/>
                <w:tab w:val="left" w:pos="-720"/>
              </w:tabs>
              <w:rPr>
                <w:sz w:val="20"/>
                <w:szCs w:val="20"/>
              </w:rPr>
            </w:pPr>
          </w:p>
          <w:p w:rsidR="009E124A" w:rsidRPr="00E06C52" w:rsidRDefault="009E124A" w:rsidP="008F6F48">
            <w:pPr>
              <w:keepNext/>
              <w:keepLines/>
              <w:tabs>
                <w:tab w:val="left" w:pos="-1440"/>
                <w:tab w:val="left" w:pos="-720"/>
              </w:tabs>
              <w:rPr>
                <w:b/>
                <w:sz w:val="20"/>
                <w:szCs w:val="20"/>
                <w:lang w:val="en-US"/>
              </w:rPr>
            </w:pPr>
            <w:r w:rsidRPr="005D71B4">
              <w:rPr>
                <w:b/>
                <w:sz w:val="20"/>
                <w:szCs w:val="20"/>
              </w:rPr>
              <w:t>Minister of Canadian Heritage</w:t>
            </w:r>
            <w:r>
              <w:rPr>
                <w:b/>
                <w:sz w:val="20"/>
                <w:szCs w:val="20"/>
              </w:rPr>
              <w:t xml:space="preserve"> et al.</w:t>
            </w:r>
            <w:r w:rsidRPr="00E06C52">
              <w:rPr>
                <w:b/>
                <w:sz w:val="20"/>
                <w:szCs w:val="20"/>
                <w:lang w:val="en-US"/>
              </w:rPr>
              <w:t xml:space="preserve"> (F.C.)</w:t>
            </w:r>
          </w:p>
          <w:p w:rsidR="009E124A" w:rsidRPr="00E06C52" w:rsidRDefault="009E124A" w:rsidP="008F6F48">
            <w:pPr>
              <w:keepNext/>
              <w:keepLines/>
              <w:tabs>
                <w:tab w:val="left" w:pos="-1440"/>
                <w:tab w:val="left" w:pos="-720"/>
              </w:tabs>
              <w:rPr>
                <w:sz w:val="20"/>
                <w:szCs w:val="20"/>
                <w:lang w:val="en-US"/>
              </w:rPr>
            </w:pPr>
            <w:r w:rsidRPr="00E06C52">
              <w:rPr>
                <w:sz w:val="20"/>
                <w:szCs w:val="20"/>
                <w:lang w:val="en-US"/>
              </w:rPr>
              <w:tab/>
              <w:t xml:space="preserve">William F. </w:t>
            </w:r>
            <w:proofErr w:type="spellStart"/>
            <w:r w:rsidRPr="00E06C52">
              <w:rPr>
                <w:sz w:val="20"/>
                <w:szCs w:val="20"/>
                <w:lang w:val="en-US"/>
              </w:rPr>
              <w:t>Pentney</w:t>
            </w:r>
            <w:proofErr w:type="spellEnd"/>
          </w:p>
          <w:p w:rsidR="009E124A" w:rsidRPr="00E06C52" w:rsidRDefault="009E124A" w:rsidP="008F6F48">
            <w:pPr>
              <w:keepNext/>
              <w:keepLines/>
              <w:tabs>
                <w:tab w:val="left" w:pos="-1440"/>
                <w:tab w:val="left" w:pos="-720"/>
              </w:tabs>
              <w:rPr>
                <w:sz w:val="20"/>
                <w:szCs w:val="20"/>
                <w:lang w:val="en-US"/>
              </w:rPr>
            </w:pPr>
            <w:r w:rsidRPr="00E06C52">
              <w:rPr>
                <w:sz w:val="20"/>
                <w:szCs w:val="20"/>
                <w:lang w:val="en-US"/>
              </w:rPr>
              <w:tab/>
              <w:t>A</w:t>
            </w:r>
            <w:r>
              <w:rPr>
                <w:sz w:val="20"/>
                <w:szCs w:val="20"/>
                <w:lang w:val="en-US"/>
              </w:rPr>
              <w:t>.</w:t>
            </w:r>
            <w:r w:rsidRPr="00E06C52">
              <w:rPr>
                <w:sz w:val="20"/>
                <w:szCs w:val="20"/>
                <w:lang w:val="en-US"/>
              </w:rPr>
              <w:t>G</w:t>
            </w:r>
            <w:r>
              <w:rPr>
                <w:sz w:val="20"/>
                <w:szCs w:val="20"/>
                <w:lang w:val="en-US"/>
              </w:rPr>
              <w:t>.</w:t>
            </w:r>
            <w:r w:rsidRPr="00E06C52">
              <w:rPr>
                <w:sz w:val="20"/>
                <w:szCs w:val="20"/>
                <w:lang w:val="en-US"/>
              </w:rPr>
              <w:t xml:space="preserve"> of Canada</w:t>
            </w:r>
          </w:p>
          <w:p w:rsidR="009E124A" w:rsidRPr="00E06C52" w:rsidRDefault="009E124A" w:rsidP="008F6F48">
            <w:pPr>
              <w:keepNext/>
              <w:keepLines/>
              <w:tabs>
                <w:tab w:val="left" w:pos="-1440"/>
                <w:tab w:val="left" w:pos="-720"/>
              </w:tabs>
              <w:rPr>
                <w:sz w:val="20"/>
                <w:szCs w:val="20"/>
                <w:lang w:val="en-US"/>
              </w:rPr>
            </w:pPr>
          </w:p>
          <w:p w:rsidR="009E124A" w:rsidRPr="005D71B4" w:rsidRDefault="009E124A" w:rsidP="008F6F48">
            <w:pPr>
              <w:rPr>
                <w:sz w:val="20"/>
                <w:szCs w:val="20"/>
              </w:rPr>
            </w:pPr>
            <w:r w:rsidRPr="005D71B4">
              <w:rPr>
                <w:sz w:val="20"/>
                <w:szCs w:val="20"/>
              </w:rPr>
              <w:t xml:space="preserve">FILING DATE: </w:t>
            </w:r>
            <w:r w:rsidRPr="00E06C52">
              <w:rPr>
                <w:sz w:val="20"/>
                <w:szCs w:val="20"/>
                <w:lang w:val="en-US"/>
              </w:rPr>
              <w:t>03.12.2012</w:t>
            </w:r>
          </w:p>
          <w:p w:rsidR="009E124A" w:rsidRPr="005D71B4" w:rsidRDefault="00D32E73" w:rsidP="008F6F48">
            <w:pPr>
              <w:rPr>
                <w:sz w:val="20"/>
                <w:szCs w:val="20"/>
              </w:rPr>
            </w:pPr>
            <w:r w:rsidRPr="00D32E73">
              <w:rPr>
                <w:sz w:val="20"/>
                <w:szCs w:val="20"/>
                <w:lang w:val="fr-CA"/>
              </w:rPr>
              <w:pict>
                <v:rect id="_x0000_i1032" style="width:108pt;height:1pt" o:hrpct="0" o:hralign="center" o:hrstd="t" o:hrnoshade="t" o:hr="t" fillcolor="black [3213]" stroked="f"/>
              </w:pict>
            </w:r>
          </w:p>
        </w:tc>
      </w:tr>
    </w:tbl>
    <w:p w:rsidR="009E124A" w:rsidRDefault="009E124A"/>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9E124A" w:rsidRPr="00A935AA" w:rsidTr="008F6F48">
        <w:trPr>
          <w:cantSplit/>
        </w:trPr>
        <w:tc>
          <w:tcPr>
            <w:tcW w:w="4320" w:type="dxa"/>
            <w:shd w:val="clear" w:color="auto" w:fill="auto"/>
          </w:tcPr>
          <w:p w:rsidR="009E124A" w:rsidRPr="000932C4" w:rsidRDefault="009E124A" w:rsidP="008F6F48">
            <w:pPr>
              <w:keepNext/>
              <w:keepLines/>
              <w:tabs>
                <w:tab w:val="left" w:pos="-1440"/>
                <w:tab w:val="left" w:pos="-720"/>
              </w:tabs>
              <w:rPr>
                <w:b/>
                <w:sz w:val="20"/>
                <w:szCs w:val="20"/>
                <w:lang w:val="fr-CA"/>
              </w:rPr>
            </w:pPr>
            <w:r w:rsidRPr="000932C4">
              <w:rPr>
                <w:b/>
                <w:sz w:val="20"/>
                <w:szCs w:val="20"/>
                <w:lang w:val="fr-CA"/>
              </w:rPr>
              <w:lastRenderedPageBreak/>
              <w:t xml:space="preserve">Domenico &amp; fils (1997) </w:t>
            </w:r>
            <w:proofErr w:type="spellStart"/>
            <w:r w:rsidRPr="000932C4">
              <w:rPr>
                <w:b/>
                <w:sz w:val="20"/>
                <w:szCs w:val="20"/>
                <w:lang w:val="fr-CA"/>
              </w:rPr>
              <w:t>inc</w:t>
            </w:r>
            <w:proofErr w:type="spellEnd"/>
            <w:r w:rsidRPr="000932C4">
              <w:rPr>
                <w:b/>
                <w:sz w:val="20"/>
                <w:szCs w:val="20"/>
                <w:lang w:val="fr-CA"/>
              </w:rPr>
              <w:t>.</w:t>
            </w:r>
          </w:p>
          <w:p w:rsidR="009E124A" w:rsidRPr="000932C4" w:rsidRDefault="009E124A" w:rsidP="008F6F48">
            <w:pPr>
              <w:keepNext/>
              <w:keepLines/>
              <w:tabs>
                <w:tab w:val="left" w:pos="-1440"/>
                <w:tab w:val="left" w:pos="-720"/>
              </w:tabs>
              <w:rPr>
                <w:sz w:val="20"/>
                <w:szCs w:val="20"/>
                <w:lang w:val="fr-CA"/>
              </w:rPr>
            </w:pPr>
            <w:r w:rsidRPr="000932C4">
              <w:rPr>
                <w:sz w:val="20"/>
                <w:szCs w:val="20"/>
                <w:lang w:val="fr-CA"/>
              </w:rPr>
              <w:tab/>
            </w:r>
            <w:r>
              <w:rPr>
                <w:sz w:val="20"/>
                <w:szCs w:val="20"/>
                <w:lang w:val="fr-CA"/>
              </w:rPr>
              <w:t xml:space="preserve">Franco </w:t>
            </w:r>
            <w:proofErr w:type="spellStart"/>
            <w:r>
              <w:rPr>
                <w:sz w:val="20"/>
                <w:szCs w:val="20"/>
                <w:lang w:val="fr-CA"/>
              </w:rPr>
              <w:t>Schiro</w:t>
            </w:r>
            <w:proofErr w:type="spellEnd"/>
          </w:p>
          <w:p w:rsidR="009E124A" w:rsidRPr="001D6280" w:rsidRDefault="009E124A" w:rsidP="008F6F48">
            <w:pPr>
              <w:keepNext/>
              <w:keepLines/>
              <w:tabs>
                <w:tab w:val="left" w:pos="-1440"/>
                <w:tab w:val="left" w:pos="-720"/>
              </w:tabs>
              <w:rPr>
                <w:sz w:val="20"/>
                <w:szCs w:val="20"/>
                <w:lang w:val="fr-CA"/>
              </w:rPr>
            </w:pPr>
            <w:r w:rsidRPr="000932C4">
              <w:rPr>
                <w:sz w:val="20"/>
                <w:szCs w:val="20"/>
                <w:lang w:val="fr-CA"/>
              </w:rPr>
              <w:tab/>
            </w:r>
            <w:r w:rsidRPr="001D6280">
              <w:rPr>
                <w:sz w:val="20"/>
                <w:szCs w:val="20"/>
                <w:lang w:val="fr-CA"/>
              </w:rPr>
              <w:t>É</w:t>
            </w:r>
            <w:r>
              <w:rPr>
                <w:sz w:val="20"/>
                <w:szCs w:val="20"/>
                <w:lang w:val="fr-CA"/>
              </w:rPr>
              <w:t xml:space="preserve">tude Légale Franco </w:t>
            </w:r>
            <w:proofErr w:type="spellStart"/>
            <w:r>
              <w:rPr>
                <w:sz w:val="20"/>
                <w:szCs w:val="20"/>
                <w:lang w:val="fr-CA"/>
              </w:rPr>
              <w:t>Schiro</w:t>
            </w:r>
            <w:proofErr w:type="spellEnd"/>
          </w:p>
          <w:p w:rsidR="009E124A" w:rsidRPr="001D6280" w:rsidRDefault="009E124A" w:rsidP="008F6F48">
            <w:pPr>
              <w:keepNext/>
              <w:keepLines/>
              <w:tabs>
                <w:tab w:val="left" w:pos="-1440"/>
                <w:tab w:val="left" w:pos="-720"/>
              </w:tabs>
              <w:rPr>
                <w:sz w:val="20"/>
                <w:szCs w:val="20"/>
                <w:lang w:val="fr-CA"/>
              </w:rPr>
            </w:pPr>
          </w:p>
          <w:p w:rsidR="009E124A" w:rsidRPr="001D6280" w:rsidRDefault="009E124A" w:rsidP="008F6F48">
            <w:pPr>
              <w:keepNext/>
              <w:keepLines/>
              <w:tabs>
                <w:tab w:val="left" w:pos="-1440"/>
                <w:tab w:val="left" w:pos="-720"/>
              </w:tabs>
              <w:rPr>
                <w:sz w:val="20"/>
                <w:szCs w:val="20"/>
                <w:lang w:val="fr-CA"/>
              </w:rPr>
            </w:pPr>
            <w:r w:rsidRPr="001D6280">
              <w:rPr>
                <w:sz w:val="20"/>
                <w:szCs w:val="20"/>
                <w:lang w:val="fr-CA"/>
              </w:rPr>
              <w:tab/>
            </w:r>
            <w:r>
              <w:rPr>
                <w:sz w:val="20"/>
                <w:szCs w:val="20"/>
                <w:lang w:val="fr-CA"/>
              </w:rPr>
              <w:t>c</w:t>
            </w:r>
            <w:r w:rsidRPr="001D6280">
              <w:rPr>
                <w:sz w:val="20"/>
                <w:szCs w:val="20"/>
                <w:lang w:val="fr-CA"/>
              </w:rPr>
              <w:t>. (35104)</w:t>
            </w:r>
          </w:p>
          <w:p w:rsidR="009E124A" w:rsidRPr="001D6280" w:rsidRDefault="009E124A" w:rsidP="008F6F48">
            <w:pPr>
              <w:keepNext/>
              <w:keepLines/>
              <w:tabs>
                <w:tab w:val="left" w:pos="-1440"/>
                <w:tab w:val="left" w:pos="-720"/>
              </w:tabs>
              <w:rPr>
                <w:sz w:val="20"/>
                <w:szCs w:val="20"/>
                <w:lang w:val="fr-CA"/>
              </w:rPr>
            </w:pPr>
          </w:p>
          <w:p w:rsidR="009E124A" w:rsidRPr="001D6280" w:rsidRDefault="009E124A" w:rsidP="008F6F48">
            <w:pPr>
              <w:keepNext/>
              <w:keepLines/>
              <w:tabs>
                <w:tab w:val="left" w:pos="-1440"/>
                <w:tab w:val="left" w:pos="-720"/>
              </w:tabs>
              <w:rPr>
                <w:b/>
                <w:sz w:val="20"/>
                <w:szCs w:val="20"/>
                <w:lang w:val="fr-CA"/>
              </w:rPr>
            </w:pPr>
            <w:proofErr w:type="spellStart"/>
            <w:r w:rsidRPr="001D6280">
              <w:rPr>
                <w:b/>
                <w:sz w:val="20"/>
                <w:szCs w:val="20"/>
                <w:lang w:val="fr-CA"/>
              </w:rPr>
              <w:t>Devenco</w:t>
            </w:r>
            <w:proofErr w:type="spellEnd"/>
            <w:r w:rsidRPr="001D6280">
              <w:rPr>
                <w:b/>
                <w:sz w:val="20"/>
                <w:szCs w:val="20"/>
                <w:lang w:val="fr-CA"/>
              </w:rPr>
              <w:t xml:space="preserve"> </w:t>
            </w:r>
            <w:proofErr w:type="spellStart"/>
            <w:r w:rsidRPr="001D6280">
              <w:rPr>
                <w:b/>
                <w:sz w:val="20"/>
                <w:szCs w:val="20"/>
                <w:lang w:val="fr-CA"/>
              </w:rPr>
              <w:t>Contracting</w:t>
            </w:r>
            <w:proofErr w:type="spellEnd"/>
            <w:r w:rsidRPr="001D6280">
              <w:rPr>
                <w:b/>
                <w:sz w:val="20"/>
                <w:szCs w:val="20"/>
                <w:lang w:val="fr-CA"/>
              </w:rPr>
              <w:t xml:space="preserve"> </w:t>
            </w:r>
            <w:proofErr w:type="spellStart"/>
            <w:r w:rsidRPr="001D6280">
              <w:rPr>
                <w:b/>
                <w:sz w:val="20"/>
                <w:szCs w:val="20"/>
                <w:lang w:val="fr-CA"/>
              </w:rPr>
              <w:t>inc</w:t>
            </w:r>
            <w:proofErr w:type="spellEnd"/>
            <w:r w:rsidRPr="001D6280">
              <w:rPr>
                <w:b/>
                <w:sz w:val="20"/>
                <w:szCs w:val="20"/>
                <w:lang w:val="fr-CA"/>
              </w:rPr>
              <w:t>. et autre (</w:t>
            </w:r>
            <w:proofErr w:type="spellStart"/>
            <w:r>
              <w:rPr>
                <w:b/>
                <w:sz w:val="20"/>
                <w:szCs w:val="20"/>
                <w:lang w:val="fr-CA"/>
              </w:rPr>
              <w:t>Qc</w:t>
            </w:r>
            <w:proofErr w:type="spellEnd"/>
            <w:r>
              <w:rPr>
                <w:b/>
                <w:sz w:val="20"/>
                <w:szCs w:val="20"/>
                <w:lang w:val="fr-CA"/>
              </w:rPr>
              <w:t>)</w:t>
            </w:r>
          </w:p>
          <w:p w:rsidR="009E124A" w:rsidRPr="00455739" w:rsidRDefault="009E124A" w:rsidP="008F6F48">
            <w:pPr>
              <w:keepNext/>
              <w:keepLines/>
              <w:tabs>
                <w:tab w:val="left" w:pos="-1440"/>
                <w:tab w:val="left" w:pos="-720"/>
              </w:tabs>
              <w:rPr>
                <w:sz w:val="20"/>
                <w:szCs w:val="20"/>
                <w:lang w:val="fr-CA"/>
              </w:rPr>
            </w:pPr>
            <w:r w:rsidRPr="001D6280">
              <w:rPr>
                <w:sz w:val="20"/>
                <w:szCs w:val="20"/>
                <w:lang w:val="fr-CA"/>
              </w:rPr>
              <w:tab/>
            </w:r>
            <w:r w:rsidRPr="00455739">
              <w:rPr>
                <w:sz w:val="20"/>
                <w:szCs w:val="20"/>
                <w:lang w:val="fr-CA"/>
              </w:rPr>
              <w:t xml:space="preserve">Yannick </w:t>
            </w:r>
            <w:proofErr w:type="spellStart"/>
            <w:r w:rsidRPr="00455739">
              <w:rPr>
                <w:sz w:val="20"/>
                <w:szCs w:val="20"/>
                <w:lang w:val="fr-CA"/>
              </w:rPr>
              <w:t>Hurtuibise</w:t>
            </w:r>
            <w:proofErr w:type="spellEnd"/>
            <w:r w:rsidRPr="00455739">
              <w:rPr>
                <w:sz w:val="20"/>
                <w:szCs w:val="20"/>
                <w:lang w:val="fr-CA"/>
              </w:rPr>
              <w:t>-Forget</w:t>
            </w:r>
          </w:p>
          <w:p w:rsidR="009E124A" w:rsidRPr="00455739" w:rsidRDefault="009E124A" w:rsidP="008F6F48">
            <w:pPr>
              <w:keepNext/>
              <w:keepLines/>
              <w:tabs>
                <w:tab w:val="left" w:pos="-1440"/>
                <w:tab w:val="left" w:pos="-720"/>
              </w:tabs>
              <w:rPr>
                <w:sz w:val="20"/>
                <w:szCs w:val="20"/>
                <w:lang w:val="fr-CA"/>
              </w:rPr>
            </w:pPr>
            <w:r w:rsidRPr="00455739">
              <w:rPr>
                <w:sz w:val="20"/>
                <w:szCs w:val="20"/>
                <w:lang w:val="fr-CA"/>
              </w:rPr>
              <w:tab/>
            </w:r>
            <w:proofErr w:type="spellStart"/>
            <w:r w:rsidRPr="00455739">
              <w:rPr>
                <w:sz w:val="20"/>
                <w:szCs w:val="20"/>
                <w:lang w:val="fr-CA"/>
              </w:rPr>
              <w:t>Crochetière</w:t>
            </w:r>
            <w:proofErr w:type="spellEnd"/>
            <w:r w:rsidRPr="00455739">
              <w:rPr>
                <w:sz w:val="20"/>
                <w:szCs w:val="20"/>
                <w:lang w:val="fr-CA"/>
              </w:rPr>
              <w:t xml:space="preserve"> Pétrin</w:t>
            </w:r>
          </w:p>
          <w:p w:rsidR="009E124A" w:rsidRPr="00455739" w:rsidRDefault="009E124A" w:rsidP="008F6F48">
            <w:pPr>
              <w:keepNext/>
              <w:keepLines/>
              <w:tabs>
                <w:tab w:val="left" w:pos="-1440"/>
                <w:tab w:val="left" w:pos="-720"/>
              </w:tabs>
              <w:rPr>
                <w:sz w:val="20"/>
                <w:szCs w:val="20"/>
                <w:lang w:val="fr-CA"/>
              </w:rPr>
            </w:pPr>
          </w:p>
          <w:p w:rsidR="009E124A" w:rsidRPr="00041FC2" w:rsidRDefault="009E124A" w:rsidP="008F6F48">
            <w:pPr>
              <w:rPr>
                <w:sz w:val="20"/>
                <w:szCs w:val="20"/>
                <w:lang w:val="fr-CA"/>
              </w:rPr>
            </w:pPr>
            <w:r w:rsidRPr="00B328D2">
              <w:rPr>
                <w:sz w:val="20"/>
                <w:szCs w:val="20"/>
                <w:lang w:val="fr-CA"/>
              </w:rPr>
              <w:t>DATE DE PRODUCTION</w:t>
            </w:r>
            <w:r>
              <w:rPr>
                <w:sz w:val="20"/>
                <w:szCs w:val="20"/>
                <w:lang w:val="fr-CA"/>
              </w:rPr>
              <w:t xml:space="preserve"> </w:t>
            </w:r>
            <w:r w:rsidRPr="00455739">
              <w:rPr>
                <w:sz w:val="20"/>
                <w:szCs w:val="20"/>
                <w:lang w:val="fr-CA"/>
              </w:rPr>
              <w:t>: 26.11.2012</w:t>
            </w:r>
            <w:r w:rsidR="00D32E73" w:rsidRPr="00D32E7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p w:rsidR="009E124A" w:rsidRPr="00041FC2" w:rsidRDefault="009E124A" w:rsidP="008F6F48">
            <w:pPr>
              <w:jc w:val="center"/>
              <w:rPr>
                <w:sz w:val="20"/>
                <w:szCs w:val="20"/>
                <w:lang w:val="fr-CA"/>
              </w:rPr>
            </w:pPr>
          </w:p>
        </w:tc>
        <w:tc>
          <w:tcPr>
            <w:tcW w:w="4320" w:type="dxa"/>
            <w:shd w:val="clear" w:color="auto" w:fill="auto"/>
          </w:tcPr>
          <w:p w:rsidR="009E124A" w:rsidRPr="005D71B4" w:rsidRDefault="009E124A" w:rsidP="008F6F48">
            <w:pPr>
              <w:rPr>
                <w:b/>
                <w:sz w:val="20"/>
                <w:szCs w:val="20"/>
              </w:rPr>
            </w:pPr>
            <w:r w:rsidRPr="005D71B4">
              <w:rPr>
                <w:b/>
                <w:sz w:val="20"/>
                <w:szCs w:val="20"/>
              </w:rPr>
              <w:t>Mimi Williams</w:t>
            </w:r>
          </w:p>
          <w:p w:rsidR="009E124A" w:rsidRPr="005D71B4" w:rsidRDefault="009E124A" w:rsidP="008F6F48">
            <w:pPr>
              <w:tabs>
                <w:tab w:val="left" w:pos="-1440"/>
                <w:tab w:val="left" w:pos="-720"/>
              </w:tabs>
              <w:rPr>
                <w:sz w:val="20"/>
                <w:szCs w:val="20"/>
              </w:rPr>
            </w:pPr>
            <w:r w:rsidRPr="005D71B4">
              <w:rPr>
                <w:sz w:val="20"/>
                <w:szCs w:val="20"/>
              </w:rPr>
              <w:tab/>
              <w:t xml:space="preserve">Craig W. </w:t>
            </w:r>
            <w:proofErr w:type="spellStart"/>
            <w:r w:rsidRPr="005D71B4">
              <w:rPr>
                <w:sz w:val="20"/>
                <w:szCs w:val="20"/>
              </w:rPr>
              <w:t>Neuman</w:t>
            </w:r>
            <w:proofErr w:type="spellEnd"/>
            <w:r w:rsidRPr="005D71B4">
              <w:rPr>
                <w:sz w:val="20"/>
                <w:szCs w:val="20"/>
              </w:rPr>
              <w:t>, Q.C.</w:t>
            </w:r>
          </w:p>
          <w:p w:rsidR="009E124A" w:rsidRPr="005D71B4" w:rsidRDefault="009E124A" w:rsidP="008F6F48">
            <w:pPr>
              <w:tabs>
                <w:tab w:val="left" w:pos="-1440"/>
                <w:tab w:val="left" w:pos="-720"/>
              </w:tabs>
              <w:rPr>
                <w:sz w:val="20"/>
                <w:szCs w:val="20"/>
              </w:rPr>
            </w:pPr>
            <w:r w:rsidRPr="005D71B4">
              <w:rPr>
                <w:sz w:val="20"/>
                <w:szCs w:val="20"/>
              </w:rPr>
              <w:tab/>
            </w:r>
            <w:proofErr w:type="spellStart"/>
            <w:r w:rsidRPr="005D71B4">
              <w:rPr>
                <w:sz w:val="20"/>
                <w:szCs w:val="20"/>
              </w:rPr>
              <w:t>Neuman</w:t>
            </w:r>
            <w:proofErr w:type="spellEnd"/>
            <w:r w:rsidRPr="005D71B4">
              <w:rPr>
                <w:sz w:val="20"/>
                <w:szCs w:val="20"/>
              </w:rPr>
              <w:t xml:space="preserve"> Thompson</w:t>
            </w:r>
          </w:p>
          <w:p w:rsidR="009E124A" w:rsidRPr="005D71B4" w:rsidRDefault="009E124A" w:rsidP="008F6F48">
            <w:pPr>
              <w:tabs>
                <w:tab w:val="left" w:pos="-1440"/>
                <w:tab w:val="left" w:pos="-720"/>
              </w:tabs>
              <w:rPr>
                <w:sz w:val="20"/>
                <w:szCs w:val="20"/>
              </w:rPr>
            </w:pPr>
          </w:p>
          <w:p w:rsidR="009E124A" w:rsidRPr="005D71B4" w:rsidRDefault="009E124A" w:rsidP="008F6F48">
            <w:pPr>
              <w:tabs>
                <w:tab w:val="left" w:pos="-1440"/>
                <w:tab w:val="left" w:pos="-720"/>
              </w:tabs>
              <w:rPr>
                <w:sz w:val="20"/>
                <w:szCs w:val="20"/>
              </w:rPr>
            </w:pPr>
            <w:r w:rsidRPr="005D71B4">
              <w:rPr>
                <w:sz w:val="20"/>
                <w:szCs w:val="20"/>
              </w:rPr>
              <w:tab/>
              <w:t>v. (35114)</w:t>
            </w:r>
          </w:p>
          <w:p w:rsidR="009E124A" w:rsidRPr="005D71B4" w:rsidRDefault="009E124A" w:rsidP="008F6F48">
            <w:pPr>
              <w:tabs>
                <w:tab w:val="left" w:pos="-1440"/>
                <w:tab w:val="left" w:pos="-720"/>
              </w:tabs>
              <w:rPr>
                <w:sz w:val="20"/>
                <w:szCs w:val="20"/>
              </w:rPr>
            </w:pPr>
          </w:p>
          <w:p w:rsidR="009E124A" w:rsidRPr="005D71B4" w:rsidRDefault="009E124A" w:rsidP="008F6F48">
            <w:pPr>
              <w:tabs>
                <w:tab w:val="left" w:pos="-1440"/>
                <w:tab w:val="left" w:pos="-720"/>
              </w:tabs>
              <w:rPr>
                <w:b/>
                <w:sz w:val="20"/>
                <w:szCs w:val="20"/>
              </w:rPr>
            </w:pPr>
            <w:r w:rsidRPr="005D71B4">
              <w:rPr>
                <w:b/>
                <w:sz w:val="20"/>
                <w:szCs w:val="20"/>
              </w:rPr>
              <w:t>Telecommunications Workers Union et al. (Alta.)</w:t>
            </w:r>
          </w:p>
          <w:p w:rsidR="009E124A" w:rsidRPr="005D71B4" w:rsidRDefault="009E124A" w:rsidP="008F6F48">
            <w:pPr>
              <w:tabs>
                <w:tab w:val="left" w:pos="-1440"/>
                <w:tab w:val="left" w:pos="-720"/>
              </w:tabs>
              <w:rPr>
                <w:sz w:val="20"/>
                <w:szCs w:val="20"/>
              </w:rPr>
            </w:pPr>
            <w:r w:rsidRPr="005D71B4">
              <w:rPr>
                <w:sz w:val="20"/>
                <w:szCs w:val="20"/>
              </w:rPr>
              <w:tab/>
              <w:t>William J. Johnson, Q.C.</w:t>
            </w:r>
          </w:p>
          <w:p w:rsidR="009E124A" w:rsidRPr="005D71B4" w:rsidRDefault="009E124A" w:rsidP="008F6F48">
            <w:pPr>
              <w:tabs>
                <w:tab w:val="left" w:pos="-1440"/>
                <w:tab w:val="left" w:pos="-720"/>
              </w:tabs>
              <w:rPr>
                <w:sz w:val="20"/>
                <w:szCs w:val="20"/>
              </w:rPr>
            </w:pPr>
            <w:r w:rsidRPr="005D71B4">
              <w:rPr>
                <w:sz w:val="20"/>
                <w:szCs w:val="20"/>
              </w:rPr>
              <w:tab/>
              <w:t>McGowan Jonson</w:t>
            </w:r>
          </w:p>
          <w:p w:rsidR="009E124A" w:rsidRPr="005D71B4" w:rsidRDefault="009E124A" w:rsidP="008F6F48">
            <w:pPr>
              <w:tabs>
                <w:tab w:val="left" w:pos="-1440"/>
                <w:tab w:val="left" w:pos="-720"/>
              </w:tabs>
              <w:rPr>
                <w:sz w:val="20"/>
                <w:szCs w:val="20"/>
              </w:rPr>
            </w:pPr>
          </w:p>
          <w:p w:rsidR="009E124A" w:rsidRPr="005D71B4" w:rsidRDefault="009E124A" w:rsidP="008F6F48">
            <w:pPr>
              <w:rPr>
                <w:sz w:val="20"/>
                <w:szCs w:val="20"/>
              </w:rPr>
            </w:pPr>
            <w:r w:rsidRPr="005D71B4">
              <w:rPr>
                <w:sz w:val="20"/>
                <w:szCs w:val="20"/>
              </w:rPr>
              <w:t xml:space="preserve">FILING DATE: </w:t>
            </w:r>
            <w:r w:rsidRPr="005D71B4">
              <w:rPr>
                <w:sz w:val="20"/>
                <w:szCs w:val="20"/>
                <w:lang w:val="fr-CA"/>
              </w:rPr>
              <w:t>03.12.2012</w:t>
            </w:r>
          </w:p>
          <w:p w:rsidR="009E124A" w:rsidRPr="009C31D2" w:rsidRDefault="00D32E73" w:rsidP="008F6F48">
            <w:pPr>
              <w:rPr>
                <w:sz w:val="20"/>
                <w:szCs w:val="20"/>
              </w:rPr>
            </w:pPr>
            <w:r w:rsidRPr="00D32E73">
              <w:rPr>
                <w:sz w:val="20"/>
                <w:szCs w:val="20"/>
                <w:lang w:val="fr-CA"/>
              </w:rPr>
              <w:pict>
                <v:rect id="_x0000_i1034" style="width:108pt;height:1pt" o:hrpct="0" o:hralign="center" o:hrstd="t" o:hrnoshade="t" o:hr="t" fillcolor="black [3213]" stroked="f"/>
              </w:pict>
            </w:r>
          </w:p>
        </w:tc>
      </w:tr>
    </w:tbl>
    <w:p w:rsidR="009E124A" w:rsidRDefault="009E124A"/>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C0B5F">
          <w:headerReference w:type="default" r:id="rId16"/>
          <w:footerReference w:type="default" r:id="rId17"/>
          <w:headerReference w:type="first" r:id="rId18"/>
          <w:footerReference w:type="first" r:id="rId19"/>
          <w:pgSz w:w="12240" w:h="15840"/>
          <w:pgMar w:top="720" w:right="965" w:bottom="1080" w:left="1656" w:header="706" w:footer="706" w:gutter="0"/>
          <w:pgNumType w:start="193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C0B5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9A1EA9" w:rsidRPr="00C50A5C" w:rsidRDefault="009A1EA9" w:rsidP="009A1EA9">
      <w:pPr>
        <w:widowControl w:val="0"/>
        <w:rPr>
          <w:b/>
          <w:sz w:val="20"/>
          <w:szCs w:val="20"/>
        </w:rPr>
      </w:pPr>
      <w:r>
        <w:rPr>
          <w:b/>
          <w:sz w:val="20"/>
          <w:szCs w:val="20"/>
        </w:rPr>
        <w:t>DECEMBER</w:t>
      </w:r>
      <w:r w:rsidRPr="00C50A5C">
        <w:rPr>
          <w:b/>
          <w:sz w:val="20"/>
          <w:szCs w:val="20"/>
        </w:rPr>
        <w:t xml:space="preserve"> </w:t>
      </w:r>
      <w:r>
        <w:rPr>
          <w:b/>
          <w:sz w:val="20"/>
          <w:szCs w:val="20"/>
        </w:rPr>
        <w:t>10</w:t>
      </w:r>
      <w:r w:rsidRPr="00C50A5C">
        <w:rPr>
          <w:b/>
          <w:sz w:val="20"/>
          <w:szCs w:val="20"/>
        </w:rPr>
        <w:t>, 201</w:t>
      </w:r>
      <w:r>
        <w:rPr>
          <w:b/>
          <w:sz w:val="20"/>
          <w:szCs w:val="20"/>
        </w:rPr>
        <w:t>2</w:t>
      </w:r>
      <w:r w:rsidRPr="00C50A5C">
        <w:rPr>
          <w:b/>
          <w:sz w:val="20"/>
          <w:szCs w:val="20"/>
        </w:rPr>
        <w:t xml:space="preserve"> / LE </w:t>
      </w:r>
      <w:r>
        <w:rPr>
          <w:b/>
          <w:sz w:val="20"/>
          <w:szCs w:val="20"/>
        </w:rPr>
        <w:t>10 DÉCEMBRE</w:t>
      </w:r>
      <w:r w:rsidRPr="00C50A5C">
        <w:rPr>
          <w:b/>
          <w:sz w:val="20"/>
          <w:szCs w:val="20"/>
        </w:rPr>
        <w:t xml:space="preserve"> 201</w:t>
      </w:r>
      <w:r>
        <w:rPr>
          <w:b/>
          <w:sz w:val="20"/>
          <w:szCs w:val="20"/>
        </w:rPr>
        <w:t>2</w:t>
      </w:r>
    </w:p>
    <w:p w:rsidR="009A1EA9" w:rsidRPr="00C50A5C" w:rsidRDefault="009A1EA9" w:rsidP="009A1EA9">
      <w:pPr>
        <w:widowControl w:val="0"/>
        <w:rPr>
          <w:b/>
          <w:sz w:val="20"/>
          <w:szCs w:val="20"/>
        </w:rPr>
      </w:pPr>
    </w:p>
    <w:p w:rsidR="009A1EA9" w:rsidRPr="00C50A5C" w:rsidRDefault="009A1EA9" w:rsidP="009A1EA9">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9A1EA9" w:rsidRPr="00C50A5C" w:rsidRDefault="009A1EA9" w:rsidP="009A1EA9">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Pr>
          <w:b/>
          <w:sz w:val="20"/>
          <w:szCs w:val="20"/>
          <w:lang w:val="fr-CA"/>
        </w:rPr>
        <w:t>Abella</w:t>
      </w:r>
      <w:r w:rsidRPr="00C50A5C">
        <w:rPr>
          <w:b/>
          <w:sz w:val="20"/>
          <w:szCs w:val="20"/>
          <w:lang w:val="fr-CA"/>
        </w:rPr>
        <w:t xml:space="preserve"> et </w:t>
      </w:r>
      <w:r>
        <w:rPr>
          <w:b/>
          <w:sz w:val="20"/>
          <w:szCs w:val="20"/>
          <w:lang w:val="fr-CA"/>
        </w:rPr>
        <w:t>Cromwell</w:t>
      </w:r>
    </w:p>
    <w:p w:rsidR="009A1EA9" w:rsidRPr="00C50A5C" w:rsidRDefault="009A1EA9" w:rsidP="009A1EA9">
      <w:pPr>
        <w:widowControl w:val="0"/>
        <w:rPr>
          <w:sz w:val="20"/>
          <w:szCs w:val="20"/>
          <w:lang w:val="fr-CA"/>
        </w:rPr>
      </w:pPr>
    </w:p>
    <w:p w:rsidR="009A1EA9" w:rsidRDefault="009A1EA9" w:rsidP="009A1EA9">
      <w:pPr>
        <w:pStyle w:val="ListParagraph"/>
        <w:widowControl w:val="0"/>
        <w:numPr>
          <w:ilvl w:val="0"/>
          <w:numId w:val="1"/>
        </w:numPr>
        <w:ind w:hanging="720"/>
        <w:jc w:val="both"/>
        <w:rPr>
          <w:sz w:val="20"/>
          <w:szCs w:val="20"/>
        </w:rPr>
      </w:pPr>
      <w:proofErr w:type="spellStart"/>
      <w:r w:rsidRPr="00CA1293">
        <w:rPr>
          <w:i/>
          <w:sz w:val="20"/>
          <w:szCs w:val="20"/>
        </w:rPr>
        <w:t>Sebastien</w:t>
      </w:r>
      <w:proofErr w:type="spellEnd"/>
      <w:r w:rsidRPr="00CA1293">
        <w:rPr>
          <w:i/>
          <w:sz w:val="20"/>
          <w:szCs w:val="20"/>
        </w:rPr>
        <w:t xml:space="preserve"> </w:t>
      </w:r>
      <w:proofErr w:type="spellStart"/>
      <w:r w:rsidRPr="00CA1293">
        <w:rPr>
          <w:i/>
          <w:sz w:val="20"/>
          <w:szCs w:val="20"/>
        </w:rPr>
        <w:t>Ayangma</w:t>
      </w:r>
      <w:proofErr w:type="spellEnd"/>
      <w:r w:rsidRPr="00CA1293">
        <w:rPr>
          <w:i/>
          <w:sz w:val="20"/>
          <w:szCs w:val="20"/>
        </w:rPr>
        <w:t xml:space="preserve"> v. Her Majesty the Queen </w:t>
      </w:r>
      <w:r w:rsidRPr="00CA1293">
        <w:rPr>
          <w:sz w:val="20"/>
          <w:szCs w:val="20"/>
        </w:rPr>
        <w:t xml:space="preserve">(P.E.I.) (Crim.) (By Leave) (35055) </w:t>
      </w:r>
    </w:p>
    <w:p w:rsidR="009A1EA9" w:rsidRPr="00C50A5C" w:rsidRDefault="009A1EA9" w:rsidP="009A1EA9">
      <w:pPr>
        <w:pStyle w:val="ListParagraph"/>
        <w:widowControl w:val="0"/>
        <w:ind w:left="0"/>
        <w:jc w:val="both"/>
        <w:rPr>
          <w:sz w:val="20"/>
          <w:szCs w:val="20"/>
        </w:rPr>
      </w:pPr>
    </w:p>
    <w:p w:rsidR="009A1EA9" w:rsidRPr="00B021D6" w:rsidRDefault="009A1EA9" w:rsidP="009A1EA9">
      <w:pPr>
        <w:pStyle w:val="ListParagraph"/>
        <w:widowControl w:val="0"/>
        <w:numPr>
          <w:ilvl w:val="0"/>
          <w:numId w:val="1"/>
        </w:numPr>
        <w:ind w:hanging="720"/>
        <w:jc w:val="both"/>
        <w:rPr>
          <w:sz w:val="20"/>
          <w:szCs w:val="20"/>
          <w:lang w:val="fr-CA"/>
        </w:rPr>
      </w:pPr>
      <w:r w:rsidRPr="00B021D6">
        <w:rPr>
          <w:i/>
          <w:sz w:val="20"/>
          <w:szCs w:val="20"/>
          <w:lang w:val="fr-CA"/>
        </w:rPr>
        <w:t>Jacques Hamel c. Madeleine Perron</w:t>
      </w:r>
      <w:r w:rsidRPr="00B021D6">
        <w:rPr>
          <w:sz w:val="20"/>
          <w:szCs w:val="20"/>
          <w:lang w:val="fr-CA"/>
        </w:rPr>
        <w:t xml:space="preserve"> (</w:t>
      </w:r>
      <w:proofErr w:type="spellStart"/>
      <w:r w:rsidRPr="00B021D6">
        <w:rPr>
          <w:sz w:val="20"/>
          <w:szCs w:val="20"/>
          <w:lang w:val="fr-CA"/>
        </w:rPr>
        <w:t>Qc</w:t>
      </w:r>
      <w:proofErr w:type="spellEnd"/>
      <w:r w:rsidRPr="00B021D6">
        <w:rPr>
          <w:sz w:val="20"/>
          <w:szCs w:val="20"/>
          <w:lang w:val="fr-CA"/>
        </w:rPr>
        <w:t>) (Civile) (Autorisation) (35058)</w:t>
      </w:r>
    </w:p>
    <w:p w:rsidR="009A1EA9" w:rsidRPr="00B021D6" w:rsidRDefault="009A1EA9" w:rsidP="009A1EA9">
      <w:pPr>
        <w:widowControl w:val="0"/>
        <w:jc w:val="both"/>
        <w:rPr>
          <w:sz w:val="20"/>
          <w:szCs w:val="20"/>
          <w:lang w:val="fr-CA"/>
        </w:rPr>
      </w:pPr>
    </w:p>
    <w:p w:rsidR="009A1EA9" w:rsidRPr="00041FC2" w:rsidRDefault="009A1EA9" w:rsidP="009A1EA9">
      <w:pPr>
        <w:widowControl w:val="0"/>
        <w:jc w:val="both"/>
        <w:rPr>
          <w:sz w:val="20"/>
          <w:szCs w:val="20"/>
          <w:lang w:val="fr-CA"/>
        </w:rPr>
      </w:pPr>
    </w:p>
    <w:p w:rsidR="009A1EA9" w:rsidRPr="00C50A5C" w:rsidRDefault="009A1EA9" w:rsidP="009A1EA9">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9A1EA9" w:rsidRPr="00C50A5C" w:rsidRDefault="009A1EA9" w:rsidP="009A1EA9">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9A1EA9" w:rsidRPr="00C16CB3" w:rsidRDefault="009A1EA9" w:rsidP="009A1EA9">
      <w:pPr>
        <w:widowControl w:val="0"/>
        <w:jc w:val="both"/>
        <w:rPr>
          <w:sz w:val="20"/>
          <w:szCs w:val="20"/>
          <w:lang w:val="fr-CA"/>
        </w:rPr>
      </w:pPr>
    </w:p>
    <w:p w:rsidR="009A1EA9" w:rsidRDefault="009A1EA9" w:rsidP="009A1EA9">
      <w:pPr>
        <w:pStyle w:val="ListParagraph"/>
        <w:widowControl w:val="0"/>
        <w:numPr>
          <w:ilvl w:val="0"/>
          <w:numId w:val="1"/>
        </w:numPr>
        <w:ind w:hanging="720"/>
        <w:jc w:val="both"/>
        <w:rPr>
          <w:sz w:val="20"/>
          <w:szCs w:val="20"/>
          <w:lang w:val="fr-CA"/>
        </w:rPr>
      </w:pPr>
      <w:r w:rsidRPr="00B021D6">
        <w:rPr>
          <w:i/>
          <w:sz w:val="20"/>
          <w:szCs w:val="20"/>
          <w:lang w:val="fr-CA"/>
        </w:rPr>
        <w:t>Bell Canada c. Union des consommateurs</w:t>
      </w:r>
      <w:r w:rsidRPr="00B021D6">
        <w:rPr>
          <w:sz w:val="20"/>
          <w:szCs w:val="20"/>
          <w:lang w:val="fr-CA"/>
        </w:rPr>
        <w:t xml:space="preserve"> (</w:t>
      </w:r>
      <w:proofErr w:type="spellStart"/>
      <w:r w:rsidRPr="00B021D6">
        <w:rPr>
          <w:sz w:val="20"/>
          <w:szCs w:val="20"/>
          <w:lang w:val="fr-CA"/>
        </w:rPr>
        <w:t>Qc</w:t>
      </w:r>
      <w:proofErr w:type="spellEnd"/>
      <w:r w:rsidRPr="00B021D6">
        <w:rPr>
          <w:sz w:val="20"/>
          <w:szCs w:val="20"/>
          <w:lang w:val="fr-CA"/>
        </w:rPr>
        <w:t xml:space="preserve">) (Civile) (Autorisation) (34994) </w:t>
      </w:r>
    </w:p>
    <w:p w:rsidR="009A1EA9" w:rsidRPr="00C612D0" w:rsidRDefault="009A1EA9" w:rsidP="009A1EA9">
      <w:pPr>
        <w:pStyle w:val="ListParagraph"/>
        <w:widowControl w:val="0"/>
        <w:ind w:left="0"/>
        <w:jc w:val="both"/>
        <w:rPr>
          <w:sz w:val="20"/>
          <w:szCs w:val="20"/>
          <w:lang w:val="fr-CA"/>
        </w:rPr>
      </w:pPr>
    </w:p>
    <w:p w:rsidR="009A1EA9" w:rsidRPr="00115C9E" w:rsidRDefault="009A1EA9" w:rsidP="009A1EA9">
      <w:pPr>
        <w:pStyle w:val="ListParagraph"/>
        <w:widowControl w:val="0"/>
        <w:numPr>
          <w:ilvl w:val="0"/>
          <w:numId w:val="1"/>
        </w:numPr>
        <w:ind w:hanging="720"/>
        <w:jc w:val="both"/>
        <w:rPr>
          <w:sz w:val="20"/>
          <w:szCs w:val="20"/>
          <w:lang w:val="fr-CA"/>
        </w:rPr>
      </w:pPr>
      <w:r w:rsidRPr="00704E21">
        <w:rPr>
          <w:i/>
          <w:sz w:val="20"/>
          <w:szCs w:val="20"/>
          <w:lang w:val="en-US"/>
        </w:rPr>
        <w:t xml:space="preserve">Terry </w:t>
      </w:r>
      <w:proofErr w:type="spellStart"/>
      <w:r w:rsidRPr="00704E21">
        <w:rPr>
          <w:i/>
          <w:sz w:val="20"/>
          <w:szCs w:val="20"/>
          <w:lang w:val="en-US"/>
        </w:rPr>
        <w:t>Piersanti</w:t>
      </w:r>
      <w:proofErr w:type="spellEnd"/>
      <w:r w:rsidRPr="00704E21">
        <w:rPr>
          <w:i/>
          <w:sz w:val="20"/>
          <w:szCs w:val="20"/>
          <w:lang w:val="en-US"/>
        </w:rPr>
        <w:t xml:space="preserve">, also known as Terry </w:t>
      </w:r>
      <w:proofErr w:type="spellStart"/>
      <w:r w:rsidRPr="00704E21">
        <w:rPr>
          <w:i/>
          <w:sz w:val="20"/>
          <w:szCs w:val="20"/>
          <w:lang w:val="en-US"/>
        </w:rPr>
        <w:t>Scatcherd</w:t>
      </w:r>
      <w:proofErr w:type="spellEnd"/>
      <w:r w:rsidRPr="00704E21">
        <w:rPr>
          <w:i/>
          <w:sz w:val="20"/>
          <w:szCs w:val="20"/>
          <w:lang w:val="en-US"/>
        </w:rPr>
        <w:t xml:space="preserve"> et al. v. </w:t>
      </w:r>
      <w:proofErr w:type="spellStart"/>
      <w:r w:rsidRPr="00704E21">
        <w:rPr>
          <w:i/>
          <w:sz w:val="20"/>
          <w:szCs w:val="20"/>
          <w:lang w:val="en-US"/>
        </w:rPr>
        <w:t>Bertina</w:t>
      </w:r>
      <w:proofErr w:type="spellEnd"/>
      <w:r w:rsidRPr="00704E21">
        <w:rPr>
          <w:i/>
          <w:sz w:val="20"/>
          <w:szCs w:val="20"/>
          <w:lang w:val="en-US"/>
        </w:rPr>
        <w:t xml:space="preserve"> </w:t>
      </w:r>
      <w:proofErr w:type="spellStart"/>
      <w:r w:rsidRPr="00704E21">
        <w:rPr>
          <w:i/>
          <w:sz w:val="20"/>
          <w:szCs w:val="20"/>
          <w:lang w:val="en-US"/>
        </w:rPr>
        <w:t>Alfano</w:t>
      </w:r>
      <w:proofErr w:type="spellEnd"/>
      <w:r w:rsidRPr="00704E21">
        <w:rPr>
          <w:i/>
          <w:sz w:val="20"/>
          <w:szCs w:val="20"/>
          <w:lang w:val="en-US"/>
        </w:rPr>
        <w:t xml:space="preserve">, Trustee of the Carmen </w:t>
      </w:r>
      <w:proofErr w:type="spellStart"/>
      <w:r w:rsidRPr="00704E21">
        <w:rPr>
          <w:i/>
          <w:sz w:val="20"/>
          <w:szCs w:val="20"/>
          <w:lang w:val="en-US"/>
        </w:rPr>
        <w:t>Alfano</w:t>
      </w:r>
      <w:proofErr w:type="spellEnd"/>
      <w:r w:rsidRPr="00704E21">
        <w:rPr>
          <w:i/>
          <w:sz w:val="20"/>
          <w:szCs w:val="20"/>
          <w:lang w:val="en-US"/>
        </w:rPr>
        <w:t xml:space="preserve"> Family Trust et al. </w:t>
      </w:r>
      <w:r w:rsidRPr="00704E21">
        <w:rPr>
          <w:sz w:val="20"/>
          <w:szCs w:val="20"/>
          <w:lang w:val="fr-CA"/>
        </w:rPr>
        <w:t xml:space="preserve">(Ont.) (Civil) (By </w:t>
      </w:r>
      <w:proofErr w:type="spellStart"/>
      <w:r w:rsidRPr="00704E21">
        <w:rPr>
          <w:sz w:val="20"/>
          <w:szCs w:val="20"/>
          <w:lang w:val="fr-CA"/>
        </w:rPr>
        <w:t>Leave</w:t>
      </w:r>
      <w:proofErr w:type="spellEnd"/>
      <w:r w:rsidRPr="00704E21">
        <w:rPr>
          <w:sz w:val="20"/>
          <w:szCs w:val="20"/>
          <w:lang w:val="fr-CA"/>
        </w:rPr>
        <w:t>) (35062)</w:t>
      </w:r>
    </w:p>
    <w:p w:rsidR="009A1EA9" w:rsidRPr="00115C9E" w:rsidRDefault="009A1EA9" w:rsidP="009A1EA9">
      <w:pPr>
        <w:widowControl w:val="0"/>
        <w:jc w:val="both"/>
        <w:rPr>
          <w:sz w:val="20"/>
          <w:szCs w:val="20"/>
          <w:lang w:val="fr-CA"/>
        </w:rPr>
      </w:pPr>
    </w:p>
    <w:p w:rsidR="009A1EA9" w:rsidRDefault="009A1EA9" w:rsidP="009A1EA9">
      <w:pPr>
        <w:widowControl w:val="0"/>
        <w:rPr>
          <w:sz w:val="20"/>
          <w:szCs w:val="20"/>
          <w:lang w:val="fr-CA"/>
        </w:rPr>
      </w:pPr>
    </w:p>
    <w:p w:rsidR="009A1EA9" w:rsidRPr="00C50A5C" w:rsidRDefault="009A1EA9" w:rsidP="009A1EA9">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9A1EA9" w:rsidRPr="00C50A5C" w:rsidRDefault="009A1EA9" w:rsidP="009A1EA9">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9A1EA9" w:rsidRPr="00C50A5C" w:rsidRDefault="009A1EA9" w:rsidP="009A1EA9">
      <w:pPr>
        <w:widowControl w:val="0"/>
        <w:rPr>
          <w:sz w:val="20"/>
          <w:szCs w:val="20"/>
          <w:lang w:val="fr-CA"/>
        </w:rPr>
      </w:pPr>
    </w:p>
    <w:p w:rsidR="009A1EA9" w:rsidRPr="00704E21" w:rsidRDefault="009A1EA9" w:rsidP="009A1EA9">
      <w:pPr>
        <w:pStyle w:val="ListParagraph"/>
        <w:widowControl w:val="0"/>
        <w:numPr>
          <w:ilvl w:val="0"/>
          <w:numId w:val="1"/>
        </w:numPr>
        <w:ind w:hanging="720"/>
        <w:jc w:val="both"/>
        <w:rPr>
          <w:sz w:val="20"/>
          <w:szCs w:val="20"/>
          <w:lang w:val="en-US"/>
        </w:rPr>
      </w:pPr>
      <w:r w:rsidRPr="00704E21">
        <w:rPr>
          <w:i/>
          <w:sz w:val="20"/>
          <w:szCs w:val="20"/>
        </w:rPr>
        <w:t xml:space="preserve">Lansdowne Park Conservancy v. City of Ottawa </w:t>
      </w:r>
      <w:r w:rsidRPr="00704E21">
        <w:rPr>
          <w:sz w:val="20"/>
          <w:szCs w:val="20"/>
        </w:rPr>
        <w:t>(Ont.) (Civil) (By Leave) (35059)</w:t>
      </w:r>
    </w:p>
    <w:p w:rsidR="009A1EA9" w:rsidRPr="00704E21" w:rsidRDefault="009A1EA9" w:rsidP="009A1EA9">
      <w:pPr>
        <w:widowControl w:val="0"/>
        <w:jc w:val="both"/>
        <w:rPr>
          <w:sz w:val="20"/>
          <w:szCs w:val="20"/>
          <w:lang w:val="en-US"/>
        </w:rPr>
      </w:pPr>
    </w:p>
    <w:p w:rsidR="009A1EA9" w:rsidRPr="00115C9E" w:rsidRDefault="009A1EA9" w:rsidP="009A1EA9">
      <w:pPr>
        <w:pStyle w:val="ListParagraph"/>
        <w:widowControl w:val="0"/>
        <w:numPr>
          <w:ilvl w:val="0"/>
          <w:numId w:val="1"/>
        </w:numPr>
        <w:ind w:hanging="720"/>
        <w:jc w:val="both"/>
        <w:rPr>
          <w:sz w:val="20"/>
          <w:szCs w:val="20"/>
        </w:rPr>
      </w:pPr>
      <w:r w:rsidRPr="00704E21">
        <w:rPr>
          <w:i/>
          <w:sz w:val="20"/>
          <w:szCs w:val="20"/>
        </w:rPr>
        <w:t xml:space="preserve">Robert Allan </w:t>
      </w:r>
      <w:proofErr w:type="spellStart"/>
      <w:r w:rsidRPr="00704E21">
        <w:rPr>
          <w:i/>
          <w:sz w:val="20"/>
          <w:szCs w:val="20"/>
        </w:rPr>
        <w:t>Rudderham</w:t>
      </w:r>
      <w:proofErr w:type="spellEnd"/>
      <w:r w:rsidRPr="00704E21">
        <w:rPr>
          <w:i/>
          <w:sz w:val="20"/>
          <w:szCs w:val="20"/>
        </w:rPr>
        <w:t xml:space="preserve"> et al. v. 1707508 Ontario Limited </w:t>
      </w:r>
      <w:proofErr w:type="spellStart"/>
      <w:r w:rsidRPr="00704E21">
        <w:rPr>
          <w:i/>
          <w:sz w:val="20"/>
          <w:szCs w:val="20"/>
        </w:rPr>
        <w:t>c.o.b</w:t>
      </w:r>
      <w:proofErr w:type="spellEnd"/>
      <w:r w:rsidRPr="00704E21">
        <w:rPr>
          <w:i/>
          <w:sz w:val="20"/>
          <w:szCs w:val="20"/>
        </w:rPr>
        <w:t xml:space="preserve">. as TJ's Grill &amp; Bar </w:t>
      </w:r>
      <w:r w:rsidRPr="00704E21">
        <w:rPr>
          <w:sz w:val="20"/>
          <w:szCs w:val="20"/>
        </w:rPr>
        <w:t>(Ont.) (Civil) (By Leave) (35041)</w:t>
      </w:r>
    </w:p>
    <w:p w:rsidR="002E2327" w:rsidRPr="00C50A5C" w:rsidRDefault="002E2327" w:rsidP="002E2327">
      <w:pPr>
        <w:widowControl w:val="0"/>
        <w:rPr>
          <w:sz w:val="20"/>
          <w:szCs w:val="20"/>
          <w:lang w:val="fr-CA"/>
        </w:rPr>
      </w:pPr>
    </w:p>
    <w:p w:rsidR="002E2327" w:rsidRPr="00C50A5C" w:rsidRDefault="00D32E73" w:rsidP="002E2327">
      <w:pPr>
        <w:widowControl w:val="0"/>
        <w:rPr>
          <w:sz w:val="20"/>
          <w:szCs w:val="20"/>
        </w:rPr>
      </w:pPr>
      <w:r w:rsidRPr="00D32E73">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C0B5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2C1715" w:rsidRPr="00C50A5C" w:rsidRDefault="002C1715" w:rsidP="002C1715">
      <w:pPr>
        <w:rPr>
          <w:b/>
          <w:sz w:val="20"/>
          <w:szCs w:val="20"/>
        </w:rPr>
      </w:pPr>
      <w:r>
        <w:rPr>
          <w:b/>
          <w:sz w:val="20"/>
          <w:szCs w:val="20"/>
        </w:rPr>
        <w:t>DECEMBER 13</w:t>
      </w:r>
      <w:r w:rsidRPr="00C50A5C">
        <w:rPr>
          <w:b/>
          <w:sz w:val="20"/>
          <w:szCs w:val="20"/>
        </w:rPr>
        <w:t>, 201</w:t>
      </w:r>
      <w:r>
        <w:rPr>
          <w:b/>
          <w:sz w:val="20"/>
          <w:szCs w:val="20"/>
        </w:rPr>
        <w:t>2</w:t>
      </w:r>
      <w:r w:rsidRPr="00C50A5C">
        <w:rPr>
          <w:b/>
          <w:sz w:val="20"/>
          <w:szCs w:val="20"/>
        </w:rPr>
        <w:t xml:space="preserve"> / LE </w:t>
      </w:r>
      <w:r>
        <w:rPr>
          <w:b/>
          <w:sz w:val="20"/>
          <w:szCs w:val="20"/>
        </w:rPr>
        <w:t>13</w:t>
      </w:r>
      <w:r w:rsidRPr="00C50A5C">
        <w:rPr>
          <w:b/>
          <w:sz w:val="20"/>
          <w:szCs w:val="20"/>
        </w:rPr>
        <w:t xml:space="preserve"> </w:t>
      </w:r>
      <w:r>
        <w:rPr>
          <w:b/>
          <w:sz w:val="20"/>
          <w:szCs w:val="20"/>
        </w:rPr>
        <w:t>D</w:t>
      </w:r>
      <w:r w:rsidRPr="00C7489A">
        <w:rPr>
          <w:b/>
          <w:sz w:val="20"/>
          <w:szCs w:val="20"/>
          <w:lang w:val="en-US"/>
        </w:rPr>
        <w:t>ÉCEMBRE</w:t>
      </w:r>
      <w:r w:rsidRPr="00C50A5C">
        <w:rPr>
          <w:b/>
          <w:sz w:val="20"/>
          <w:szCs w:val="20"/>
        </w:rPr>
        <w:t xml:space="preserve"> 201</w:t>
      </w:r>
      <w:r>
        <w:rPr>
          <w:b/>
          <w:sz w:val="20"/>
          <w:szCs w:val="20"/>
        </w:rPr>
        <w:t>2</w:t>
      </w:r>
    </w:p>
    <w:p w:rsidR="002C1715" w:rsidRDefault="002C1715" w:rsidP="002C1715">
      <w:pPr>
        <w:rPr>
          <w:b/>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Tr="008F6F48">
        <w:trPr>
          <w:cantSplit/>
        </w:trPr>
        <w:tc>
          <w:tcPr>
            <w:tcW w:w="1458" w:type="dxa"/>
          </w:tcPr>
          <w:p w:rsidR="002C1715" w:rsidRPr="0008349F" w:rsidRDefault="002C1715" w:rsidP="008F6F48">
            <w:pPr>
              <w:rPr>
                <w:sz w:val="20"/>
                <w:szCs w:val="20"/>
              </w:rPr>
            </w:pPr>
            <w:r w:rsidRPr="0008349F">
              <w:rPr>
                <w:rStyle w:val="SCCFileNumberChar"/>
                <w:sz w:val="20"/>
                <w:szCs w:val="20"/>
              </w:rPr>
              <w:t>34953</w:t>
            </w:r>
          </w:p>
          <w:p w:rsidR="002C1715" w:rsidRPr="0008349F" w:rsidRDefault="002C1715" w:rsidP="008F6F48">
            <w:pPr>
              <w:rPr>
                <w:b/>
                <w:sz w:val="20"/>
                <w:szCs w:val="20"/>
                <w:lang w:val="fr-CA"/>
              </w:rPr>
            </w:pPr>
          </w:p>
        </w:tc>
        <w:tc>
          <w:tcPr>
            <w:tcW w:w="8118" w:type="dxa"/>
          </w:tcPr>
          <w:p w:rsidR="002C1715" w:rsidRPr="0008349F" w:rsidRDefault="002C1715" w:rsidP="008F6F48">
            <w:pPr>
              <w:rPr>
                <w:sz w:val="20"/>
                <w:szCs w:val="20"/>
              </w:rPr>
            </w:pPr>
            <w:r w:rsidRPr="0008349F">
              <w:rPr>
                <w:rStyle w:val="SCCLsocChar"/>
                <w:sz w:val="20"/>
                <w:szCs w:val="20"/>
                <w:lang w:val="en-US"/>
              </w:rPr>
              <w:t>Her Majesty the Queen v. Mackenzie McDonald</w:t>
            </w:r>
            <w:r w:rsidRPr="0008349F">
              <w:rPr>
                <w:sz w:val="20"/>
                <w:szCs w:val="20"/>
              </w:rPr>
              <w:t xml:space="preserve"> (Ont.) (Criminal) (By Leave)</w:t>
            </w:r>
          </w:p>
          <w:p w:rsidR="002C1715" w:rsidRPr="0008349F" w:rsidRDefault="002C1715" w:rsidP="008F6F48">
            <w:pPr>
              <w:rPr>
                <w:sz w:val="20"/>
                <w:szCs w:val="20"/>
              </w:rPr>
            </w:pPr>
          </w:p>
        </w:tc>
      </w:tr>
      <w:tr w:rsidR="002C1715" w:rsidTr="008F6F48">
        <w:trPr>
          <w:cantSplit/>
        </w:trPr>
        <w:tc>
          <w:tcPr>
            <w:tcW w:w="1458" w:type="dxa"/>
          </w:tcPr>
          <w:p w:rsidR="002C1715" w:rsidRPr="0008349F" w:rsidRDefault="002C1715" w:rsidP="008F6F48">
            <w:pPr>
              <w:rPr>
                <w:sz w:val="20"/>
                <w:szCs w:val="20"/>
              </w:rPr>
            </w:pPr>
            <w:r w:rsidRPr="0008349F">
              <w:rPr>
                <w:sz w:val="20"/>
                <w:szCs w:val="20"/>
              </w:rPr>
              <w:t>Coram :</w:t>
            </w:r>
          </w:p>
        </w:tc>
        <w:tc>
          <w:tcPr>
            <w:tcW w:w="8118" w:type="dxa"/>
          </w:tcPr>
          <w:p w:rsidR="002C1715" w:rsidRPr="0008349F" w:rsidRDefault="002C1715" w:rsidP="008F6F48">
            <w:pPr>
              <w:rPr>
                <w:sz w:val="20"/>
                <w:szCs w:val="20"/>
              </w:rPr>
            </w:pPr>
            <w:r w:rsidRPr="0008349F">
              <w:rPr>
                <w:rStyle w:val="SCCCoramChar"/>
                <w:sz w:val="20"/>
                <w:szCs w:val="20"/>
                <w:lang w:val="en-US"/>
              </w:rPr>
              <w:t xml:space="preserve">Fish, Rothstein and </w:t>
            </w:r>
            <w:proofErr w:type="spellStart"/>
            <w:r w:rsidRPr="0008349F">
              <w:rPr>
                <w:rStyle w:val="SCCCoramChar"/>
                <w:sz w:val="20"/>
                <w:szCs w:val="20"/>
                <w:lang w:val="en-US"/>
              </w:rPr>
              <w:t>Moldaver</w:t>
            </w:r>
            <w:proofErr w:type="spellEnd"/>
            <w:r w:rsidRPr="0008349F">
              <w:rPr>
                <w:rStyle w:val="SCCCoramChar"/>
                <w:sz w:val="20"/>
                <w:szCs w:val="20"/>
                <w:lang w:val="en-US"/>
              </w:rPr>
              <w:t> JJ.</w:t>
            </w:r>
          </w:p>
          <w:p w:rsidR="002C1715" w:rsidRPr="0008349F" w:rsidRDefault="002C1715" w:rsidP="008F6F48">
            <w:pPr>
              <w:rPr>
                <w:sz w:val="20"/>
                <w:szCs w:val="20"/>
                <w:u w:val="single"/>
              </w:rPr>
            </w:pPr>
          </w:p>
        </w:tc>
      </w:tr>
      <w:tr w:rsidR="002C1715" w:rsidRPr="00B32C76" w:rsidTr="008F6F48">
        <w:trPr>
          <w:cantSplit/>
        </w:trPr>
        <w:tc>
          <w:tcPr>
            <w:tcW w:w="9576" w:type="dxa"/>
            <w:gridSpan w:val="2"/>
          </w:tcPr>
          <w:p w:rsidR="002C1715" w:rsidRPr="0008349F" w:rsidRDefault="002C1715" w:rsidP="008F6F48">
            <w:pPr>
              <w:pStyle w:val="SCCShortJudgment"/>
              <w:rPr>
                <w:szCs w:val="20"/>
              </w:rPr>
            </w:pPr>
            <w:r w:rsidRPr="0008349F">
              <w:rPr>
                <w:szCs w:val="20"/>
              </w:rPr>
              <w:t>The application for leave to appeal from the judgment of the Court of Appeal for Ontario, Number C52136, 2012 ONCA 379, dated June 6, 2012, is dismissed without costs.</w:t>
            </w:r>
          </w:p>
          <w:p w:rsidR="002C1715" w:rsidRPr="0008349F" w:rsidRDefault="002C1715" w:rsidP="008F6F48">
            <w:pPr>
              <w:pStyle w:val="SCCShortJudgment"/>
              <w:ind w:firstLine="0"/>
              <w:rPr>
                <w:szCs w:val="20"/>
              </w:rPr>
            </w:pPr>
          </w:p>
          <w:p w:rsidR="002C1715" w:rsidRPr="0008349F" w:rsidRDefault="002C1715" w:rsidP="008F6F48">
            <w:pPr>
              <w:pStyle w:val="SCCShortJudgment"/>
              <w:rPr>
                <w:szCs w:val="20"/>
                <w:lang w:val="fr-CA"/>
              </w:rPr>
            </w:pPr>
            <w:r w:rsidRPr="0008349F">
              <w:rPr>
                <w:szCs w:val="20"/>
                <w:lang w:val="fr-CA"/>
              </w:rPr>
              <w:t>La demande d’autorisation d’appel de l’arrêt de la Cour d’appel de l’Ontario, numéro C52136, 2012 ONCA 379, daté du 6 juin 2012, est rejetée sans dépens.</w:t>
            </w:r>
          </w:p>
        </w:tc>
      </w:tr>
    </w:tbl>
    <w:p w:rsidR="002C1715" w:rsidRPr="00F63D09" w:rsidRDefault="002C1715" w:rsidP="002C1715">
      <w:pPr>
        <w:rPr>
          <w:sz w:val="20"/>
          <w:szCs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1715" w:rsidRPr="005A6FAA" w:rsidTr="008F6F48">
        <w:tc>
          <w:tcPr>
            <w:tcW w:w="5000" w:type="pct"/>
            <w:gridSpan w:val="3"/>
          </w:tcPr>
          <w:p w:rsidR="002C1715" w:rsidRPr="005A6FAA" w:rsidRDefault="002C1715" w:rsidP="008F6F48">
            <w:pPr>
              <w:jc w:val="both"/>
              <w:rPr>
                <w:rFonts w:eastAsia="Calibri" w:cs="Times New Roman"/>
                <w:sz w:val="20"/>
                <w:szCs w:val="20"/>
              </w:rPr>
            </w:pPr>
            <w:r w:rsidRPr="005A6FAA">
              <w:rPr>
                <w:rFonts w:eastAsia="Calibri" w:cs="Times New Roman"/>
                <w:sz w:val="20"/>
                <w:szCs w:val="20"/>
              </w:rPr>
              <w:t xml:space="preserve">Criminal law — Aggravated assault — Consent — Whether the rule in </w:t>
            </w:r>
            <w:r w:rsidRPr="005A6FAA">
              <w:rPr>
                <w:rFonts w:eastAsia="Calibri" w:cs="Times New Roman"/>
                <w:i/>
                <w:sz w:val="20"/>
                <w:szCs w:val="20"/>
              </w:rPr>
              <w:t>Jobidon</w:t>
            </w:r>
            <w:r w:rsidRPr="005A6FAA">
              <w:rPr>
                <w:rFonts w:eastAsia="Calibri" w:cs="Times New Roman"/>
                <w:sz w:val="20"/>
                <w:szCs w:val="20"/>
              </w:rPr>
              <w:t xml:space="preserve"> extends to legally vitiate consent on a charge of aggravated assault when the force an accused intentionally applies wounds, maims, disfigures, or endangers the life of a complainant, and the risk of bodily harm is reasonably foreseeable.</w:t>
            </w:r>
          </w:p>
        </w:tc>
      </w:tr>
      <w:tr w:rsidR="002C1715" w:rsidRPr="005A6FAA" w:rsidTr="008F6F48">
        <w:tc>
          <w:tcPr>
            <w:tcW w:w="5000" w:type="pct"/>
            <w:gridSpan w:val="3"/>
          </w:tcPr>
          <w:p w:rsidR="002C1715" w:rsidRPr="005A6FAA" w:rsidRDefault="002C1715" w:rsidP="008F6F48">
            <w:pPr>
              <w:jc w:val="both"/>
              <w:rPr>
                <w:rFonts w:eastAsia="Calibri" w:cs="Times New Roman"/>
                <w:sz w:val="20"/>
                <w:szCs w:val="20"/>
              </w:rPr>
            </w:pPr>
          </w:p>
        </w:tc>
      </w:tr>
      <w:tr w:rsidR="002C1715" w:rsidRPr="005A6FAA" w:rsidTr="008F6F48">
        <w:tc>
          <w:tcPr>
            <w:tcW w:w="5000" w:type="pct"/>
            <w:gridSpan w:val="3"/>
          </w:tcPr>
          <w:p w:rsidR="002C1715" w:rsidRPr="005A6FAA" w:rsidRDefault="002C1715" w:rsidP="008F6F48">
            <w:pPr>
              <w:jc w:val="both"/>
              <w:rPr>
                <w:rFonts w:eastAsia="Calibri" w:cs="Times New Roman"/>
                <w:sz w:val="20"/>
                <w:szCs w:val="20"/>
              </w:rPr>
            </w:pPr>
            <w:r w:rsidRPr="005A6FAA">
              <w:rPr>
                <w:rFonts w:eastAsia="Calibri" w:cs="Times New Roman"/>
                <w:sz w:val="20"/>
                <w:szCs w:val="20"/>
              </w:rPr>
              <w:t>The Applicant, Mr. McDonald and two friends drove to Kingston from Ottawa to take part in the annual Homecoming weekend festivities at Queen’s University.  After spending Saturday evening with friends, Mr. McDonald went to the Subway restaurant to get something to eat.  It was almost 2:00 a.m. and the place was packed.  Mr. Gibson was in Kingston for the weekend doing renovations at a store.  He also went to the Subway restaurant late that night to get something to eat.  There were approximately 30 to 40 people in line at the restaurant.  Mr. Gibson entered the restaurant and went to the front of the line, taking a position in front of some people who were ahead of Mr. McDonald.  Mr. McDonald who had been waiting for approximately 30 minutes, told Mr. Gibson to go the back of the line, but Mr. Gibson ignored him.  Mr. McDonald put his right hand on Mr. Gibson’s left shoulder and told him to get to the back of the line.  Mr. Gibson grabbed Mr. McDonald’s right arm with both his hands.  Mr. McDonald tried to get free but could not as Mr. Gibson would not release his arm.  The two men were struggling with each other.  Mr. McDonald managed to pull his arm and tuck Mr. Gibson’s head under his right arm in a chokehold while Mr. Gibson wrapped his arms around Mr. McDonald’s waist and held on. Mr. McDonald rotated to face the back of the line and attempted to move Mr. Gibson towards the front door.  As Mr. Gibson began to let go, Mr. McDonald released him by lifting up the arm that had been around his head and neck.  Mr. Gibson fell backwards, hitting his head on the hard tile floor.  Mr. McDonald left the Subway restaurant immediately.  He heard later that Mr. Gibson had been seriously injured.  Mr. McDonald learned through his friends that the police were trying to identify who had injured Mr. Gibson.  Mr. McDonald surrendered himself to the police.  He was arrested on a charge of aggravated assault.</w:t>
            </w:r>
          </w:p>
          <w:p w:rsidR="002C1715" w:rsidRPr="005A6FAA" w:rsidRDefault="002C1715" w:rsidP="008F6F48">
            <w:pPr>
              <w:jc w:val="both"/>
              <w:rPr>
                <w:rFonts w:eastAsia="Calibri" w:cs="Times New Roman"/>
                <w:sz w:val="20"/>
                <w:szCs w:val="20"/>
              </w:rPr>
            </w:pPr>
          </w:p>
          <w:p w:rsidR="002C1715" w:rsidRPr="005A6FAA" w:rsidRDefault="002C1715" w:rsidP="008F6F48">
            <w:pPr>
              <w:jc w:val="both"/>
              <w:rPr>
                <w:rFonts w:eastAsia="Calibri" w:cs="Times New Roman"/>
                <w:sz w:val="20"/>
                <w:szCs w:val="20"/>
              </w:rPr>
            </w:pPr>
            <w:r w:rsidRPr="005A6FAA">
              <w:rPr>
                <w:rFonts w:eastAsia="Calibri" w:cs="Times New Roman"/>
                <w:sz w:val="20"/>
                <w:szCs w:val="20"/>
              </w:rPr>
              <w:t>Mr. Gibson suffered life-threatening injuries including a fractured skull.  He was in a coma for several days and has not regained normal brain functioning.  His abilities to speak, read, drive a car and care for his son are compromised.  He cannot work.  A jury found Mr. McDonald guilty of aggravated assault.  The trial judge sentenced him to a period of imprisonment of two years less a day, followed by three years’ probation.</w:t>
            </w:r>
          </w:p>
          <w:p w:rsidR="002C1715" w:rsidRPr="005A6FAA" w:rsidRDefault="002C1715" w:rsidP="008F6F48">
            <w:pPr>
              <w:jc w:val="both"/>
              <w:rPr>
                <w:rFonts w:eastAsia="Calibri" w:cs="Times New Roman"/>
                <w:sz w:val="20"/>
                <w:szCs w:val="20"/>
              </w:rPr>
            </w:pPr>
          </w:p>
          <w:p w:rsidR="002C1715" w:rsidRPr="005A6FAA" w:rsidRDefault="002C1715" w:rsidP="008F6F48">
            <w:pPr>
              <w:jc w:val="both"/>
              <w:rPr>
                <w:rFonts w:eastAsia="Calibri" w:cs="Times New Roman"/>
                <w:sz w:val="20"/>
                <w:szCs w:val="20"/>
              </w:rPr>
            </w:pPr>
            <w:r w:rsidRPr="005A6FAA">
              <w:rPr>
                <w:rFonts w:eastAsia="Calibri" w:cs="Times New Roman"/>
                <w:sz w:val="20"/>
                <w:szCs w:val="20"/>
              </w:rPr>
              <w:t xml:space="preserve">Mr. McDonald’s appeal was allowed.  The verdict was set aside and a new trial was ordered. </w:t>
            </w:r>
          </w:p>
          <w:p w:rsidR="002C1715" w:rsidRPr="005A6FAA" w:rsidRDefault="002C1715" w:rsidP="008F6F48">
            <w:pPr>
              <w:jc w:val="both"/>
              <w:rPr>
                <w:rFonts w:eastAsia="Calibri" w:cs="Times New Roman"/>
                <w:sz w:val="20"/>
                <w:szCs w:val="20"/>
              </w:rPr>
            </w:pPr>
          </w:p>
        </w:tc>
      </w:tr>
      <w:tr w:rsidR="002C1715" w:rsidRPr="005A6FAA" w:rsidTr="008F6F48">
        <w:tc>
          <w:tcPr>
            <w:tcW w:w="2427" w:type="pct"/>
          </w:tcPr>
          <w:p w:rsidR="002C1715" w:rsidRPr="005A6FAA" w:rsidRDefault="002C1715" w:rsidP="008F6F48">
            <w:pPr>
              <w:jc w:val="both"/>
              <w:rPr>
                <w:rFonts w:eastAsia="Calibri" w:cs="Times New Roman"/>
                <w:sz w:val="20"/>
                <w:szCs w:val="20"/>
              </w:rPr>
            </w:pPr>
            <w:r w:rsidRPr="005A6FAA">
              <w:rPr>
                <w:rFonts w:eastAsia="Calibri" w:cs="Times New Roman"/>
                <w:sz w:val="20"/>
                <w:szCs w:val="20"/>
              </w:rPr>
              <w:t>January 15, 2010</w:t>
            </w:r>
          </w:p>
          <w:p w:rsidR="002C1715" w:rsidRPr="005A6FAA" w:rsidRDefault="002C1715" w:rsidP="008F6F48">
            <w:pPr>
              <w:jc w:val="both"/>
              <w:rPr>
                <w:rFonts w:eastAsia="Calibri" w:cs="Times New Roman"/>
                <w:sz w:val="20"/>
                <w:szCs w:val="20"/>
              </w:rPr>
            </w:pPr>
            <w:r w:rsidRPr="005A6FAA">
              <w:rPr>
                <w:rFonts w:eastAsia="Calibri" w:cs="Times New Roman"/>
                <w:sz w:val="20"/>
                <w:szCs w:val="20"/>
              </w:rPr>
              <w:t>Ontario Superior Court of Justice</w:t>
            </w:r>
          </w:p>
          <w:p w:rsidR="002C1715" w:rsidRPr="005A6FAA" w:rsidRDefault="002C1715" w:rsidP="008F6F48">
            <w:pPr>
              <w:jc w:val="both"/>
              <w:rPr>
                <w:rFonts w:eastAsia="Calibri" w:cs="Times New Roman"/>
                <w:sz w:val="20"/>
                <w:szCs w:val="20"/>
              </w:rPr>
            </w:pPr>
            <w:r w:rsidRPr="005A6FAA">
              <w:rPr>
                <w:rFonts w:eastAsia="Calibri" w:cs="Times New Roman"/>
                <w:sz w:val="20"/>
                <w:szCs w:val="20"/>
              </w:rPr>
              <w:t>(Belch J.)</w:t>
            </w:r>
          </w:p>
          <w:p w:rsidR="002C1715" w:rsidRPr="005A6FAA" w:rsidRDefault="002C1715" w:rsidP="008F6F48">
            <w:pPr>
              <w:jc w:val="both"/>
              <w:rPr>
                <w:rFonts w:eastAsia="Calibri" w:cs="Times New Roman"/>
                <w:sz w:val="20"/>
                <w:szCs w:val="20"/>
              </w:rPr>
            </w:pPr>
          </w:p>
        </w:tc>
        <w:tc>
          <w:tcPr>
            <w:tcW w:w="243" w:type="pct"/>
          </w:tcPr>
          <w:p w:rsidR="002C1715" w:rsidRPr="005A6FAA" w:rsidRDefault="002C1715" w:rsidP="008F6F48">
            <w:pPr>
              <w:jc w:val="both"/>
              <w:rPr>
                <w:rFonts w:eastAsia="Calibri" w:cs="Times New Roman"/>
                <w:sz w:val="20"/>
                <w:szCs w:val="20"/>
              </w:rPr>
            </w:pPr>
          </w:p>
        </w:tc>
        <w:tc>
          <w:tcPr>
            <w:tcW w:w="2330" w:type="pct"/>
          </w:tcPr>
          <w:p w:rsidR="002C1715" w:rsidRPr="005A6FAA" w:rsidRDefault="002C1715" w:rsidP="008F6F48">
            <w:pPr>
              <w:jc w:val="both"/>
              <w:rPr>
                <w:rFonts w:eastAsia="Calibri" w:cs="Times New Roman"/>
                <w:sz w:val="20"/>
                <w:szCs w:val="20"/>
              </w:rPr>
            </w:pPr>
            <w:r w:rsidRPr="005A6FAA">
              <w:rPr>
                <w:rFonts w:eastAsia="Calibri" w:cs="Times New Roman"/>
                <w:sz w:val="20"/>
                <w:szCs w:val="20"/>
              </w:rPr>
              <w:t>Applicant found guilty of aggravated assault</w:t>
            </w:r>
          </w:p>
          <w:p w:rsidR="002C1715" w:rsidRPr="005A6FAA" w:rsidRDefault="002C1715" w:rsidP="008F6F48">
            <w:pPr>
              <w:jc w:val="both"/>
              <w:rPr>
                <w:rFonts w:eastAsia="Calibri" w:cs="Times New Roman"/>
                <w:sz w:val="20"/>
                <w:szCs w:val="20"/>
              </w:rPr>
            </w:pPr>
          </w:p>
        </w:tc>
      </w:tr>
      <w:tr w:rsidR="002C1715" w:rsidRPr="005A6FAA" w:rsidTr="008F6F48">
        <w:trPr>
          <w:cantSplit/>
        </w:trPr>
        <w:tc>
          <w:tcPr>
            <w:tcW w:w="2427" w:type="pct"/>
          </w:tcPr>
          <w:p w:rsidR="002C1715" w:rsidRPr="005A6FAA" w:rsidRDefault="002C1715" w:rsidP="008F6F48">
            <w:pPr>
              <w:jc w:val="both"/>
              <w:rPr>
                <w:rFonts w:eastAsia="Calibri" w:cs="Times New Roman"/>
                <w:sz w:val="20"/>
                <w:szCs w:val="20"/>
              </w:rPr>
            </w:pPr>
            <w:r w:rsidRPr="005A6FAA">
              <w:rPr>
                <w:rFonts w:eastAsia="Calibri" w:cs="Times New Roman"/>
                <w:sz w:val="20"/>
                <w:szCs w:val="20"/>
              </w:rPr>
              <w:lastRenderedPageBreak/>
              <w:t>June 6, 2012</w:t>
            </w:r>
          </w:p>
          <w:p w:rsidR="002C1715" w:rsidRPr="005A6FAA" w:rsidRDefault="002C1715" w:rsidP="008F6F48">
            <w:pPr>
              <w:jc w:val="both"/>
              <w:rPr>
                <w:rFonts w:eastAsia="Calibri" w:cs="Times New Roman"/>
                <w:sz w:val="20"/>
                <w:szCs w:val="20"/>
              </w:rPr>
            </w:pPr>
            <w:r w:rsidRPr="005A6FAA">
              <w:rPr>
                <w:rFonts w:eastAsia="Calibri" w:cs="Times New Roman"/>
                <w:sz w:val="20"/>
                <w:szCs w:val="20"/>
              </w:rPr>
              <w:t>Court of Appeal for Ontario</w:t>
            </w:r>
          </w:p>
          <w:p w:rsidR="002C1715" w:rsidRPr="005A6FAA" w:rsidRDefault="002C1715" w:rsidP="008F6F48">
            <w:pPr>
              <w:jc w:val="both"/>
              <w:rPr>
                <w:rFonts w:eastAsia="Calibri" w:cs="Times New Roman"/>
                <w:sz w:val="20"/>
                <w:szCs w:val="20"/>
              </w:rPr>
            </w:pPr>
            <w:r w:rsidRPr="005A6FAA">
              <w:rPr>
                <w:rFonts w:eastAsia="Calibri" w:cs="Times New Roman"/>
                <w:sz w:val="20"/>
                <w:szCs w:val="20"/>
              </w:rPr>
              <w:t xml:space="preserve">(Feldman, Armstrong JJ.A. and </w:t>
            </w:r>
            <w:proofErr w:type="spellStart"/>
            <w:r w:rsidRPr="005A6FAA">
              <w:rPr>
                <w:rFonts w:eastAsia="Calibri" w:cs="Times New Roman"/>
                <w:sz w:val="20"/>
                <w:szCs w:val="20"/>
              </w:rPr>
              <w:t>Himel</w:t>
            </w:r>
            <w:proofErr w:type="spellEnd"/>
            <w:r w:rsidRPr="005A6FAA">
              <w:rPr>
                <w:rFonts w:eastAsia="Calibri" w:cs="Times New Roman"/>
                <w:sz w:val="20"/>
                <w:szCs w:val="20"/>
              </w:rPr>
              <w:t xml:space="preserve"> J. (</w:t>
            </w:r>
            <w:r w:rsidRPr="005A6FAA">
              <w:rPr>
                <w:rFonts w:eastAsia="Calibri" w:cs="Times New Roman"/>
                <w:i/>
                <w:sz w:val="20"/>
                <w:szCs w:val="20"/>
              </w:rPr>
              <w:t>ad hoc</w:t>
            </w:r>
            <w:r w:rsidRPr="005A6FAA">
              <w:rPr>
                <w:rFonts w:eastAsia="Calibri" w:cs="Times New Roman"/>
                <w:sz w:val="20"/>
                <w:szCs w:val="20"/>
              </w:rPr>
              <w:t>)</w:t>
            </w:r>
          </w:p>
          <w:p w:rsidR="002C1715" w:rsidRPr="005A6FAA" w:rsidRDefault="002C1715" w:rsidP="008F6F48">
            <w:pPr>
              <w:jc w:val="both"/>
              <w:rPr>
                <w:rFonts w:eastAsia="Calibri" w:cs="Times New Roman"/>
                <w:sz w:val="20"/>
                <w:szCs w:val="20"/>
              </w:rPr>
            </w:pPr>
            <w:r w:rsidRPr="005A6FAA">
              <w:rPr>
                <w:rFonts w:eastAsia="Calibri" w:cs="Times New Roman"/>
                <w:sz w:val="20"/>
                <w:szCs w:val="20"/>
              </w:rPr>
              <w:t>2012 ONCA 379; C52136</w:t>
            </w:r>
          </w:p>
          <w:p w:rsidR="002C1715" w:rsidRPr="005A6FAA" w:rsidRDefault="002C1715" w:rsidP="008F6F48">
            <w:pPr>
              <w:jc w:val="both"/>
              <w:rPr>
                <w:rFonts w:eastAsia="Calibri" w:cs="Times New Roman"/>
                <w:sz w:val="20"/>
                <w:szCs w:val="20"/>
              </w:rPr>
            </w:pPr>
          </w:p>
        </w:tc>
        <w:tc>
          <w:tcPr>
            <w:tcW w:w="243" w:type="pct"/>
          </w:tcPr>
          <w:p w:rsidR="002C1715" w:rsidRPr="005A6FAA" w:rsidRDefault="002C1715" w:rsidP="008F6F48">
            <w:pPr>
              <w:jc w:val="both"/>
              <w:rPr>
                <w:rFonts w:eastAsia="Calibri" w:cs="Times New Roman"/>
                <w:sz w:val="20"/>
                <w:szCs w:val="20"/>
              </w:rPr>
            </w:pPr>
          </w:p>
        </w:tc>
        <w:tc>
          <w:tcPr>
            <w:tcW w:w="2330" w:type="pct"/>
          </w:tcPr>
          <w:p w:rsidR="002C1715" w:rsidRPr="005A6FAA" w:rsidRDefault="002C1715" w:rsidP="008F6F48">
            <w:pPr>
              <w:jc w:val="both"/>
              <w:rPr>
                <w:rFonts w:eastAsia="Calibri" w:cs="Times New Roman"/>
                <w:sz w:val="20"/>
                <w:szCs w:val="20"/>
              </w:rPr>
            </w:pPr>
            <w:r w:rsidRPr="005A6FAA">
              <w:rPr>
                <w:rFonts w:eastAsia="Calibri" w:cs="Times New Roman"/>
                <w:sz w:val="20"/>
                <w:szCs w:val="20"/>
              </w:rPr>
              <w:t>Appeal allowed; verdict set aside and new trial ordered</w:t>
            </w:r>
          </w:p>
          <w:p w:rsidR="002C1715" w:rsidRPr="005A6FAA" w:rsidRDefault="002C1715" w:rsidP="008F6F48">
            <w:pPr>
              <w:jc w:val="both"/>
              <w:rPr>
                <w:rFonts w:eastAsia="Calibri" w:cs="Times New Roman"/>
                <w:sz w:val="20"/>
                <w:szCs w:val="20"/>
              </w:rPr>
            </w:pPr>
          </w:p>
        </w:tc>
      </w:tr>
      <w:tr w:rsidR="002C1715" w:rsidRPr="005A6FAA" w:rsidTr="008F6F48">
        <w:trPr>
          <w:cantSplit/>
        </w:trPr>
        <w:tc>
          <w:tcPr>
            <w:tcW w:w="2427" w:type="pct"/>
          </w:tcPr>
          <w:p w:rsidR="002C1715" w:rsidRPr="005A6FAA" w:rsidRDefault="002C1715" w:rsidP="008F6F48">
            <w:pPr>
              <w:jc w:val="both"/>
              <w:rPr>
                <w:rFonts w:eastAsia="Calibri" w:cs="Times New Roman"/>
                <w:sz w:val="20"/>
                <w:szCs w:val="20"/>
              </w:rPr>
            </w:pPr>
            <w:r w:rsidRPr="005A6FAA">
              <w:rPr>
                <w:rFonts w:eastAsia="Calibri" w:cs="Times New Roman"/>
                <w:sz w:val="20"/>
                <w:szCs w:val="20"/>
              </w:rPr>
              <w:t>September 5, 2012</w:t>
            </w:r>
          </w:p>
          <w:p w:rsidR="002C1715" w:rsidRPr="005A6FAA" w:rsidRDefault="002C1715" w:rsidP="008F6F48">
            <w:pPr>
              <w:jc w:val="both"/>
              <w:rPr>
                <w:rFonts w:eastAsia="Calibri" w:cs="Times New Roman"/>
                <w:sz w:val="20"/>
                <w:szCs w:val="20"/>
              </w:rPr>
            </w:pPr>
            <w:r w:rsidRPr="005A6FAA">
              <w:rPr>
                <w:rFonts w:eastAsia="Calibri" w:cs="Times New Roman"/>
                <w:sz w:val="20"/>
                <w:szCs w:val="20"/>
              </w:rPr>
              <w:t>Supreme Court of Canada</w:t>
            </w:r>
          </w:p>
        </w:tc>
        <w:tc>
          <w:tcPr>
            <w:tcW w:w="243" w:type="pct"/>
          </w:tcPr>
          <w:p w:rsidR="002C1715" w:rsidRPr="005A6FAA" w:rsidRDefault="002C1715" w:rsidP="008F6F48">
            <w:pPr>
              <w:jc w:val="both"/>
              <w:rPr>
                <w:rFonts w:eastAsia="Calibri" w:cs="Times New Roman"/>
                <w:sz w:val="20"/>
                <w:szCs w:val="20"/>
              </w:rPr>
            </w:pPr>
          </w:p>
        </w:tc>
        <w:tc>
          <w:tcPr>
            <w:tcW w:w="2330" w:type="pct"/>
          </w:tcPr>
          <w:p w:rsidR="002C1715" w:rsidRPr="005A6FAA" w:rsidRDefault="002C1715" w:rsidP="008F6F48">
            <w:pPr>
              <w:jc w:val="both"/>
              <w:rPr>
                <w:rFonts w:eastAsia="Calibri" w:cs="Times New Roman"/>
                <w:sz w:val="20"/>
                <w:szCs w:val="20"/>
              </w:rPr>
            </w:pPr>
            <w:r w:rsidRPr="005A6FAA">
              <w:rPr>
                <w:rFonts w:eastAsia="Calibri" w:cs="Times New Roman"/>
                <w:sz w:val="20"/>
                <w:szCs w:val="20"/>
              </w:rPr>
              <w:t>Application for leave to appeal filed</w:t>
            </w:r>
          </w:p>
        </w:tc>
      </w:tr>
    </w:tbl>
    <w:p w:rsidR="002C1715" w:rsidRPr="00C50A5C" w:rsidRDefault="002C1715" w:rsidP="002C1715">
      <w:pPr>
        <w:rPr>
          <w:sz w:val="20"/>
          <w:szCs w:val="20"/>
        </w:rPr>
      </w:pPr>
    </w:p>
    <w:p w:rsidR="002C1715" w:rsidRPr="00C50A5C" w:rsidRDefault="00D32E73" w:rsidP="002C1715">
      <w:pPr>
        <w:rPr>
          <w:sz w:val="20"/>
          <w:szCs w:val="20"/>
        </w:rPr>
      </w:pPr>
      <w:r w:rsidRPr="00D32E73">
        <w:rPr>
          <w:sz w:val="20"/>
          <w:szCs w:val="20"/>
          <w:lang w:val="fr-CA"/>
        </w:rPr>
        <w:pict>
          <v:rect id="_x0000_i1040" style="width:2in;height:1pt" o:hrpct="0" o:hralign="center" o:hrstd="t" o:hrnoshade="t" o:hr="t" fillcolor="black [3213]" stroked="f"/>
        </w:pict>
      </w:r>
    </w:p>
    <w:p w:rsidR="002C1715" w:rsidRDefault="002C1715" w:rsidP="002C1715">
      <w:pPr>
        <w:rPr>
          <w:sz w:val="20"/>
          <w:szCs w:val="20"/>
        </w:rPr>
      </w:pPr>
    </w:p>
    <w:p w:rsidR="002C1715" w:rsidRPr="001B157C" w:rsidRDefault="002C1715" w:rsidP="002C1715">
      <w:pPr>
        <w:rPr>
          <w:sz w:val="20"/>
          <w:szCs w:val="20"/>
          <w:u w:val="single"/>
          <w:lang w:val="fr-CA"/>
        </w:rPr>
      </w:pPr>
      <w:r w:rsidRPr="001B157C">
        <w:rPr>
          <w:sz w:val="20"/>
          <w:szCs w:val="20"/>
          <w:u w:val="single"/>
          <w:lang w:val="fr-CA"/>
        </w:rPr>
        <w:t>RÉSUMÉ DE L’AFFAIRE</w:t>
      </w:r>
    </w:p>
    <w:p w:rsidR="002C1715" w:rsidRDefault="002C1715" w:rsidP="002C171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C1715" w:rsidRPr="00B32C76" w:rsidTr="008F6F48">
        <w:tc>
          <w:tcPr>
            <w:tcW w:w="5000" w:type="pct"/>
            <w:gridSpan w:val="3"/>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 xml:space="preserve">Droit criminel — Voies de fait graves — Consentement — La règle établie dans l'arrêt </w:t>
            </w:r>
            <w:r w:rsidRPr="005A6FAA">
              <w:rPr>
                <w:rFonts w:eastAsia="Calibri" w:cs="Times New Roman"/>
                <w:i/>
                <w:sz w:val="20"/>
                <w:szCs w:val="20"/>
                <w:lang w:val="fr-CA"/>
              </w:rPr>
              <w:t>Jobidon</w:t>
            </w:r>
            <w:r w:rsidRPr="005A6FAA">
              <w:rPr>
                <w:rFonts w:eastAsia="Calibri" w:cs="Times New Roman"/>
                <w:sz w:val="20"/>
                <w:szCs w:val="20"/>
                <w:lang w:val="fr-CA"/>
              </w:rPr>
              <w:t xml:space="preserve"> va-t-elle jusqu'à vicier juridiquement le consentement sur une accusation de voies de faits graves lorsque la force que l'accusé applique intentionnellement a pour effet de blesser, de mutiler ou de défigurer le plaignant ou de mettre sa vie en danger et que le risque de préjudice corporel est raisonnablement prévisible?</w:t>
            </w:r>
          </w:p>
        </w:tc>
      </w:tr>
      <w:tr w:rsidR="002C1715" w:rsidRPr="00B32C76" w:rsidTr="008F6F48">
        <w:tc>
          <w:tcPr>
            <w:tcW w:w="5000" w:type="pct"/>
            <w:gridSpan w:val="3"/>
          </w:tcPr>
          <w:p w:rsidR="002C1715" w:rsidRPr="005A6FAA" w:rsidRDefault="002C1715" w:rsidP="008F6F48">
            <w:pPr>
              <w:jc w:val="both"/>
              <w:rPr>
                <w:rFonts w:eastAsia="Calibri" w:cs="Times New Roman"/>
                <w:sz w:val="20"/>
                <w:szCs w:val="20"/>
                <w:lang w:val="fr-CA"/>
              </w:rPr>
            </w:pPr>
          </w:p>
        </w:tc>
      </w:tr>
      <w:tr w:rsidR="002C1715" w:rsidRPr="00B32C76" w:rsidTr="008F6F48">
        <w:tc>
          <w:tcPr>
            <w:tcW w:w="5000" w:type="pct"/>
            <w:gridSpan w:val="3"/>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 xml:space="preserve">Le demandeur, M. McDonald et deux amis se sont rendus en voiture d’Ottawa à Kingston pour prendre part aux festivités de la fin de semaine des retrouvailles annuelles à l'université </w:t>
            </w:r>
            <w:proofErr w:type="spellStart"/>
            <w:r w:rsidRPr="005A6FAA">
              <w:rPr>
                <w:rFonts w:eastAsia="Calibri" w:cs="Times New Roman"/>
                <w:sz w:val="20"/>
                <w:szCs w:val="20"/>
                <w:lang w:val="fr-CA"/>
              </w:rPr>
              <w:t>Queen’s</w:t>
            </w:r>
            <w:proofErr w:type="spellEnd"/>
            <w:r w:rsidRPr="005A6FAA">
              <w:rPr>
                <w:rFonts w:eastAsia="Calibri" w:cs="Times New Roman"/>
                <w:sz w:val="20"/>
                <w:szCs w:val="20"/>
                <w:lang w:val="fr-CA"/>
              </w:rPr>
              <w:t xml:space="preserve">.  Après avoir passé le samedi soir avec des amis, M. McDonald est allé au restaurant </w:t>
            </w:r>
            <w:proofErr w:type="spellStart"/>
            <w:r w:rsidRPr="005A6FAA">
              <w:rPr>
                <w:rFonts w:eastAsia="Calibri" w:cs="Times New Roman"/>
                <w:sz w:val="20"/>
                <w:szCs w:val="20"/>
                <w:lang w:val="fr-CA"/>
              </w:rPr>
              <w:t>Subway</w:t>
            </w:r>
            <w:proofErr w:type="spellEnd"/>
            <w:r w:rsidRPr="005A6FAA">
              <w:rPr>
                <w:rFonts w:eastAsia="Calibri" w:cs="Times New Roman"/>
                <w:sz w:val="20"/>
                <w:szCs w:val="20"/>
                <w:lang w:val="fr-CA"/>
              </w:rPr>
              <w:t xml:space="preserve"> pour manger.  Il était presque deux heures du matin et le restaurant était bondé.  Monsieur Gibson était à Kingston pour la fin de semaine pour faire des rénovations dans un magasin.  Il est lui-aussi allé au restaurant </w:t>
            </w:r>
            <w:proofErr w:type="spellStart"/>
            <w:r w:rsidRPr="005A6FAA">
              <w:rPr>
                <w:rFonts w:eastAsia="Calibri" w:cs="Times New Roman"/>
                <w:sz w:val="20"/>
                <w:szCs w:val="20"/>
                <w:lang w:val="fr-CA"/>
              </w:rPr>
              <w:t>Subway</w:t>
            </w:r>
            <w:proofErr w:type="spellEnd"/>
            <w:r w:rsidRPr="005A6FAA">
              <w:rPr>
                <w:rFonts w:eastAsia="Calibri" w:cs="Times New Roman"/>
                <w:sz w:val="20"/>
                <w:szCs w:val="20"/>
                <w:lang w:val="fr-CA"/>
              </w:rPr>
              <w:t xml:space="preserve"> tard cette nuit-là pour manger.  Environ 30 à 40 personnes faisaient la queue au restaurant.  Monsieur Gibson est entré dans le restaurant et il s’est rendu au début de la queue, passant devant quelques personnes qui se trouvaient devant M. McDonald.  Monsieur McDonald, qui attendait depuis environ 30 minutes, a demandé à M. Gibson de faire la queue, mais M. Gibson l’a ignoré.  Monsieur McDonald a placé sa main droite sur l'épaule gauche de M. Gibson et lui a dit de faire la queue. Monsieur Gibson a saisi à deux mains le bras droit de M. McDonald.  Monsieur McDonald a tenté de se libérer mais ne pouvait pas le faire, puisque M. Gibson ne lâchait pas son bras.  Les deux hommes se livraient à une lutte. Monsieur McDonald a réussi à retirer son bras et à tenir la tête de M. Gibson serrée sous son bras droit par l'encolure, tandis que M. Gibson serrait les bras autour de la taille de M. McDonald sans lâcher prise. Monsieur McDonald s'est retourné en direction de la fin de la queue et a tenté de déplacer M. Gibson vers la porte d'entrée.  Alors que M. Gibson a commencé à lâcher prise, M. McDonald l’a libéré en soulevant le bras qui se trouvait autour de la tête et du cou de M. Gibson. Monsieur Gibson est tombé par en arrière, se frappant la tête contre le plancher dur en tuiles.  Monsieur McDonald a immédiatement quitté le restaurant </w:t>
            </w:r>
            <w:proofErr w:type="spellStart"/>
            <w:r w:rsidRPr="005A6FAA">
              <w:rPr>
                <w:rFonts w:eastAsia="Calibri" w:cs="Times New Roman"/>
                <w:sz w:val="20"/>
                <w:szCs w:val="20"/>
                <w:lang w:val="fr-CA"/>
              </w:rPr>
              <w:t>Subway</w:t>
            </w:r>
            <w:proofErr w:type="spellEnd"/>
            <w:r w:rsidRPr="005A6FAA">
              <w:rPr>
                <w:rFonts w:eastAsia="Calibri" w:cs="Times New Roman"/>
                <w:sz w:val="20"/>
                <w:szCs w:val="20"/>
                <w:lang w:val="fr-CA"/>
              </w:rPr>
              <w:t>.  Il a appris par la suite que M. Gibson avait été grièvement blessé.  Monsieur McDonald a appris par ses amis que la police tentait d'identifier celui qui avait blessé M. Gibson. Monsieur McDonald s'est rendu à la police.  Il a été arrêté sous une accusation de voies de fait graves.</w:t>
            </w:r>
          </w:p>
          <w:p w:rsidR="002C1715" w:rsidRPr="005A6FAA" w:rsidRDefault="002C1715" w:rsidP="008F6F48">
            <w:pPr>
              <w:jc w:val="both"/>
              <w:rPr>
                <w:rFonts w:eastAsia="Calibri" w:cs="Times New Roman"/>
                <w:sz w:val="20"/>
                <w:szCs w:val="20"/>
                <w:lang w:val="fr-CA"/>
              </w:rPr>
            </w:pP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Monsieur Gibson a subi des blessures faisant craindre pour sa vie, y compris une fracture du crâne.  Il est demeuré dans un coma pendant plusieurs jours et garde des séquelles au niveau du fonctionnement cérébral.  Ses capacités de parler, de lire, de conduire une voiture et de s'occuper de son fils sont compromises.  Il ne peut pas travailler.  Un jury a déclaré M. McDonald coupable de voies de fait graves. Le juge du procès l’a condamné à une peine d'emprisonnement de deux ans moins un jour, suivie d'une probation de trois ans.</w:t>
            </w:r>
          </w:p>
          <w:p w:rsidR="002C1715" w:rsidRPr="005A6FAA" w:rsidRDefault="002C1715" w:rsidP="008F6F48">
            <w:pPr>
              <w:jc w:val="both"/>
              <w:rPr>
                <w:rFonts w:eastAsia="Calibri" w:cs="Times New Roman"/>
                <w:sz w:val="20"/>
                <w:szCs w:val="20"/>
                <w:lang w:val="fr-CA"/>
              </w:rPr>
            </w:pP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 xml:space="preserve">L'appel de M. McDonald a été accueilli.  Le verdict a été annulé et un nouveau procès a été ordonné. </w:t>
            </w:r>
          </w:p>
          <w:p w:rsidR="002C1715" w:rsidRPr="005A6FAA" w:rsidRDefault="002C1715" w:rsidP="008F6F48">
            <w:pPr>
              <w:jc w:val="both"/>
              <w:rPr>
                <w:rFonts w:eastAsia="Calibri" w:cs="Times New Roman"/>
                <w:sz w:val="20"/>
                <w:szCs w:val="20"/>
                <w:lang w:val="fr-CA"/>
              </w:rPr>
            </w:pPr>
          </w:p>
        </w:tc>
      </w:tr>
      <w:tr w:rsidR="002C1715" w:rsidRPr="00B32C76" w:rsidTr="008F6F48">
        <w:tc>
          <w:tcPr>
            <w:tcW w:w="2427" w:type="pct"/>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15 janvier 2010</w:t>
            </w: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 xml:space="preserve">Cour supérieure de justice de l'Ontario </w:t>
            </w: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 xml:space="preserve">(Juge </w:t>
            </w:r>
            <w:proofErr w:type="spellStart"/>
            <w:r w:rsidRPr="005A6FAA">
              <w:rPr>
                <w:rFonts w:eastAsia="Calibri" w:cs="Times New Roman"/>
                <w:sz w:val="20"/>
                <w:szCs w:val="20"/>
                <w:lang w:val="fr-CA"/>
              </w:rPr>
              <w:t>Belch</w:t>
            </w:r>
            <w:proofErr w:type="spellEnd"/>
            <w:r w:rsidRPr="005A6FAA">
              <w:rPr>
                <w:rFonts w:eastAsia="Calibri" w:cs="Times New Roman"/>
                <w:sz w:val="20"/>
                <w:szCs w:val="20"/>
                <w:lang w:val="fr-CA"/>
              </w:rPr>
              <w:t>)</w:t>
            </w:r>
          </w:p>
          <w:p w:rsidR="002C1715" w:rsidRPr="005A6FAA" w:rsidRDefault="002C1715" w:rsidP="008F6F48">
            <w:pPr>
              <w:jc w:val="both"/>
              <w:rPr>
                <w:rFonts w:eastAsia="Calibri" w:cs="Times New Roman"/>
                <w:sz w:val="20"/>
                <w:szCs w:val="20"/>
                <w:lang w:val="fr-CA"/>
              </w:rPr>
            </w:pPr>
          </w:p>
        </w:tc>
        <w:tc>
          <w:tcPr>
            <w:tcW w:w="243" w:type="pct"/>
          </w:tcPr>
          <w:p w:rsidR="002C1715" w:rsidRPr="005A6FAA" w:rsidRDefault="002C1715" w:rsidP="008F6F48">
            <w:pPr>
              <w:jc w:val="both"/>
              <w:rPr>
                <w:rFonts w:eastAsia="Calibri" w:cs="Times New Roman"/>
                <w:sz w:val="20"/>
                <w:szCs w:val="20"/>
                <w:lang w:val="fr-CA"/>
              </w:rPr>
            </w:pPr>
          </w:p>
        </w:tc>
        <w:tc>
          <w:tcPr>
            <w:tcW w:w="2330" w:type="pct"/>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Demandeur déclaré coupable de voies de fait graves</w:t>
            </w:r>
          </w:p>
          <w:p w:rsidR="002C1715" w:rsidRPr="005A6FAA" w:rsidRDefault="002C1715" w:rsidP="008F6F48">
            <w:pPr>
              <w:jc w:val="both"/>
              <w:rPr>
                <w:rFonts w:eastAsia="Calibri" w:cs="Times New Roman"/>
                <w:sz w:val="20"/>
                <w:szCs w:val="20"/>
                <w:lang w:val="fr-CA"/>
              </w:rPr>
            </w:pPr>
          </w:p>
        </w:tc>
      </w:tr>
      <w:tr w:rsidR="002C1715" w:rsidRPr="00B32C76" w:rsidTr="008F6F48">
        <w:trPr>
          <w:cantSplit/>
        </w:trPr>
        <w:tc>
          <w:tcPr>
            <w:tcW w:w="2427" w:type="pct"/>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lastRenderedPageBreak/>
              <w:t>6 juin 2012</w:t>
            </w: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 xml:space="preserve">Cour d'appel d'Ontario </w:t>
            </w: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 xml:space="preserve">(Juges </w:t>
            </w:r>
            <w:proofErr w:type="spellStart"/>
            <w:r w:rsidRPr="005A6FAA">
              <w:rPr>
                <w:rFonts w:eastAsia="Calibri" w:cs="Times New Roman"/>
                <w:sz w:val="20"/>
                <w:szCs w:val="20"/>
                <w:lang w:val="fr-CA"/>
              </w:rPr>
              <w:t>Feldman</w:t>
            </w:r>
            <w:proofErr w:type="spellEnd"/>
            <w:r w:rsidRPr="005A6FAA">
              <w:rPr>
                <w:rFonts w:eastAsia="Calibri" w:cs="Times New Roman"/>
                <w:sz w:val="20"/>
                <w:szCs w:val="20"/>
                <w:lang w:val="fr-CA"/>
              </w:rPr>
              <w:t xml:space="preserve">, Armstrong et </w:t>
            </w:r>
            <w:proofErr w:type="spellStart"/>
            <w:r w:rsidRPr="005A6FAA">
              <w:rPr>
                <w:rFonts w:eastAsia="Calibri" w:cs="Times New Roman"/>
                <w:sz w:val="20"/>
                <w:szCs w:val="20"/>
                <w:lang w:val="fr-CA"/>
              </w:rPr>
              <w:t>Himel</w:t>
            </w:r>
            <w:proofErr w:type="spellEnd"/>
            <w:r w:rsidRPr="005A6FAA">
              <w:rPr>
                <w:rFonts w:eastAsia="Calibri" w:cs="Times New Roman"/>
                <w:sz w:val="20"/>
                <w:szCs w:val="20"/>
                <w:lang w:val="fr-CA"/>
              </w:rPr>
              <w:t xml:space="preserve"> (</w:t>
            </w:r>
            <w:r w:rsidRPr="005A6FAA">
              <w:rPr>
                <w:rFonts w:eastAsia="Calibri" w:cs="Times New Roman"/>
                <w:i/>
                <w:sz w:val="20"/>
                <w:szCs w:val="20"/>
                <w:lang w:val="fr-CA"/>
              </w:rPr>
              <w:t>ad hoc</w:t>
            </w:r>
            <w:r w:rsidRPr="005A6FAA">
              <w:rPr>
                <w:rFonts w:eastAsia="Calibri" w:cs="Times New Roman"/>
                <w:sz w:val="20"/>
                <w:szCs w:val="20"/>
                <w:lang w:val="fr-CA"/>
              </w:rPr>
              <w:t>)</w:t>
            </w: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2012 ONCA 379; C52136</w:t>
            </w:r>
          </w:p>
          <w:p w:rsidR="002C1715" w:rsidRPr="005A6FAA" w:rsidRDefault="002C1715" w:rsidP="008F6F48">
            <w:pPr>
              <w:jc w:val="both"/>
              <w:rPr>
                <w:rFonts w:eastAsia="Calibri" w:cs="Times New Roman"/>
                <w:sz w:val="20"/>
                <w:szCs w:val="20"/>
                <w:lang w:val="fr-CA"/>
              </w:rPr>
            </w:pPr>
          </w:p>
        </w:tc>
        <w:tc>
          <w:tcPr>
            <w:tcW w:w="243" w:type="pct"/>
          </w:tcPr>
          <w:p w:rsidR="002C1715" w:rsidRPr="005A6FAA" w:rsidRDefault="002C1715" w:rsidP="008F6F48">
            <w:pPr>
              <w:jc w:val="both"/>
              <w:rPr>
                <w:rFonts w:eastAsia="Calibri" w:cs="Times New Roman"/>
                <w:sz w:val="20"/>
                <w:szCs w:val="20"/>
                <w:lang w:val="fr-CA"/>
              </w:rPr>
            </w:pPr>
          </w:p>
        </w:tc>
        <w:tc>
          <w:tcPr>
            <w:tcW w:w="2330" w:type="pct"/>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Appel accueilli; verdict annulé et nouveau procès ordonné</w:t>
            </w:r>
          </w:p>
          <w:p w:rsidR="002C1715" w:rsidRPr="005A6FAA" w:rsidRDefault="002C1715" w:rsidP="008F6F48">
            <w:pPr>
              <w:jc w:val="both"/>
              <w:rPr>
                <w:rFonts w:eastAsia="Calibri" w:cs="Times New Roman"/>
                <w:sz w:val="20"/>
                <w:szCs w:val="20"/>
                <w:lang w:val="fr-CA"/>
              </w:rPr>
            </w:pPr>
          </w:p>
        </w:tc>
      </w:tr>
      <w:tr w:rsidR="002C1715" w:rsidRPr="005A6FAA" w:rsidTr="008F6F48">
        <w:trPr>
          <w:cantSplit/>
        </w:trPr>
        <w:tc>
          <w:tcPr>
            <w:tcW w:w="2427" w:type="pct"/>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5 septembre 2012</w:t>
            </w:r>
          </w:p>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Cour suprême du Canada</w:t>
            </w:r>
          </w:p>
        </w:tc>
        <w:tc>
          <w:tcPr>
            <w:tcW w:w="243" w:type="pct"/>
          </w:tcPr>
          <w:p w:rsidR="002C1715" w:rsidRPr="005A6FAA" w:rsidRDefault="002C1715" w:rsidP="008F6F48">
            <w:pPr>
              <w:jc w:val="both"/>
              <w:rPr>
                <w:rFonts w:eastAsia="Calibri" w:cs="Times New Roman"/>
                <w:sz w:val="20"/>
                <w:szCs w:val="20"/>
                <w:lang w:val="fr-CA"/>
              </w:rPr>
            </w:pPr>
          </w:p>
        </w:tc>
        <w:tc>
          <w:tcPr>
            <w:tcW w:w="2330" w:type="pct"/>
          </w:tcPr>
          <w:p w:rsidR="002C1715" w:rsidRPr="005A6FAA" w:rsidRDefault="002C1715" w:rsidP="008F6F48">
            <w:pPr>
              <w:jc w:val="both"/>
              <w:rPr>
                <w:rFonts w:eastAsia="Calibri" w:cs="Times New Roman"/>
                <w:sz w:val="20"/>
                <w:szCs w:val="20"/>
                <w:lang w:val="fr-CA"/>
              </w:rPr>
            </w:pPr>
            <w:r w:rsidRPr="005A6FAA">
              <w:rPr>
                <w:rFonts w:eastAsia="Calibri" w:cs="Times New Roman"/>
                <w:sz w:val="20"/>
                <w:szCs w:val="20"/>
                <w:lang w:val="fr-CA"/>
              </w:rPr>
              <w:t>Demande d'autorisation d'appel, déposée</w:t>
            </w:r>
          </w:p>
        </w:tc>
      </w:tr>
    </w:tbl>
    <w:p w:rsidR="002C1715" w:rsidRPr="005A6FAA" w:rsidRDefault="002C1715" w:rsidP="002C1715">
      <w:pPr>
        <w:widowControl w:val="0"/>
        <w:rPr>
          <w:rFonts w:eastAsia="Times New Roman" w:cs="Times New Roman"/>
          <w:sz w:val="20"/>
          <w:szCs w:val="20"/>
        </w:rPr>
      </w:pPr>
    </w:p>
    <w:p w:rsidR="002C1715" w:rsidRDefault="00D32E73" w:rsidP="002C1715">
      <w:pPr>
        <w:rPr>
          <w:sz w:val="20"/>
          <w:szCs w:val="20"/>
        </w:rPr>
      </w:pPr>
      <w:r w:rsidRPr="00D32E73">
        <w:rPr>
          <w:sz w:val="20"/>
          <w:szCs w:val="20"/>
          <w:lang w:val="fr-CA"/>
        </w:rPr>
        <w:pict>
          <v:rect id="_x0000_i1041" style="width:2in;height:1pt" o:hrpct="0" o:hralign="center" o:hrstd="t" o:hrnoshade="t" o:hr="t" fillcolor="black [3213]" stroked="f"/>
        </w:pict>
      </w:r>
    </w:p>
    <w:p w:rsidR="002C1715" w:rsidRDefault="002C1715" w:rsidP="002C1715">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RPr="0008349F" w:rsidTr="008F6F48">
        <w:trPr>
          <w:cantSplit/>
        </w:trPr>
        <w:tc>
          <w:tcPr>
            <w:tcW w:w="1458" w:type="dxa"/>
          </w:tcPr>
          <w:p w:rsidR="002C1715" w:rsidRPr="0008349F" w:rsidRDefault="002C1715" w:rsidP="008F6F48">
            <w:pPr>
              <w:rPr>
                <w:sz w:val="20"/>
              </w:rPr>
            </w:pPr>
            <w:r w:rsidRPr="0008349F">
              <w:rPr>
                <w:b/>
                <w:sz w:val="20"/>
                <w:lang w:val="fr-CA"/>
              </w:rPr>
              <w:t>34963</w:t>
            </w:r>
          </w:p>
          <w:p w:rsidR="002C1715" w:rsidRPr="0008349F" w:rsidRDefault="002C1715" w:rsidP="008F6F48">
            <w:pPr>
              <w:rPr>
                <w:b/>
                <w:sz w:val="20"/>
                <w:lang w:val="fr-CA"/>
              </w:rPr>
            </w:pPr>
          </w:p>
        </w:tc>
        <w:tc>
          <w:tcPr>
            <w:tcW w:w="8118" w:type="dxa"/>
          </w:tcPr>
          <w:p w:rsidR="002C1715" w:rsidRPr="0008349F" w:rsidRDefault="002C1715" w:rsidP="008F6F48">
            <w:pPr>
              <w:jc w:val="both"/>
              <w:rPr>
                <w:sz w:val="20"/>
              </w:rPr>
            </w:pPr>
            <w:r w:rsidRPr="0008349F">
              <w:rPr>
                <w:b/>
                <w:sz w:val="20"/>
                <w:u w:val="single"/>
                <w:lang w:val="en-US"/>
              </w:rPr>
              <w:t xml:space="preserve">Robert Andrew McBride v. Her Majesty the Queen in Right of Canada as represented by the Minister of National </w:t>
            </w:r>
            <w:proofErr w:type="spellStart"/>
            <w:r w:rsidRPr="0008349F">
              <w:rPr>
                <w:b/>
                <w:sz w:val="20"/>
                <w:u w:val="single"/>
                <w:lang w:val="en-US"/>
              </w:rPr>
              <w:t>Defence</w:t>
            </w:r>
            <w:proofErr w:type="spellEnd"/>
            <w:r>
              <w:rPr>
                <w:b/>
                <w:sz w:val="20"/>
                <w:u w:val="single"/>
                <w:lang w:val="en-US"/>
              </w:rPr>
              <w:t xml:space="preserve"> and</w:t>
            </w:r>
            <w:r w:rsidRPr="0008349F">
              <w:rPr>
                <w:b/>
                <w:sz w:val="20"/>
                <w:u w:val="single"/>
                <w:lang w:val="en-US"/>
              </w:rPr>
              <w:t xml:space="preserve"> Attorney General of Canada</w:t>
            </w:r>
            <w:r w:rsidRPr="0008349F">
              <w:rPr>
                <w:sz w:val="20"/>
              </w:rPr>
              <w:t xml:space="preserve"> (F</w:t>
            </w:r>
            <w:r>
              <w:rPr>
                <w:sz w:val="20"/>
              </w:rPr>
              <w:t>.</w:t>
            </w:r>
            <w:r w:rsidRPr="0008349F">
              <w:rPr>
                <w:sz w:val="20"/>
              </w:rPr>
              <w:t>C</w:t>
            </w:r>
            <w:r>
              <w:rPr>
                <w:sz w:val="20"/>
              </w:rPr>
              <w:t>.</w:t>
            </w:r>
            <w:r w:rsidRPr="0008349F">
              <w:rPr>
                <w:sz w:val="20"/>
              </w:rPr>
              <w:t>) (Civil) (By Leave)</w:t>
            </w:r>
          </w:p>
          <w:p w:rsidR="002C1715" w:rsidRPr="0008349F" w:rsidRDefault="002C1715" w:rsidP="008F6F48">
            <w:pPr>
              <w:jc w:val="both"/>
              <w:rPr>
                <w:sz w:val="20"/>
              </w:rPr>
            </w:pPr>
          </w:p>
        </w:tc>
      </w:tr>
      <w:tr w:rsidR="002C1715" w:rsidRPr="0008349F" w:rsidTr="008F6F48">
        <w:trPr>
          <w:cantSplit/>
        </w:trPr>
        <w:tc>
          <w:tcPr>
            <w:tcW w:w="1458" w:type="dxa"/>
          </w:tcPr>
          <w:p w:rsidR="002C1715" w:rsidRPr="0008349F" w:rsidRDefault="002C1715" w:rsidP="008F6F48">
            <w:pPr>
              <w:rPr>
                <w:sz w:val="20"/>
              </w:rPr>
            </w:pPr>
            <w:r w:rsidRPr="0008349F">
              <w:rPr>
                <w:sz w:val="20"/>
              </w:rPr>
              <w:t>Coram :</w:t>
            </w:r>
          </w:p>
        </w:tc>
        <w:tc>
          <w:tcPr>
            <w:tcW w:w="8118" w:type="dxa"/>
          </w:tcPr>
          <w:p w:rsidR="002C1715" w:rsidRPr="0008349F" w:rsidRDefault="002C1715" w:rsidP="008F6F48">
            <w:pPr>
              <w:rPr>
                <w:sz w:val="20"/>
              </w:rPr>
            </w:pPr>
            <w:r w:rsidRPr="0008349F">
              <w:rPr>
                <w:sz w:val="20"/>
                <w:u w:val="single"/>
                <w:lang w:val="en-US"/>
              </w:rPr>
              <w:t xml:space="preserve">Fish, Rothstein and </w:t>
            </w:r>
            <w:proofErr w:type="spellStart"/>
            <w:r w:rsidRPr="0008349F">
              <w:rPr>
                <w:sz w:val="20"/>
                <w:u w:val="single"/>
                <w:lang w:val="en-US"/>
              </w:rPr>
              <w:t>Moldaver</w:t>
            </w:r>
            <w:proofErr w:type="spellEnd"/>
            <w:r w:rsidRPr="0008349F">
              <w:rPr>
                <w:sz w:val="20"/>
                <w:u w:val="single"/>
                <w:lang w:val="en-US"/>
              </w:rPr>
              <w:t> JJ.</w:t>
            </w:r>
          </w:p>
          <w:p w:rsidR="002C1715" w:rsidRPr="0008349F" w:rsidRDefault="002C1715" w:rsidP="008F6F48">
            <w:pPr>
              <w:rPr>
                <w:sz w:val="20"/>
                <w:u w:val="single"/>
              </w:rPr>
            </w:pPr>
          </w:p>
        </w:tc>
      </w:tr>
      <w:tr w:rsidR="002C1715" w:rsidRPr="00B32C76" w:rsidTr="008F6F48">
        <w:trPr>
          <w:cantSplit/>
        </w:trPr>
        <w:tc>
          <w:tcPr>
            <w:tcW w:w="9576" w:type="dxa"/>
            <w:gridSpan w:val="2"/>
          </w:tcPr>
          <w:p w:rsidR="002C1715" w:rsidRPr="0008349F" w:rsidRDefault="002C1715" w:rsidP="008F6F48">
            <w:pPr>
              <w:ind w:firstLine="720"/>
              <w:jc w:val="both"/>
              <w:rPr>
                <w:sz w:val="20"/>
              </w:rPr>
            </w:pPr>
            <w:r w:rsidRPr="0008349F">
              <w:rPr>
                <w:sz w:val="20"/>
              </w:rPr>
              <w:t>The application for leave to appeal from the judgment of the Federal Court of Appeal, Number A-343-11, 2012 FCA 181, dated June 15, 2012, is dismissed with costs.</w:t>
            </w:r>
          </w:p>
          <w:p w:rsidR="002C1715" w:rsidRPr="0008349F" w:rsidRDefault="002C1715" w:rsidP="008F6F48">
            <w:pPr>
              <w:jc w:val="both"/>
              <w:rPr>
                <w:sz w:val="20"/>
              </w:rPr>
            </w:pPr>
          </w:p>
          <w:p w:rsidR="002C1715" w:rsidRPr="0008349F" w:rsidRDefault="002C1715" w:rsidP="008F6F48">
            <w:pPr>
              <w:ind w:firstLine="720"/>
              <w:jc w:val="both"/>
              <w:rPr>
                <w:sz w:val="20"/>
                <w:lang w:val="fr-CA"/>
              </w:rPr>
            </w:pPr>
            <w:r w:rsidRPr="0008349F">
              <w:rPr>
                <w:sz w:val="20"/>
                <w:lang w:val="fr-CA"/>
              </w:rPr>
              <w:t>La demande d’autorisation d’appel de l’arrêt de la Cour d’appel fédérale, numéro A-343-11, 2012 CAF 181, daté du 15 juin 2012, est rejetée avec dépens.</w:t>
            </w:r>
          </w:p>
        </w:tc>
      </w:tr>
    </w:tbl>
    <w:p w:rsidR="002C1715" w:rsidRPr="00F63D09" w:rsidRDefault="002C1715" w:rsidP="002C1715">
      <w:pPr>
        <w:rPr>
          <w:sz w:val="20"/>
          <w:szCs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1715" w:rsidRPr="007E545A" w:rsidTr="008F6F48">
        <w:tc>
          <w:tcPr>
            <w:tcW w:w="5000" w:type="pct"/>
            <w:gridSpan w:val="3"/>
          </w:tcPr>
          <w:p w:rsidR="002C1715" w:rsidRPr="007E545A" w:rsidRDefault="002C1715" w:rsidP="008F6F48">
            <w:pPr>
              <w:jc w:val="both"/>
              <w:rPr>
                <w:rFonts w:eastAsia="Calibri"/>
                <w:sz w:val="20"/>
              </w:rPr>
            </w:pPr>
            <w:r w:rsidRPr="007E545A">
              <w:rPr>
                <w:rFonts w:eastAsia="Calibri"/>
                <w:sz w:val="20"/>
              </w:rPr>
              <w:t>Employment law — Unjust dismissal — Canadian Forces — Imposition of medical employment limitations — Consequential failure to meet Universal Service Principle — Whether Forces must disclose to member specific internal policies and guidelines relied upon to make medical determination — Whether subsequent internal review and grievance processes cure initial failure to disclose relevant information to member — What factors should be considered in determining whether initial breach of fairness has been cured by reconsideration or appeal.</w:t>
            </w:r>
          </w:p>
        </w:tc>
      </w:tr>
      <w:tr w:rsidR="002C1715" w:rsidRPr="007E545A" w:rsidTr="008F6F48">
        <w:tc>
          <w:tcPr>
            <w:tcW w:w="5000" w:type="pct"/>
            <w:gridSpan w:val="3"/>
          </w:tcPr>
          <w:p w:rsidR="002C1715" w:rsidRPr="007E545A" w:rsidRDefault="002C1715" w:rsidP="008F6F48">
            <w:pPr>
              <w:jc w:val="both"/>
              <w:rPr>
                <w:rFonts w:eastAsia="Calibri"/>
                <w:sz w:val="20"/>
              </w:rPr>
            </w:pPr>
          </w:p>
        </w:tc>
      </w:tr>
      <w:tr w:rsidR="002C1715" w:rsidRPr="007E545A" w:rsidTr="008F6F48">
        <w:tc>
          <w:tcPr>
            <w:tcW w:w="5000" w:type="pct"/>
            <w:gridSpan w:val="3"/>
          </w:tcPr>
          <w:p w:rsidR="002C1715" w:rsidRPr="007E545A" w:rsidRDefault="002C1715" w:rsidP="008F6F48">
            <w:pPr>
              <w:jc w:val="both"/>
              <w:rPr>
                <w:rFonts w:eastAsia="Calibri"/>
                <w:sz w:val="20"/>
              </w:rPr>
            </w:pPr>
            <w:r w:rsidRPr="007E545A">
              <w:rPr>
                <w:rFonts w:eastAsia="Calibri"/>
                <w:sz w:val="20"/>
              </w:rPr>
              <w:t xml:space="preserve">Mr. McBride, a Canadian Forces member, grieved the imposition of two medical employment limitations in January 2006.  The disclosure package sent to the member during an administrative review set out, </w:t>
            </w:r>
            <w:r w:rsidRPr="007E545A">
              <w:rPr>
                <w:rFonts w:eastAsia="Calibri"/>
                <w:i/>
                <w:sz w:val="20"/>
              </w:rPr>
              <w:t>inter alia</w:t>
            </w:r>
            <w:r w:rsidRPr="007E545A">
              <w:rPr>
                <w:rFonts w:eastAsia="Calibri"/>
                <w:sz w:val="20"/>
              </w:rPr>
              <w:t>, the procedure for obtaining access to the member’s medical file.  The Director of Military Careers approved the analyst’s recommendation that Mr. McBride be released from the Forces.  After an unsuccessful attempt to obtain another stay, Mr. McBride was released in June 2007.  He grieved that decision.  The two outstanding grievances (2006 and 2007) were consolidated.  Mr. McBride then took the procedural steps outlined in the disclosure package and obtained his medical file.  In that file, he found two documents which he relies upon as evidence that the Forces should have reconsidered the two decisions being grieved.</w:t>
            </w:r>
          </w:p>
          <w:p w:rsidR="002C1715" w:rsidRPr="007E545A" w:rsidRDefault="002C1715" w:rsidP="008F6F48">
            <w:pPr>
              <w:jc w:val="both"/>
              <w:rPr>
                <w:rFonts w:eastAsia="Calibri"/>
                <w:sz w:val="20"/>
              </w:rPr>
            </w:pPr>
          </w:p>
          <w:p w:rsidR="002C1715" w:rsidRPr="007E545A" w:rsidRDefault="002C1715" w:rsidP="008F6F48">
            <w:pPr>
              <w:jc w:val="both"/>
              <w:rPr>
                <w:rFonts w:eastAsia="Calibri"/>
                <w:sz w:val="20"/>
              </w:rPr>
            </w:pPr>
            <w:r w:rsidRPr="007E545A">
              <w:rPr>
                <w:rFonts w:eastAsia="Calibri"/>
                <w:sz w:val="20"/>
              </w:rPr>
              <w:t xml:space="preserve">Mr. McBride’s grievances were then subject to two </w:t>
            </w:r>
            <w:r w:rsidRPr="007E545A">
              <w:rPr>
                <w:rFonts w:eastAsia="Calibri"/>
                <w:i/>
                <w:sz w:val="20"/>
              </w:rPr>
              <w:t>de novo</w:t>
            </w:r>
            <w:r w:rsidRPr="007E545A">
              <w:rPr>
                <w:rFonts w:eastAsia="Calibri"/>
                <w:sz w:val="20"/>
              </w:rPr>
              <w:t xml:space="preserve"> reviews. Before the Grievance Board, Mr. McBride argued that the two documents showed that the Director, Medical Careers, was in error and argued that he had been denied procedural fairness due to the Canadian Forces’ inadequate document disclosure.  The Grievance Board recommended that the grievances be dismissed.  The grievances then proceeded to the Chief of Defence Staff, for a second </w:t>
            </w:r>
            <w:r w:rsidRPr="007E545A">
              <w:rPr>
                <w:rFonts w:eastAsia="Calibri"/>
                <w:i/>
                <w:sz w:val="20"/>
              </w:rPr>
              <w:t>de novo</w:t>
            </w:r>
            <w:r w:rsidRPr="007E545A">
              <w:rPr>
                <w:rFonts w:eastAsia="Calibri"/>
                <w:sz w:val="20"/>
              </w:rPr>
              <w:t xml:space="preserve"> hearing.  He also rejected Mr. McBride’s submissions, and concluded that the assignment of the medical employment limitations was reasonable and that those limitations justified Mr. McBride’s release from the Canadian Forces.  Mr. McBride’s application for judicial review was denied, and the Court of Appeal dismissed his appeal.</w:t>
            </w:r>
          </w:p>
          <w:p w:rsidR="002C1715" w:rsidRPr="007E545A" w:rsidRDefault="002C1715" w:rsidP="008F6F48">
            <w:pPr>
              <w:jc w:val="both"/>
              <w:rPr>
                <w:rFonts w:eastAsia="Calibri"/>
                <w:sz w:val="20"/>
              </w:rPr>
            </w:pPr>
          </w:p>
        </w:tc>
      </w:tr>
      <w:tr w:rsidR="002C1715" w:rsidRPr="007E545A" w:rsidTr="008F6F48">
        <w:trPr>
          <w:cantSplit/>
        </w:trPr>
        <w:tc>
          <w:tcPr>
            <w:tcW w:w="2427" w:type="pct"/>
          </w:tcPr>
          <w:p w:rsidR="002C1715" w:rsidRPr="007E545A" w:rsidRDefault="002C1715" w:rsidP="008F6F48">
            <w:pPr>
              <w:jc w:val="both"/>
              <w:rPr>
                <w:rFonts w:eastAsia="Calibri"/>
                <w:sz w:val="20"/>
              </w:rPr>
            </w:pPr>
            <w:r w:rsidRPr="007E545A">
              <w:rPr>
                <w:rFonts w:eastAsia="Calibri"/>
                <w:sz w:val="20"/>
              </w:rPr>
              <w:lastRenderedPageBreak/>
              <w:t>August 25, 2011</w:t>
            </w:r>
          </w:p>
          <w:p w:rsidR="002C1715" w:rsidRPr="007E545A" w:rsidRDefault="002C1715" w:rsidP="008F6F48">
            <w:pPr>
              <w:jc w:val="both"/>
              <w:rPr>
                <w:rFonts w:eastAsia="Calibri"/>
                <w:sz w:val="20"/>
              </w:rPr>
            </w:pPr>
            <w:r w:rsidRPr="007E545A">
              <w:rPr>
                <w:rFonts w:eastAsia="Calibri"/>
                <w:sz w:val="20"/>
              </w:rPr>
              <w:t>Federal Court</w:t>
            </w:r>
          </w:p>
          <w:p w:rsidR="002C1715" w:rsidRPr="007E545A" w:rsidRDefault="002C1715" w:rsidP="008F6F48">
            <w:pPr>
              <w:jc w:val="both"/>
              <w:rPr>
                <w:rFonts w:eastAsia="Calibri"/>
                <w:sz w:val="20"/>
              </w:rPr>
            </w:pPr>
            <w:r w:rsidRPr="007E545A">
              <w:rPr>
                <w:rFonts w:eastAsia="Calibri"/>
                <w:sz w:val="20"/>
              </w:rPr>
              <w:t>(Martineau J.)</w:t>
            </w:r>
          </w:p>
          <w:p w:rsidR="002C1715" w:rsidRPr="007E545A" w:rsidRDefault="002C1715" w:rsidP="008F6F48">
            <w:pPr>
              <w:jc w:val="both"/>
              <w:rPr>
                <w:rFonts w:eastAsia="Calibri"/>
                <w:sz w:val="20"/>
              </w:rPr>
            </w:pPr>
            <w:r w:rsidRPr="007E545A">
              <w:rPr>
                <w:rFonts w:eastAsia="Calibri"/>
                <w:sz w:val="20"/>
              </w:rPr>
              <w:t xml:space="preserve">2011 FC 1019 </w:t>
            </w:r>
          </w:p>
          <w:p w:rsidR="002C1715" w:rsidRPr="007E545A" w:rsidRDefault="002C1715" w:rsidP="008F6F48">
            <w:pPr>
              <w:jc w:val="both"/>
              <w:rPr>
                <w:rFonts w:eastAsia="Calibri"/>
                <w:sz w:val="20"/>
              </w:rPr>
            </w:pPr>
          </w:p>
        </w:tc>
        <w:tc>
          <w:tcPr>
            <w:tcW w:w="243" w:type="pct"/>
          </w:tcPr>
          <w:p w:rsidR="002C1715" w:rsidRPr="007E545A" w:rsidRDefault="002C1715" w:rsidP="008F6F48">
            <w:pPr>
              <w:jc w:val="both"/>
              <w:rPr>
                <w:rFonts w:eastAsia="Calibri"/>
                <w:sz w:val="20"/>
              </w:rPr>
            </w:pPr>
          </w:p>
        </w:tc>
        <w:tc>
          <w:tcPr>
            <w:tcW w:w="2330" w:type="pct"/>
          </w:tcPr>
          <w:p w:rsidR="002C1715" w:rsidRPr="007E545A" w:rsidRDefault="002C1715" w:rsidP="008F6F48">
            <w:pPr>
              <w:jc w:val="both"/>
              <w:rPr>
                <w:rFonts w:eastAsia="Calibri"/>
                <w:sz w:val="20"/>
              </w:rPr>
            </w:pPr>
            <w:r w:rsidRPr="007E545A">
              <w:rPr>
                <w:rFonts w:eastAsia="Calibri"/>
                <w:sz w:val="20"/>
              </w:rPr>
              <w:t>Application for judicial review dismissed with costs</w:t>
            </w:r>
          </w:p>
          <w:p w:rsidR="002C1715" w:rsidRPr="007E545A" w:rsidRDefault="002C1715" w:rsidP="008F6F48">
            <w:pPr>
              <w:jc w:val="both"/>
              <w:rPr>
                <w:rFonts w:eastAsia="Calibri"/>
                <w:sz w:val="20"/>
              </w:rPr>
            </w:pPr>
          </w:p>
        </w:tc>
      </w:tr>
      <w:tr w:rsidR="002C1715" w:rsidRPr="007E545A" w:rsidTr="008F6F48">
        <w:trPr>
          <w:cantSplit/>
        </w:trPr>
        <w:tc>
          <w:tcPr>
            <w:tcW w:w="2427" w:type="pct"/>
          </w:tcPr>
          <w:p w:rsidR="002C1715" w:rsidRPr="007E545A" w:rsidRDefault="002C1715" w:rsidP="008F6F48">
            <w:pPr>
              <w:jc w:val="both"/>
              <w:rPr>
                <w:rFonts w:eastAsia="Calibri"/>
                <w:sz w:val="20"/>
              </w:rPr>
            </w:pPr>
            <w:r w:rsidRPr="007E545A">
              <w:rPr>
                <w:rFonts w:eastAsia="Calibri"/>
                <w:sz w:val="20"/>
              </w:rPr>
              <w:t>June 15, 2012</w:t>
            </w:r>
          </w:p>
          <w:p w:rsidR="002C1715" w:rsidRPr="007E545A" w:rsidRDefault="002C1715" w:rsidP="008F6F48">
            <w:pPr>
              <w:jc w:val="both"/>
              <w:rPr>
                <w:rFonts w:eastAsia="Calibri"/>
                <w:sz w:val="20"/>
              </w:rPr>
            </w:pPr>
            <w:r w:rsidRPr="007E545A">
              <w:rPr>
                <w:rFonts w:eastAsia="Calibri"/>
                <w:sz w:val="20"/>
              </w:rPr>
              <w:t>Federal Court of Appeal</w:t>
            </w:r>
          </w:p>
          <w:p w:rsidR="002C1715" w:rsidRPr="007E545A" w:rsidRDefault="002C1715" w:rsidP="008F6F48">
            <w:pPr>
              <w:jc w:val="both"/>
              <w:rPr>
                <w:rFonts w:eastAsia="Calibri"/>
                <w:sz w:val="20"/>
              </w:rPr>
            </w:pPr>
            <w:r w:rsidRPr="007E545A">
              <w:rPr>
                <w:rFonts w:eastAsia="Calibri"/>
                <w:sz w:val="20"/>
              </w:rPr>
              <w:t>(</w:t>
            </w:r>
            <w:proofErr w:type="spellStart"/>
            <w:r w:rsidRPr="007E545A">
              <w:rPr>
                <w:rFonts w:eastAsia="Calibri"/>
                <w:sz w:val="20"/>
              </w:rPr>
              <w:t>Sharlow</w:t>
            </w:r>
            <w:proofErr w:type="spellEnd"/>
            <w:r w:rsidRPr="007E545A">
              <w:rPr>
                <w:rFonts w:eastAsia="Calibri"/>
                <w:sz w:val="20"/>
              </w:rPr>
              <w:t xml:space="preserve">, Pelletier, </w:t>
            </w:r>
            <w:proofErr w:type="spellStart"/>
            <w:r w:rsidRPr="007E545A">
              <w:rPr>
                <w:rFonts w:eastAsia="Calibri"/>
                <w:sz w:val="20"/>
              </w:rPr>
              <w:t>Mainville</w:t>
            </w:r>
            <w:proofErr w:type="spellEnd"/>
            <w:r w:rsidRPr="007E545A">
              <w:rPr>
                <w:rFonts w:eastAsia="Calibri"/>
                <w:sz w:val="20"/>
              </w:rPr>
              <w:t xml:space="preserve"> JJ.A.)</w:t>
            </w:r>
          </w:p>
          <w:p w:rsidR="002C1715" w:rsidRPr="007E545A" w:rsidRDefault="002C1715" w:rsidP="008F6F48">
            <w:pPr>
              <w:jc w:val="both"/>
              <w:rPr>
                <w:rFonts w:eastAsia="Calibri"/>
                <w:sz w:val="20"/>
                <w:lang w:val="fr-CA"/>
              </w:rPr>
            </w:pPr>
            <w:r w:rsidRPr="007E545A">
              <w:rPr>
                <w:rFonts w:eastAsia="Calibri"/>
                <w:sz w:val="20"/>
                <w:lang w:val="fr-CA"/>
              </w:rPr>
              <w:t>2012 FCA 181</w:t>
            </w:r>
          </w:p>
          <w:p w:rsidR="002C1715" w:rsidRPr="007E545A" w:rsidRDefault="002C1715" w:rsidP="008F6F48">
            <w:pPr>
              <w:jc w:val="both"/>
              <w:rPr>
                <w:rFonts w:eastAsia="Calibri"/>
                <w:sz w:val="20"/>
                <w:lang w:val="fr-CA"/>
              </w:rPr>
            </w:pPr>
          </w:p>
        </w:tc>
        <w:tc>
          <w:tcPr>
            <w:tcW w:w="243" w:type="pct"/>
          </w:tcPr>
          <w:p w:rsidR="002C1715" w:rsidRPr="007E545A" w:rsidRDefault="002C1715" w:rsidP="008F6F48">
            <w:pPr>
              <w:jc w:val="both"/>
              <w:rPr>
                <w:rFonts w:eastAsia="Calibri"/>
                <w:sz w:val="20"/>
                <w:lang w:val="fr-CA"/>
              </w:rPr>
            </w:pPr>
          </w:p>
        </w:tc>
        <w:tc>
          <w:tcPr>
            <w:tcW w:w="2330" w:type="pct"/>
          </w:tcPr>
          <w:p w:rsidR="002C1715" w:rsidRPr="007E545A" w:rsidRDefault="002C1715" w:rsidP="008F6F48">
            <w:pPr>
              <w:jc w:val="both"/>
              <w:rPr>
                <w:rFonts w:eastAsia="Calibri"/>
                <w:sz w:val="20"/>
              </w:rPr>
            </w:pPr>
            <w:r w:rsidRPr="007E545A">
              <w:rPr>
                <w:rFonts w:eastAsia="Calibri"/>
                <w:sz w:val="20"/>
              </w:rPr>
              <w:t>Appeal dismissed with costs</w:t>
            </w:r>
          </w:p>
          <w:p w:rsidR="002C1715" w:rsidRPr="007E545A" w:rsidRDefault="002C1715" w:rsidP="008F6F48">
            <w:pPr>
              <w:jc w:val="both"/>
              <w:rPr>
                <w:rFonts w:eastAsia="Calibri"/>
                <w:sz w:val="20"/>
              </w:rPr>
            </w:pPr>
          </w:p>
        </w:tc>
      </w:tr>
      <w:tr w:rsidR="002C1715" w:rsidRPr="007E545A" w:rsidTr="008F6F48">
        <w:trPr>
          <w:cantSplit/>
        </w:trPr>
        <w:tc>
          <w:tcPr>
            <w:tcW w:w="2427" w:type="pct"/>
          </w:tcPr>
          <w:p w:rsidR="002C1715" w:rsidRPr="007E545A" w:rsidRDefault="002C1715" w:rsidP="008F6F48">
            <w:pPr>
              <w:jc w:val="both"/>
              <w:rPr>
                <w:rFonts w:eastAsia="Calibri"/>
                <w:sz w:val="20"/>
              </w:rPr>
            </w:pPr>
            <w:r w:rsidRPr="007E545A">
              <w:rPr>
                <w:rFonts w:eastAsia="Calibri"/>
                <w:sz w:val="20"/>
              </w:rPr>
              <w:t>September 13, 2012</w:t>
            </w:r>
          </w:p>
          <w:p w:rsidR="002C1715" w:rsidRPr="007E545A" w:rsidRDefault="002C1715" w:rsidP="008F6F48">
            <w:pPr>
              <w:jc w:val="both"/>
              <w:rPr>
                <w:rFonts w:eastAsia="Calibri"/>
                <w:sz w:val="20"/>
              </w:rPr>
            </w:pPr>
            <w:r w:rsidRPr="007E545A">
              <w:rPr>
                <w:rFonts w:eastAsia="Calibri"/>
                <w:sz w:val="20"/>
              </w:rPr>
              <w:t>Supreme Court of Canada</w:t>
            </w:r>
          </w:p>
        </w:tc>
        <w:tc>
          <w:tcPr>
            <w:tcW w:w="243" w:type="pct"/>
          </w:tcPr>
          <w:p w:rsidR="002C1715" w:rsidRPr="007E545A" w:rsidRDefault="002C1715" w:rsidP="008F6F48">
            <w:pPr>
              <w:jc w:val="both"/>
              <w:rPr>
                <w:rFonts w:eastAsia="Calibri"/>
                <w:sz w:val="20"/>
              </w:rPr>
            </w:pPr>
          </w:p>
        </w:tc>
        <w:tc>
          <w:tcPr>
            <w:tcW w:w="2330" w:type="pct"/>
          </w:tcPr>
          <w:p w:rsidR="002C1715" w:rsidRPr="007E545A" w:rsidRDefault="002C1715" w:rsidP="008F6F48">
            <w:pPr>
              <w:jc w:val="both"/>
              <w:rPr>
                <w:rFonts w:eastAsia="Calibri"/>
                <w:sz w:val="20"/>
              </w:rPr>
            </w:pPr>
            <w:r w:rsidRPr="007E545A">
              <w:rPr>
                <w:rFonts w:eastAsia="Calibri"/>
                <w:sz w:val="20"/>
              </w:rPr>
              <w:t>Application for leave to appeal filed</w:t>
            </w:r>
          </w:p>
        </w:tc>
      </w:tr>
    </w:tbl>
    <w:p w:rsidR="002C1715" w:rsidRPr="00C50A5C" w:rsidRDefault="002C1715" w:rsidP="002C1715">
      <w:pPr>
        <w:rPr>
          <w:sz w:val="20"/>
          <w:szCs w:val="20"/>
        </w:rPr>
      </w:pPr>
    </w:p>
    <w:p w:rsidR="002C1715" w:rsidRPr="00C50A5C" w:rsidRDefault="00D32E73" w:rsidP="002C1715">
      <w:pPr>
        <w:rPr>
          <w:sz w:val="20"/>
          <w:szCs w:val="20"/>
        </w:rPr>
      </w:pPr>
      <w:r w:rsidRPr="00D32E73">
        <w:rPr>
          <w:sz w:val="20"/>
          <w:szCs w:val="20"/>
          <w:lang w:val="fr-CA"/>
        </w:rPr>
        <w:pict>
          <v:rect id="_x0000_i1042" style="width:2in;height:1pt" o:hrpct="0" o:hralign="center" o:hrstd="t" o:hrnoshade="t" o:hr="t" fillcolor="black [3213]" stroked="f"/>
        </w:pict>
      </w:r>
    </w:p>
    <w:p w:rsidR="002C1715" w:rsidRDefault="002C1715" w:rsidP="002C1715">
      <w:pPr>
        <w:rPr>
          <w:sz w:val="20"/>
          <w:szCs w:val="20"/>
        </w:rPr>
      </w:pPr>
    </w:p>
    <w:p w:rsidR="002C1715" w:rsidRPr="001B157C" w:rsidRDefault="002C1715" w:rsidP="002C1715">
      <w:pPr>
        <w:rPr>
          <w:sz w:val="20"/>
          <w:szCs w:val="20"/>
          <w:u w:val="single"/>
          <w:lang w:val="fr-CA"/>
        </w:rPr>
      </w:pPr>
      <w:r w:rsidRPr="001B157C">
        <w:rPr>
          <w:sz w:val="20"/>
          <w:szCs w:val="20"/>
          <w:u w:val="single"/>
          <w:lang w:val="fr-CA"/>
        </w:rPr>
        <w:t>RÉSUMÉ DE L’AFFAIRE</w:t>
      </w:r>
    </w:p>
    <w:p w:rsidR="002C1715" w:rsidRDefault="002C1715" w:rsidP="002C171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C1715" w:rsidRPr="00B32C76" w:rsidTr="008F6F48">
        <w:tc>
          <w:tcPr>
            <w:tcW w:w="5000" w:type="pct"/>
            <w:gridSpan w:val="3"/>
          </w:tcPr>
          <w:p w:rsidR="002C1715" w:rsidRPr="007E545A" w:rsidRDefault="002C1715" w:rsidP="008F6F48">
            <w:pPr>
              <w:jc w:val="both"/>
              <w:rPr>
                <w:rFonts w:eastAsia="Calibri"/>
                <w:sz w:val="20"/>
                <w:lang w:val="fr-CA"/>
              </w:rPr>
            </w:pPr>
            <w:r w:rsidRPr="007E545A">
              <w:rPr>
                <w:rFonts w:eastAsia="Calibri"/>
                <w:sz w:val="20"/>
                <w:lang w:val="fr-CA"/>
              </w:rPr>
              <w:t>Droit de l'emploi — Congédiement injustifié — Forces canadiennes — Imposition de limitations d'emploi médicales — Manquement indirect au principe de l'universalité du service — Les Forces doivent-elles communiquer au membre les politiques et les lignes directrices internes particulières sur lesquelles elles se sont appuyées pour faire l'évaluation médicale? — Les procédures subséquentes d'examen interne et de règlement des griefs ont-elles pour effet de corriger l'omission initiale d'avoir communiqué les renseignements pertinents au membre? — Quels facteurs doivent être pris en compte pour trancher la question de savoir si le manquement initial à l'équité a été corrigé par le nouvel examen ou l'appel?</w:t>
            </w:r>
          </w:p>
        </w:tc>
      </w:tr>
      <w:tr w:rsidR="002C1715" w:rsidRPr="00B32C76" w:rsidTr="008F6F48">
        <w:tc>
          <w:tcPr>
            <w:tcW w:w="5000" w:type="pct"/>
            <w:gridSpan w:val="3"/>
          </w:tcPr>
          <w:p w:rsidR="002C1715" w:rsidRPr="007E545A" w:rsidRDefault="002C1715" w:rsidP="008F6F48">
            <w:pPr>
              <w:jc w:val="both"/>
              <w:rPr>
                <w:rFonts w:eastAsia="Calibri"/>
                <w:sz w:val="20"/>
                <w:lang w:val="fr-CA"/>
              </w:rPr>
            </w:pPr>
          </w:p>
        </w:tc>
      </w:tr>
      <w:tr w:rsidR="002C1715" w:rsidRPr="00B32C76" w:rsidTr="008F6F48">
        <w:tc>
          <w:tcPr>
            <w:tcW w:w="5000" w:type="pct"/>
            <w:gridSpan w:val="3"/>
          </w:tcPr>
          <w:p w:rsidR="002C1715" w:rsidRPr="007E545A" w:rsidRDefault="002C1715" w:rsidP="008F6F48">
            <w:pPr>
              <w:jc w:val="both"/>
              <w:rPr>
                <w:rFonts w:eastAsia="Calibri"/>
                <w:sz w:val="20"/>
                <w:lang w:val="fr-CA"/>
              </w:rPr>
            </w:pPr>
            <w:r w:rsidRPr="007E545A">
              <w:rPr>
                <w:rFonts w:eastAsia="Calibri"/>
                <w:sz w:val="20"/>
                <w:lang w:val="fr-CA"/>
              </w:rPr>
              <w:t>Monsieur McBride, un membre des Forces canadiennes, a formulé un grief contre l’imposition de deux limitations d'emploi médicales en janvier 2006.  La documentation à communiquer envoyée au membre dans le cadre d’un examen administratif indiquait notamment la procédure à suivre pour obtenir l'accès au dossier médical du membre.  Le Directeur - Carrières militaires a approuvé la recommandation de l'analyste portant que M. McBride soit libéré des Forces. Après avoir tenté sans succès d'obtenir un autre sursis, M. McBride a été libéré en juin 2007.  Il a formulé un grief contre cette décision. Les deux griefs non réglés (2006 et 2007) ont été regroupés.  Monsieur McBride a ensuite suivi les étapes de procédure énoncées dans la documentation à communiquer et a obtenu son dossier médical.  Dans ce dossier, il a trouvé deux documents sur lesquels il s'appuie comme preuve que les Forces auraient dû réexaminer les deux décisions qui font l'objet des griefs.</w:t>
            </w:r>
          </w:p>
          <w:p w:rsidR="002C1715" w:rsidRPr="007E545A" w:rsidRDefault="002C1715" w:rsidP="008F6F48">
            <w:pPr>
              <w:jc w:val="both"/>
              <w:rPr>
                <w:rFonts w:eastAsia="Calibri"/>
                <w:sz w:val="20"/>
                <w:lang w:val="fr-CA"/>
              </w:rPr>
            </w:pPr>
          </w:p>
          <w:p w:rsidR="002C1715" w:rsidRPr="007E545A" w:rsidRDefault="002C1715" w:rsidP="008F6F48">
            <w:pPr>
              <w:jc w:val="both"/>
              <w:rPr>
                <w:rFonts w:eastAsia="Calibri"/>
                <w:sz w:val="20"/>
                <w:lang w:val="fr-CA"/>
              </w:rPr>
            </w:pPr>
            <w:r w:rsidRPr="007E545A">
              <w:rPr>
                <w:rFonts w:eastAsia="Calibri"/>
                <w:sz w:val="20"/>
                <w:lang w:val="fr-CA"/>
              </w:rPr>
              <w:t xml:space="preserve">Les griefs de M. McBride ont ensuite été l'objet de deux examens </w:t>
            </w:r>
            <w:r w:rsidRPr="007E545A">
              <w:rPr>
                <w:rFonts w:eastAsia="Calibri"/>
                <w:i/>
                <w:sz w:val="20"/>
                <w:lang w:val="fr-CA"/>
              </w:rPr>
              <w:t>de novo</w:t>
            </w:r>
            <w:r w:rsidRPr="007E545A">
              <w:rPr>
                <w:rFonts w:eastAsia="Calibri"/>
                <w:sz w:val="20"/>
                <w:lang w:val="fr-CA"/>
              </w:rPr>
              <w:t xml:space="preserve">.  Devant le Comité des griefs, M. McBride a plaidé qu’il ressortait des deux documents que le Directeur - Carrières médicales avait commis une erreur et a soutenu que la communication inadéquate des documents par les Forces canadiennes l’avait privé de l'équité procédurale.  Le Comité des griefs a recommandé le rejet des griefs.  Les griefs ont ensuite été portés au Chef d'état-major de la Défense, pour une deuxième audience </w:t>
            </w:r>
            <w:r w:rsidRPr="007E545A">
              <w:rPr>
                <w:rFonts w:eastAsia="Calibri"/>
                <w:i/>
                <w:sz w:val="20"/>
                <w:lang w:val="fr-CA"/>
              </w:rPr>
              <w:t>de novo</w:t>
            </w:r>
            <w:r w:rsidRPr="007E545A">
              <w:rPr>
                <w:rFonts w:eastAsia="Calibri"/>
                <w:sz w:val="20"/>
                <w:lang w:val="fr-CA"/>
              </w:rPr>
              <w:t>.  Ce dernier a également rejeté les arguments de M. McBride et a conclu que l'établissement des limitations d'emploi médicales avait été raisonnable et que ces limitations justifiaient la libération de M. McBride des Forces canadiennes.  La demande de contrôle judiciaire de M. McBride a été rejetée et la Cour d'appel a rejeté son appel.</w:t>
            </w:r>
          </w:p>
          <w:p w:rsidR="002C1715" w:rsidRPr="007E545A" w:rsidRDefault="002C1715" w:rsidP="008F6F48">
            <w:pPr>
              <w:jc w:val="both"/>
              <w:rPr>
                <w:rFonts w:eastAsia="Calibri"/>
                <w:sz w:val="20"/>
                <w:lang w:val="fr-CA"/>
              </w:rPr>
            </w:pPr>
          </w:p>
        </w:tc>
      </w:tr>
      <w:tr w:rsidR="002C1715" w:rsidRPr="00B32C76" w:rsidTr="008F6F48">
        <w:tc>
          <w:tcPr>
            <w:tcW w:w="2427" w:type="pct"/>
          </w:tcPr>
          <w:p w:rsidR="002C1715" w:rsidRPr="007E545A" w:rsidRDefault="002C1715" w:rsidP="008F6F48">
            <w:pPr>
              <w:jc w:val="both"/>
              <w:rPr>
                <w:rFonts w:eastAsia="Calibri"/>
                <w:sz w:val="20"/>
                <w:lang w:val="fr-CA"/>
              </w:rPr>
            </w:pPr>
            <w:r w:rsidRPr="007E545A">
              <w:rPr>
                <w:rFonts w:eastAsia="Calibri"/>
                <w:sz w:val="20"/>
                <w:lang w:val="fr-CA"/>
              </w:rPr>
              <w:t>25 août 2011</w:t>
            </w:r>
          </w:p>
          <w:p w:rsidR="002C1715" w:rsidRPr="007E545A" w:rsidRDefault="002C1715" w:rsidP="008F6F48">
            <w:pPr>
              <w:jc w:val="both"/>
              <w:rPr>
                <w:rFonts w:eastAsia="Calibri"/>
                <w:sz w:val="20"/>
                <w:lang w:val="fr-CA"/>
              </w:rPr>
            </w:pPr>
            <w:r w:rsidRPr="007E545A">
              <w:rPr>
                <w:rFonts w:eastAsia="Calibri"/>
                <w:sz w:val="20"/>
                <w:lang w:val="fr-CA"/>
              </w:rPr>
              <w:t xml:space="preserve">Cour fédérale </w:t>
            </w:r>
          </w:p>
          <w:p w:rsidR="002C1715" w:rsidRPr="007E545A" w:rsidRDefault="002C1715" w:rsidP="008F6F48">
            <w:pPr>
              <w:jc w:val="both"/>
              <w:rPr>
                <w:rFonts w:eastAsia="Calibri"/>
                <w:sz w:val="20"/>
                <w:lang w:val="fr-CA"/>
              </w:rPr>
            </w:pPr>
            <w:r w:rsidRPr="007E545A">
              <w:rPr>
                <w:rFonts w:eastAsia="Calibri"/>
                <w:sz w:val="20"/>
                <w:lang w:val="fr-CA"/>
              </w:rPr>
              <w:t>(Juge Martineau)</w:t>
            </w:r>
          </w:p>
          <w:p w:rsidR="002C1715" w:rsidRPr="007E545A" w:rsidRDefault="002C1715" w:rsidP="008F6F48">
            <w:pPr>
              <w:jc w:val="both"/>
              <w:rPr>
                <w:rFonts w:eastAsia="Calibri"/>
                <w:sz w:val="20"/>
                <w:lang w:val="fr-CA"/>
              </w:rPr>
            </w:pPr>
            <w:r w:rsidRPr="007E545A">
              <w:rPr>
                <w:rFonts w:eastAsia="Calibri"/>
                <w:sz w:val="20"/>
                <w:lang w:val="fr-CA"/>
              </w:rPr>
              <w:t xml:space="preserve">2011 CF 1019 </w:t>
            </w:r>
          </w:p>
          <w:p w:rsidR="002C1715" w:rsidRPr="007E545A" w:rsidRDefault="002C1715" w:rsidP="008F6F48">
            <w:pPr>
              <w:jc w:val="both"/>
              <w:rPr>
                <w:rFonts w:eastAsia="Calibri"/>
                <w:sz w:val="20"/>
                <w:lang w:val="fr-CA"/>
              </w:rPr>
            </w:pPr>
          </w:p>
        </w:tc>
        <w:tc>
          <w:tcPr>
            <w:tcW w:w="243" w:type="pct"/>
          </w:tcPr>
          <w:p w:rsidR="002C1715" w:rsidRPr="007E545A" w:rsidRDefault="002C1715" w:rsidP="008F6F48">
            <w:pPr>
              <w:jc w:val="both"/>
              <w:rPr>
                <w:rFonts w:eastAsia="Calibri"/>
                <w:sz w:val="20"/>
                <w:lang w:val="fr-CA"/>
              </w:rPr>
            </w:pPr>
          </w:p>
        </w:tc>
        <w:tc>
          <w:tcPr>
            <w:tcW w:w="2330" w:type="pct"/>
          </w:tcPr>
          <w:p w:rsidR="002C1715" w:rsidRPr="007E545A" w:rsidRDefault="002C1715" w:rsidP="008F6F48">
            <w:pPr>
              <w:jc w:val="both"/>
              <w:rPr>
                <w:rFonts w:eastAsia="Calibri"/>
                <w:sz w:val="20"/>
                <w:lang w:val="fr-CA"/>
              </w:rPr>
            </w:pPr>
            <w:r w:rsidRPr="007E545A">
              <w:rPr>
                <w:rFonts w:eastAsia="Calibri"/>
                <w:sz w:val="20"/>
                <w:lang w:val="fr-CA"/>
              </w:rPr>
              <w:t xml:space="preserve">Demande de contrôle judiciaire rejetée avec dépens </w:t>
            </w:r>
          </w:p>
          <w:p w:rsidR="002C1715" w:rsidRPr="007E545A" w:rsidRDefault="002C1715" w:rsidP="008F6F48">
            <w:pPr>
              <w:jc w:val="both"/>
              <w:rPr>
                <w:rFonts w:eastAsia="Calibri"/>
                <w:sz w:val="20"/>
                <w:lang w:val="fr-CA"/>
              </w:rPr>
            </w:pPr>
          </w:p>
        </w:tc>
      </w:tr>
      <w:tr w:rsidR="002C1715" w:rsidRPr="007E545A" w:rsidTr="008F6F48">
        <w:trPr>
          <w:cantSplit/>
        </w:trPr>
        <w:tc>
          <w:tcPr>
            <w:tcW w:w="2427" w:type="pct"/>
          </w:tcPr>
          <w:p w:rsidR="002C1715" w:rsidRPr="007E545A" w:rsidRDefault="002C1715" w:rsidP="008F6F48">
            <w:pPr>
              <w:jc w:val="both"/>
              <w:rPr>
                <w:rFonts w:eastAsia="Calibri"/>
                <w:sz w:val="20"/>
                <w:lang w:val="fr-CA"/>
              </w:rPr>
            </w:pPr>
            <w:r w:rsidRPr="007E545A">
              <w:rPr>
                <w:rFonts w:eastAsia="Calibri"/>
                <w:sz w:val="20"/>
                <w:lang w:val="fr-CA"/>
              </w:rPr>
              <w:lastRenderedPageBreak/>
              <w:t>15 juin 2012</w:t>
            </w:r>
          </w:p>
          <w:p w:rsidR="002C1715" w:rsidRPr="007E545A" w:rsidRDefault="002C1715" w:rsidP="008F6F48">
            <w:pPr>
              <w:jc w:val="both"/>
              <w:rPr>
                <w:rFonts w:eastAsia="Calibri"/>
                <w:sz w:val="20"/>
                <w:lang w:val="fr-CA"/>
              </w:rPr>
            </w:pPr>
            <w:r w:rsidRPr="007E545A">
              <w:rPr>
                <w:rFonts w:eastAsia="Calibri"/>
                <w:sz w:val="20"/>
                <w:lang w:val="fr-CA"/>
              </w:rPr>
              <w:t xml:space="preserve">Cour d'appel fédérale </w:t>
            </w:r>
          </w:p>
          <w:p w:rsidR="002C1715" w:rsidRPr="007E545A" w:rsidRDefault="002C1715" w:rsidP="008F6F48">
            <w:pPr>
              <w:jc w:val="both"/>
              <w:rPr>
                <w:rFonts w:eastAsia="Calibri"/>
                <w:sz w:val="20"/>
                <w:lang w:val="fr-CA"/>
              </w:rPr>
            </w:pPr>
            <w:r w:rsidRPr="007E545A">
              <w:rPr>
                <w:rFonts w:eastAsia="Calibri"/>
                <w:sz w:val="20"/>
                <w:lang w:val="fr-CA"/>
              </w:rPr>
              <w:t xml:space="preserve">(Juges </w:t>
            </w:r>
            <w:proofErr w:type="spellStart"/>
            <w:r w:rsidRPr="007E545A">
              <w:rPr>
                <w:rFonts w:eastAsia="Calibri"/>
                <w:sz w:val="20"/>
                <w:lang w:val="fr-CA"/>
              </w:rPr>
              <w:t>Sharlow</w:t>
            </w:r>
            <w:proofErr w:type="spellEnd"/>
            <w:r w:rsidRPr="007E545A">
              <w:rPr>
                <w:rFonts w:eastAsia="Calibri"/>
                <w:sz w:val="20"/>
                <w:lang w:val="fr-CA"/>
              </w:rPr>
              <w:t>, Pelletier et Mainville)</w:t>
            </w:r>
          </w:p>
          <w:p w:rsidR="002C1715" w:rsidRPr="007E545A" w:rsidRDefault="002C1715" w:rsidP="008F6F48">
            <w:pPr>
              <w:jc w:val="both"/>
              <w:rPr>
                <w:rFonts w:eastAsia="Calibri"/>
                <w:sz w:val="20"/>
                <w:lang w:val="fr-CA"/>
              </w:rPr>
            </w:pPr>
            <w:r w:rsidRPr="007E545A">
              <w:rPr>
                <w:rFonts w:eastAsia="Calibri"/>
                <w:sz w:val="20"/>
                <w:lang w:val="fr-CA"/>
              </w:rPr>
              <w:t>2012 CAF 181</w:t>
            </w:r>
          </w:p>
          <w:p w:rsidR="002C1715" w:rsidRPr="007E545A" w:rsidRDefault="002C1715" w:rsidP="008F6F48">
            <w:pPr>
              <w:jc w:val="both"/>
              <w:rPr>
                <w:rFonts w:eastAsia="Calibri"/>
                <w:sz w:val="20"/>
                <w:lang w:val="fr-CA"/>
              </w:rPr>
            </w:pPr>
          </w:p>
        </w:tc>
        <w:tc>
          <w:tcPr>
            <w:tcW w:w="243" w:type="pct"/>
          </w:tcPr>
          <w:p w:rsidR="002C1715" w:rsidRPr="007E545A" w:rsidRDefault="002C1715" w:rsidP="008F6F48">
            <w:pPr>
              <w:jc w:val="both"/>
              <w:rPr>
                <w:rFonts w:eastAsia="Calibri"/>
                <w:sz w:val="20"/>
                <w:lang w:val="fr-CA"/>
              </w:rPr>
            </w:pPr>
          </w:p>
        </w:tc>
        <w:tc>
          <w:tcPr>
            <w:tcW w:w="2330" w:type="pct"/>
          </w:tcPr>
          <w:p w:rsidR="002C1715" w:rsidRPr="007E545A" w:rsidRDefault="002C1715" w:rsidP="008F6F48">
            <w:pPr>
              <w:jc w:val="both"/>
              <w:rPr>
                <w:rFonts w:eastAsia="Calibri"/>
                <w:sz w:val="20"/>
                <w:lang w:val="fr-CA"/>
              </w:rPr>
            </w:pPr>
            <w:r w:rsidRPr="007E545A">
              <w:rPr>
                <w:rFonts w:eastAsia="Calibri"/>
                <w:sz w:val="20"/>
                <w:lang w:val="fr-CA"/>
              </w:rPr>
              <w:t>Appel rejeté avec dépens</w:t>
            </w:r>
          </w:p>
          <w:p w:rsidR="002C1715" w:rsidRPr="007E545A" w:rsidRDefault="002C1715" w:rsidP="008F6F48">
            <w:pPr>
              <w:jc w:val="both"/>
              <w:rPr>
                <w:rFonts w:eastAsia="Calibri"/>
                <w:sz w:val="20"/>
                <w:lang w:val="fr-CA"/>
              </w:rPr>
            </w:pPr>
          </w:p>
        </w:tc>
      </w:tr>
      <w:tr w:rsidR="002C1715" w:rsidRPr="007E545A" w:rsidTr="008F6F48">
        <w:trPr>
          <w:cantSplit/>
        </w:trPr>
        <w:tc>
          <w:tcPr>
            <w:tcW w:w="2427" w:type="pct"/>
          </w:tcPr>
          <w:p w:rsidR="002C1715" w:rsidRPr="007E545A" w:rsidRDefault="002C1715" w:rsidP="008F6F48">
            <w:pPr>
              <w:jc w:val="both"/>
              <w:rPr>
                <w:rFonts w:eastAsia="Calibri"/>
                <w:sz w:val="20"/>
                <w:lang w:val="fr-CA"/>
              </w:rPr>
            </w:pPr>
            <w:r w:rsidRPr="007E545A">
              <w:rPr>
                <w:rFonts w:eastAsia="Calibri"/>
                <w:sz w:val="20"/>
                <w:lang w:val="fr-CA"/>
              </w:rPr>
              <w:t>13 septembre 2012</w:t>
            </w:r>
          </w:p>
          <w:p w:rsidR="002C1715" w:rsidRPr="007E545A" w:rsidRDefault="002C1715" w:rsidP="008F6F48">
            <w:pPr>
              <w:jc w:val="both"/>
              <w:rPr>
                <w:rFonts w:eastAsia="Calibri"/>
                <w:sz w:val="20"/>
                <w:lang w:val="fr-CA"/>
              </w:rPr>
            </w:pPr>
            <w:r w:rsidRPr="007E545A">
              <w:rPr>
                <w:rFonts w:eastAsia="Calibri"/>
                <w:sz w:val="20"/>
                <w:lang w:val="fr-CA"/>
              </w:rPr>
              <w:t>Cour suprême du Canada</w:t>
            </w:r>
          </w:p>
        </w:tc>
        <w:tc>
          <w:tcPr>
            <w:tcW w:w="243" w:type="pct"/>
          </w:tcPr>
          <w:p w:rsidR="002C1715" w:rsidRPr="007E545A" w:rsidRDefault="002C1715" w:rsidP="008F6F48">
            <w:pPr>
              <w:jc w:val="both"/>
              <w:rPr>
                <w:rFonts w:eastAsia="Calibri"/>
                <w:sz w:val="20"/>
                <w:lang w:val="fr-CA"/>
              </w:rPr>
            </w:pPr>
          </w:p>
        </w:tc>
        <w:tc>
          <w:tcPr>
            <w:tcW w:w="2330" w:type="pct"/>
          </w:tcPr>
          <w:p w:rsidR="002C1715" w:rsidRPr="007E545A" w:rsidRDefault="002C1715" w:rsidP="008F6F48">
            <w:pPr>
              <w:jc w:val="both"/>
              <w:rPr>
                <w:rFonts w:eastAsia="Calibri"/>
                <w:sz w:val="20"/>
                <w:lang w:val="fr-CA"/>
              </w:rPr>
            </w:pPr>
            <w:r w:rsidRPr="007E545A">
              <w:rPr>
                <w:rFonts w:eastAsia="Calibri"/>
                <w:sz w:val="20"/>
                <w:lang w:val="fr-CA"/>
              </w:rPr>
              <w:t>Demande d'autorisation d'appel, déposée</w:t>
            </w:r>
          </w:p>
        </w:tc>
      </w:tr>
    </w:tbl>
    <w:p w:rsidR="002C1715" w:rsidRDefault="002C1715" w:rsidP="002C1715">
      <w:pPr>
        <w:rPr>
          <w:sz w:val="20"/>
          <w:szCs w:val="20"/>
        </w:rPr>
      </w:pPr>
    </w:p>
    <w:p w:rsidR="002C1715" w:rsidRDefault="00D32E73" w:rsidP="002C1715">
      <w:pPr>
        <w:rPr>
          <w:sz w:val="20"/>
          <w:szCs w:val="20"/>
        </w:rPr>
      </w:pPr>
      <w:r w:rsidRPr="00D32E73">
        <w:rPr>
          <w:sz w:val="20"/>
          <w:szCs w:val="20"/>
          <w:lang w:val="fr-CA"/>
        </w:rPr>
        <w:pict>
          <v:rect id="_x0000_i1043" style="width:2in;height:1pt" o:hrpct="0" o:hralign="center" o:hrstd="t" o:hrnoshade="t" o:hr="t" fillcolor="black [3213]" stroked="f"/>
        </w:pict>
      </w:r>
    </w:p>
    <w:p w:rsidR="002C1715" w:rsidRDefault="002C1715" w:rsidP="002C1715">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RPr="005143E4" w:rsidTr="008F6F48">
        <w:trPr>
          <w:cantSplit/>
        </w:trPr>
        <w:tc>
          <w:tcPr>
            <w:tcW w:w="1458" w:type="dxa"/>
          </w:tcPr>
          <w:p w:rsidR="002C1715" w:rsidRPr="005143E4" w:rsidRDefault="002C1715" w:rsidP="008F6F48">
            <w:pPr>
              <w:rPr>
                <w:sz w:val="20"/>
              </w:rPr>
            </w:pPr>
            <w:r w:rsidRPr="005143E4">
              <w:rPr>
                <w:b/>
                <w:sz w:val="20"/>
                <w:lang w:val="fr-CA"/>
              </w:rPr>
              <w:t>34968</w:t>
            </w:r>
          </w:p>
          <w:p w:rsidR="002C1715" w:rsidRPr="005143E4" w:rsidRDefault="002C1715" w:rsidP="008F6F48">
            <w:pPr>
              <w:rPr>
                <w:b/>
                <w:sz w:val="20"/>
                <w:lang w:val="fr-CA"/>
              </w:rPr>
            </w:pPr>
          </w:p>
        </w:tc>
        <w:tc>
          <w:tcPr>
            <w:tcW w:w="8118" w:type="dxa"/>
          </w:tcPr>
          <w:p w:rsidR="002C1715" w:rsidRPr="005143E4" w:rsidRDefault="002C1715" w:rsidP="008F6F48">
            <w:pPr>
              <w:rPr>
                <w:sz w:val="20"/>
              </w:rPr>
            </w:pPr>
            <w:r w:rsidRPr="005143E4">
              <w:rPr>
                <w:b/>
                <w:sz w:val="20"/>
                <w:u w:val="single"/>
                <w:lang w:val="en-US"/>
              </w:rPr>
              <w:t xml:space="preserve">299 </w:t>
            </w:r>
            <w:proofErr w:type="spellStart"/>
            <w:r w:rsidRPr="005143E4">
              <w:rPr>
                <w:b/>
                <w:sz w:val="20"/>
                <w:u w:val="single"/>
                <w:lang w:val="en-US"/>
              </w:rPr>
              <w:t>Burrard</w:t>
            </w:r>
            <w:proofErr w:type="spellEnd"/>
            <w:r w:rsidRPr="005143E4">
              <w:rPr>
                <w:b/>
                <w:sz w:val="20"/>
                <w:u w:val="single"/>
                <w:lang w:val="en-US"/>
              </w:rPr>
              <w:t xml:space="preserve"> Residential Limited Partnership v. </w:t>
            </w:r>
            <w:proofErr w:type="spellStart"/>
            <w:r w:rsidRPr="005143E4">
              <w:rPr>
                <w:b/>
                <w:sz w:val="20"/>
                <w:u w:val="single"/>
                <w:lang w:val="en-US"/>
              </w:rPr>
              <w:t>Soroor</w:t>
            </w:r>
            <w:proofErr w:type="spellEnd"/>
            <w:r w:rsidRPr="005143E4">
              <w:rPr>
                <w:b/>
                <w:sz w:val="20"/>
                <w:u w:val="single"/>
                <w:lang w:val="en-US"/>
              </w:rPr>
              <w:t xml:space="preserve"> </w:t>
            </w:r>
            <w:proofErr w:type="spellStart"/>
            <w:r w:rsidRPr="005143E4">
              <w:rPr>
                <w:b/>
                <w:sz w:val="20"/>
                <w:u w:val="single"/>
                <w:lang w:val="en-US"/>
              </w:rPr>
              <w:t>Essalat</w:t>
            </w:r>
            <w:proofErr w:type="spellEnd"/>
            <w:r w:rsidRPr="005143E4">
              <w:rPr>
                <w:sz w:val="20"/>
              </w:rPr>
              <w:t xml:space="preserve"> (B.C.) (Civil) (By Leave)</w:t>
            </w:r>
          </w:p>
          <w:p w:rsidR="002C1715" w:rsidRPr="005143E4" w:rsidRDefault="002C1715" w:rsidP="008F6F48">
            <w:pPr>
              <w:rPr>
                <w:sz w:val="20"/>
              </w:rPr>
            </w:pPr>
          </w:p>
        </w:tc>
      </w:tr>
      <w:tr w:rsidR="002C1715" w:rsidRPr="005143E4" w:rsidTr="008F6F48">
        <w:trPr>
          <w:cantSplit/>
        </w:trPr>
        <w:tc>
          <w:tcPr>
            <w:tcW w:w="1458" w:type="dxa"/>
          </w:tcPr>
          <w:p w:rsidR="002C1715" w:rsidRPr="005143E4" w:rsidRDefault="002C1715" w:rsidP="008F6F48">
            <w:pPr>
              <w:rPr>
                <w:sz w:val="20"/>
              </w:rPr>
            </w:pPr>
            <w:r w:rsidRPr="005143E4">
              <w:rPr>
                <w:sz w:val="20"/>
              </w:rPr>
              <w:t>Coram :</w:t>
            </w:r>
          </w:p>
        </w:tc>
        <w:tc>
          <w:tcPr>
            <w:tcW w:w="8118" w:type="dxa"/>
          </w:tcPr>
          <w:p w:rsidR="002C1715" w:rsidRPr="005143E4" w:rsidRDefault="002C1715" w:rsidP="008F6F48">
            <w:pPr>
              <w:rPr>
                <w:sz w:val="20"/>
              </w:rPr>
            </w:pPr>
            <w:proofErr w:type="spellStart"/>
            <w:r w:rsidRPr="005143E4">
              <w:rPr>
                <w:sz w:val="20"/>
                <w:u w:val="single"/>
                <w:lang w:val="en-US"/>
              </w:rPr>
              <w:t>McLachlin</w:t>
            </w:r>
            <w:proofErr w:type="spellEnd"/>
            <w:r w:rsidRPr="005143E4">
              <w:rPr>
                <w:sz w:val="20"/>
                <w:u w:val="single"/>
                <w:lang w:val="en-US"/>
              </w:rPr>
              <w:t xml:space="preserve"> C.J. and </w:t>
            </w:r>
            <w:proofErr w:type="spellStart"/>
            <w:r w:rsidRPr="005143E4">
              <w:rPr>
                <w:sz w:val="20"/>
                <w:u w:val="single"/>
                <w:lang w:val="en-US"/>
              </w:rPr>
              <w:t>Abella</w:t>
            </w:r>
            <w:proofErr w:type="spellEnd"/>
            <w:r w:rsidRPr="005143E4">
              <w:rPr>
                <w:sz w:val="20"/>
                <w:u w:val="single"/>
                <w:lang w:val="en-US"/>
              </w:rPr>
              <w:t xml:space="preserve"> and Cromwell JJ.</w:t>
            </w:r>
          </w:p>
          <w:p w:rsidR="002C1715" w:rsidRPr="005143E4" w:rsidRDefault="002C1715" w:rsidP="008F6F48">
            <w:pPr>
              <w:rPr>
                <w:sz w:val="20"/>
                <w:u w:val="single"/>
              </w:rPr>
            </w:pPr>
          </w:p>
        </w:tc>
      </w:tr>
      <w:tr w:rsidR="002C1715" w:rsidRPr="00B32C76" w:rsidTr="008F6F48">
        <w:trPr>
          <w:cantSplit/>
        </w:trPr>
        <w:tc>
          <w:tcPr>
            <w:tcW w:w="9576" w:type="dxa"/>
            <w:gridSpan w:val="2"/>
          </w:tcPr>
          <w:p w:rsidR="002C1715" w:rsidRPr="005143E4" w:rsidRDefault="002C1715" w:rsidP="008F6F48">
            <w:pPr>
              <w:ind w:firstLine="720"/>
              <w:jc w:val="both"/>
              <w:rPr>
                <w:sz w:val="20"/>
              </w:rPr>
            </w:pPr>
            <w:r w:rsidRPr="005143E4">
              <w:rPr>
                <w:sz w:val="20"/>
              </w:rPr>
              <w:t>The application for leave to appeal from the judgment of the Court of Appeal for British Columbia (Vancouver), Number CA039297, 2012 BCCA 271, dated June 21, 2012, is dismissed with costs.</w:t>
            </w:r>
          </w:p>
          <w:p w:rsidR="002C1715" w:rsidRPr="005143E4" w:rsidRDefault="002C1715" w:rsidP="008F6F48">
            <w:pPr>
              <w:jc w:val="both"/>
              <w:rPr>
                <w:sz w:val="20"/>
              </w:rPr>
            </w:pPr>
          </w:p>
          <w:p w:rsidR="002C1715" w:rsidRPr="005143E4" w:rsidRDefault="002C1715" w:rsidP="008F6F48">
            <w:pPr>
              <w:ind w:firstLine="720"/>
              <w:jc w:val="both"/>
              <w:rPr>
                <w:sz w:val="20"/>
                <w:lang w:val="fr-CA"/>
              </w:rPr>
            </w:pPr>
            <w:r w:rsidRPr="005143E4">
              <w:rPr>
                <w:sz w:val="20"/>
                <w:lang w:val="fr-CA"/>
              </w:rPr>
              <w:t>La demande d’autorisation d’appel de l’arrêt de la Cour d’appel de la Colombie-Britannique (Vancouver), numéro CA039297, 2012 BCCA 271, daté du 21 juin 2012, est rejetée avec dépens.</w:t>
            </w:r>
          </w:p>
        </w:tc>
      </w:tr>
    </w:tbl>
    <w:p w:rsidR="002C1715" w:rsidRPr="00D006F1" w:rsidRDefault="002C1715" w:rsidP="002C1715">
      <w:pPr>
        <w:rPr>
          <w:sz w:val="20"/>
          <w:szCs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1715" w:rsidRPr="00395070" w:rsidTr="008F6F48">
        <w:tc>
          <w:tcPr>
            <w:tcW w:w="5000" w:type="pct"/>
            <w:gridSpan w:val="3"/>
          </w:tcPr>
          <w:p w:rsidR="002C1715" w:rsidRPr="00395070" w:rsidRDefault="002C1715" w:rsidP="008F6F48">
            <w:pPr>
              <w:jc w:val="both"/>
              <w:rPr>
                <w:rFonts w:eastAsia="Calibri"/>
                <w:sz w:val="20"/>
              </w:rPr>
            </w:pPr>
            <w:r w:rsidRPr="00395070">
              <w:rPr>
                <w:rFonts w:eastAsia="Calibri"/>
                <w:sz w:val="20"/>
              </w:rPr>
              <w:t>Property — Real property — Marketing of development units — Disclosure requirements — Estimated date of completion of construction — Applicant developer seeking to recover full deposit on luxury condominium after respondent refused to close purchase of unit on stipulated closing date — Proper interpretation and application of disclosure requirements — Whether trial judge was in error in applying principles established in</w:t>
            </w:r>
            <w:r w:rsidRPr="00395070">
              <w:rPr>
                <w:rFonts w:eastAsia="Calibri"/>
                <w:i/>
                <w:sz w:val="20"/>
              </w:rPr>
              <w:t xml:space="preserve"> </w:t>
            </w:r>
            <w:proofErr w:type="spellStart"/>
            <w:r w:rsidRPr="00395070">
              <w:rPr>
                <w:rFonts w:eastAsia="Calibri"/>
                <w:i/>
                <w:sz w:val="20"/>
              </w:rPr>
              <w:t>Sharbern</w:t>
            </w:r>
            <w:proofErr w:type="spellEnd"/>
            <w:r w:rsidRPr="00395070">
              <w:rPr>
                <w:rFonts w:eastAsia="Calibri"/>
                <w:i/>
                <w:sz w:val="20"/>
              </w:rPr>
              <w:t xml:space="preserve"> Holding Inc. v. Vancouver Airport Centre Ltd</w:t>
            </w:r>
            <w:r w:rsidRPr="00395070">
              <w:rPr>
                <w:rFonts w:eastAsia="Calibri"/>
                <w:sz w:val="20"/>
              </w:rPr>
              <w:t xml:space="preserve">., 2011 SCC 23, [2011] 2 S.C.R. 175, to determine whether there was a misrepresentation by applicant in its disclosure requirements — </w:t>
            </w:r>
            <w:r w:rsidRPr="00395070">
              <w:rPr>
                <w:rFonts w:eastAsia="Calibri"/>
                <w:i/>
                <w:sz w:val="20"/>
              </w:rPr>
              <w:t>Real Estate Development Marketing Act</w:t>
            </w:r>
            <w:r w:rsidRPr="00395070">
              <w:rPr>
                <w:rFonts w:eastAsia="Calibri"/>
                <w:sz w:val="20"/>
              </w:rPr>
              <w:t>, S.B.C. 2004, c. 41, ss. 1, 14, 16.</w:t>
            </w:r>
          </w:p>
        </w:tc>
      </w:tr>
      <w:tr w:rsidR="002C1715" w:rsidRPr="00395070" w:rsidTr="008F6F48">
        <w:tc>
          <w:tcPr>
            <w:tcW w:w="5000" w:type="pct"/>
            <w:gridSpan w:val="3"/>
          </w:tcPr>
          <w:p w:rsidR="002C1715" w:rsidRPr="00395070" w:rsidRDefault="002C1715" w:rsidP="008F6F48">
            <w:pPr>
              <w:jc w:val="both"/>
              <w:rPr>
                <w:rFonts w:eastAsia="Calibri"/>
                <w:sz w:val="20"/>
              </w:rPr>
            </w:pPr>
          </w:p>
        </w:tc>
      </w:tr>
      <w:tr w:rsidR="002C1715" w:rsidRPr="00395070" w:rsidTr="008F6F48">
        <w:tc>
          <w:tcPr>
            <w:tcW w:w="5000" w:type="pct"/>
            <w:gridSpan w:val="3"/>
          </w:tcPr>
          <w:p w:rsidR="002C1715" w:rsidRPr="00395070" w:rsidRDefault="002C1715" w:rsidP="008F6F48">
            <w:pPr>
              <w:jc w:val="both"/>
              <w:rPr>
                <w:rFonts w:eastAsia="Calibri"/>
                <w:sz w:val="20"/>
              </w:rPr>
            </w:pPr>
            <w:r w:rsidRPr="00395070">
              <w:rPr>
                <w:rFonts w:eastAsia="Calibri"/>
                <w:sz w:val="20"/>
              </w:rPr>
              <w:t xml:space="preserve">The respondent agreed to purchase a strata title apartment unit in Vancouver pursuant to an agreement of purchase and sale which was signed long before the unit was built.  In accordance with the requirements of the </w:t>
            </w:r>
            <w:r w:rsidRPr="00395070">
              <w:rPr>
                <w:rFonts w:eastAsia="Calibri"/>
                <w:i/>
                <w:sz w:val="20"/>
              </w:rPr>
              <w:t>Real Estate Development Marketing Act</w:t>
            </w:r>
            <w:r w:rsidRPr="00395070">
              <w:rPr>
                <w:rFonts w:eastAsia="Calibri"/>
                <w:sz w:val="20"/>
              </w:rPr>
              <w:t xml:space="preserve">, the applicant developer filed a disclosure statement, which stated that the estimated date of completion of construction for the development was September of 2009.  The development was not fully completed until April 2010.  However, the City of Vancouver issued an occupancy permit for the unit on January 25, 2010.  The respondent refused to close the purchase of the unit on the stipulated closing date of January 27, 2010.  The applicant then began proceedings seeking forfeiture of the full deposit that the respondent had agreed to pay.  </w:t>
            </w:r>
          </w:p>
          <w:p w:rsidR="002C1715" w:rsidRPr="00395070" w:rsidRDefault="002C1715" w:rsidP="008F6F48">
            <w:pPr>
              <w:jc w:val="both"/>
              <w:rPr>
                <w:rFonts w:eastAsia="Calibri"/>
                <w:sz w:val="20"/>
              </w:rPr>
            </w:pPr>
          </w:p>
          <w:p w:rsidR="002C1715" w:rsidRPr="00395070" w:rsidRDefault="002C1715" w:rsidP="008F6F48">
            <w:pPr>
              <w:jc w:val="both"/>
              <w:rPr>
                <w:rFonts w:eastAsia="Calibri"/>
                <w:sz w:val="20"/>
              </w:rPr>
            </w:pPr>
            <w:r w:rsidRPr="00395070">
              <w:rPr>
                <w:rFonts w:eastAsia="Calibri"/>
                <w:sz w:val="20"/>
              </w:rPr>
              <w:t>The trial judge held that the agreement to purchase was enforceable, notwithstanding the incorrect completion date in the disclosure statement.  The Court of Appeal allowed the respondent’s appeal of that decision.</w:t>
            </w:r>
          </w:p>
          <w:p w:rsidR="002C1715" w:rsidRPr="00395070" w:rsidRDefault="002C1715" w:rsidP="008F6F48">
            <w:pPr>
              <w:jc w:val="both"/>
              <w:rPr>
                <w:rFonts w:eastAsia="Calibri"/>
                <w:sz w:val="20"/>
              </w:rPr>
            </w:pPr>
          </w:p>
        </w:tc>
      </w:tr>
      <w:tr w:rsidR="002C1715" w:rsidRPr="00395070" w:rsidTr="008F6F48">
        <w:tc>
          <w:tcPr>
            <w:tcW w:w="2427" w:type="pct"/>
          </w:tcPr>
          <w:p w:rsidR="002C1715" w:rsidRPr="00395070" w:rsidRDefault="002C1715" w:rsidP="008F6F48">
            <w:pPr>
              <w:jc w:val="both"/>
              <w:rPr>
                <w:rFonts w:eastAsia="Calibri"/>
                <w:sz w:val="20"/>
              </w:rPr>
            </w:pPr>
            <w:r w:rsidRPr="00395070">
              <w:rPr>
                <w:rFonts w:eastAsia="Calibri"/>
                <w:sz w:val="20"/>
              </w:rPr>
              <w:t>July 26, 2011</w:t>
            </w:r>
          </w:p>
          <w:p w:rsidR="002C1715" w:rsidRPr="00395070" w:rsidRDefault="002C1715" w:rsidP="008F6F48">
            <w:pPr>
              <w:jc w:val="both"/>
              <w:rPr>
                <w:rFonts w:eastAsia="Calibri"/>
                <w:sz w:val="20"/>
              </w:rPr>
            </w:pPr>
            <w:r w:rsidRPr="00395070">
              <w:rPr>
                <w:rFonts w:eastAsia="Calibri"/>
                <w:sz w:val="20"/>
              </w:rPr>
              <w:t>Supreme Court of British Columbia</w:t>
            </w:r>
          </w:p>
          <w:p w:rsidR="002C1715" w:rsidRPr="00395070" w:rsidRDefault="002C1715" w:rsidP="008F6F48">
            <w:pPr>
              <w:jc w:val="both"/>
              <w:rPr>
                <w:rFonts w:eastAsia="Calibri"/>
                <w:sz w:val="20"/>
              </w:rPr>
            </w:pPr>
            <w:r w:rsidRPr="00395070">
              <w:rPr>
                <w:rFonts w:eastAsia="Calibri"/>
                <w:sz w:val="20"/>
              </w:rPr>
              <w:t>(Sewell J.)</w:t>
            </w:r>
          </w:p>
          <w:p w:rsidR="002C1715" w:rsidRPr="00395070" w:rsidRDefault="002C1715" w:rsidP="008F6F48">
            <w:pPr>
              <w:jc w:val="both"/>
              <w:rPr>
                <w:rFonts w:eastAsia="Calibri"/>
                <w:sz w:val="20"/>
              </w:rPr>
            </w:pPr>
            <w:r w:rsidRPr="00395070">
              <w:rPr>
                <w:rFonts w:eastAsia="Calibri"/>
                <w:sz w:val="20"/>
              </w:rPr>
              <w:t>2011 BCSC 996</w:t>
            </w:r>
          </w:p>
          <w:p w:rsidR="002C1715" w:rsidRPr="00395070" w:rsidRDefault="002C1715" w:rsidP="008F6F48">
            <w:pPr>
              <w:jc w:val="both"/>
              <w:rPr>
                <w:rFonts w:eastAsia="Calibri"/>
                <w:sz w:val="20"/>
              </w:rPr>
            </w:pPr>
          </w:p>
        </w:tc>
        <w:tc>
          <w:tcPr>
            <w:tcW w:w="243" w:type="pct"/>
          </w:tcPr>
          <w:p w:rsidR="002C1715" w:rsidRPr="00395070" w:rsidRDefault="002C1715" w:rsidP="008F6F48">
            <w:pPr>
              <w:jc w:val="both"/>
              <w:rPr>
                <w:rFonts w:eastAsia="Calibri"/>
                <w:sz w:val="20"/>
              </w:rPr>
            </w:pPr>
          </w:p>
        </w:tc>
        <w:tc>
          <w:tcPr>
            <w:tcW w:w="2330" w:type="pct"/>
          </w:tcPr>
          <w:p w:rsidR="002C1715" w:rsidRPr="00395070" w:rsidRDefault="002C1715" w:rsidP="008F6F48">
            <w:pPr>
              <w:jc w:val="both"/>
              <w:rPr>
                <w:rFonts w:eastAsia="Calibri"/>
                <w:sz w:val="20"/>
              </w:rPr>
            </w:pPr>
            <w:r w:rsidRPr="00395070">
              <w:rPr>
                <w:rFonts w:eastAsia="Calibri"/>
                <w:sz w:val="20"/>
              </w:rPr>
              <w:t>Judgment granted to applicant</w:t>
            </w:r>
          </w:p>
          <w:p w:rsidR="002C1715" w:rsidRPr="00395070" w:rsidRDefault="002C1715" w:rsidP="008F6F48">
            <w:pPr>
              <w:jc w:val="both"/>
              <w:rPr>
                <w:rFonts w:eastAsia="Calibri"/>
                <w:sz w:val="20"/>
              </w:rPr>
            </w:pPr>
          </w:p>
        </w:tc>
      </w:tr>
      <w:tr w:rsidR="002C1715" w:rsidRPr="00395070" w:rsidTr="008F6F48">
        <w:tc>
          <w:tcPr>
            <w:tcW w:w="2427" w:type="pct"/>
          </w:tcPr>
          <w:p w:rsidR="002C1715" w:rsidRPr="00395070" w:rsidRDefault="002C1715" w:rsidP="008F6F48">
            <w:pPr>
              <w:jc w:val="both"/>
              <w:rPr>
                <w:rFonts w:eastAsia="Calibri"/>
                <w:sz w:val="20"/>
              </w:rPr>
            </w:pPr>
            <w:r w:rsidRPr="00395070">
              <w:rPr>
                <w:rFonts w:eastAsia="Calibri"/>
                <w:sz w:val="20"/>
              </w:rPr>
              <w:t>June 21, 2012</w:t>
            </w:r>
          </w:p>
          <w:p w:rsidR="002C1715" w:rsidRPr="00395070" w:rsidRDefault="002C1715" w:rsidP="008F6F48">
            <w:pPr>
              <w:jc w:val="both"/>
              <w:rPr>
                <w:rFonts w:eastAsia="Calibri"/>
                <w:sz w:val="20"/>
              </w:rPr>
            </w:pPr>
            <w:r w:rsidRPr="00395070">
              <w:rPr>
                <w:rFonts w:eastAsia="Calibri"/>
                <w:sz w:val="20"/>
              </w:rPr>
              <w:t>Court of Appeal for British Columbia</w:t>
            </w:r>
          </w:p>
          <w:p w:rsidR="002C1715" w:rsidRPr="00395070" w:rsidRDefault="002C1715" w:rsidP="008F6F48">
            <w:pPr>
              <w:jc w:val="both"/>
              <w:rPr>
                <w:rFonts w:eastAsia="Calibri"/>
                <w:sz w:val="20"/>
              </w:rPr>
            </w:pPr>
            <w:r w:rsidRPr="00395070">
              <w:rPr>
                <w:rFonts w:eastAsia="Calibri"/>
                <w:sz w:val="20"/>
              </w:rPr>
              <w:t xml:space="preserve">(Donald, Kirkpatrick and </w:t>
            </w:r>
            <w:proofErr w:type="spellStart"/>
            <w:r w:rsidRPr="00395070">
              <w:rPr>
                <w:rFonts w:eastAsia="Calibri"/>
                <w:sz w:val="20"/>
              </w:rPr>
              <w:t>Hinkson</w:t>
            </w:r>
            <w:proofErr w:type="spellEnd"/>
            <w:r w:rsidRPr="00395070">
              <w:rPr>
                <w:rFonts w:eastAsia="Calibri"/>
                <w:sz w:val="20"/>
              </w:rPr>
              <w:t xml:space="preserve"> JJ.A.)</w:t>
            </w:r>
          </w:p>
          <w:p w:rsidR="002C1715" w:rsidRPr="00395070" w:rsidRDefault="002C1715" w:rsidP="008F6F48">
            <w:pPr>
              <w:jc w:val="both"/>
              <w:rPr>
                <w:rFonts w:eastAsia="Calibri"/>
                <w:sz w:val="20"/>
              </w:rPr>
            </w:pPr>
            <w:r w:rsidRPr="00395070">
              <w:rPr>
                <w:rFonts w:eastAsia="Calibri"/>
                <w:sz w:val="20"/>
              </w:rPr>
              <w:t>2012 BCCA 271</w:t>
            </w:r>
          </w:p>
          <w:p w:rsidR="002C1715" w:rsidRPr="00395070" w:rsidRDefault="002C1715" w:rsidP="008F6F48">
            <w:pPr>
              <w:jc w:val="both"/>
              <w:rPr>
                <w:rFonts w:eastAsia="Calibri"/>
                <w:sz w:val="20"/>
              </w:rPr>
            </w:pPr>
          </w:p>
        </w:tc>
        <w:tc>
          <w:tcPr>
            <w:tcW w:w="243" w:type="pct"/>
          </w:tcPr>
          <w:p w:rsidR="002C1715" w:rsidRPr="00395070" w:rsidRDefault="002C1715" w:rsidP="008F6F48">
            <w:pPr>
              <w:jc w:val="both"/>
              <w:rPr>
                <w:rFonts w:eastAsia="Calibri"/>
                <w:sz w:val="20"/>
              </w:rPr>
            </w:pPr>
          </w:p>
        </w:tc>
        <w:tc>
          <w:tcPr>
            <w:tcW w:w="2330" w:type="pct"/>
          </w:tcPr>
          <w:p w:rsidR="002C1715" w:rsidRPr="00395070" w:rsidRDefault="002C1715" w:rsidP="008F6F48">
            <w:pPr>
              <w:jc w:val="both"/>
              <w:rPr>
                <w:rFonts w:eastAsia="Calibri"/>
                <w:sz w:val="20"/>
              </w:rPr>
            </w:pPr>
            <w:r w:rsidRPr="00395070">
              <w:rPr>
                <w:rFonts w:eastAsia="Calibri"/>
                <w:sz w:val="20"/>
              </w:rPr>
              <w:t>Appeal allowed</w:t>
            </w:r>
          </w:p>
          <w:p w:rsidR="002C1715" w:rsidRPr="00395070" w:rsidRDefault="002C1715" w:rsidP="008F6F48">
            <w:pPr>
              <w:jc w:val="both"/>
              <w:rPr>
                <w:rFonts w:eastAsia="Calibri"/>
                <w:sz w:val="20"/>
              </w:rPr>
            </w:pPr>
          </w:p>
        </w:tc>
      </w:tr>
      <w:tr w:rsidR="002C1715" w:rsidRPr="00395070" w:rsidTr="008F6F48">
        <w:tc>
          <w:tcPr>
            <w:tcW w:w="2427" w:type="pct"/>
          </w:tcPr>
          <w:p w:rsidR="002C1715" w:rsidRPr="00395070" w:rsidRDefault="002C1715" w:rsidP="008F6F48">
            <w:pPr>
              <w:jc w:val="both"/>
              <w:rPr>
                <w:rFonts w:eastAsia="Calibri"/>
                <w:sz w:val="20"/>
              </w:rPr>
            </w:pPr>
            <w:r w:rsidRPr="00395070">
              <w:rPr>
                <w:rFonts w:eastAsia="Calibri"/>
                <w:sz w:val="20"/>
              </w:rPr>
              <w:lastRenderedPageBreak/>
              <w:t>September 17, 2012</w:t>
            </w:r>
          </w:p>
          <w:p w:rsidR="002C1715" w:rsidRPr="00395070" w:rsidRDefault="002C1715" w:rsidP="008F6F48">
            <w:pPr>
              <w:jc w:val="both"/>
              <w:rPr>
                <w:rFonts w:eastAsia="Calibri"/>
                <w:sz w:val="20"/>
              </w:rPr>
            </w:pPr>
            <w:r w:rsidRPr="00395070">
              <w:rPr>
                <w:rFonts w:eastAsia="Calibri"/>
                <w:sz w:val="20"/>
              </w:rPr>
              <w:t>Supreme Court of Canada</w:t>
            </w:r>
          </w:p>
        </w:tc>
        <w:tc>
          <w:tcPr>
            <w:tcW w:w="243" w:type="pct"/>
          </w:tcPr>
          <w:p w:rsidR="002C1715" w:rsidRPr="00395070" w:rsidRDefault="002C1715" w:rsidP="008F6F48">
            <w:pPr>
              <w:jc w:val="both"/>
              <w:rPr>
                <w:rFonts w:eastAsia="Calibri"/>
                <w:sz w:val="20"/>
              </w:rPr>
            </w:pPr>
          </w:p>
        </w:tc>
        <w:tc>
          <w:tcPr>
            <w:tcW w:w="2330" w:type="pct"/>
          </w:tcPr>
          <w:p w:rsidR="002C1715" w:rsidRPr="00395070" w:rsidRDefault="002C1715" w:rsidP="008F6F48">
            <w:pPr>
              <w:jc w:val="both"/>
              <w:rPr>
                <w:rFonts w:eastAsia="Calibri"/>
                <w:sz w:val="20"/>
              </w:rPr>
            </w:pPr>
            <w:r w:rsidRPr="00395070">
              <w:rPr>
                <w:rFonts w:eastAsia="Calibri"/>
                <w:sz w:val="20"/>
              </w:rPr>
              <w:t>Application for leave to appeal filed</w:t>
            </w:r>
          </w:p>
          <w:p w:rsidR="002C1715" w:rsidRPr="00395070" w:rsidRDefault="002C1715" w:rsidP="008F6F48">
            <w:pPr>
              <w:jc w:val="both"/>
              <w:rPr>
                <w:rFonts w:eastAsia="Calibri"/>
                <w:sz w:val="20"/>
              </w:rPr>
            </w:pPr>
          </w:p>
        </w:tc>
      </w:tr>
    </w:tbl>
    <w:p w:rsidR="002C1715" w:rsidRPr="00C50A5C" w:rsidRDefault="002C1715" w:rsidP="002C1715">
      <w:pPr>
        <w:rPr>
          <w:sz w:val="20"/>
          <w:szCs w:val="20"/>
        </w:rPr>
      </w:pPr>
    </w:p>
    <w:p w:rsidR="002C1715" w:rsidRPr="00C50A5C" w:rsidRDefault="00D32E73" w:rsidP="002C1715">
      <w:pPr>
        <w:rPr>
          <w:sz w:val="20"/>
          <w:szCs w:val="20"/>
        </w:rPr>
      </w:pPr>
      <w:r w:rsidRPr="00D32E73">
        <w:rPr>
          <w:sz w:val="20"/>
          <w:szCs w:val="20"/>
          <w:lang w:val="fr-CA"/>
        </w:rPr>
        <w:pict>
          <v:rect id="_x0000_i1044" style="width:2in;height:1pt" o:hrpct="0" o:hralign="center" o:hrstd="t" o:hrnoshade="t" o:hr="t" fillcolor="black [3213]" stroked="f"/>
        </w:pict>
      </w:r>
    </w:p>
    <w:p w:rsidR="002C1715" w:rsidRDefault="002C1715" w:rsidP="002C1715">
      <w:pPr>
        <w:rPr>
          <w:sz w:val="20"/>
          <w:szCs w:val="20"/>
        </w:rPr>
      </w:pPr>
    </w:p>
    <w:p w:rsidR="002C1715" w:rsidRPr="001B157C" w:rsidRDefault="002C1715" w:rsidP="002C1715">
      <w:pPr>
        <w:rPr>
          <w:sz w:val="20"/>
          <w:szCs w:val="20"/>
          <w:u w:val="single"/>
          <w:lang w:val="fr-CA"/>
        </w:rPr>
      </w:pPr>
      <w:r w:rsidRPr="001B157C">
        <w:rPr>
          <w:sz w:val="20"/>
          <w:szCs w:val="20"/>
          <w:u w:val="single"/>
          <w:lang w:val="fr-CA"/>
        </w:rPr>
        <w:t>RÉSUMÉ DE L’AFFAIRE</w:t>
      </w:r>
    </w:p>
    <w:p w:rsidR="002C1715" w:rsidRDefault="002C1715" w:rsidP="002C171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C1715" w:rsidRPr="00B32C76" w:rsidTr="008F6F48">
        <w:tc>
          <w:tcPr>
            <w:tcW w:w="5000" w:type="pct"/>
            <w:gridSpan w:val="3"/>
          </w:tcPr>
          <w:p w:rsidR="002C1715" w:rsidRPr="00395070" w:rsidRDefault="002C1715" w:rsidP="008F6F48">
            <w:pPr>
              <w:jc w:val="both"/>
              <w:rPr>
                <w:rFonts w:eastAsia="Calibri"/>
                <w:sz w:val="20"/>
                <w:lang w:val="fr-CA"/>
              </w:rPr>
            </w:pPr>
            <w:r w:rsidRPr="00395070">
              <w:rPr>
                <w:rFonts w:eastAsia="Calibri"/>
                <w:sz w:val="20"/>
                <w:lang w:val="fr-CA"/>
              </w:rPr>
              <w:t>Biens — Biens réel — Mise en marché de condominiums non encore construits — Obligations de communication — Date estimative d'achèvement des travaux de construction — Le promoteur demandeur cherche à recouvrer le plein montant de l'acompte donné sur un condominium de luxe après que l'intimé a refusé de conclure l'achat du condominium à la date stipulée — Bonnes interprétation et application des obligations de communication — Le juge de première instance a-t-il eu tort d'appliquer les principes établis dans l’arrêt</w:t>
            </w:r>
            <w:r w:rsidRPr="00395070">
              <w:rPr>
                <w:rFonts w:eastAsia="Calibri"/>
                <w:i/>
                <w:sz w:val="20"/>
                <w:lang w:val="fr-CA"/>
              </w:rPr>
              <w:t xml:space="preserve"> </w:t>
            </w:r>
            <w:proofErr w:type="spellStart"/>
            <w:r w:rsidRPr="00395070">
              <w:rPr>
                <w:rFonts w:eastAsia="Calibri"/>
                <w:i/>
                <w:sz w:val="20"/>
                <w:lang w:val="fr-CA"/>
              </w:rPr>
              <w:t>Sharbern</w:t>
            </w:r>
            <w:proofErr w:type="spellEnd"/>
            <w:r w:rsidRPr="00395070">
              <w:rPr>
                <w:rFonts w:eastAsia="Calibri"/>
                <w:i/>
                <w:sz w:val="20"/>
                <w:lang w:val="fr-CA"/>
              </w:rPr>
              <w:t xml:space="preserve"> Holding Inc. c. Vancouver </w:t>
            </w:r>
            <w:proofErr w:type="spellStart"/>
            <w:r w:rsidRPr="00395070">
              <w:rPr>
                <w:rFonts w:eastAsia="Calibri"/>
                <w:i/>
                <w:sz w:val="20"/>
                <w:lang w:val="fr-CA"/>
              </w:rPr>
              <w:t>Airport</w:t>
            </w:r>
            <w:proofErr w:type="spellEnd"/>
            <w:r w:rsidRPr="00395070">
              <w:rPr>
                <w:rFonts w:eastAsia="Calibri"/>
                <w:i/>
                <w:sz w:val="20"/>
                <w:lang w:val="fr-CA"/>
              </w:rPr>
              <w:t xml:space="preserve"> Centre Ltd</w:t>
            </w:r>
            <w:r w:rsidRPr="00395070">
              <w:rPr>
                <w:rFonts w:eastAsia="Calibri"/>
                <w:sz w:val="20"/>
                <w:lang w:val="fr-CA"/>
              </w:rPr>
              <w:t xml:space="preserve">., 2011 CSC 23, [2011] 2 R.C.S. 175, pour trancher la question de savoir si la demanderesse avait fait une déclaration inexacte dans l’information qu'elle était tenue de communiquer? — </w:t>
            </w:r>
            <w:r w:rsidRPr="00395070">
              <w:rPr>
                <w:rFonts w:eastAsia="Calibri"/>
                <w:i/>
                <w:sz w:val="20"/>
                <w:lang w:val="fr-CA"/>
              </w:rPr>
              <w:t xml:space="preserve">Real </w:t>
            </w:r>
            <w:proofErr w:type="spellStart"/>
            <w:r w:rsidRPr="00395070">
              <w:rPr>
                <w:rFonts w:eastAsia="Calibri"/>
                <w:i/>
                <w:sz w:val="20"/>
                <w:lang w:val="fr-CA"/>
              </w:rPr>
              <w:t>Estate</w:t>
            </w:r>
            <w:proofErr w:type="spellEnd"/>
            <w:r w:rsidRPr="00395070">
              <w:rPr>
                <w:rFonts w:eastAsia="Calibri"/>
                <w:i/>
                <w:sz w:val="20"/>
                <w:lang w:val="fr-CA"/>
              </w:rPr>
              <w:t xml:space="preserve"> </w:t>
            </w:r>
            <w:proofErr w:type="spellStart"/>
            <w:r w:rsidRPr="00395070">
              <w:rPr>
                <w:rFonts w:eastAsia="Calibri"/>
                <w:i/>
                <w:sz w:val="20"/>
                <w:lang w:val="fr-CA"/>
              </w:rPr>
              <w:t>Development</w:t>
            </w:r>
            <w:proofErr w:type="spellEnd"/>
            <w:r w:rsidRPr="00395070">
              <w:rPr>
                <w:rFonts w:eastAsia="Calibri"/>
                <w:i/>
                <w:sz w:val="20"/>
                <w:lang w:val="fr-CA"/>
              </w:rPr>
              <w:t xml:space="preserve"> Marketing </w:t>
            </w:r>
            <w:proofErr w:type="spellStart"/>
            <w:r w:rsidRPr="00395070">
              <w:rPr>
                <w:rFonts w:eastAsia="Calibri"/>
                <w:i/>
                <w:sz w:val="20"/>
                <w:lang w:val="fr-CA"/>
              </w:rPr>
              <w:t>Act</w:t>
            </w:r>
            <w:proofErr w:type="spellEnd"/>
            <w:r w:rsidRPr="00395070">
              <w:rPr>
                <w:rFonts w:eastAsia="Calibri"/>
                <w:sz w:val="20"/>
                <w:lang w:val="fr-CA"/>
              </w:rPr>
              <w:t>, S.B.C. 2004, ch. 41, art. 1, 14, 16.</w:t>
            </w:r>
          </w:p>
        </w:tc>
      </w:tr>
      <w:tr w:rsidR="002C1715" w:rsidRPr="00B32C76" w:rsidTr="008F6F48">
        <w:tc>
          <w:tcPr>
            <w:tcW w:w="5000" w:type="pct"/>
            <w:gridSpan w:val="3"/>
          </w:tcPr>
          <w:p w:rsidR="002C1715" w:rsidRPr="00395070" w:rsidRDefault="002C1715" w:rsidP="008F6F48">
            <w:pPr>
              <w:jc w:val="both"/>
              <w:rPr>
                <w:rFonts w:eastAsia="Calibri"/>
                <w:sz w:val="20"/>
                <w:lang w:val="fr-CA"/>
              </w:rPr>
            </w:pPr>
          </w:p>
        </w:tc>
      </w:tr>
      <w:tr w:rsidR="002C1715" w:rsidRPr="00B32C76" w:rsidTr="008F6F48">
        <w:tc>
          <w:tcPr>
            <w:tcW w:w="5000" w:type="pct"/>
            <w:gridSpan w:val="3"/>
          </w:tcPr>
          <w:p w:rsidR="002C1715" w:rsidRPr="00395070" w:rsidRDefault="002C1715" w:rsidP="008F6F48">
            <w:pPr>
              <w:jc w:val="both"/>
              <w:rPr>
                <w:rFonts w:eastAsia="Calibri"/>
                <w:sz w:val="20"/>
                <w:lang w:val="fr-CA"/>
              </w:rPr>
            </w:pPr>
            <w:r w:rsidRPr="00395070">
              <w:rPr>
                <w:rFonts w:eastAsia="Calibri"/>
                <w:sz w:val="20"/>
                <w:lang w:val="fr-CA"/>
              </w:rPr>
              <w:t xml:space="preserve">L'intimé a accepté d'acheter un condominium à Vancouver en vertu d'un contrat d'achat et de vente signé longtemps avant sa construction.  Conformément aux exigences de la </w:t>
            </w:r>
            <w:r w:rsidRPr="00395070">
              <w:rPr>
                <w:rFonts w:eastAsia="Calibri"/>
                <w:i/>
                <w:sz w:val="20"/>
                <w:lang w:val="fr-CA"/>
              </w:rPr>
              <w:t xml:space="preserve">Real </w:t>
            </w:r>
            <w:proofErr w:type="spellStart"/>
            <w:r w:rsidRPr="00395070">
              <w:rPr>
                <w:rFonts w:eastAsia="Calibri"/>
                <w:i/>
                <w:sz w:val="20"/>
                <w:lang w:val="fr-CA"/>
              </w:rPr>
              <w:t>Estate</w:t>
            </w:r>
            <w:proofErr w:type="spellEnd"/>
            <w:r w:rsidRPr="00395070">
              <w:rPr>
                <w:rFonts w:eastAsia="Calibri"/>
                <w:i/>
                <w:sz w:val="20"/>
                <w:lang w:val="fr-CA"/>
              </w:rPr>
              <w:t xml:space="preserve"> </w:t>
            </w:r>
            <w:proofErr w:type="spellStart"/>
            <w:r w:rsidRPr="00395070">
              <w:rPr>
                <w:rFonts w:eastAsia="Calibri"/>
                <w:i/>
                <w:sz w:val="20"/>
                <w:lang w:val="fr-CA"/>
              </w:rPr>
              <w:t>Development</w:t>
            </w:r>
            <w:proofErr w:type="spellEnd"/>
            <w:r w:rsidRPr="00395070">
              <w:rPr>
                <w:rFonts w:eastAsia="Calibri"/>
                <w:i/>
                <w:sz w:val="20"/>
                <w:lang w:val="fr-CA"/>
              </w:rPr>
              <w:t xml:space="preserve"> Marketing </w:t>
            </w:r>
            <w:proofErr w:type="spellStart"/>
            <w:r w:rsidRPr="00395070">
              <w:rPr>
                <w:rFonts w:eastAsia="Calibri"/>
                <w:i/>
                <w:sz w:val="20"/>
                <w:lang w:val="fr-CA"/>
              </w:rPr>
              <w:t>Act</w:t>
            </w:r>
            <w:proofErr w:type="spellEnd"/>
            <w:r w:rsidRPr="00395070">
              <w:rPr>
                <w:rFonts w:eastAsia="Calibri"/>
                <w:sz w:val="20"/>
                <w:lang w:val="fr-CA"/>
              </w:rPr>
              <w:t xml:space="preserve">, le promoteur demandeur a déposé un document d'information dans lequel il a déclaré que la date estimative d'achèvement des travaux de construction du condominium allait être septembre 2009.  Ce n'est qu'en avril 2010 que le condominium a été complètement achevé.  Toutefois, la Ville de Vancouver a délivré un permis d'occupation du condominium le 27 janvier 2010.  La demanderesse a alors introduit une instance pour obtenir la confiscation du plein montant de l'acompte que l'intimé avait accepté de verser.  </w:t>
            </w:r>
          </w:p>
          <w:p w:rsidR="002C1715" w:rsidRPr="00395070" w:rsidRDefault="002C1715" w:rsidP="008F6F48">
            <w:pPr>
              <w:jc w:val="both"/>
              <w:rPr>
                <w:rFonts w:eastAsia="Calibri"/>
                <w:sz w:val="20"/>
                <w:lang w:val="fr-CA"/>
              </w:rPr>
            </w:pPr>
          </w:p>
          <w:p w:rsidR="002C1715" w:rsidRPr="00395070" w:rsidRDefault="002C1715" w:rsidP="008F6F48">
            <w:pPr>
              <w:jc w:val="both"/>
              <w:rPr>
                <w:rFonts w:eastAsia="Calibri"/>
                <w:sz w:val="20"/>
                <w:lang w:val="fr-CA"/>
              </w:rPr>
            </w:pPr>
            <w:r w:rsidRPr="00395070">
              <w:rPr>
                <w:rFonts w:eastAsia="Calibri"/>
                <w:sz w:val="20"/>
                <w:lang w:val="fr-CA"/>
              </w:rPr>
              <w:t>Le juge de première instance a statué que le contrat d'achat était susceptible d'exécution, malgré la date d'achèvement inexacte indiquée dans le document d'information.  La Cour d'appel a accueilli l'appel interjeté par l'intimé de cette décision.</w:t>
            </w:r>
          </w:p>
          <w:p w:rsidR="002C1715" w:rsidRPr="00395070" w:rsidRDefault="002C1715" w:rsidP="008F6F48">
            <w:pPr>
              <w:jc w:val="both"/>
              <w:rPr>
                <w:rFonts w:eastAsia="Calibri"/>
                <w:sz w:val="20"/>
                <w:lang w:val="fr-CA"/>
              </w:rPr>
            </w:pPr>
          </w:p>
        </w:tc>
      </w:tr>
      <w:tr w:rsidR="002C1715" w:rsidRPr="00395070" w:rsidTr="008F6F48">
        <w:tc>
          <w:tcPr>
            <w:tcW w:w="2427" w:type="pct"/>
          </w:tcPr>
          <w:p w:rsidR="002C1715" w:rsidRPr="00395070" w:rsidRDefault="002C1715" w:rsidP="008F6F48">
            <w:pPr>
              <w:jc w:val="both"/>
              <w:rPr>
                <w:rFonts w:eastAsia="Calibri"/>
                <w:sz w:val="20"/>
                <w:lang w:val="fr-CA"/>
              </w:rPr>
            </w:pPr>
            <w:r w:rsidRPr="00395070">
              <w:rPr>
                <w:rFonts w:eastAsia="Calibri"/>
                <w:sz w:val="20"/>
                <w:lang w:val="fr-CA"/>
              </w:rPr>
              <w:t>26 juillet 2011</w:t>
            </w:r>
          </w:p>
          <w:p w:rsidR="002C1715" w:rsidRPr="00395070" w:rsidRDefault="002C1715" w:rsidP="008F6F48">
            <w:pPr>
              <w:jc w:val="both"/>
              <w:rPr>
                <w:rFonts w:eastAsia="Calibri"/>
                <w:sz w:val="20"/>
                <w:lang w:val="fr-CA"/>
              </w:rPr>
            </w:pPr>
            <w:r w:rsidRPr="00395070">
              <w:rPr>
                <w:rFonts w:eastAsia="Calibri"/>
                <w:sz w:val="20"/>
                <w:lang w:val="fr-CA"/>
              </w:rPr>
              <w:t xml:space="preserve">Cour suprême de la Colombie-Britannique </w:t>
            </w:r>
          </w:p>
          <w:p w:rsidR="002C1715" w:rsidRPr="00395070" w:rsidRDefault="002C1715" w:rsidP="008F6F48">
            <w:pPr>
              <w:jc w:val="both"/>
              <w:rPr>
                <w:rFonts w:eastAsia="Calibri"/>
                <w:sz w:val="20"/>
                <w:lang w:val="fr-CA"/>
              </w:rPr>
            </w:pPr>
            <w:r w:rsidRPr="00395070">
              <w:rPr>
                <w:rFonts w:eastAsia="Calibri"/>
                <w:sz w:val="20"/>
                <w:lang w:val="fr-CA"/>
              </w:rPr>
              <w:t>(Juge Sewell)</w:t>
            </w:r>
          </w:p>
          <w:p w:rsidR="002C1715" w:rsidRPr="00395070" w:rsidRDefault="002C1715" w:rsidP="008F6F48">
            <w:pPr>
              <w:jc w:val="both"/>
              <w:rPr>
                <w:rFonts w:eastAsia="Calibri"/>
                <w:sz w:val="20"/>
                <w:lang w:val="fr-CA"/>
              </w:rPr>
            </w:pPr>
            <w:r w:rsidRPr="00395070">
              <w:rPr>
                <w:rFonts w:eastAsia="Calibri"/>
                <w:sz w:val="20"/>
                <w:lang w:val="fr-CA"/>
              </w:rPr>
              <w:t>2011 BCSC 996</w:t>
            </w:r>
          </w:p>
          <w:p w:rsidR="002C1715" w:rsidRPr="00395070" w:rsidRDefault="002C1715" w:rsidP="008F6F48">
            <w:pPr>
              <w:jc w:val="both"/>
              <w:rPr>
                <w:rFonts w:eastAsia="Calibri"/>
                <w:sz w:val="20"/>
                <w:lang w:val="fr-CA"/>
              </w:rPr>
            </w:pPr>
          </w:p>
        </w:tc>
        <w:tc>
          <w:tcPr>
            <w:tcW w:w="243" w:type="pct"/>
          </w:tcPr>
          <w:p w:rsidR="002C1715" w:rsidRPr="00395070" w:rsidRDefault="002C1715" w:rsidP="008F6F48">
            <w:pPr>
              <w:jc w:val="both"/>
              <w:rPr>
                <w:rFonts w:eastAsia="Calibri"/>
                <w:sz w:val="20"/>
                <w:lang w:val="fr-CA"/>
              </w:rPr>
            </w:pPr>
          </w:p>
        </w:tc>
        <w:tc>
          <w:tcPr>
            <w:tcW w:w="2330" w:type="pct"/>
          </w:tcPr>
          <w:p w:rsidR="002C1715" w:rsidRPr="00395070" w:rsidRDefault="002C1715" w:rsidP="008F6F48">
            <w:pPr>
              <w:jc w:val="both"/>
              <w:rPr>
                <w:rFonts w:eastAsia="Calibri"/>
                <w:sz w:val="20"/>
                <w:lang w:val="fr-CA"/>
              </w:rPr>
            </w:pPr>
            <w:r w:rsidRPr="00395070">
              <w:rPr>
                <w:rFonts w:eastAsia="Calibri"/>
                <w:sz w:val="20"/>
                <w:lang w:val="fr-CA"/>
              </w:rPr>
              <w:t>Jugement accordé à la demanderesse</w:t>
            </w:r>
          </w:p>
          <w:p w:rsidR="002C1715" w:rsidRPr="00395070" w:rsidRDefault="002C1715" w:rsidP="008F6F48">
            <w:pPr>
              <w:jc w:val="both"/>
              <w:rPr>
                <w:rFonts w:eastAsia="Calibri"/>
                <w:sz w:val="20"/>
                <w:lang w:val="fr-CA"/>
              </w:rPr>
            </w:pPr>
          </w:p>
        </w:tc>
      </w:tr>
      <w:tr w:rsidR="002C1715" w:rsidRPr="00395070" w:rsidTr="008F6F48">
        <w:tc>
          <w:tcPr>
            <w:tcW w:w="2427" w:type="pct"/>
          </w:tcPr>
          <w:p w:rsidR="002C1715" w:rsidRPr="00395070" w:rsidRDefault="002C1715" w:rsidP="008F6F48">
            <w:pPr>
              <w:jc w:val="both"/>
              <w:rPr>
                <w:rFonts w:eastAsia="Calibri"/>
                <w:sz w:val="20"/>
                <w:lang w:val="fr-CA"/>
              </w:rPr>
            </w:pPr>
            <w:r w:rsidRPr="00395070">
              <w:rPr>
                <w:rFonts w:eastAsia="Calibri"/>
                <w:sz w:val="20"/>
                <w:lang w:val="fr-CA"/>
              </w:rPr>
              <w:t>21 juin 2012</w:t>
            </w:r>
          </w:p>
          <w:p w:rsidR="002C1715" w:rsidRPr="00395070" w:rsidRDefault="002C1715" w:rsidP="008F6F48">
            <w:pPr>
              <w:jc w:val="both"/>
              <w:rPr>
                <w:rFonts w:eastAsia="Calibri"/>
                <w:sz w:val="20"/>
                <w:lang w:val="fr-CA"/>
              </w:rPr>
            </w:pPr>
            <w:r w:rsidRPr="00395070">
              <w:rPr>
                <w:rFonts w:eastAsia="Calibri"/>
                <w:sz w:val="20"/>
                <w:lang w:val="fr-CA"/>
              </w:rPr>
              <w:t xml:space="preserve">Cour d'appel de la Colombie-Britannique </w:t>
            </w:r>
          </w:p>
          <w:p w:rsidR="002C1715" w:rsidRPr="00395070" w:rsidRDefault="002C1715" w:rsidP="008F6F48">
            <w:pPr>
              <w:jc w:val="both"/>
              <w:rPr>
                <w:rFonts w:eastAsia="Calibri"/>
                <w:sz w:val="20"/>
                <w:lang w:val="fr-CA"/>
              </w:rPr>
            </w:pPr>
            <w:r w:rsidRPr="00395070">
              <w:rPr>
                <w:rFonts w:eastAsia="Calibri"/>
                <w:sz w:val="20"/>
                <w:lang w:val="fr-CA"/>
              </w:rPr>
              <w:t xml:space="preserve">(Juges Donald, </w:t>
            </w:r>
            <w:proofErr w:type="spellStart"/>
            <w:r w:rsidRPr="00395070">
              <w:rPr>
                <w:rFonts w:eastAsia="Calibri"/>
                <w:sz w:val="20"/>
                <w:lang w:val="fr-CA"/>
              </w:rPr>
              <w:t>Kirkpatrick</w:t>
            </w:r>
            <w:proofErr w:type="spellEnd"/>
            <w:r w:rsidRPr="00395070">
              <w:rPr>
                <w:rFonts w:eastAsia="Calibri"/>
                <w:sz w:val="20"/>
                <w:lang w:val="fr-CA"/>
              </w:rPr>
              <w:t xml:space="preserve"> et </w:t>
            </w:r>
            <w:proofErr w:type="spellStart"/>
            <w:r w:rsidRPr="00395070">
              <w:rPr>
                <w:rFonts w:eastAsia="Calibri"/>
                <w:sz w:val="20"/>
                <w:lang w:val="fr-CA"/>
              </w:rPr>
              <w:t>Hinkson</w:t>
            </w:r>
            <w:proofErr w:type="spellEnd"/>
            <w:r w:rsidRPr="00395070">
              <w:rPr>
                <w:rFonts w:eastAsia="Calibri"/>
                <w:sz w:val="20"/>
                <w:lang w:val="fr-CA"/>
              </w:rPr>
              <w:t>)</w:t>
            </w:r>
          </w:p>
          <w:p w:rsidR="002C1715" w:rsidRPr="00395070" w:rsidRDefault="002C1715" w:rsidP="008F6F48">
            <w:pPr>
              <w:jc w:val="both"/>
              <w:rPr>
                <w:rFonts w:eastAsia="Calibri"/>
                <w:sz w:val="20"/>
                <w:lang w:val="fr-CA"/>
              </w:rPr>
            </w:pPr>
            <w:r w:rsidRPr="00395070">
              <w:rPr>
                <w:rFonts w:eastAsia="Calibri"/>
                <w:sz w:val="20"/>
                <w:lang w:val="fr-CA"/>
              </w:rPr>
              <w:t>2012 BCCA 271</w:t>
            </w:r>
          </w:p>
          <w:p w:rsidR="002C1715" w:rsidRPr="00395070" w:rsidRDefault="002C1715" w:rsidP="008F6F48">
            <w:pPr>
              <w:jc w:val="both"/>
              <w:rPr>
                <w:rFonts w:eastAsia="Calibri"/>
                <w:sz w:val="20"/>
                <w:lang w:val="fr-CA"/>
              </w:rPr>
            </w:pPr>
          </w:p>
        </w:tc>
        <w:tc>
          <w:tcPr>
            <w:tcW w:w="243" w:type="pct"/>
          </w:tcPr>
          <w:p w:rsidR="002C1715" w:rsidRPr="00395070" w:rsidRDefault="002C1715" w:rsidP="008F6F48">
            <w:pPr>
              <w:jc w:val="both"/>
              <w:rPr>
                <w:rFonts w:eastAsia="Calibri"/>
                <w:sz w:val="20"/>
                <w:lang w:val="fr-CA"/>
              </w:rPr>
            </w:pPr>
          </w:p>
        </w:tc>
        <w:tc>
          <w:tcPr>
            <w:tcW w:w="2330" w:type="pct"/>
          </w:tcPr>
          <w:p w:rsidR="002C1715" w:rsidRPr="00395070" w:rsidRDefault="002C1715" w:rsidP="008F6F48">
            <w:pPr>
              <w:jc w:val="both"/>
              <w:rPr>
                <w:rFonts w:eastAsia="Calibri"/>
                <w:sz w:val="20"/>
                <w:lang w:val="fr-CA"/>
              </w:rPr>
            </w:pPr>
            <w:r w:rsidRPr="00395070">
              <w:rPr>
                <w:rFonts w:eastAsia="Calibri"/>
                <w:sz w:val="20"/>
                <w:lang w:val="fr-CA"/>
              </w:rPr>
              <w:t>Appel accueilli</w:t>
            </w:r>
          </w:p>
          <w:p w:rsidR="002C1715" w:rsidRPr="00395070" w:rsidRDefault="002C1715" w:rsidP="008F6F48">
            <w:pPr>
              <w:jc w:val="both"/>
              <w:rPr>
                <w:rFonts w:eastAsia="Calibri"/>
                <w:sz w:val="20"/>
                <w:lang w:val="fr-CA"/>
              </w:rPr>
            </w:pPr>
          </w:p>
        </w:tc>
      </w:tr>
      <w:tr w:rsidR="002C1715" w:rsidRPr="00395070" w:rsidTr="008F6F48">
        <w:tc>
          <w:tcPr>
            <w:tcW w:w="2427" w:type="pct"/>
          </w:tcPr>
          <w:p w:rsidR="002C1715" w:rsidRPr="00395070" w:rsidRDefault="002C1715" w:rsidP="008F6F48">
            <w:pPr>
              <w:jc w:val="both"/>
              <w:rPr>
                <w:rFonts w:eastAsia="Calibri"/>
                <w:sz w:val="20"/>
                <w:lang w:val="fr-CA"/>
              </w:rPr>
            </w:pPr>
            <w:r w:rsidRPr="00395070">
              <w:rPr>
                <w:rFonts w:eastAsia="Calibri"/>
                <w:sz w:val="20"/>
                <w:lang w:val="fr-CA"/>
              </w:rPr>
              <w:t>17 septembre 2012</w:t>
            </w:r>
          </w:p>
          <w:p w:rsidR="002C1715" w:rsidRPr="00395070" w:rsidRDefault="002C1715" w:rsidP="008F6F48">
            <w:pPr>
              <w:jc w:val="both"/>
              <w:rPr>
                <w:rFonts w:eastAsia="Calibri"/>
                <w:sz w:val="20"/>
                <w:lang w:val="fr-CA"/>
              </w:rPr>
            </w:pPr>
            <w:r w:rsidRPr="00395070">
              <w:rPr>
                <w:rFonts w:eastAsia="Calibri"/>
                <w:sz w:val="20"/>
                <w:lang w:val="fr-CA"/>
              </w:rPr>
              <w:t>Cour suprême du Canada</w:t>
            </w:r>
          </w:p>
        </w:tc>
        <w:tc>
          <w:tcPr>
            <w:tcW w:w="243" w:type="pct"/>
          </w:tcPr>
          <w:p w:rsidR="002C1715" w:rsidRPr="00395070" w:rsidRDefault="002C1715" w:rsidP="008F6F48">
            <w:pPr>
              <w:jc w:val="both"/>
              <w:rPr>
                <w:rFonts w:eastAsia="Calibri"/>
                <w:sz w:val="20"/>
                <w:lang w:val="fr-CA"/>
              </w:rPr>
            </w:pPr>
          </w:p>
        </w:tc>
        <w:tc>
          <w:tcPr>
            <w:tcW w:w="2330" w:type="pct"/>
          </w:tcPr>
          <w:p w:rsidR="002C1715" w:rsidRPr="00395070" w:rsidRDefault="002C1715" w:rsidP="008F6F48">
            <w:pPr>
              <w:jc w:val="both"/>
              <w:rPr>
                <w:rFonts w:eastAsia="Calibri"/>
                <w:sz w:val="20"/>
                <w:lang w:val="fr-CA"/>
              </w:rPr>
            </w:pPr>
            <w:r w:rsidRPr="00395070">
              <w:rPr>
                <w:rFonts w:eastAsia="Calibri"/>
                <w:sz w:val="20"/>
                <w:lang w:val="fr-CA"/>
              </w:rPr>
              <w:t>Demande d'autorisation d'appel, déposée</w:t>
            </w:r>
          </w:p>
          <w:p w:rsidR="002C1715" w:rsidRPr="00395070" w:rsidRDefault="002C1715" w:rsidP="008F6F48">
            <w:pPr>
              <w:jc w:val="both"/>
              <w:rPr>
                <w:rFonts w:eastAsia="Calibri"/>
                <w:sz w:val="20"/>
                <w:lang w:val="fr-CA"/>
              </w:rPr>
            </w:pPr>
          </w:p>
        </w:tc>
      </w:tr>
    </w:tbl>
    <w:p w:rsidR="002C1715" w:rsidRDefault="002C1715" w:rsidP="002C1715">
      <w:pPr>
        <w:rPr>
          <w:sz w:val="20"/>
          <w:szCs w:val="20"/>
        </w:rPr>
      </w:pPr>
    </w:p>
    <w:p w:rsidR="002C1715" w:rsidRDefault="00D32E73" w:rsidP="002C1715">
      <w:pPr>
        <w:rPr>
          <w:sz w:val="20"/>
          <w:szCs w:val="20"/>
        </w:rPr>
      </w:pPr>
      <w:r w:rsidRPr="00D32E73">
        <w:rPr>
          <w:sz w:val="20"/>
          <w:szCs w:val="20"/>
          <w:lang w:val="fr-CA"/>
        </w:rPr>
        <w:pict>
          <v:rect id="_x0000_i1045" style="width:2in;height:1pt" o:hrpct="0" o:hralign="center" o:hrstd="t" o:hrnoshade="t" o:hr="t" fillcolor="black [3213]" stroked="f"/>
        </w:pict>
      </w:r>
    </w:p>
    <w:p w:rsidR="002C1715" w:rsidRDefault="002C1715" w:rsidP="002C1715">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RPr="00596B03" w:rsidTr="008F6F48">
        <w:trPr>
          <w:cantSplit/>
        </w:trPr>
        <w:tc>
          <w:tcPr>
            <w:tcW w:w="1458" w:type="dxa"/>
          </w:tcPr>
          <w:p w:rsidR="002C1715" w:rsidRPr="00596B03" w:rsidRDefault="002C1715" w:rsidP="008F6F48">
            <w:pPr>
              <w:rPr>
                <w:sz w:val="20"/>
              </w:rPr>
            </w:pPr>
            <w:r w:rsidRPr="00596B03">
              <w:rPr>
                <w:b/>
                <w:sz w:val="20"/>
                <w:lang w:val="fr-CA"/>
              </w:rPr>
              <w:t>34981</w:t>
            </w:r>
          </w:p>
          <w:p w:rsidR="002C1715" w:rsidRPr="00596B03" w:rsidRDefault="002C1715" w:rsidP="008F6F48">
            <w:pPr>
              <w:rPr>
                <w:b/>
                <w:sz w:val="20"/>
                <w:lang w:val="fr-CA"/>
              </w:rPr>
            </w:pPr>
          </w:p>
        </w:tc>
        <w:tc>
          <w:tcPr>
            <w:tcW w:w="8118" w:type="dxa"/>
          </w:tcPr>
          <w:p w:rsidR="002C1715" w:rsidRPr="00596B03" w:rsidRDefault="002C1715" w:rsidP="008F6F48">
            <w:pPr>
              <w:jc w:val="both"/>
              <w:rPr>
                <w:sz w:val="20"/>
              </w:rPr>
            </w:pPr>
            <w:r w:rsidRPr="00596B03">
              <w:rPr>
                <w:b/>
                <w:sz w:val="20"/>
                <w:u w:val="single"/>
                <w:lang w:val="en-US"/>
              </w:rPr>
              <w:t>Yellow Pages Group Company v. Canadian Office and Professional Employees Union</w:t>
            </w:r>
            <w:r w:rsidRPr="00596B03">
              <w:rPr>
                <w:sz w:val="20"/>
              </w:rPr>
              <w:t xml:space="preserve"> (Ont.) (Civil) (By Leave)</w:t>
            </w:r>
          </w:p>
          <w:p w:rsidR="002C1715" w:rsidRPr="00596B03" w:rsidRDefault="002C1715" w:rsidP="008F6F48">
            <w:pPr>
              <w:jc w:val="both"/>
              <w:rPr>
                <w:sz w:val="20"/>
              </w:rPr>
            </w:pPr>
          </w:p>
        </w:tc>
      </w:tr>
      <w:tr w:rsidR="002C1715" w:rsidRPr="00596B03" w:rsidTr="008F6F48">
        <w:trPr>
          <w:cantSplit/>
        </w:trPr>
        <w:tc>
          <w:tcPr>
            <w:tcW w:w="1458" w:type="dxa"/>
          </w:tcPr>
          <w:p w:rsidR="002C1715" w:rsidRPr="00596B03" w:rsidRDefault="002C1715" w:rsidP="008F6F48">
            <w:pPr>
              <w:rPr>
                <w:sz w:val="20"/>
              </w:rPr>
            </w:pPr>
            <w:r w:rsidRPr="00596B03">
              <w:rPr>
                <w:sz w:val="20"/>
              </w:rPr>
              <w:t>Coram :</w:t>
            </w:r>
          </w:p>
        </w:tc>
        <w:tc>
          <w:tcPr>
            <w:tcW w:w="8118" w:type="dxa"/>
          </w:tcPr>
          <w:p w:rsidR="002C1715" w:rsidRPr="00596B03" w:rsidRDefault="002C1715" w:rsidP="008F6F48">
            <w:pPr>
              <w:rPr>
                <w:sz w:val="20"/>
              </w:rPr>
            </w:pPr>
            <w:r w:rsidRPr="00596B03">
              <w:rPr>
                <w:sz w:val="20"/>
                <w:u w:val="single"/>
                <w:lang w:val="en-US"/>
              </w:rPr>
              <w:t xml:space="preserve">Fish, Rothstein and </w:t>
            </w:r>
            <w:proofErr w:type="spellStart"/>
            <w:r w:rsidRPr="00596B03">
              <w:rPr>
                <w:sz w:val="20"/>
                <w:u w:val="single"/>
                <w:lang w:val="en-US"/>
              </w:rPr>
              <w:t>Moldaver</w:t>
            </w:r>
            <w:proofErr w:type="spellEnd"/>
            <w:r w:rsidRPr="00596B03">
              <w:rPr>
                <w:sz w:val="20"/>
                <w:u w:val="single"/>
                <w:lang w:val="en-US"/>
              </w:rPr>
              <w:t> JJ.</w:t>
            </w:r>
          </w:p>
          <w:p w:rsidR="002C1715" w:rsidRPr="00596B03" w:rsidRDefault="002C1715" w:rsidP="008F6F48">
            <w:pPr>
              <w:rPr>
                <w:sz w:val="20"/>
                <w:u w:val="single"/>
              </w:rPr>
            </w:pPr>
          </w:p>
        </w:tc>
      </w:tr>
      <w:tr w:rsidR="002C1715" w:rsidRPr="00B32C76" w:rsidTr="008F6F48">
        <w:trPr>
          <w:cantSplit/>
        </w:trPr>
        <w:tc>
          <w:tcPr>
            <w:tcW w:w="9576" w:type="dxa"/>
            <w:gridSpan w:val="2"/>
          </w:tcPr>
          <w:p w:rsidR="002C1715" w:rsidRPr="00596B03" w:rsidRDefault="002C1715" w:rsidP="008F6F48">
            <w:pPr>
              <w:ind w:firstLine="720"/>
              <w:jc w:val="both"/>
              <w:rPr>
                <w:sz w:val="20"/>
              </w:rPr>
            </w:pPr>
            <w:r w:rsidRPr="00596B03">
              <w:rPr>
                <w:sz w:val="20"/>
              </w:rPr>
              <w:lastRenderedPageBreak/>
              <w:t>The application for leave to appeal from the judgment of the Court of Appeal for Ontario, Number C54481, 2012 ONCA 448, dated June 26, 2012, is dismissed with costs.</w:t>
            </w:r>
          </w:p>
          <w:p w:rsidR="002C1715" w:rsidRPr="00596B03" w:rsidRDefault="002C1715" w:rsidP="008F6F48">
            <w:pPr>
              <w:jc w:val="both"/>
              <w:rPr>
                <w:sz w:val="20"/>
              </w:rPr>
            </w:pPr>
          </w:p>
          <w:p w:rsidR="002C1715" w:rsidRPr="00596B03" w:rsidRDefault="002C1715" w:rsidP="008F6F48">
            <w:pPr>
              <w:ind w:firstLine="720"/>
              <w:jc w:val="both"/>
              <w:rPr>
                <w:sz w:val="20"/>
                <w:lang w:val="fr-CA"/>
              </w:rPr>
            </w:pPr>
            <w:r w:rsidRPr="00596B03">
              <w:rPr>
                <w:sz w:val="20"/>
                <w:lang w:val="fr-CA"/>
              </w:rPr>
              <w:t>La demande d’autorisation d’appel de l’arrêt de la Cour d’appel de l’Ontario, numéro C54481, 2012 ONCA 448, daté du 26 juin 2012, est rejetée avec dépens.</w:t>
            </w:r>
          </w:p>
        </w:tc>
      </w:tr>
    </w:tbl>
    <w:p w:rsidR="002C1715" w:rsidRPr="005143E4" w:rsidRDefault="002C1715" w:rsidP="002C1715">
      <w:pPr>
        <w:widowControl w:val="0"/>
        <w:rPr>
          <w:sz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2C1715" w:rsidRPr="00014456" w:rsidTr="008F6F48">
        <w:tc>
          <w:tcPr>
            <w:tcW w:w="5000" w:type="pct"/>
            <w:gridSpan w:val="3"/>
          </w:tcPr>
          <w:p w:rsidR="002C1715" w:rsidRPr="00014456" w:rsidRDefault="002C1715" w:rsidP="008F6F48">
            <w:pPr>
              <w:jc w:val="both"/>
              <w:rPr>
                <w:rFonts w:eastAsia="Calibri"/>
                <w:sz w:val="20"/>
              </w:rPr>
            </w:pPr>
            <w:r w:rsidRPr="00014456">
              <w:rPr>
                <w:rFonts w:eastAsia="Calibri"/>
                <w:sz w:val="20"/>
              </w:rPr>
              <w:t xml:space="preserve">Employment law — Unjust dismissal — Employee dismissed after failing to justify absence from work in a timely manner — What is the appropriate test for determining whether an employee in the unionized context has been terminated for just cause? — To what extent was the test articulated in </w:t>
            </w:r>
            <w:proofErr w:type="spellStart"/>
            <w:r w:rsidRPr="00014456">
              <w:rPr>
                <w:rFonts w:eastAsia="Calibri"/>
                <w:i/>
                <w:sz w:val="20"/>
              </w:rPr>
              <w:t>Heustis</w:t>
            </w:r>
            <w:proofErr w:type="spellEnd"/>
            <w:r w:rsidRPr="00014456">
              <w:rPr>
                <w:rFonts w:eastAsia="Calibri"/>
                <w:i/>
                <w:sz w:val="20"/>
              </w:rPr>
              <w:t xml:space="preserve"> v. New Brunswick (Electric Power Commission)</w:t>
            </w:r>
            <w:r w:rsidRPr="00014456">
              <w:rPr>
                <w:rFonts w:eastAsia="Calibri"/>
                <w:sz w:val="20"/>
              </w:rPr>
              <w:t xml:space="preserve"> [1979] 2 S.C.R. 768 altered by </w:t>
            </w:r>
            <w:r w:rsidRPr="00014456">
              <w:rPr>
                <w:rFonts w:eastAsia="Calibri"/>
                <w:i/>
                <w:sz w:val="20"/>
              </w:rPr>
              <w:t>McKinley v. BC Tel</w:t>
            </w:r>
            <w:r w:rsidRPr="00014456">
              <w:rPr>
                <w:rFonts w:eastAsia="Calibri"/>
                <w:sz w:val="20"/>
              </w:rPr>
              <w:t>, [2001] 2 S.C.R. 161? — In applying this test, when and on what evidence may labour arbitrators consider post-termination conduct?</w:t>
            </w:r>
          </w:p>
        </w:tc>
      </w:tr>
      <w:tr w:rsidR="002C1715" w:rsidRPr="00014456" w:rsidTr="008F6F48">
        <w:tc>
          <w:tcPr>
            <w:tcW w:w="5000" w:type="pct"/>
            <w:gridSpan w:val="3"/>
          </w:tcPr>
          <w:p w:rsidR="002C1715" w:rsidRPr="00014456" w:rsidRDefault="002C1715" w:rsidP="008F6F48">
            <w:pPr>
              <w:jc w:val="both"/>
              <w:rPr>
                <w:rFonts w:eastAsia="Calibri"/>
                <w:sz w:val="20"/>
              </w:rPr>
            </w:pPr>
          </w:p>
        </w:tc>
      </w:tr>
      <w:tr w:rsidR="002C1715" w:rsidRPr="00014456" w:rsidTr="008F6F48">
        <w:tc>
          <w:tcPr>
            <w:tcW w:w="5000" w:type="pct"/>
            <w:gridSpan w:val="3"/>
          </w:tcPr>
          <w:p w:rsidR="002C1715" w:rsidRPr="00014456" w:rsidRDefault="002C1715" w:rsidP="008F6F48">
            <w:pPr>
              <w:jc w:val="both"/>
              <w:rPr>
                <w:rFonts w:eastAsia="Calibri"/>
                <w:sz w:val="20"/>
              </w:rPr>
            </w:pPr>
            <w:r w:rsidRPr="00014456">
              <w:rPr>
                <w:rFonts w:eastAsia="Calibri"/>
                <w:color w:val="000000"/>
                <w:sz w:val="20"/>
              </w:rPr>
              <w:t>Mr. Ferreira worked for Yellow Pages Group Company (“Yellow Pages”) as a sale consultant from January 1989 until March 2009, when his employment was terminated.  Mr. Ferreira had commenced a short-term disability leave on January 12, 2009, due to severe hypertension and work-related stress.  His physician, Dr. </w:t>
            </w:r>
            <w:proofErr w:type="spellStart"/>
            <w:r w:rsidRPr="00014456">
              <w:rPr>
                <w:rFonts w:eastAsia="Calibri"/>
                <w:color w:val="000000"/>
                <w:sz w:val="20"/>
              </w:rPr>
              <w:t>Da</w:t>
            </w:r>
            <w:proofErr w:type="spellEnd"/>
            <w:r w:rsidRPr="00014456">
              <w:rPr>
                <w:rFonts w:eastAsia="Calibri"/>
                <w:color w:val="000000"/>
                <w:sz w:val="20"/>
              </w:rPr>
              <w:t xml:space="preserve"> Silva, filled out an Attending Physician’s Statement required by Yellow Pages' disability insurer, </w:t>
            </w:r>
            <w:proofErr w:type="spellStart"/>
            <w:r w:rsidRPr="00014456">
              <w:rPr>
                <w:rFonts w:eastAsia="Calibri"/>
                <w:color w:val="000000"/>
                <w:sz w:val="20"/>
              </w:rPr>
              <w:t>Medisys</w:t>
            </w:r>
            <w:proofErr w:type="spellEnd"/>
            <w:r w:rsidRPr="00014456">
              <w:rPr>
                <w:rFonts w:eastAsia="Calibri"/>
                <w:color w:val="000000"/>
                <w:sz w:val="20"/>
              </w:rPr>
              <w:t xml:space="preserve">, but it lacked sufficient information. </w:t>
            </w:r>
            <w:proofErr w:type="spellStart"/>
            <w:r w:rsidRPr="00014456">
              <w:rPr>
                <w:rFonts w:eastAsia="Calibri"/>
                <w:color w:val="000000"/>
                <w:sz w:val="20"/>
              </w:rPr>
              <w:t>Medisys</w:t>
            </w:r>
            <w:proofErr w:type="spellEnd"/>
            <w:r w:rsidRPr="00014456">
              <w:rPr>
                <w:rFonts w:eastAsia="Calibri"/>
                <w:color w:val="000000"/>
                <w:sz w:val="20"/>
              </w:rPr>
              <w:t xml:space="preserve"> sent Dr. </w:t>
            </w:r>
            <w:proofErr w:type="spellStart"/>
            <w:r w:rsidRPr="00014456">
              <w:rPr>
                <w:rFonts w:eastAsia="Calibri"/>
                <w:color w:val="000000"/>
                <w:sz w:val="20"/>
              </w:rPr>
              <w:t>Da</w:t>
            </w:r>
            <w:proofErr w:type="spellEnd"/>
            <w:r w:rsidRPr="00014456">
              <w:rPr>
                <w:rFonts w:eastAsia="Calibri"/>
                <w:color w:val="000000"/>
                <w:sz w:val="20"/>
              </w:rPr>
              <w:t xml:space="preserve"> Silva a follow-up questionnaire on February 4, 2009 but he did not complete it in a timely manner.  As a result, </w:t>
            </w:r>
            <w:proofErr w:type="spellStart"/>
            <w:r w:rsidRPr="00014456">
              <w:rPr>
                <w:rFonts w:eastAsia="Calibri"/>
                <w:color w:val="000000"/>
                <w:sz w:val="20"/>
              </w:rPr>
              <w:t>Medisys</w:t>
            </w:r>
            <w:proofErr w:type="spellEnd"/>
            <w:r w:rsidRPr="00014456">
              <w:rPr>
                <w:rFonts w:eastAsia="Calibri"/>
                <w:color w:val="000000"/>
                <w:sz w:val="20"/>
              </w:rPr>
              <w:t xml:space="preserve"> informed Mr. Ferreira on February 16 that as of January 23, his disability benefits had been terminated because of insufficient medical evidence.  Yellow Pages subsequently advised Mr. Ferreira that if he did not return to work or provide the required medical information by March 3, his employment would be terminated.   Mr. Ferreira met with his physician on February 25.  Dr. </w:t>
            </w:r>
            <w:proofErr w:type="spellStart"/>
            <w:r w:rsidRPr="00014456">
              <w:rPr>
                <w:rFonts w:eastAsia="Calibri"/>
                <w:color w:val="000000"/>
                <w:sz w:val="20"/>
              </w:rPr>
              <w:t>Da</w:t>
            </w:r>
            <w:proofErr w:type="spellEnd"/>
            <w:r w:rsidRPr="00014456">
              <w:rPr>
                <w:rFonts w:eastAsia="Calibri"/>
                <w:color w:val="000000"/>
                <w:sz w:val="20"/>
              </w:rPr>
              <w:t xml:space="preserve"> Silva wrote a letter dated March 2, indicating that Mr. Ferreira was unable to return to work. He sent the letter by regular mail on March 2 or 3.  Because the letter was not received by the March 3 deadline, Yellow Pages took the position that Mr. Ferreira had abandoned his position.  When informed of this on March 5, Mr. Ferreira obtained a copy of the letter and faxed it to his employer.  Yellow Pages maintained that the employment relationship had already ended.  Mr. Ferreira grieved his termination through his Union.</w:t>
            </w:r>
          </w:p>
          <w:p w:rsidR="002C1715" w:rsidRPr="00014456" w:rsidRDefault="002C1715" w:rsidP="008F6F48">
            <w:pPr>
              <w:jc w:val="both"/>
              <w:rPr>
                <w:rFonts w:eastAsia="Calibri"/>
                <w:sz w:val="20"/>
              </w:rPr>
            </w:pPr>
          </w:p>
        </w:tc>
      </w:tr>
      <w:tr w:rsidR="002C1715" w:rsidRPr="00014456" w:rsidTr="008F6F48">
        <w:tc>
          <w:tcPr>
            <w:tcW w:w="2524" w:type="pct"/>
          </w:tcPr>
          <w:p w:rsidR="002C1715" w:rsidRPr="00014456" w:rsidRDefault="002C1715" w:rsidP="008F6F48">
            <w:pPr>
              <w:jc w:val="both"/>
              <w:rPr>
                <w:rFonts w:eastAsia="Calibri"/>
                <w:sz w:val="20"/>
              </w:rPr>
            </w:pPr>
            <w:r w:rsidRPr="00014456">
              <w:rPr>
                <w:rFonts w:eastAsia="Calibri"/>
                <w:sz w:val="20"/>
              </w:rPr>
              <w:t>February 25, 2010</w:t>
            </w:r>
          </w:p>
          <w:p w:rsidR="002C1715" w:rsidRPr="00014456" w:rsidRDefault="002C1715" w:rsidP="008F6F48">
            <w:pPr>
              <w:jc w:val="both"/>
              <w:rPr>
                <w:rFonts w:eastAsia="Calibri"/>
                <w:sz w:val="20"/>
              </w:rPr>
            </w:pPr>
            <w:r w:rsidRPr="00014456">
              <w:rPr>
                <w:rFonts w:eastAsia="Calibri"/>
                <w:sz w:val="20"/>
              </w:rPr>
              <w:t>Ontario Labour Arbitration</w:t>
            </w:r>
          </w:p>
          <w:p w:rsidR="002C1715" w:rsidRPr="00014456" w:rsidRDefault="002C1715" w:rsidP="008F6F48">
            <w:pPr>
              <w:jc w:val="both"/>
              <w:rPr>
                <w:rFonts w:eastAsia="Calibri"/>
                <w:sz w:val="20"/>
              </w:rPr>
            </w:pPr>
            <w:r w:rsidRPr="00014456">
              <w:rPr>
                <w:rFonts w:eastAsia="Calibri"/>
                <w:sz w:val="20"/>
              </w:rPr>
              <w:t>( Harris, Arbitrator)</w:t>
            </w:r>
          </w:p>
          <w:p w:rsidR="002C1715" w:rsidRPr="00014456" w:rsidRDefault="002C1715" w:rsidP="008F6F48">
            <w:pPr>
              <w:jc w:val="both"/>
              <w:rPr>
                <w:rFonts w:eastAsia="Calibri"/>
                <w:sz w:val="20"/>
              </w:rPr>
            </w:pPr>
            <w:r w:rsidRPr="00014456">
              <w:rPr>
                <w:rFonts w:eastAsia="Calibri"/>
                <w:sz w:val="20"/>
              </w:rPr>
              <w:t>[2010] O.L.A.A. No. 121</w:t>
            </w:r>
          </w:p>
          <w:p w:rsidR="002C1715" w:rsidRPr="00014456" w:rsidRDefault="002C1715" w:rsidP="008F6F48">
            <w:pPr>
              <w:jc w:val="both"/>
              <w:rPr>
                <w:rFonts w:eastAsia="Calibri"/>
                <w:sz w:val="20"/>
              </w:rPr>
            </w:pPr>
          </w:p>
        </w:tc>
        <w:tc>
          <w:tcPr>
            <w:tcW w:w="146" w:type="pct"/>
          </w:tcPr>
          <w:p w:rsidR="002C1715" w:rsidRPr="00014456" w:rsidRDefault="002C1715" w:rsidP="008F6F48">
            <w:pPr>
              <w:jc w:val="both"/>
              <w:rPr>
                <w:rFonts w:eastAsia="Calibri"/>
                <w:sz w:val="20"/>
              </w:rPr>
            </w:pPr>
          </w:p>
        </w:tc>
        <w:tc>
          <w:tcPr>
            <w:tcW w:w="2330" w:type="pct"/>
          </w:tcPr>
          <w:p w:rsidR="002C1715" w:rsidRPr="00014456" w:rsidRDefault="002C1715" w:rsidP="008F6F48">
            <w:pPr>
              <w:jc w:val="both"/>
              <w:rPr>
                <w:rFonts w:eastAsia="Calibri"/>
                <w:sz w:val="20"/>
              </w:rPr>
            </w:pPr>
            <w:r w:rsidRPr="00014456">
              <w:rPr>
                <w:rFonts w:eastAsia="Calibri"/>
                <w:sz w:val="20"/>
              </w:rPr>
              <w:t>Employee’s grievance of termination of employment dismissed</w:t>
            </w:r>
          </w:p>
          <w:p w:rsidR="002C1715" w:rsidRPr="00014456" w:rsidRDefault="002C1715" w:rsidP="008F6F48">
            <w:pPr>
              <w:jc w:val="both"/>
              <w:rPr>
                <w:rFonts w:eastAsia="Calibri"/>
                <w:sz w:val="20"/>
              </w:rPr>
            </w:pPr>
          </w:p>
        </w:tc>
      </w:tr>
      <w:tr w:rsidR="002C1715" w:rsidRPr="00014456" w:rsidTr="008F6F48">
        <w:tc>
          <w:tcPr>
            <w:tcW w:w="2524" w:type="pct"/>
          </w:tcPr>
          <w:p w:rsidR="002C1715" w:rsidRPr="00014456" w:rsidRDefault="002C1715" w:rsidP="008F6F48">
            <w:pPr>
              <w:jc w:val="both"/>
              <w:rPr>
                <w:rFonts w:eastAsia="Calibri"/>
                <w:sz w:val="20"/>
              </w:rPr>
            </w:pPr>
            <w:r w:rsidRPr="00014456">
              <w:rPr>
                <w:rFonts w:eastAsia="Calibri"/>
                <w:sz w:val="20"/>
              </w:rPr>
              <w:t>June 21, 2011</w:t>
            </w:r>
          </w:p>
          <w:p w:rsidR="002C1715" w:rsidRPr="00014456" w:rsidRDefault="002C1715" w:rsidP="008F6F48">
            <w:pPr>
              <w:jc w:val="both"/>
              <w:rPr>
                <w:rFonts w:eastAsia="Calibri"/>
                <w:sz w:val="20"/>
              </w:rPr>
            </w:pPr>
            <w:r w:rsidRPr="00014456">
              <w:rPr>
                <w:rFonts w:eastAsia="Calibri"/>
                <w:sz w:val="20"/>
              </w:rPr>
              <w:t>Ontario Superior Court of Justice</w:t>
            </w:r>
          </w:p>
          <w:p w:rsidR="002C1715" w:rsidRPr="00014456" w:rsidRDefault="002C1715" w:rsidP="008F6F48">
            <w:pPr>
              <w:jc w:val="both"/>
              <w:rPr>
                <w:rFonts w:eastAsia="Calibri"/>
                <w:sz w:val="20"/>
              </w:rPr>
            </w:pPr>
            <w:r w:rsidRPr="00014456">
              <w:rPr>
                <w:rFonts w:eastAsia="Calibri"/>
                <w:sz w:val="20"/>
              </w:rPr>
              <w:t>(Jennings, Aston, Wilton-Siegel [dissenting] JJ.)</w:t>
            </w:r>
          </w:p>
          <w:p w:rsidR="002C1715" w:rsidRPr="00014456" w:rsidRDefault="002C1715" w:rsidP="008F6F48">
            <w:pPr>
              <w:jc w:val="both"/>
              <w:rPr>
                <w:rFonts w:eastAsia="Calibri"/>
                <w:sz w:val="20"/>
              </w:rPr>
            </w:pPr>
            <w:r w:rsidRPr="00014456">
              <w:rPr>
                <w:rFonts w:eastAsia="Calibri"/>
                <w:sz w:val="20"/>
              </w:rPr>
              <w:t>2011 ONSC 1774</w:t>
            </w:r>
          </w:p>
          <w:p w:rsidR="002C1715" w:rsidRPr="00014456" w:rsidRDefault="002C1715" w:rsidP="008F6F48">
            <w:pPr>
              <w:jc w:val="both"/>
              <w:rPr>
                <w:rFonts w:eastAsia="Calibri"/>
                <w:sz w:val="20"/>
              </w:rPr>
            </w:pPr>
          </w:p>
        </w:tc>
        <w:tc>
          <w:tcPr>
            <w:tcW w:w="146" w:type="pct"/>
          </w:tcPr>
          <w:p w:rsidR="002C1715" w:rsidRPr="00014456" w:rsidRDefault="002C1715" w:rsidP="008F6F48">
            <w:pPr>
              <w:jc w:val="both"/>
              <w:rPr>
                <w:rFonts w:eastAsia="Calibri"/>
                <w:sz w:val="20"/>
              </w:rPr>
            </w:pPr>
          </w:p>
        </w:tc>
        <w:tc>
          <w:tcPr>
            <w:tcW w:w="2330" w:type="pct"/>
          </w:tcPr>
          <w:p w:rsidR="002C1715" w:rsidRPr="00014456" w:rsidRDefault="002C1715" w:rsidP="008F6F48">
            <w:pPr>
              <w:jc w:val="both"/>
              <w:rPr>
                <w:rFonts w:eastAsia="Calibri"/>
                <w:sz w:val="20"/>
              </w:rPr>
            </w:pPr>
            <w:r w:rsidRPr="00014456">
              <w:rPr>
                <w:rFonts w:eastAsia="Calibri"/>
                <w:sz w:val="20"/>
              </w:rPr>
              <w:t>Arbitrator’s award upheld</w:t>
            </w:r>
          </w:p>
          <w:p w:rsidR="002C1715" w:rsidRPr="00014456" w:rsidRDefault="002C1715" w:rsidP="008F6F48">
            <w:pPr>
              <w:jc w:val="both"/>
              <w:rPr>
                <w:rFonts w:eastAsia="Calibri"/>
                <w:sz w:val="20"/>
              </w:rPr>
            </w:pPr>
          </w:p>
          <w:p w:rsidR="002C1715" w:rsidRPr="00014456" w:rsidRDefault="002C1715" w:rsidP="008F6F48">
            <w:pPr>
              <w:jc w:val="both"/>
              <w:rPr>
                <w:rFonts w:eastAsia="Calibri"/>
                <w:sz w:val="20"/>
              </w:rPr>
            </w:pPr>
          </w:p>
        </w:tc>
      </w:tr>
      <w:tr w:rsidR="002C1715" w:rsidRPr="00014456" w:rsidTr="008F6F48">
        <w:tc>
          <w:tcPr>
            <w:tcW w:w="2524" w:type="pct"/>
          </w:tcPr>
          <w:p w:rsidR="002C1715" w:rsidRPr="00014456" w:rsidRDefault="002C1715" w:rsidP="008F6F48">
            <w:pPr>
              <w:jc w:val="both"/>
              <w:rPr>
                <w:rFonts w:eastAsia="Calibri"/>
                <w:sz w:val="20"/>
              </w:rPr>
            </w:pPr>
            <w:r w:rsidRPr="00014456">
              <w:rPr>
                <w:rFonts w:eastAsia="Calibri"/>
                <w:sz w:val="20"/>
              </w:rPr>
              <w:t>June 26, 2012</w:t>
            </w:r>
          </w:p>
          <w:p w:rsidR="002C1715" w:rsidRPr="00014456" w:rsidRDefault="002C1715" w:rsidP="008F6F48">
            <w:pPr>
              <w:jc w:val="both"/>
              <w:rPr>
                <w:rFonts w:eastAsia="Calibri"/>
                <w:sz w:val="20"/>
              </w:rPr>
            </w:pPr>
            <w:r w:rsidRPr="00014456">
              <w:rPr>
                <w:rFonts w:eastAsia="Calibri"/>
                <w:sz w:val="20"/>
              </w:rPr>
              <w:t>Court of Appeal for Ontario</w:t>
            </w:r>
          </w:p>
          <w:p w:rsidR="002C1715" w:rsidRDefault="002C1715" w:rsidP="008F6F48">
            <w:pPr>
              <w:jc w:val="both"/>
              <w:rPr>
                <w:rFonts w:eastAsia="Calibri"/>
                <w:sz w:val="20"/>
              </w:rPr>
            </w:pPr>
            <w:r w:rsidRPr="00014456">
              <w:rPr>
                <w:rFonts w:eastAsia="Calibri"/>
                <w:sz w:val="20"/>
              </w:rPr>
              <w:t>(</w:t>
            </w:r>
            <w:proofErr w:type="spellStart"/>
            <w:r w:rsidRPr="00014456">
              <w:rPr>
                <w:rFonts w:eastAsia="Calibri"/>
                <w:sz w:val="20"/>
              </w:rPr>
              <w:t>Cronk</w:t>
            </w:r>
            <w:proofErr w:type="spellEnd"/>
            <w:r w:rsidRPr="00014456">
              <w:rPr>
                <w:rFonts w:eastAsia="Calibri"/>
                <w:sz w:val="20"/>
              </w:rPr>
              <w:t>, Epstein and Strathy J. (</w:t>
            </w:r>
            <w:r w:rsidRPr="00014456">
              <w:rPr>
                <w:rFonts w:eastAsia="Calibri"/>
                <w:i/>
                <w:sz w:val="20"/>
              </w:rPr>
              <w:t>ad hoc</w:t>
            </w:r>
            <w:r w:rsidRPr="00014456">
              <w:rPr>
                <w:rFonts w:eastAsia="Calibri"/>
                <w:sz w:val="20"/>
              </w:rPr>
              <w:t>) JJ.A.)</w:t>
            </w:r>
          </w:p>
          <w:p w:rsidR="002C1715" w:rsidRPr="00014456" w:rsidRDefault="002C1715" w:rsidP="008F6F48">
            <w:pPr>
              <w:jc w:val="both"/>
              <w:rPr>
                <w:rFonts w:eastAsia="Calibri"/>
                <w:sz w:val="20"/>
              </w:rPr>
            </w:pPr>
          </w:p>
        </w:tc>
        <w:tc>
          <w:tcPr>
            <w:tcW w:w="146" w:type="pct"/>
          </w:tcPr>
          <w:p w:rsidR="002C1715" w:rsidRPr="00014456" w:rsidRDefault="002C1715" w:rsidP="008F6F48">
            <w:pPr>
              <w:jc w:val="both"/>
              <w:rPr>
                <w:rFonts w:eastAsia="Calibri"/>
                <w:sz w:val="20"/>
              </w:rPr>
            </w:pPr>
          </w:p>
        </w:tc>
        <w:tc>
          <w:tcPr>
            <w:tcW w:w="2330" w:type="pct"/>
          </w:tcPr>
          <w:p w:rsidR="002C1715" w:rsidRPr="00014456" w:rsidRDefault="002C1715" w:rsidP="008F6F48">
            <w:pPr>
              <w:jc w:val="both"/>
              <w:rPr>
                <w:rFonts w:eastAsia="Calibri"/>
                <w:sz w:val="20"/>
              </w:rPr>
            </w:pPr>
            <w:r w:rsidRPr="00014456">
              <w:rPr>
                <w:rFonts w:eastAsia="Calibri"/>
                <w:sz w:val="20"/>
              </w:rPr>
              <w:t>Appeal allowed; Matter remitted to arbitrator for reconsideration of appropriate sanction</w:t>
            </w:r>
          </w:p>
          <w:p w:rsidR="002C1715" w:rsidRPr="00014456" w:rsidRDefault="002C1715" w:rsidP="008F6F48">
            <w:pPr>
              <w:jc w:val="both"/>
              <w:rPr>
                <w:rFonts w:eastAsia="Calibri"/>
                <w:sz w:val="20"/>
              </w:rPr>
            </w:pPr>
          </w:p>
        </w:tc>
      </w:tr>
      <w:tr w:rsidR="002C1715" w:rsidRPr="00014456" w:rsidTr="008F6F48">
        <w:tc>
          <w:tcPr>
            <w:tcW w:w="2524" w:type="pct"/>
          </w:tcPr>
          <w:p w:rsidR="002C1715" w:rsidRPr="00014456" w:rsidRDefault="002C1715" w:rsidP="008F6F48">
            <w:pPr>
              <w:jc w:val="both"/>
              <w:rPr>
                <w:rFonts w:eastAsia="Calibri"/>
                <w:sz w:val="20"/>
              </w:rPr>
            </w:pPr>
            <w:r w:rsidRPr="00014456">
              <w:rPr>
                <w:rFonts w:eastAsia="Calibri"/>
                <w:sz w:val="20"/>
              </w:rPr>
              <w:t>September 24, 2012</w:t>
            </w:r>
          </w:p>
          <w:p w:rsidR="002C1715" w:rsidRPr="00014456" w:rsidRDefault="002C1715" w:rsidP="008F6F48">
            <w:pPr>
              <w:jc w:val="both"/>
              <w:rPr>
                <w:rFonts w:eastAsia="Calibri"/>
                <w:sz w:val="20"/>
              </w:rPr>
            </w:pPr>
            <w:r w:rsidRPr="00014456">
              <w:rPr>
                <w:rFonts w:eastAsia="Calibri"/>
                <w:sz w:val="20"/>
              </w:rPr>
              <w:t>Supreme Court of Canada</w:t>
            </w:r>
          </w:p>
        </w:tc>
        <w:tc>
          <w:tcPr>
            <w:tcW w:w="146" w:type="pct"/>
          </w:tcPr>
          <w:p w:rsidR="002C1715" w:rsidRPr="00014456" w:rsidRDefault="002C1715" w:rsidP="008F6F48">
            <w:pPr>
              <w:jc w:val="both"/>
              <w:rPr>
                <w:rFonts w:eastAsia="Calibri"/>
                <w:sz w:val="20"/>
              </w:rPr>
            </w:pPr>
          </w:p>
        </w:tc>
        <w:tc>
          <w:tcPr>
            <w:tcW w:w="2330" w:type="pct"/>
          </w:tcPr>
          <w:p w:rsidR="002C1715" w:rsidRPr="00014456" w:rsidRDefault="002C1715" w:rsidP="008F6F48">
            <w:pPr>
              <w:jc w:val="both"/>
              <w:rPr>
                <w:rFonts w:eastAsia="Calibri"/>
                <w:sz w:val="20"/>
              </w:rPr>
            </w:pPr>
            <w:r w:rsidRPr="00014456">
              <w:rPr>
                <w:rFonts w:eastAsia="Calibri"/>
                <w:sz w:val="20"/>
              </w:rPr>
              <w:t>Application for leave to appeal filed</w:t>
            </w:r>
          </w:p>
        </w:tc>
      </w:tr>
    </w:tbl>
    <w:p w:rsidR="002C1715" w:rsidRPr="00C50A5C" w:rsidRDefault="002C1715" w:rsidP="002C1715">
      <w:pPr>
        <w:rPr>
          <w:sz w:val="20"/>
          <w:szCs w:val="20"/>
        </w:rPr>
      </w:pPr>
    </w:p>
    <w:p w:rsidR="002C1715" w:rsidRPr="00C50A5C" w:rsidRDefault="00D32E73" w:rsidP="002C1715">
      <w:pPr>
        <w:rPr>
          <w:sz w:val="20"/>
          <w:szCs w:val="20"/>
        </w:rPr>
      </w:pPr>
      <w:r w:rsidRPr="00D32E73">
        <w:rPr>
          <w:sz w:val="20"/>
          <w:szCs w:val="20"/>
          <w:lang w:val="fr-CA"/>
        </w:rPr>
        <w:pict>
          <v:rect id="_x0000_i1046" style="width:2in;height:1pt" o:hrpct="0" o:hralign="center" o:hrstd="t" o:hrnoshade="t" o:hr="t" fillcolor="black [3213]" stroked="f"/>
        </w:pict>
      </w:r>
    </w:p>
    <w:p w:rsidR="002C1715" w:rsidRDefault="002C1715" w:rsidP="002C1715">
      <w:pPr>
        <w:rPr>
          <w:sz w:val="20"/>
          <w:szCs w:val="20"/>
          <w:u w:val="single"/>
          <w:lang w:val="fr-CA"/>
        </w:rPr>
      </w:pPr>
    </w:p>
    <w:p w:rsidR="002C1715" w:rsidRDefault="002C1715" w:rsidP="002C1715">
      <w:pPr>
        <w:rPr>
          <w:sz w:val="20"/>
          <w:szCs w:val="20"/>
          <w:u w:val="single"/>
          <w:lang w:val="fr-CA"/>
        </w:rPr>
      </w:pPr>
      <w:r>
        <w:rPr>
          <w:sz w:val="20"/>
          <w:szCs w:val="20"/>
          <w:u w:val="single"/>
          <w:lang w:val="fr-CA"/>
        </w:rPr>
        <w:br w:type="page"/>
      </w:r>
    </w:p>
    <w:p w:rsidR="002C1715" w:rsidRPr="001B157C" w:rsidRDefault="002C1715" w:rsidP="002C1715">
      <w:pPr>
        <w:rPr>
          <w:sz w:val="20"/>
          <w:szCs w:val="20"/>
          <w:u w:val="single"/>
          <w:lang w:val="fr-CA"/>
        </w:rPr>
      </w:pPr>
      <w:r w:rsidRPr="001B157C">
        <w:rPr>
          <w:sz w:val="20"/>
          <w:szCs w:val="20"/>
          <w:u w:val="single"/>
          <w:lang w:val="fr-CA"/>
        </w:rPr>
        <w:lastRenderedPageBreak/>
        <w:t>RÉSUMÉ DE L’AFFAIRE</w:t>
      </w:r>
    </w:p>
    <w:p w:rsidR="002C1715" w:rsidRDefault="002C1715" w:rsidP="002C1715">
      <w:pPr>
        <w:rPr>
          <w:sz w:val="20"/>
          <w:szCs w:val="20"/>
        </w:rPr>
      </w:pPr>
    </w:p>
    <w:tbl>
      <w:tblPr>
        <w:tblW w:w="4952" w:type="pct"/>
        <w:tblLayout w:type="fixed"/>
        <w:tblCellMar>
          <w:left w:w="0" w:type="dxa"/>
          <w:bottom w:w="99" w:type="dxa"/>
          <w:right w:w="0" w:type="dxa"/>
        </w:tblCellMar>
        <w:tblLook w:val="00A0"/>
      </w:tblPr>
      <w:tblGrid>
        <w:gridCol w:w="4809"/>
        <w:gridCol w:w="278"/>
        <w:gridCol w:w="4440"/>
      </w:tblGrid>
      <w:tr w:rsidR="002C1715" w:rsidRPr="00B32C76" w:rsidTr="008F6F48">
        <w:tc>
          <w:tcPr>
            <w:tcW w:w="5000" w:type="pct"/>
            <w:gridSpan w:val="3"/>
          </w:tcPr>
          <w:p w:rsidR="002C1715" w:rsidRPr="00014456" w:rsidRDefault="002C1715" w:rsidP="008F6F48">
            <w:pPr>
              <w:jc w:val="both"/>
              <w:rPr>
                <w:rFonts w:eastAsia="Calibri"/>
                <w:sz w:val="20"/>
                <w:lang w:val="fr-CA"/>
              </w:rPr>
            </w:pPr>
            <w:r w:rsidRPr="00014456">
              <w:rPr>
                <w:rFonts w:eastAsia="Calibri"/>
                <w:sz w:val="20"/>
                <w:lang w:val="fr-CA"/>
              </w:rPr>
              <w:t xml:space="preserve">Droit de l'emploi — Congédiement injustifié — Un employé a été congédié après avoir omis de justifier une absence au travail en temps opportun — Quel est le critère approprié pour trancher la question de savoir si un employé dans un contexte syndical a été congédié pour un motif valable? — Dans quelle mesure le critère formulé dans l'arrêt </w:t>
            </w:r>
            <w:proofErr w:type="spellStart"/>
            <w:r w:rsidRPr="00014456">
              <w:rPr>
                <w:rFonts w:eastAsia="Calibri"/>
                <w:i/>
                <w:sz w:val="20"/>
                <w:lang w:val="fr-CA"/>
              </w:rPr>
              <w:t>Heustis</w:t>
            </w:r>
            <w:proofErr w:type="spellEnd"/>
            <w:r w:rsidRPr="00014456">
              <w:rPr>
                <w:rFonts w:eastAsia="Calibri"/>
                <w:i/>
                <w:sz w:val="20"/>
                <w:lang w:val="fr-CA"/>
              </w:rPr>
              <w:t xml:space="preserve"> c. Commission d'énergie électrique du Nouveau-Brunswick, </w:t>
            </w:r>
            <w:r w:rsidRPr="00014456">
              <w:rPr>
                <w:rFonts w:eastAsia="Calibri"/>
                <w:sz w:val="20"/>
                <w:lang w:val="fr-CA"/>
              </w:rPr>
              <w:t xml:space="preserve">[1979] 2 R.C.S. 768 a-t-il été modifié par l'arrêt </w:t>
            </w:r>
            <w:r w:rsidRPr="00014456">
              <w:rPr>
                <w:rFonts w:eastAsia="Calibri"/>
                <w:i/>
                <w:sz w:val="20"/>
                <w:lang w:val="fr-CA"/>
              </w:rPr>
              <w:t>McKinley c. BC Tel</w:t>
            </w:r>
            <w:r w:rsidRPr="00014456">
              <w:rPr>
                <w:rFonts w:eastAsia="Calibri"/>
                <w:sz w:val="20"/>
                <w:lang w:val="fr-CA"/>
              </w:rPr>
              <w:t>, [2001] 2 R.C.S. 161? — En appliquant ce critère, dans quelles situations et sur le fondement de quelle preuve des arbitres du travail peuvent-ils considérer la conduite postérieure au congédiement?</w:t>
            </w:r>
          </w:p>
        </w:tc>
      </w:tr>
      <w:tr w:rsidR="002C1715" w:rsidRPr="00B32C76" w:rsidTr="008F6F48">
        <w:tc>
          <w:tcPr>
            <w:tcW w:w="5000" w:type="pct"/>
            <w:gridSpan w:val="3"/>
          </w:tcPr>
          <w:p w:rsidR="002C1715" w:rsidRPr="00014456" w:rsidRDefault="002C1715" w:rsidP="008F6F48">
            <w:pPr>
              <w:jc w:val="both"/>
              <w:rPr>
                <w:rFonts w:eastAsia="Calibri"/>
                <w:sz w:val="20"/>
                <w:lang w:val="fr-CA"/>
              </w:rPr>
            </w:pPr>
          </w:p>
        </w:tc>
      </w:tr>
      <w:tr w:rsidR="002C1715" w:rsidRPr="00B32C76" w:rsidTr="008F6F48">
        <w:tc>
          <w:tcPr>
            <w:tcW w:w="5000" w:type="pct"/>
            <w:gridSpan w:val="3"/>
          </w:tcPr>
          <w:p w:rsidR="002C1715" w:rsidRPr="00014456" w:rsidRDefault="002C1715" w:rsidP="008F6F48">
            <w:pPr>
              <w:jc w:val="both"/>
              <w:rPr>
                <w:rFonts w:eastAsia="Calibri"/>
                <w:sz w:val="20"/>
                <w:lang w:val="fr-CA"/>
              </w:rPr>
            </w:pPr>
            <w:r w:rsidRPr="00014456">
              <w:rPr>
                <w:rFonts w:eastAsia="Calibri"/>
                <w:color w:val="000000"/>
                <w:sz w:val="20"/>
                <w:lang w:val="fr-CA"/>
              </w:rPr>
              <w:t xml:space="preserve">Monsieur Ferreira a travaillé pour la société Groupe Page Jaunes (« Pages Jaunes ») comme conseiller aux ventes de janvier 1989 jusqu'en mars 2009, lorsqu'il a été congédié.  Monsieur Ferreira avait commencé un congé d'invalidité de courte durée le 12 janvier 2009, en raison d'hypertension grave et de stress lié au travail.  Son médecin, le docteur Da Silva, a rempli la Déclaration du Médecin Traitant prescrite par </w:t>
            </w:r>
            <w:proofErr w:type="spellStart"/>
            <w:r w:rsidRPr="00014456">
              <w:rPr>
                <w:rFonts w:eastAsia="Calibri"/>
                <w:color w:val="000000"/>
                <w:sz w:val="20"/>
                <w:lang w:val="fr-CA"/>
              </w:rPr>
              <w:t>Medisys</w:t>
            </w:r>
            <w:proofErr w:type="spellEnd"/>
            <w:r w:rsidRPr="00014456">
              <w:rPr>
                <w:rFonts w:eastAsia="Calibri"/>
                <w:color w:val="000000"/>
                <w:sz w:val="20"/>
                <w:lang w:val="fr-CA"/>
              </w:rPr>
              <w:t xml:space="preserve">, l'assureur invalidité de Page Jaunes, mais les renseignements contenus dans la déclaration étaient insuffisants.  </w:t>
            </w:r>
            <w:proofErr w:type="spellStart"/>
            <w:r w:rsidRPr="00014456">
              <w:rPr>
                <w:rFonts w:eastAsia="Calibri"/>
                <w:color w:val="000000"/>
                <w:sz w:val="20"/>
                <w:lang w:val="fr-CA"/>
              </w:rPr>
              <w:t>Medisys</w:t>
            </w:r>
            <w:proofErr w:type="spellEnd"/>
            <w:r w:rsidRPr="00014456">
              <w:rPr>
                <w:rFonts w:eastAsia="Calibri"/>
                <w:color w:val="000000"/>
                <w:sz w:val="20"/>
                <w:lang w:val="fr-CA"/>
              </w:rPr>
              <w:t xml:space="preserve"> a envoyé au docteur Da Silva un questionnaire de suivi le 4 février 2009, mais le médecin ne l'a pas rempli en temps opportun. En conséquence, </w:t>
            </w:r>
            <w:proofErr w:type="spellStart"/>
            <w:r w:rsidRPr="00014456">
              <w:rPr>
                <w:rFonts w:eastAsia="Calibri"/>
                <w:color w:val="000000"/>
                <w:sz w:val="20"/>
                <w:lang w:val="fr-CA"/>
              </w:rPr>
              <w:t>Medisys</w:t>
            </w:r>
            <w:proofErr w:type="spellEnd"/>
            <w:r w:rsidRPr="00014456">
              <w:rPr>
                <w:rFonts w:eastAsia="Calibri"/>
                <w:color w:val="000000"/>
                <w:sz w:val="20"/>
                <w:lang w:val="fr-CA"/>
              </w:rPr>
              <w:t xml:space="preserve"> a informé M. Ferreira le 16 février qu'à compter du 23 janvier, il avait été mis fin à ses prestations d'invalidité faute de preuve médicale suffisante.  Page Jaunes a informé M. Ferreira par la suite que s'il ne rentrait pas au travail ou ne fournissait pas les renseignements médicaux nécessaires au plus tard le 3 mars, il serait congédié.  Monsieur Ferreira a rencontré son médecin de 25 février.  Le docteur Da Silva a écrit une lettre datée du 2 mars indiquant que M. Ferreira était incapable de rentrer au travail.  Il a envoyé la lettre par courrier ordinaire le 2 ou le 3 mars. Parce que la lettre n'a pas été reçue à la date limite du 3 mars, Page Jaunes a conclu que M. Ferreira avait abandonné son poste. Lorsqu'il a été informé de cette conclusion le 5 mars, M. Ferreira a obtenu une copie de la lettre et il l’a envoyée par télécopieur à son employeur.  Pages Jaunes a réitéré que le lien emploi avait déjà pris fin.  Monsieur Ferreira a fait déposer un grief contre son congédiement par son syndicat.</w:t>
            </w:r>
          </w:p>
          <w:p w:rsidR="002C1715" w:rsidRPr="00014456" w:rsidRDefault="002C1715" w:rsidP="008F6F48">
            <w:pPr>
              <w:jc w:val="both"/>
              <w:rPr>
                <w:rFonts w:eastAsia="Calibri"/>
                <w:sz w:val="20"/>
                <w:lang w:val="fr-CA"/>
              </w:rPr>
            </w:pPr>
          </w:p>
        </w:tc>
      </w:tr>
      <w:tr w:rsidR="002C1715" w:rsidRPr="00B32C76" w:rsidTr="008F6F48">
        <w:tc>
          <w:tcPr>
            <w:tcW w:w="2524" w:type="pct"/>
          </w:tcPr>
          <w:p w:rsidR="002C1715" w:rsidRPr="00014456" w:rsidRDefault="002C1715" w:rsidP="008F6F48">
            <w:pPr>
              <w:jc w:val="both"/>
              <w:rPr>
                <w:rFonts w:eastAsia="Calibri"/>
                <w:sz w:val="20"/>
                <w:lang w:val="fr-CA"/>
              </w:rPr>
            </w:pPr>
            <w:r w:rsidRPr="00014456">
              <w:rPr>
                <w:rFonts w:eastAsia="Calibri"/>
                <w:sz w:val="20"/>
                <w:lang w:val="fr-CA"/>
              </w:rPr>
              <w:t>25 février 2010</w:t>
            </w:r>
          </w:p>
          <w:p w:rsidR="002C1715" w:rsidRPr="00014456" w:rsidRDefault="002C1715" w:rsidP="008F6F48">
            <w:pPr>
              <w:jc w:val="both"/>
              <w:rPr>
                <w:rFonts w:eastAsia="Calibri"/>
                <w:sz w:val="20"/>
                <w:lang w:val="fr-CA"/>
              </w:rPr>
            </w:pPr>
            <w:r w:rsidRPr="00014456">
              <w:rPr>
                <w:rFonts w:eastAsia="Calibri"/>
                <w:sz w:val="20"/>
                <w:lang w:val="fr-CA"/>
              </w:rPr>
              <w:t>Arbitrage du travail de l'Ontario</w:t>
            </w:r>
          </w:p>
          <w:p w:rsidR="002C1715" w:rsidRPr="00014456" w:rsidRDefault="002C1715" w:rsidP="008F6F48">
            <w:pPr>
              <w:jc w:val="both"/>
              <w:rPr>
                <w:rFonts w:eastAsia="Calibri"/>
                <w:sz w:val="20"/>
              </w:rPr>
            </w:pPr>
            <w:r w:rsidRPr="00014456">
              <w:rPr>
                <w:rFonts w:eastAsia="Calibri"/>
                <w:sz w:val="20"/>
              </w:rPr>
              <w:t>(</w:t>
            </w:r>
            <w:proofErr w:type="spellStart"/>
            <w:r w:rsidRPr="00014456">
              <w:rPr>
                <w:rFonts w:eastAsia="Calibri"/>
                <w:sz w:val="20"/>
              </w:rPr>
              <w:t>Arbitre</w:t>
            </w:r>
            <w:proofErr w:type="spellEnd"/>
            <w:r w:rsidRPr="00014456">
              <w:rPr>
                <w:rFonts w:eastAsia="Calibri"/>
                <w:sz w:val="20"/>
              </w:rPr>
              <w:t xml:space="preserve"> Harris)</w:t>
            </w:r>
          </w:p>
          <w:p w:rsidR="002C1715" w:rsidRPr="00014456" w:rsidRDefault="002C1715" w:rsidP="008F6F48">
            <w:pPr>
              <w:jc w:val="both"/>
              <w:rPr>
                <w:rFonts w:eastAsia="Calibri"/>
                <w:sz w:val="20"/>
              </w:rPr>
            </w:pPr>
            <w:r w:rsidRPr="00014456">
              <w:rPr>
                <w:rFonts w:eastAsia="Calibri"/>
                <w:sz w:val="20"/>
              </w:rPr>
              <w:t>[2010] O.L.A.A. No. 121</w:t>
            </w:r>
          </w:p>
          <w:p w:rsidR="002C1715" w:rsidRPr="00014456" w:rsidRDefault="002C1715" w:rsidP="008F6F48">
            <w:pPr>
              <w:jc w:val="both"/>
              <w:rPr>
                <w:rFonts w:eastAsia="Calibri"/>
                <w:sz w:val="20"/>
              </w:rPr>
            </w:pPr>
          </w:p>
        </w:tc>
        <w:tc>
          <w:tcPr>
            <w:tcW w:w="146" w:type="pct"/>
          </w:tcPr>
          <w:p w:rsidR="002C1715" w:rsidRPr="00014456" w:rsidRDefault="002C1715" w:rsidP="008F6F48">
            <w:pPr>
              <w:jc w:val="both"/>
              <w:rPr>
                <w:rFonts w:eastAsia="Calibri"/>
                <w:sz w:val="20"/>
              </w:rPr>
            </w:pPr>
          </w:p>
        </w:tc>
        <w:tc>
          <w:tcPr>
            <w:tcW w:w="2330" w:type="pct"/>
          </w:tcPr>
          <w:p w:rsidR="002C1715" w:rsidRPr="00014456" w:rsidRDefault="002C1715" w:rsidP="008F6F48">
            <w:pPr>
              <w:jc w:val="both"/>
              <w:rPr>
                <w:rFonts w:eastAsia="Calibri"/>
                <w:sz w:val="20"/>
                <w:lang w:val="fr-CA"/>
              </w:rPr>
            </w:pPr>
            <w:r w:rsidRPr="00014456">
              <w:rPr>
                <w:rFonts w:eastAsia="Calibri"/>
                <w:sz w:val="20"/>
                <w:lang w:val="fr-CA"/>
              </w:rPr>
              <w:t>Grief du salarié contre le congédiement, rejeté</w:t>
            </w:r>
          </w:p>
          <w:p w:rsidR="002C1715" w:rsidRPr="00014456" w:rsidRDefault="002C1715" w:rsidP="008F6F48">
            <w:pPr>
              <w:jc w:val="both"/>
              <w:rPr>
                <w:rFonts w:eastAsia="Calibri"/>
                <w:sz w:val="20"/>
                <w:lang w:val="fr-CA"/>
              </w:rPr>
            </w:pPr>
          </w:p>
        </w:tc>
      </w:tr>
      <w:tr w:rsidR="002C1715" w:rsidRPr="00014456" w:rsidTr="008F6F48">
        <w:tc>
          <w:tcPr>
            <w:tcW w:w="2524" w:type="pct"/>
          </w:tcPr>
          <w:p w:rsidR="002C1715" w:rsidRPr="00014456" w:rsidRDefault="002C1715" w:rsidP="008F6F48">
            <w:pPr>
              <w:jc w:val="both"/>
              <w:rPr>
                <w:rFonts w:eastAsia="Calibri"/>
                <w:sz w:val="20"/>
                <w:lang w:val="fr-CA"/>
              </w:rPr>
            </w:pPr>
            <w:r w:rsidRPr="00014456">
              <w:rPr>
                <w:rFonts w:eastAsia="Calibri"/>
                <w:sz w:val="20"/>
                <w:lang w:val="fr-CA"/>
              </w:rPr>
              <w:t>21 juin 2011</w:t>
            </w:r>
          </w:p>
          <w:p w:rsidR="002C1715" w:rsidRPr="00014456" w:rsidRDefault="002C1715" w:rsidP="008F6F48">
            <w:pPr>
              <w:jc w:val="both"/>
              <w:rPr>
                <w:rFonts w:eastAsia="Calibri"/>
                <w:sz w:val="20"/>
                <w:lang w:val="fr-CA"/>
              </w:rPr>
            </w:pPr>
            <w:r w:rsidRPr="00014456">
              <w:rPr>
                <w:rFonts w:eastAsia="Calibri"/>
                <w:sz w:val="20"/>
                <w:lang w:val="fr-CA"/>
              </w:rPr>
              <w:t xml:space="preserve">Cour supérieure de justice de l'Ontario </w:t>
            </w:r>
          </w:p>
          <w:p w:rsidR="002C1715" w:rsidRPr="00014456" w:rsidRDefault="002C1715" w:rsidP="008F6F48">
            <w:pPr>
              <w:jc w:val="both"/>
              <w:rPr>
                <w:rFonts w:eastAsia="Calibri"/>
                <w:sz w:val="20"/>
                <w:lang w:val="fr-CA"/>
              </w:rPr>
            </w:pPr>
            <w:r w:rsidRPr="00014456">
              <w:rPr>
                <w:rFonts w:eastAsia="Calibri"/>
                <w:sz w:val="20"/>
                <w:lang w:val="fr-CA"/>
              </w:rPr>
              <w:t xml:space="preserve">(Juges </w:t>
            </w:r>
            <w:proofErr w:type="spellStart"/>
            <w:r w:rsidRPr="00014456">
              <w:rPr>
                <w:rFonts w:eastAsia="Calibri"/>
                <w:sz w:val="20"/>
                <w:lang w:val="fr-CA"/>
              </w:rPr>
              <w:t>Jennings</w:t>
            </w:r>
            <w:proofErr w:type="spellEnd"/>
            <w:r w:rsidRPr="00014456">
              <w:rPr>
                <w:rFonts w:eastAsia="Calibri"/>
                <w:sz w:val="20"/>
                <w:lang w:val="fr-CA"/>
              </w:rPr>
              <w:t>, Aston et Wilton-Siegel [dissident])</w:t>
            </w:r>
          </w:p>
          <w:p w:rsidR="002C1715" w:rsidRPr="00014456" w:rsidRDefault="002C1715" w:rsidP="008F6F48">
            <w:pPr>
              <w:jc w:val="both"/>
              <w:rPr>
                <w:rFonts w:eastAsia="Calibri"/>
                <w:sz w:val="20"/>
                <w:lang w:val="fr-CA"/>
              </w:rPr>
            </w:pPr>
            <w:r w:rsidRPr="00014456">
              <w:rPr>
                <w:rFonts w:eastAsia="Calibri"/>
                <w:sz w:val="20"/>
                <w:lang w:val="fr-CA"/>
              </w:rPr>
              <w:t>2011 ONSC 1774</w:t>
            </w:r>
          </w:p>
          <w:p w:rsidR="002C1715" w:rsidRPr="00014456" w:rsidRDefault="002C1715" w:rsidP="008F6F48">
            <w:pPr>
              <w:jc w:val="both"/>
              <w:rPr>
                <w:rFonts w:eastAsia="Calibri"/>
                <w:sz w:val="20"/>
                <w:lang w:val="fr-CA"/>
              </w:rPr>
            </w:pPr>
          </w:p>
        </w:tc>
        <w:tc>
          <w:tcPr>
            <w:tcW w:w="146" w:type="pct"/>
          </w:tcPr>
          <w:p w:rsidR="002C1715" w:rsidRPr="00014456" w:rsidRDefault="002C1715" w:rsidP="008F6F48">
            <w:pPr>
              <w:jc w:val="both"/>
              <w:rPr>
                <w:rFonts w:eastAsia="Calibri"/>
                <w:sz w:val="20"/>
                <w:lang w:val="fr-CA"/>
              </w:rPr>
            </w:pPr>
          </w:p>
        </w:tc>
        <w:tc>
          <w:tcPr>
            <w:tcW w:w="2330" w:type="pct"/>
          </w:tcPr>
          <w:p w:rsidR="002C1715" w:rsidRPr="00014456" w:rsidRDefault="002C1715" w:rsidP="008F6F48">
            <w:pPr>
              <w:jc w:val="both"/>
              <w:rPr>
                <w:rFonts w:eastAsia="Calibri"/>
                <w:sz w:val="20"/>
                <w:lang w:val="fr-CA"/>
              </w:rPr>
            </w:pPr>
            <w:r w:rsidRPr="00014456">
              <w:rPr>
                <w:rFonts w:eastAsia="Calibri"/>
                <w:sz w:val="20"/>
                <w:lang w:val="fr-CA"/>
              </w:rPr>
              <w:t>Sentence de l'arbitre confirmée</w:t>
            </w:r>
          </w:p>
          <w:p w:rsidR="002C1715" w:rsidRPr="00014456" w:rsidRDefault="002C1715" w:rsidP="008F6F48">
            <w:pPr>
              <w:jc w:val="both"/>
              <w:rPr>
                <w:rFonts w:eastAsia="Calibri"/>
                <w:sz w:val="20"/>
                <w:lang w:val="fr-CA"/>
              </w:rPr>
            </w:pPr>
          </w:p>
          <w:p w:rsidR="002C1715" w:rsidRPr="00014456" w:rsidRDefault="002C1715" w:rsidP="008F6F48">
            <w:pPr>
              <w:jc w:val="both"/>
              <w:rPr>
                <w:rFonts w:eastAsia="Calibri"/>
                <w:sz w:val="20"/>
                <w:lang w:val="fr-CA"/>
              </w:rPr>
            </w:pPr>
          </w:p>
        </w:tc>
      </w:tr>
      <w:tr w:rsidR="002C1715" w:rsidRPr="00B32C76" w:rsidTr="008F6F48">
        <w:tc>
          <w:tcPr>
            <w:tcW w:w="2524" w:type="pct"/>
          </w:tcPr>
          <w:p w:rsidR="002C1715" w:rsidRPr="00014456" w:rsidRDefault="002C1715" w:rsidP="008F6F48">
            <w:pPr>
              <w:jc w:val="both"/>
              <w:rPr>
                <w:rFonts w:eastAsia="Calibri"/>
                <w:sz w:val="20"/>
                <w:lang w:val="fr-CA"/>
              </w:rPr>
            </w:pPr>
            <w:r w:rsidRPr="00014456">
              <w:rPr>
                <w:rFonts w:eastAsia="Calibri"/>
                <w:sz w:val="20"/>
                <w:lang w:val="fr-CA"/>
              </w:rPr>
              <w:t>26 juin 2012</w:t>
            </w:r>
          </w:p>
          <w:p w:rsidR="002C1715" w:rsidRPr="00014456" w:rsidRDefault="002C1715" w:rsidP="008F6F48">
            <w:pPr>
              <w:jc w:val="both"/>
              <w:rPr>
                <w:rFonts w:eastAsia="Calibri"/>
                <w:sz w:val="20"/>
                <w:lang w:val="fr-CA"/>
              </w:rPr>
            </w:pPr>
            <w:r w:rsidRPr="00014456">
              <w:rPr>
                <w:rFonts w:eastAsia="Calibri"/>
                <w:sz w:val="20"/>
                <w:lang w:val="fr-CA"/>
              </w:rPr>
              <w:t xml:space="preserve">Cour d'appel de l'Ontario </w:t>
            </w:r>
          </w:p>
          <w:p w:rsidR="002C1715" w:rsidRDefault="002C1715" w:rsidP="008F6F48">
            <w:pPr>
              <w:jc w:val="both"/>
              <w:rPr>
                <w:rFonts w:eastAsia="Calibri"/>
                <w:sz w:val="20"/>
                <w:lang w:val="fr-CA"/>
              </w:rPr>
            </w:pPr>
            <w:r w:rsidRPr="00014456">
              <w:rPr>
                <w:rFonts w:eastAsia="Calibri"/>
                <w:sz w:val="20"/>
                <w:lang w:val="fr-CA"/>
              </w:rPr>
              <w:t xml:space="preserve">(Juges </w:t>
            </w:r>
            <w:proofErr w:type="spellStart"/>
            <w:r w:rsidRPr="00014456">
              <w:rPr>
                <w:rFonts w:eastAsia="Calibri"/>
                <w:sz w:val="20"/>
                <w:lang w:val="fr-CA"/>
              </w:rPr>
              <w:t>Cronk</w:t>
            </w:r>
            <w:proofErr w:type="spellEnd"/>
            <w:r w:rsidRPr="00014456">
              <w:rPr>
                <w:rFonts w:eastAsia="Calibri"/>
                <w:sz w:val="20"/>
                <w:lang w:val="fr-CA"/>
              </w:rPr>
              <w:t xml:space="preserve">, Epstein et </w:t>
            </w:r>
            <w:proofErr w:type="spellStart"/>
            <w:r w:rsidRPr="00014456">
              <w:rPr>
                <w:rFonts w:eastAsia="Calibri"/>
                <w:sz w:val="20"/>
                <w:lang w:val="fr-CA"/>
              </w:rPr>
              <w:t>Strathy</w:t>
            </w:r>
            <w:proofErr w:type="spellEnd"/>
            <w:r w:rsidRPr="00014456">
              <w:rPr>
                <w:rFonts w:eastAsia="Calibri"/>
                <w:sz w:val="20"/>
                <w:lang w:val="fr-CA"/>
              </w:rPr>
              <w:t xml:space="preserve"> (</w:t>
            </w:r>
            <w:r w:rsidRPr="00014456">
              <w:rPr>
                <w:rFonts w:eastAsia="Calibri"/>
                <w:i/>
                <w:sz w:val="20"/>
                <w:lang w:val="fr-CA"/>
              </w:rPr>
              <w:t>ad hoc</w:t>
            </w:r>
            <w:r w:rsidRPr="00014456">
              <w:rPr>
                <w:rFonts w:eastAsia="Calibri"/>
                <w:sz w:val="20"/>
                <w:lang w:val="fr-CA"/>
              </w:rPr>
              <w:t>))</w:t>
            </w:r>
          </w:p>
          <w:p w:rsidR="002C1715" w:rsidRPr="00014456" w:rsidRDefault="002C1715" w:rsidP="008F6F48">
            <w:pPr>
              <w:jc w:val="both"/>
              <w:rPr>
                <w:rFonts w:eastAsia="Calibri"/>
                <w:sz w:val="20"/>
                <w:lang w:val="fr-CA"/>
              </w:rPr>
            </w:pPr>
          </w:p>
        </w:tc>
        <w:tc>
          <w:tcPr>
            <w:tcW w:w="146" w:type="pct"/>
          </w:tcPr>
          <w:p w:rsidR="002C1715" w:rsidRPr="00014456" w:rsidRDefault="002C1715" w:rsidP="008F6F48">
            <w:pPr>
              <w:jc w:val="both"/>
              <w:rPr>
                <w:rFonts w:eastAsia="Calibri"/>
                <w:sz w:val="20"/>
                <w:lang w:val="fr-CA"/>
              </w:rPr>
            </w:pPr>
          </w:p>
        </w:tc>
        <w:tc>
          <w:tcPr>
            <w:tcW w:w="2330" w:type="pct"/>
          </w:tcPr>
          <w:p w:rsidR="002C1715" w:rsidRPr="00014456" w:rsidRDefault="002C1715" w:rsidP="008F6F48">
            <w:pPr>
              <w:jc w:val="both"/>
              <w:rPr>
                <w:rFonts w:eastAsia="Calibri"/>
                <w:sz w:val="20"/>
                <w:lang w:val="fr-CA"/>
              </w:rPr>
            </w:pPr>
            <w:r w:rsidRPr="00014456">
              <w:rPr>
                <w:rFonts w:eastAsia="Calibri"/>
                <w:sz w:val="20"/>
                <w:lang w:val="fr-CA"/>
              </w:rPr>
              <w:t>Appel accueilli; affaire renvoyée à l'arbitre pour un nouvel examen de la sanction appropriée</w:t>
            </w:r>
          </w:p>
          <w:p w:rsidR="002C1715" w:rsidRPr="00014456" w:rsidRDefault="002C1715" w:rsidP="008F6F48">
            <w:pPr>
              <w:jc w:val="both"/>
              <w:rPr>
                <w:rFonts w:eastAsia="Calibri"/>
                <w:sz w:val="20"/>
                <w:lang w:val="fr-CA"/>
              </w:rPr>
            </w:pPr>
          </w:p>
        </w:tc>
      </w:tr>
      <w:tr w:rsidR="002C1715" w:rsidRPr="00014456" w:rsidTr="008F6F48">
        <w:tc>
          <w:tcPr>
            <w:tcW w:w="2524" w:type="pct"/>
          </w:tcPr>
          <w:p w:rsidR="002C1715" w:rsidRPr="00014456" w:rsidRDefault="002C1715" w:rsidP="008F6F48">
            <w:pPr>
              <w:jc w:val="both"/>
              <w:rPr>
                <w:rFonts w:eastAsia="Calibri"/>
                <w:sz w:val="20"/>
                <w:lang w:val="fr-CA"/>
              </w:rPr>
            </w:pPr>
            <w:r w:rsidRPr="00014456">
              <w:rPr>
                <w:rFonts w:eastAsia="Calibri"/>
                <w:sz w:val="20"/>
                <w:lang w:val="fr-CA"/>
              </w:rPr>
              <w:t>24 septembre 2012</w:t>
            </w:r>
          </w:p>
          <w:p w:rsidR="002C1715" w:rsidRPr="00014456" w:rsidRDefault="002C1715" w:rsidP="008F6F48">
            <w:pPr>
              <w:jc w:val="both"/>
              <w:rPr>
                <w:rFonts w:eastAsia="Calibri"/>
                <w:sz w:val="20"/>
                <w:lang w:val="fr-CA"/>
              </w:rPr>
            </w:pPr>
            <w:r w:rsidRPr="00014456">
              <w:rPr>
                <w:rFonts w:eastAsia="Calibri"/>
                <w:sz w:val="20"/>
                <w:lang w:val="fr-CA"/>
              </w:rPr>
              <w:t>Cour suprême du Canada</w:t>
            </w:r>
          </w:p>
        </w:tc>
        <w:tc>
          <w:tcPr>
            <w:tcW w:w="146" w:type="pct"/>
          </w:tcPr>
          <w:p w:rsidR="002C1715" w:rsidRPr="00014456" w:rsidRDefault="002C1715" w:rsidP="008F6F48">
            <w:pPr>
              <w:jc w:val="both"/>
              <w:rPr>
                <w:rFonts w:eastAsia="Calibri"/>
                <w:sz w:val="20"/>
                <w:lang w:val="fr-CA"/>
              </w:rPr>
            </w:pPr>
          </w:p>
        </w:tc>
        <w:tc>
          <w:tcPr>
            <w:tcW w:w="2330" w:type="pct"/>
          </w:tcPr>
          <w:p w:rsidR="002C1715" w:rsidRPr="00014456" w:rsidRDefault="002C1715" w:rsidP="008F6F48">
            <w:pPr>
              <w:jc w:val="both"/>
              <w:rPr>
                <w:rFonts w:eastAsia="Calibri"/>
                <w:sz w:val="20"/>
                <w:lang w:val="fr-CA"/>
              </w:rPr>
            </w:pPr>
            <w:r w:rsidRPr="00014456">
              <w:rPr>
                <w:rFonts w:eastAsia="Calibri"/>
                <w:sz w:val="20"/>
                <w:lang w:val="fr-CA"/>
              </w:rPr>
              <w:t>Demande d'autorisation d'appel, déposée</w:t>
            </w:r>
          </w:p>
        </w:tc>
      </w:tr>
    </w:tbl>
    <w:p w:rsidR="002C1715" w:rsidRDefault="002C1715" w:rsidP="002C1715">
      <w:pPr>
        <w:rPr>
          <w:sz w:val="20"/>
          <w:szCs w:val="20"/>
        </w:rPr>
      </w:pPr>
    </w:p>
    <w:p w:rsidR="002C1715" w:rsidRDefault="00D32E73" w:rsidP="002C1715">
      <w:pPr>
        <w:rPr>
          <w:sz w:val="20"/>
          <w:szCs w:val="20"/>
        </w:rPr>
      </w:pPr>
      <w:r w:rsidRPr="00D32E73">
        <w:rPr>
          <w:sz w:val="20"/>
          <w:szCs w:val="20"/>
          <w:lang w:val="fr-CA"/>
        </w:rPr>
        <w:pict>
          <v:rect id="_x0000_i1047" style="width:2in;height:1pt" o:hrpct="0" o:hralign="center" o:hrstd="t" o:hrnoshade="t" o:hr="t" fillcolor="black [3213]" stroked="f"/>
        </w:pict>
      </w:r>
    </w:p>
    <w:p w:rsidR="002C1715" w:rsidRDefault="002C1715" w:rsidP="002C1715">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RPr="00E917AA" w:rsidTr="008F6F48">
        <w:trPr>
          <w:cantSplit/>
        </w:trPr>
        <w:tc>
          <w:tcPr>
            <w:tcW w:w="1458" w:type="dxa"/>
          </w:tcPr>
          <w:p w:rsidR="002C1715" w:rsidRPr="00E917AA" w:rsidRDefault="002C1715" w:rsidP="008F6F48">
            <w:pPr>
              <w:rPr>
                <w:sz w:val="20"/>
              </w:rPr>
            </w:pPr>
            <w:r w:rsidRPr="00E917AA">
              <w:rPr>
                <w:b/>
                <w:sz w:val="20"/>
                <w:lang w:val="fr-CA"/>
              </w:rPr>
              <w:t>34990</w:t>
            </w:r>
          </w:p>
          <w:p w:rsidR="002C1715" w:rsidRPr="00E917AA" w:rsidRDefault="002C1715" w:rsidP="008F6F48">
            <w:pPr>
              <w:rPr>
                <w:b/>
                <w:sz w:val="20"/>
                <w:lang w:val="fr-CA"/>
              </w:rPr>
            </w:pPr>
          </w:p>
        </w:tc>
        <w:tc>
          <w:tcPr>
            <w:tcW w:w="8118" w:type="dxa"/>
          </w:tcPr>
          <w:p w:rsidR="002C1715" w:rsidRPr="00E917AA" w:rsidRDefault="002C1715" w:rsidP="008F6F48">
            <w:pPr>
              <w:jc w:val="both"/>
              <w:rPr>
                <w:sz w:val="20"/>
              </w:rPr>
            </w:pPr>
            <w:r w:rsidRPr="00E917AA">
              <w:rPr>
                <w:b/>
                <w:sz w:val="20"/>
                <w:u w:val="single"/>
                <w:lang w:val="en-US"/>
              </w:rPr>
              <w:t>Brad William MacDonald v. Attorney General of Nova Scotia, representing Her Majesty the Queen in the right of the Province of Nova Scotia</w:t>
            </w:r>
            <w:r w:rsidRPr="00E917AA">
              <w:rPr>
                <w:sz w:val="20"/>
              </w:rPr>
              <w:t xml:space="preserve"> (N.S.) (Civil) (By Leave)</w:t>
            </w:r>
          </w:p>
          <w:p w:rsidR="002C1715" w:rsidRPr="00E917AA" w:rsidRDefault="002C1715" w:rsidP="008F6F48">
            <w:pPr>
              <w:jc w:val="both"/>
              <w:rPr>
                <w:sz w:val="20"/>
              </w:rPr>
            </w:pPr>
          </w:p>
        </w:tc>
      </w:tr>
      <w:tr w:rsidR="002C1715" w:rsidRPr="00E917AA" w:rsidTr="008F6F48">
        <w:trPr>
          <w:cantSplit/>
        </w:trPr>
        <w:tc>
          <w:tcPr>
            <w:tcW w:w="1458" w:type="dxa"/>
          </w:tcPr>
          <w:p w:rsidR="002C1715" w:rsidRPr="00E917AA" w:rsidRDefault="002C1715" w:rsidP="008F6F48">
            <w:pPr>
              <w:rPr>
                <w:sz w:val="20"/>
              </w:rPr>
            </w:pPr>
            <w:r w:rsidRPr="00E917AA">
              <w:rPr>
                <w:sz w:val="20"/>
              </w:rPr>
              <w:t>Coram :</w:t>
            </w:r>
          </w:p>
        </w:tc>
        <w:tc>
          <w:tcPr>
            <w:tcW w:w="8118" w:type="dxa"/>
          </w:tcPr>
          <w:p w:rsidR="002C1715" w:rsidRPr="00E917AA" w:rsidRDefault="002C1715" w:rsidP="008F6F48">
            <w:pPr>
              <w:rPr>
                <w:sz w:val="20"/>
              </w:rPr>
            </w:pPr>
            <w:r w:rsidRPr="00E917AA">
              <w:rPr>
                <w:sz w:val="20"/>
                <w:u w:val="single"/>
                <w:lang w:val="en-US"/>
              </w:rPr>
              <w:t xml:space="preserve">Fish, Rothstein and </w:t>
            </w:r>
            <w:proofErr w:type="spellStart"/>
            <w:r w:rsidRPr="00E917AA">
              <w:rPr>
                <w:sz w:val="20"/>
                <w:u w:val="single"/>
                <w:lang w:val="en-US"/>
              </w:rPr>
              <w:t>Moldaver</w:t>
            </w:r>
            <w:proofErr w:type="spellEnd"/>
            <w:r w:rsidRPr="00E917AA">
              <w:rPr>
                <w:sz w:val="20"/>
                <w:u w:val="single"/>
                <w:lang w:val="en-US"/>
              </w:rPr>
              <w:t> JJ.</w:t>
            </w:r>
          </w:p>
          <w:p w:rsidR="002C1715" w:rsidRPr="00E917AA" w:rsidRDefault="002C1715" w:rsidP="008F6F48">
            <w:pPr>
              <w:rPr>
                <w:sz w:val="20"/>
                <w:u w:val="single"/>
              </w:rPr>
            </w:pPr>
          </w:p>
        </w:tc>
      </w:tr>
      <w:tr w:rsidR="002C1715" w:rsidRPr="00B32C76" w:rsidTr="008F6F48">
        <w:trPr>
          <w:cantSplit/>
        </w:trPr>
        <w:tc>
          <w:tcPr>
            <w:tcW w:w="9576" w:type="dxa"/>
            <w:gridSpan w:val="2"/>
          </w:tcPr>
          <w:p w:rsidR="002C1715" w:rsidRPr="00E917AA" w:rsidRDefault="002C1715" w:rsidP="008F6F48">
            <w:pPr>
              <w:ind w:firstLine="720"/>
              <w:jc w:val="both"/>
              <w:rPr>
                <w:sz w:val="20"/>
              </w:rPr>
            </w:pPr>
            <w:r w:rsidRPr="00E917AA">
              <w:rPr>
                <w:sz w:val="20"/>
              </w:rPr>
              <w:lastRenderedPageBreak/>
              <w:t>The application for leave to appeal from the judgments of the Nova Scotia Court of Appeal, Number CA 379468, dated June 12 and June 25, 2012, is dismissed without costs.</w:t>
            </w:r>
          </w:p>
          <w:p w:rsidR="002C1715" w:rsidRPr="00E917AA" w:rsidRDefault="002C1715" w:rsidP="008F6F48">
            <w:pPr>
              <w:jc w:val="both"/>
              <w:rPr>
                <w:sz w:val="20"/>
              </w:rPr>
            </w:pPr>
          </w:p>
          <w:p w:rsidR="002C1715" w:rsidRPr="00E917AA" w:rsidRDefault="002C1715" w:rsidP="008F6F48">
            <w:pPr>
              <w:ind w:firstLine="720"/>
              <w:jc w:val="both"/>
              <w:rPr>
                <w:sz w:val="20"/>
                <w:lang w:val="fr-CA"/>
              </w:rPr>
            </w:pPr>
            <w:r w:rsidRPr="00E917AA">
              <w:rPr>
                <w:sz w:val="20"/>
                <w:lang w:val="fr-CA"/>
              </w:rPr>
              <w:t>La demande d’autorisation d’appel des arrêts de la Cour d’appel de la Nouvelle-Écosse, numéro CA 379468, datés du 12 juin et du 25 juin 2012, est rejetée sans dépens.</w:t>
            </w:r>
          </w:p>
        </w:tc>
      </w:tr>
    </w:tbl>
    <w:p w:rsidR="002C1715" w:rsidRPr="00B9754C" w:rsidRDefault="002C1715" w:rsidP="002C1715">
      <w:pPr>
        <w:rPr>
          <w:sz w:val="20"/>
          <w:szCs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1715" w:rsidRPr="00E917AA" w:rsidTr="008F6F48">
        <w:tc>
          <w:tcPr>
            <w:tcW w:w="5000" w:type="pct"/>
            <w:gridSpan w:val="3"/>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Civil procedure — Motion for leave to review an order of the Nova Scotia Court of Appeal dismissed.</w:t>
            </w:r>
          </w:p>
        </w:tc>
      </w:tr>
      <w:tr w:rsidR="002C1715" w:rsidRPr="00E917AA" w:rsidTr="008F6F48">
        <w:tc>
          <w:tcPr>
            <w:tcW w:w="5000" w:type="pct"/>
            <w:gridSpan w:val="3"/>
          </w:tcPr>
          <w:p w:rsidR="002C1715" w:rsidRPr="00E917AA" w:rsidRDefault="002C1715" w:rsidP="008F6F48">
            <w:pPr>
              <w:jc w:val="both"/>
              <w:rPr>
                <w:rFonts w:eastAsia="Calibri" w:cs="Times New Roman"/>
                <w:sz w:val="20"/>
                <w:szCs w:val="20"/>
              </w:rPr>
            </w:pPr>
          </w:p>
        </w:tc>
      </w:tr>
      <w:tr w:rsidR="002C1715" w:rsidRPr="00E917AA" w:rsidTr="008F6F48">
        <w:tc>
          <w:tcPr>
            <w:tcW w:w="5000" w:type="pct"/>
            <w:gridSpan w:val="3"/>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The applicant, Mr. MacDonald, filed a notice of action and statement of claim</w:t>
            </w:r>
            <w:r w:rsidRPr="00E917AA">
              <w:rPr>
                <w:rFonts w:eastAsia="Calibri" w:cs="Times New Roman"/>
                <w:color w:val="000000"/>
                <w:sz w:val="20"/>
                <w:szCs w:val="20"/>
              </w:rPr>
              <w:t xml:space="preserve"> against the Province of Nova Scotia, based on what he considered to be his inappropriate treatment in the context of his welfare claim.  </w:t>
            </w:r>
            <w:r w:rsidRPr="00E917AA">
              <w:rPr>
                <w:rFonts w:eastAsia="Calibri" w:cs="Times New Roman"/>
                <w:sz w:val="20"/>
                <w:szCs w:val="20"/>
              </w:rPr>
              <w:t xml:space="preserve">The respondent brought a motion for summary judgment to dismiss the statement of claim on the basis that the pleadings failed to disclose a sustainable cause of action, which </w:t>
            </w:r>
            <w:proofErr w:type="spellStart"/>
            <w:r w:rsidRPr="00E917AA">
              <w:rPr>
                <w:rFonts w:eastAsia="Calibri" w:cs="Times New Roman"/>
                <w:sz w:val="20"/>
                <w:szCs w:val="20"/>
              </w:rPr>
              <w:t>Moir</w:t>
            </w:r>
            <w:proofErr w:type="spellEnd"/>
            <w:r w:rsidRPr="00E917AA">
              <w:rPr>
                <w:rFonts w:eastAsia="Calibri" w:cs="Times New Roman"/>
                <w:sz w:val="20"/>
                <w:szCs w:val="20"/>
              </w:rPr>
              <w:t xml:space="preserve"> J. granted. </w:t>
            </w:r>
          </w:p>
          <w:p w:rsidR="002C1715" w:rsidRPr="00E917AA" w:rsidRDefault="002C1715" w:rsidP="008F6F48">
            <w:pPr>
              <w:jc w:val="both"/>
              <w:rPr>
                <w:rFonts w:eastAsia="Calibri" w:cs="Times New Roman"/>
                <w:sz w:val="20"/>
                <w:szCs w:val="20"/>
              </w:rPr>
            </w:pPr>
          </w:p>
          <w:p w:rsidR="002C1715" w:rsidRPr="00E917AA" w:rsidRDefault="002C1715" w:rsidP="008F6F48">
            <w:pPr>
              <w:autoSpaceDE w:val="0"/>
              <w:autoSpaceDN w:val="0"/>
              <w:jc w:val="both"/>
              <w:rPr>
                <w:rFonts w:eastAsia="Times New Roman" w:cs="Times New Roman"/>
                <w:sz w:val="20"/>
                <w:szCs w:val="20"/>
                <w:lang w:eastAsia="en-CA"/>
              </w:rPr>
            </w:pPr>
            <w:r w:rsidRPr="00E917AA">
              <w:rPr>
                <w:rFonts w:eastAsia="Times New Roman" w:cs="Times New Roman"/>
                <w:sz w:val="20"/>
                <w:szCs w:val="20"/>
                <w:lang w:eastAsia="en-CA"/>
              </w:rPr>
              <w:t xml:space="preserve">Mr. MacDonald then sought to appeal to the Nova Scotia Court of Appeal.  </w:t>
            </w:r>
            <w:r w:rsidRPr="00E917AA">
              <w:rPr>
                <w:rFonts w:eastAsia="Times New Roman" w:cs="Times New Roman"/>
                <w:color w:val="000000"/>
                <w:sz w:val="20"/>
                <w:szCs w:val="20"/>
                <w:lang w:eastAsia="en-CA"/>
              </w:rPr>
              <w:t xml:space="preserve">His proposed grounds of appeal were that he had failed to adequately represent himself and that nothing had been done in his case.  </w:t>
            </w:r>
            <w:proofErr w:type="spellStart"/>
            <w:r w:rsidRPr="00E917AA">
              <w:rPr>
                <w:rFonts w:eastAsia="Times New Roman" w:cs="Times New Roman"/>
                <w:sz w:val="20"/>
                <w:szCs w:val="20"/>
                <w:lang w:eastAsia="en-CA"/>
              </w:rPr>
              <w:t>Beveridge</w:t>
            </w:r>
            <w:proofErr w:type="spellEnd"/>
            <w:r w:rsidRPr="00E917AA">
              <w:rPr>
                <w:rFonts w:eastAsia="Times New Roman" w:cs="Times New Roman"/>
                <w:sz w:val="20"/>
                <w:szCs w:val="20"/>
                <w:lang w:eastAsia="en-CA"/>
              </w:rPr>
              <w:t xml:space="preserve"> J.A. granted the respondent’s motion to set aside the notice of appeal and held that the allegations made by Mr. MacDonald were not proper grounds for appeal.  Mr. MacDonald then sought leave to review the order of the court of appeal, but his motion was dismissed by MacDonald C.J. </w:t>
            </w:r>
          </w:p>
          <w:p w:rsidR="002C1715" w:rsidRPr="00E917AA" w:rsidRDefault="002C1715" w:rsidP="008F6F48">
            <w:pPr>
              <w:autoSpaceDE w:val="0"/>
              <w:autoSpaceDN w:val="0"/>
              <w:jc w:val="both"/>
              <w:rPr>
                <w:rFonts w:eastAsia="Times New Roman" w:cs="Times New Roman"/>
                <w:sz w:val="20"/>
                <w:szCs w:val="20"/>
                <w:lang w:eastAsia="en-CA"/>
              </w:rPr>
            </w:pPr>
          </w:p>
        </w:tc>
      </w:tr>
      <w:tr w:rsidR="002C1715" w:rsidRPr="00E917AA" w:rsidTr="008F6F48">
        <w:tc>
          <w:tcPr>
            <w:tcW w:w="2427"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January 11, 2012</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Supreme Court of Nova Scotia, Trial Division</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w:t>
            </w:r>
            <w:proofErr w:type="spellStart"/>
            <w:r w:rsidRPr="00E917AA">
              <w:rPr>
                <w:rFonts w:eastAsia="Calibri" w:cs="Times New Roman"/>
                <w:sz w:val="20"/>
                <w:szCs w:val="20"/>
              </w:rPr>
              <w:t>Moir</w:t>
            </w:r>
            <w:proofErr w:type="spellEnd"/>
            <w:r w:rsidRPr="00E917AA">
              <w:rPr>
                <w:rFonts w:eastAsia="Calibri" w:cs="Times New Roman"/>
                <w:sz w:val="20"/>
                <w:szCs w:val="20"/>
              </w:rPr>
              <w:t xml:space="preserve"> J.)</w:t>
            </w:r>
          </w:p>
          <w:p w:rsidR="002C1715" w:rsidRPr="00E917AA" w:rsidRDefault="002C1715" w:rsidP="008F6F48">
            <w:pPr>
              <w:jc w:val="both"/>
              <w:rPr>
                <w:rFonts w:eastAsia="Calibri" w:cs="Times New Roman"/>
                <w:sz w:val="20"/>
                <w:szCs w:val="20"/>
              </w:rPr>
            </w:pPr>
          </w:p>
        </w:tc>
        <w:tc>
          <w:tcPr>
            <w:tcW w:w="243" w:type="pct"/>
          </w:tcPr>
          <w:p w:rsidR="002C1715" w:rsidRPr="00E917AA" w:rsidRDefault="002C1715" w:rsidP="008F6F48">
            <w:pPr>
              <w:jc w:val="both"/>
              <w:rPr>
                <w:rFonts w:eastAsia="Calibri" w:cs="Times New Roman"/>
                <w:sz w:val="20"/>
                <w:szCs w:val="20"/>
              </w:rPr>
            </w:pPr>
          </w:p>
        </w:tc>
        <w:tc>
          <w:tcPr>
            <w:tcW w:w="2330"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Notice of action and statement of claim set aside</w:t>
            </w:r>
          </w:p>
          <w:p w:rsidR="002C1715" w:rsidRPr="00E917AA" w:rsidRDefault="002C1715" w:rsidP="008F6F48">
            <w:pPr>
              <w:jc w:val="both"/>
              <w:rPr>
                <w:rFonts w:eastAsia="Calibri" w:cs="Times New Roman"/>
                <w:sz w:val="20"/>
                <w:szCs w:val="20"/>
              </w:rPr>
            </w:pPr>
          </w:p>
        </w:tc>
      </w:tr>
      <w:tr w:rsidR="002C1715" w:rsidRPr="00E917AA" w:rsidTr="008F6F48">
        <w:tc>
          <w:tcPr>
            <w:tcW w:w="2427"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June 12, 2012</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Nova Scotia Court of Appeal</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w:t>
            </w:r>
            <w:proofErr w:type="spellStart"/>
            <w:r w:rsidRPr="00E917AA">
              <w:rPr>
                <w:rFonts w:eastAsia="Calibri" w:cs="Times New Roman"/>
                <w:sz w:val="20"/>
                <w:szCs w:val="20"/>
              </w:rPr>
              <w:t>Beveridge</w:t>
            </w:r>
            <w:proofErr w:type="spellEnd"/>
            <w:r w:rsidRPr="00E917AA">
              <w:rPr>
                <w:rFonts w:eastAsia="Calibri" w:cs="Times New Roman"/>
                <w:sz w:val="20"/>
                <w:szCs w:val="20"/>
              </w:rPr>
              <w:t xml:space="preserve"> J.A.)</w:t>
            </w:r>
          </w:p>
          <w:p w:rsidR="002C1715" w:rsidRPr="00E917AA" w:rsidRDefault="002C1715" w:rsidP="008F6F48">
            <w:pPr>
              <w:jc w:val="both"/>
              <w:rPr>
                <w:rFonts w:eastAsia="Calibri" w:cs="Times New Roman"/>
                <w:sz w:val="20"/>
                <w:szCs w:val="20"/>
              </w:rPr>
            </w:pPr>
            <w:r w:rsidRPr="00E917AA">
              <w:rPr>
                <w:rFonts w:eastAsia="Calibri" w:cs="Times New Roman"/>
                <w:sz w:val="20"/>
                <w:szCs w:val="20"/>
                <w:lang w:val="en-GB"/>
              </w:rPr>
              <w:t>2012 NSCA 64</w:t>
            </w:r>
          </w:p>
          <w:p w:rsidR="002C1715" w:rsidRPr="00E917AA" w:rsidRDefault="002C1715" w:rsidP="008F6F48">
            <w:pPr>
              <w:jc w:val="both"/>
              <w:rPr>
                <w:rFonts w:eastAsia="Calibri" w:cs="Times New Roman"/>
                <w:sz w:val="20"/>
                <w:szCs w:val="20"/>
              </w:rPr>
            </w:pPr>
          </w:p>
        </w:tc>
        <w:tc>
          <w:tcPr>
            <w:tcW w:w="243" w:type="pct"/>
          </w:tcPr>
          <w:p w:rsidR="002C1715" w:rsidRPr="00E917AA" w:rsidRDefault="002C1715" w:rsidP="008F6F48">
            <w:pPr>
              <w:jc w:val="both"/>
              <w:rPr>
                <w:rFonts w:eastAsia="Calibri" w:cs="Times New Roman"/>
                <w:sz w:val="20"/>
                <w:szCs w:val="20"/>
              </w:rPr>
            </w:pPr>
          </w:p>
        </w:tc>
        <w:tc>
          <w:tcPr>
            <w:tcW w:w="2330"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Appeal dismissed</w:t>
            </w:r>
          </w:p>
          <w:p w:rsidR="002C1715" w:rsidRPr="00E917AA" w:rsidRDefault="002C1715" w:rsidP="008F6F48">
            <w:pPr>
              <w:jc w:val="both"/>
              <w:rPr>
                <w:rFonts w:eastAsia="Calibri" w:cs="Times New Roman"/>
                <w:sz w:val="20"/>
                <w:szCs w:val="20"/>
              </w:rPr>
            </w:pPr>
          </w:p>
        </w:tc>
      </w:tr>
      <w:tr w:rsidR="002C1715" w:rsidRPr="00E917AA" w:rsidTr="008F6F48">
        <w:tc>
          <w:tcPr>
            <w:tcW w:w="2427"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June 25, 2012</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Nova Scotia Court of Appeal</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(MacDonald C.J.)</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CA 379468</w:t>
            </w:r>
          </w:p>
          <w:p w:rsidR="002C1715" w:rsidRPr="00E917AA" w:rsidRDefault="002C1715" w:rsidP="008F6F48">
            <w:pPr>
              <w:jc w:val="both"/>
              <w:rPr>
                <w:rFonts w:eastAsia="Calibri" w:cs="Times New Roman"/>
                <w:sz w:val="20"/>
                <w:szCs w:val="20"/>
              </w:rPr>
            </w:pPr>
          </w:p>
        </w:tc>
        <w:tc>
          <w:tcPr>
            <w:tcW w:w="243" w:type="pct"/>
          </w:tcPr>
          <w:p w:rsidR="002C1715" w:rsidRPr="00E917AA" w:rsidRDefault="002C1715" w:rsidP="008F6F48">
            <w:pPr>
              <w:jc w:val="both"/>
              <w:rPr>
                <w:rFonts w:eastAsia="Calibri" w:cs="Times New Roman"/>
                <w:sz w:val="20"/>
                <w:szCs w:val="20"/>
              </w:rPr>
            </w:pPr>
          </w:p>
        </w:tc>
        <w:tc>
          <w:tcPr>
            <w:tcW w:w="2330"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Motion for leave to review court of appeal order dismissed</w:t>
            </w:r>
          </w:p>
          <w:p w:rsidR="002C1715" w:rsidRPr="00E917AA" w:rsidRDefault="002C1715" w:rsidP="008F6F48">
            <w:pPr>
              <w:jc w:val="both"/>
              <w:rPr>
                <w:rFonts w:eastAsia="Calibri" w:cs="Times New Roman"/>
                <w:sz w:val="20"/>
                <w:szCs w:val="20"/>
              </w:rPr>
            </w:pPr>
          </w:p>
        </w:tc>
      </w:tr>
      <w:tr w:rsidR="002C1715" w:rsidRPr="00E917AA" w:rsidTr="008F6F48">
        <w:tc>
          <w:tcPr>
            <w:tcW w:w="2427"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September 20, 2012</w:t>
            </w:r>
          </w:p>
          <w:p w:rsidR="002C1715" w:rsidRPr="00E917AA" w:rsidRDefault="002C1715" w:rsidP="008F6F48">
            <w:pPr>
              <w:jc w:val="both"/>
              <w:rPr>
                <w:rFonts w:eastAsia="Calibri" w:cs="Times New Roman"/>
                <w:sz w:val="20"/>
                <w:szCs w:val="20"/>
              </w:rPr>
            </w:pPr>
            <w:r w:rsidRPr="00E917AA">
              <w:rPr>
                <w:rFonts w:eastAsia="Calibri" w:cs="Times New Roman"/>
                <w:sz w:val="20"/>
                <w:szCs w:val="20"/>
              </w:rPr>
              <w:t>Supreme Court of Canada</w:t>
            </w:r>
          </w:p>
        </w:tc>
        <w:tc>
          <w:tcPr>
            <w:tcW w:w="243" w:type="pct"/>
          </w:tcPr>
          <w:p w:rsidR="002C1715" w:rsidRPr="00E917AA" w:rsidRDefault="002C1715" w:rsidP="008F6F48">
            <w:pPr>
              <w:jc w:val="both"/>
              <w:rPr>
                <w:rFonts w:eastAsia="Calibri" w:cs="Times New Roman"/>
                <w:sz w:val="20"/>
                <w:szCs w:val="20"/>
              </w:rPr>
            </w:pPr>
          </w:p>
        </w:tc>
        <w:tc>
          <w:tcPr>
            <w:tcW w:w="2330" w:type="pct"/>
          </w:tcPr>
          <w:p w:rsidR="002C1715" w:rsidRPr="00E917AA" w:rsidRDefault="002C1715" w:rsidP="008F6F48">
            <w:pPr>
              <w:jc w:val="both"/>
              <w:rPr>
                <w:rFonts w:eastAsia="Calibri" w:cs="Times New Roman"/>
                <w:sz w:val="20"/>
                <w:szCs w:val="20"/>
              </w:rPr>
            </w:pPr>
            <w:r w:rsidRPr="00E917AA">
              <w:rPr>
                <w:rFonts w:eastAsia="Calibri" w:cs="Times New Roman"/>
                <w:sz w:val="20"/>
                <w:szCs w:val="20"/>
              </w:rPr>
              <w:t>Application for leave to appeal filed</w:t>
            </w:r>
          </w:p>
          <w:p w:rsidR="002C1715" w:rsidRPr="00E917AA" w:rsidRDefault="002C1715" w:rsidP="008F6F48">
            <w:pPr>
              <w:jc w:val="both"/>
              <w:rPr>
                <w:rFonts w:eastAsia="Calibri" w:cs="Times New Roman"/>
                <w:sz w:val="20"/>
                <w:szCs w:val="20"/>
              </w:rPr>
            </w:pPr>
          </w:p>
        </w:tc>
      </w:tr>
    </w:tbl>
    <w:p w:rsidR="002C1715" w:rsidRPr="00E917AA" w:rsidRDefault="002C1715" w:rsidP="002C1715">
      <w:pPr>
        <w:widowControl w:val="0"/>
        <w:rPr>
          <w:rFonts w:eastAsia="Times New Roman" w:cs="Times New Roman"/>
          <w:sz w:val="20"/>
          <w:szCs w:val="20"/>
        </w:rPr>
      </w:pPr>
    </w:p>
    <w:p w:rsidR="002C1715" w:rsidRPr="00C50A5C" w:rsidRDefault="00D32E73" w:rsidP="002C1715">
      <w:pPr>
        <w:rPr>
          <w:sz w:val="20"/>
          <w:szCs w:val="20"/>
        </w:rPr>
      </w:pPr>
      <w:r w:rsidRPr="00D32E73">
        <w:rPr>
          <w:sz w:val="20"/>
          <w:szCs w:val="20"/>
          <w:lang w:val="fr-CA"/>
        </w:rPr>
        <w:pict>
          <v:rect id="_x0000_i1048" style="width:2in;height:1pt" o:hrpct="0" o:hralign="center" o:hrstd="t" o:hrnoshade="t" o:hr="t" fillcolor="black [3213]" stroked="f"/>
        </w:pict>
      </w:r>
    </w:p>
    <w:p w:rsidR="002C1715" w:rsidRDefault="002C1715" w:rsidP="002C1715">
      <w:pPr>
        <w:rPr>
          <w:sz w:val="20"/>
          <w:szCs w:val="20"/>
        </w:rPr>
      </w:pPr>
    </w:p>
    <w:p w:rsidR="002C1715" w:rsidRPr="001B157C" w:rsidRDefault="002C1715" w:rsidP="002C1715">
      <w:pPr>
        <w:rPr>
          <w:sz w:val="20"/>
          <w:szCs w:val="20"/>
          <w:u w:val="single"/>
          <w:lang w:val="fr-CA"/>
        </w:rPr>
      </w:pPr>
      <w:r w:rsidRPr="001B157C">
        <w:rPr>
          <w:sz w:val="20"/>
          <w:szCs w:val="20"/>
          <w:u w:val="single"/>
          <w:lang w:val="fr-CA"/>
        </w:rPr>
        <w:t>RÉSUMÉ DE L’AFFAIRE</w:t>
      </w:r>
    </w:p>
    <w:p w:rsidR="002C1715" w:rsidRPr="00E917AA" w:rsidRDefault="002C1715" w:rsidP="002C1715">
      <w:pPr>
        <w:widowControl w:val="0"/>
        <w:rPr>
          <w:rFonts w:eastAsia="Times New Roman"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C1715" w:rsidRPr="00B32C76" w:rsidTr="008F6F48">
        <w:tc>
          <w:tcPr>
            <w:tcW w:w="5000" w:type="pct"/>
            <w:gridSpan w:val="3"/>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Procédure civile — Requête en autorisation d'examen d'une ordonnance de la Cour d'appel de la Nouvelle-Écosse, rejetée.</w:t>
            </w:r>
          </w:p>
        </w:tc>
      </w:tr>
      <w:tr w:rsidR="002C1715" w:rsidRPr="00B32C76" w:rsidTr="008F6F48">
        <w:tc>
          <w:tcPr>
            <w:tcW w:w="5000" w:type="pct"/>
            <w:gridSpan w:val="3"/>
          </w:tcPr>
          <w:p w:rsidR="002C1715" w:rsidRPr="00E917AA" w:rsidRDefault="002C1715" w:rsidP="008F6F48">
            <w:pPr>
              <w:jc w:val="both"/>
              <w:rPr>
                <w:rFonts w:eastAsia="Calibri" w:cs="Times New Roman"/>
                <w:sz w:val="20"/>
                <w:szCs w:val="20"/>
                <w:lang w:val="fr-CA"/>
              </w:rPr>
            </w:pPr>
          </w:p>
        </w:tc>
      </w:tr>
      <w:tr w:rsidR="002C1715" w:rsidRPr="00B32C76" w:rsidTr="008F6F48">
        <w:tc>
          <w:tcPr>
            <w:tcW w:w="5000" w:type="pct"/>
            <w:gridSpan w:val="3"/>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Le demandeur, M. </w:t>
            </w:r>
            <w:proofErr w:type="spellStart"/>
            <w:r w:rsidRPr="00E917AA">
              <w:rPr>
                <w:rFonts w:eastAsia="Calibri" w:cs="Times New Roman"/>
                <w:sz w:val="20"/>
                <w:szCs w:val="20"/>
                <w:lang w:val="fr-CA"/>
              </w:rPr>
              <w:t>MacDonald</w:t>
            </w:r>
            <w:proofErr w:type="spellEnd"/>
            <w:r w:rsidRPr="00E917AA">
              <w:rPr>
                <w:rFonts w:eastAsia="Calibri" w:cs="Times New Roman"/>
                <w:sz w:val="20"/>
                <w:szCs w:val="20"/>
                <w:lang w:val="fr-CA"/>
              </w:rPr>
              <w:t>, a déposé un avis d'action et une déclaration contre la Province de Nouvelle-Écosse, alléguant qu’il avait été mal traité dans le contexte sa demande d'aide sociale</w:t>
            </w:r>
            <w:r w:rsidRPr="00E917AA">
              <w:rPr>
                <w:rFonts w:eastAsia="Calibri" w:cs="Times New Roman"/>
                <w:color w:val="000000"/>
                <w:sz w:val="20"/>
                <w:szCs w:val="20"/>
                <w:lang w:val="fr-CA"/>
              </w:rPr>
              <w:t xml:space="preserve">. </w:t>
            </w:r>
            <w:r w:rsidRPr="00E917AA">
              <w:rPr>
                <w:rFonts w:eastAsia="Calibri" w:cs="Times New Roman"/>
                <w:sz w:val="20"/>
                <w:szCs w:val="20"/>
                <w:lang w:val="fr-CA"/>
              </w:rPr>
              <w:t xml:space="preserve"> L'intimé a présenté une requête en jugement sommaire pour faire annuler la déclaration au motif qu'elle ne révélait aucune cause d'action valable, requête accueillie par le juge </w:t>
            </w:r>
            <w:proofErr w:type="spellStart"/>
            <w:r w:rsidRPr="00E917AA">
              <w:rPr>
                <w:rFonts w:eastAsia="Calibri" w:cs="Times New Roman"/>
                <w:sz w:val="20"/>
                <w:szCs w:val="20"/>
                <w:lang w:val="fr-CA"/>
              </w:rPr>
              <w:t>Moir</w:t>
            </w:r>
            <w:proofErr w:type="spellEnd"/>
            <w:r w:rsidRPr="00E917AA">
              <w:rPr>
                <w:rFonts w:eastAsia="Calibri" w:cs="Times New Roman"/>
                <w:sz w:val="20"/>
                <w:szCs w:val="20"/>
                <w:lang w:val="fr-CA"/>
              </w:rPr>
              <w:t xml:space="preserve">. </w:t>
            </w:r>
          </w:p>
          <w:p w:rsidR="002C1715" w:rsidRPr="00E917AA" w:rsidRDefault="002C1715" w:rsidP="008F6F48">
            <w:pPr>
              <w:jc w:val="both"/>
              <w:rPr>
                <w:rFonts w:eastAsia="Calibri" w:cs="Times New Roman"/>
                <w:sz w:val="20"/>
                <w:szCs w:val="20"/>
                <w:lang w:val="fr-CA"/>
              </w:rPr>
            </w:pPr>
          </w:p>
          <w:p w:rsidR="002C1715" w:rsidRPr="00E917AA" w:rsidRDefault="002C1715" w:rsidP="008F6F48">
            <w:pPr>
              <w:autoSpaceDE w:val="0"/>
              <w:autoSpaceDN w:val="0"/>
              <w:jc w:val="both"/>
              <w:rPr>
                <w:rFonts w:eastAsia="Times New Roman" w:cs="Times New Roman"/>
                <w:sz w:val="20"/>
                <w:szCs w:val="20"/>
                <w:lang w:val="fr-CA" w:eastAsia="en-CA"/>
              </w:rPr>
            </w:pPr>
            <w:r w:rsidRPr="00E917AA">
              <w:rPr>
                <w:rFonts w:eastAsia="Times New Roman" w:cs="Times New Roman"/>
                <w:sz w:val="20"/>
                <w:szCs w:val="20"/>
                <w:lang w:val="fr-CA" w:eastAsia="en-CA"/>
              </w:rPr>
              <w:lastRenderedPageBreak/>
              <w:t xml:space="preserve">Monsieur </w:t>
            </w:r>
            <w:proofErr w:type="spellStart"/>
            <w:r w:rsidRPr="00E917AA">
              <w:rPr>
                <w:rFonts w:eastAsia="Times New Roman" w:cs="Times New Roman"/>
                <w:sz w:val="20"/>
                <w:szCs w:val="20"/>
                <w:lang w:val="fr-CA" w:eastAsia="en-CA"/>
              </w:rPr>
              <w:t>MacDonald</w:t>
            </w:r>
            <w:proofErr w:type="spellEnd"/>
            <w:r w:rsidRPr="00E917AA">
              <w:rPr>
                <w:rFonts w:eastAsia="Times New Roman" w:cs="Times New Roman"/>
                <w:sz w:val="20"/>
                <w:szCs w:val="20"/>
                <w:lang w:val="fr-CA" w:eastAsia="en-CA"/>
              </w:rPr>
              <w:t xml:space="preserve"> a alors voulu interjeter appel à la Cour d'appel de la Nouvelle-Écosse.</w:t>
            </w:r>
            <w:r w:rsidRPr="00E917AA">
              <w:rPr>
                <w:rFonts w:eastAsia="Times New Roman" w:cs="Times New Roman"/>
                <w:color w:val="000000"/>
                <w:sz w:val="20"/>
                <w:szCs w:val="20"/>
                <w:lang w:val="fr-CA" w:eastAsia="en-CA"/>
              </w:rPr>
              <w:t xml:space="preserve">  Ses motifs d'appel étaient qu'il n'avait pas pu se représenter adéquatement lui-même et que rien n'avait été fait dans son dossier.  Le juge </w:t>
            </w:r>
            <w:r w:rsidRPr="00E917AA">
              <w:rPr>
                <w:rFonts w:eastAsia="Times New Roman" w:cs="Times New Roman"/>
                <w:sz w:val="20"/>
                <w:szCs w:val="20"/>
                <w:lang w:val="fr-CA" w:eastAsia="en-CA"/>
              </w:rPr>
              <w:t>Beveridge a accueilli la requête de l'intimé en annulation de l'avis d'appel et a statué que les allégations de M. </w:t>
            </w:r>
            <w:proofErr w:type="spellStart"/>
            <w:r w:rsidRPr="00E917AA">
              <w:rPr>
                <w:rFonts w:eastAsia="Times New Roman" w:cs="Times New Roman"/>
                <w:sz w:val="20"/>
                <w:szCs w:val="20"/>
                <w:lang w:val="fr-CA" w:eastAsia="en-CA"/>
              </w:rPr>
              <w:t>MacDonald</w:t>
            </w:r>
            <w:proofErr w:type="spellEnd"/>
            <w:r w:rsidRPr="00E917AA">
              <w:rPr>
                <w:rFonts w:eastAsia="Times New Roman" w:cs="Times New Roman"/>
                <w:sz w:val="20"/>
                <w:szCs w:val="20"/>
                <w:lang w:val="fr-CA" w:eastAsia="en-CA"/>
              </w:rPr>
              <w:t xml:space="preserve"> ne constituaient pas des motifs d'appel valables.  Monsieur </w:t>
            </w:r>
            <w:proofErr w:type="spellStart"/>
            <w:r w:rsidRPr="00E917AA">
              <w:rPr>
                <w:rFonts w:eastAsia="Times New Roman" w:cs="Times New Roman"/>
                <w:sz w:val="20"/>
                <w:szCs w:val="20"/>
                <w:lang w:val="fr-CA" w:eastAsia="en-CA"/>
              </w:rPr>
              <w:t>MacDonald</w:t>
            </w:r>
            <w:proofErr w:type="spellEnd"/>
            <w:r w:rsidRPr="00E917AA">
              <w:rPr>
                <w:rFonts w:eastAsia="Times New Roman" w:cs="Times New Roman"/>
                <w:sz w:val="20"/>
                <w:szCs w:val="20"/>
                <w:lang w:val="fr-CA" w:eastAsia="en-CA"/>
              </w:rPr>
              <w:t xml:space="preserve"> a alors demandé l'autorisation d'examen de l'ordonnance de la Cour d'appel, mais sa requête a été rejetée par le juge en chef </w:t>
            </w:r>
            <w:proofErr w:type="spellStart"/>
            <w:r w:rsidRPr="00E917AA">
              <w:rPr>
                <w:rFonts w:eastAsia="Times New Roman" w:cs="Times New Roman"/>
                <w:sz w:val="20"/>
                <w:szCs w:val="20"/>
                <w:lang w:val="fr-CA" w:eastAsia="en-CA"/>
              </w:rPr>
              <w:t>MacDonald</w:t>
            </w:r>
            <w:proofErr w:type="spellEnd"/>
            <w:r w:rsidRPr="00E917AA">
              <w:rPr>
                <w:rFonts w:eastAsia="Times New Roman" w:cs="Times New Roman"/>
                <w:sz w:val="20"/>
                <w:szCs w:val="20"/>
                <w:lang w:val="fr-CA" w:eastAsia="en-CA"/>
              </w:rPr>
              <w:t xml:space="preserve">. </w:t>
            </w:r>
          </w:p>
          <w:p w:rsidR="002C1715" w:rsidRPr="00E917AA" w:rsidRDefault="002C1715" w:rsidP="008F6F48">
            <w:pPr>
              <w:autoSpaceDE w:val="0"/>
              <w:autoSpaceDN w:val="0"/>
              <w:jc w:val="both"/>
              <w:rPr>
                <w:rFonts w:eastAsia="Times New Roman" w:cs="Times New Roman"/>
                <w:sz w:val="20"/>
                <w:szCs w:val="20"/>
                <w:lang w:val="fr-CA" w:eastAsia="en-CA"/>
              </w:rPr>
            </w:pPr>
          </w:p>
        </w:tc>
      </w:tr>
      <w:tr w:rsidR="002C1715" w:rsidRPr="00E917AA" w:rsidTr="008F6F48">
        <w:tc>
          <w:tcPr>
            <w:tcW w:w="2427"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lastRenderedPageBreak/>
              <w:t>11 janvier 2012</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 xml:space="preserve">Cour suprême de la Nouvelle-Écosse, Section de première instance </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 xml:space="preserve">(Juge </w:t>
            </w:r>
            <w:proofErr w:type="spellStart"/>
            <w:r w:rsidRPr="00E917AA">
              <w:rPr>
                <w:rFonts w:eastAsia="Calibri" w:cs="Times New Roman"/>
                <w:sz w:val="20"/>
                <w:szCs w:val="20"/>
                <w:lang w:val="fr-CA"/>
              </w:rPr>
              <w:t>Moir</w:t>
            </w:r>
            <w:proofErr w:type="spellEnd"/>
            <w:r w:rsidRPr="00E917AA">
              <w:rPr>
                <w:rFonts w:eastAsia="Calibri" w:cs="Times New Roman"/>
                <w:sz w:val="20"/>
                <w:szCs w:val="20"/>
                <w:lang w:val="fr-CA"/>
              </w:rPr>
              <w:t>)</w:t>
            </w:r>
          </w:p>
          <w:p w:rsidR="002C1715" w:rsidRPr="00E917AA" w:rsidRDefault="002C1715" w:rsidP="008F6F48">
            <w:pPr>
              <w:jc w:val="both"/>
              <w:rPr>
                <w:rFonts w:eastAsia="Calibri" w:cs="Times New Roman"/>
                <w:sz w:val="20"/>
                <w:szCs w:val="20"/>
                <w:lang w:val="fr-CA"/>
              </w:rPr>
            </w:pPr>
          </w:p>
        </w:tc>
        <w:tc>
          <w:tcPr>
            <w:tcW w:w="243" w:type="pct"/>
          </w:tcPr>
          <w:p w:rsidR="002C1715" w:rsidRPr="00E917AA" w:rsidRDefault="002C1715" w:rsidP="008F6F48">
            <w:pPr>
              <w:jc w:val="both"/>
              <w:rPr>
                <w:rFonts w:eastAsia="Calibri" w:cs="Times New Roman"/>
                <w:sz w:val="20"/>
                <w:szCs w:val="20"/>
                <w:lang w:val="fr-CA"/>
              </w:rPr>
            </w:pPr>
          </w:p>
        </w:tc>
        <w:tc>
          <w:tcPr>
            <w:tcW w:w="2330"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Avis d’action et déclaration, annulés</w:t>
            </w:r>
          </w:p>
          <w:p w:rsidR="002C1715" w:rsidRPr="00E917AA" w:rsidRDefault="002C1715" w:rsidP="008F6F48">
            <w:pPr>
              <w:jc w:val="both"/>
              <w:rPr>
                <w:rFonts w:eastAsia="Calibri" w:cs="Times New Roman"/>
                <w:sz w:val="20"/>
                <w:szCs w:val="20"/>
                <w:lang w:val="fr-CA"/>
              </w:rPr>
            </w:pPr>
          </w:p>
        </w:tc>
      </w:tr>
      <w:tr w:rsidR="002C1715" w:rsidRPr="00E917AA" w:rsidTr="008F6F48">
        <w:tc>
          <w:tcPr>
            <w:tcW w:w="2427"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12 juin 2012</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 xml:space="preserve">Cour d'appel de la Nouvelle-Écosse </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(Juge Beveridge)</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2012 NSCA 64</w:t>
            </w:r>
          </w:p>
          <w:p w:rsidR="002C1715" w:rsidRPr="00E917AA" w:rsidRDefault="002C1715" w:rsidP="008F6F48">
            <w:pPr>
              <w:jc w:val="both"/>
              <w:rPr>
                <w:rFonts w:eastAsia="Calibri" w:cs="Times New Roman"/>
                <w:sz w:val="20"/>
                <w:szCs w:val="20"/>
                <w:lang w:val="fr-CA"/>
              </w:rPr>
            </w:pPr>
          </w:p>
        </w:tc>
        <w:tc>
          <w:tcPr>
            <w:tcW w:w="243" w:type="pct"/>
          </w:tcPr>
          <w:p w:rsidR="002C1715" w:rsidRPr="00E917AA" w:rsidRDefault="002C1715" w:rsidP="008F6F48">
            <w:pPr>
              <w:jc w:val="both"/>
              <w:rPr>
                <w:rFonts w:eastAsia="Calibri" w:cs="Times New Roman"/>
                <w:sz w:val="20"/>
                <w:szCs w:val="20"/>
                <w:lang w:val="fr-CA"/>
              </w:rPr>
            </w:pPr>
          </w:p>
        </w:tc>
        <w:tc>
          <w:tcPr>
            <w:tcW w:w="2330"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Appel rejeté</w:t>
            </w:r>
          </w:p>
          <w:p w:rsidR="002C1715" w:rsidRPr="00E917AA" w:rsidRDefault="002C1715" w:rsidP="008F6F48">
            <w:pPr>
              <w:jc w:val="both"/>
              <w:rPr>
                <w:rFonts w:eastAsia="Calibri" w:cs="Times New Roman"/>
                <w:sz w:val="20"/>
                <w:szCs w:val="20"/>
                <w:lang w:val="fr-CA"/>
              </w:rPr>
            </w:pPr>
          </w:p>
        </w:tc>
      </w:tr>
      <w:tr w:rsidR="002C1715" w:rsidRPr="00B32C76" w:rsidTr="008F6F48">
        <w:tc>
          <w:tcPr>
            <w:tcW w:w="2427"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25 juin 2012</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 xml:space="preserve">Cour d'appel de la Nouvelle-Écosse </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 xml:space="preserve">(Juge en chef </w:t>
            </w:r>
            <w:proofErr w:type="spellStart"/>
            <w:r w:rsidRPr="00E917AA">
              <w:rPr>
                <w:rFonts w:eastAsia="Calibri" w:cs="Times New Roman"/>
                <w:sz w:val="20"/>
                <w:szCs w:val="20"/>
                <w:lang w:val="fr-CA"/>
              </w:rPr>
              <w:t>MacDonald</w:t>
            </w:r>
            <w:proofErr w:type="spellEnd"/>
            <w:r w:rsidRPr="00E917AA">
              <w:rPr>
                <w:rFonts w:eastAsia="Calibri" w:cs="Times New Roman"/>
                <w:sz w:val="20"/>
                <w:szCs w:val="20"/>
                <w:lang w:val="fr-CA"/>
              </w:rPr>
              <w:t>)</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CA 379468</w:t>
            </w:r>
          </w:p>
          <w:p w:rsidR="002C1715" w:rsidRPr="00E917AA" w:rsidRDefault="002C1715" w:rsidP="008F6F48">
            <w:pPr>
              <w:jc w:val="both"/>
              <w:rPr>
                <w:rFonts w:eastAsia="Calibri" w:cs="Times New Roman"/>
                <w:sz w:val="20"/>
                <w:szCs w:val="20"/>
                <w:lang w:val="fr-CA"/>
              </w:rPr>
            </w:pPr>
          </w:p>
        </w:tc>
        <w:tc>
          <w:tcPr>
            <w:tcW w:w="243" w:type="pct"/>
          </w:tcPr>
          <w:p w:rsidR="002C1715" w:rsidRPr="00E917AA" w:rsidRDefault="002C1715" w:rsidP="008F6F48">
            <w:pPr>
              <w:jc w:val="both"/>
              <w:rPr>
                <w:rFonts w:eastAsia="Calibri" w:cs="Times New Roman"/>
                <w:sz w:val="20"/>
                <w:szCs w:val="20"/>
                <w:lang w:val="fr-CA"/>
              </w:rPr>
            </w:pPr>
          </w:p>
        </w:tc>
        <w:tc>
          <w:tcPr>
            <w:tcW w:w="2330"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Requête en autorisation d'examen de l'ordonnance de la Cour d'appel, rejetée</w:t>
            </w:r>
          </w:p>
          <w:p w:rsidR="002C1715" w:rsidRPr="00E917AA" w:rsidRDefault="002C1715" w:rsidP="008F6F48">
            <w:pPr>
              <w:jc w:val="both"/>
              <w:rPr>
                <w:rFonts w:eastAsia="Calibri" w:cs="Times New Roman"/>
                <w:sz w:val="20"/>
                <w:szCs w:val="20"/>
                <w:lang w:val="fr-CA"/>
              </w:rPr>
            </w:pPr>
          </w:p>
        </w:tc>
      </w:tr>
      <w:tr w:rsidR="002C1715" w:rsidRPr="00E917AA" w:rsidTr="008F6F48">
        <w:tc>
          <w:tcPr>
            <w:tcW w:w="2427"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20 septembre 2012</w:t>
            </w:r>
          </w:p>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Cour suprême du Canada</w:t>
            </w:r>
          </w:p>
        </w:tc>
        <w:tc>
          <w:tcPr>
            <w:tcW w:w="243" w:type="pct"/>
          </w:tcPr>
          <w:p w:rsidR="002C1715" w:rsidRPr="00E917AA" w:rsidRDefault="002C1715" w:rsidP="008F6F48">
            <w:pPr>
              <w:jc w:val="both"/>
              <w:rPr>
                <w:rFonts w:eastAsia="Calibri" w:cs="Times New Roman"/>
                <w:sz w:val="20"/>
                <w:szCs w:val="20"/>
                <w:lang w:val="fr-CA"/>
              </w:rPr>
            </w:pPr>
          </w:p>
        </w:tc>
        <w:tc>
          <w:tcPr>
            <w:tcW w:w="2330" w:type="pct"/>
          </w:tcPr>
          <w:p w:rsidR="002C1715" w:rsidRPr="00E917AA" w:rsidRDefault="002C1715" w:rsidP="008F6F48">
            <w:pPr>
              <w:jc w:val="both"/>
              <w:rPr>
                <w:rFonts w:eastAsia="Calibri" w:cs="Times New Roman"/>
                <w:sz w:val="20"/>
                <w:szCs w:val="20"/>
                <w:lang w:val="fr-CA"/>
              </w:rPr>
            </w:pPr>
            <w:r w:rsidRPr="00E917AA">
              <w:rPr>
                <w:rFonts w:eastAsia="Calibri" w:cs="Times New Roman"/>
                <w:sz w:val="20"/>
                <w:szCs w:val="20"/>
                <w:lang w:val="fr-CA"/>
              </w:rPr>
              <w:t>Demande d'autorisation d'appel, déposée</w:t>
            </w:r>
          </w:p>
          <w:p w:rsidR="002C1715" w:rsidRPr="00E917AA" w:rsidRDefault="002C1715" w:rsidP="008F6F48">
            <w:pPr>
              <w:jc w:val="both"/>
              <w:rPr>
                <w:rFonts w:eastAsia="Calibri" w:cs="Times New Roman"/>
                <w:sz w:val="20"/>
                <w:szCs w:val="20"/>
                <w:lang w:val="fr-CA"/>
              </w:rPr>
            </w:pPr>
          </w:p>
        </w:tc>
      </w:tr>
    </w:tbl>
    <w:p w:rsidR="002C1715" w:rsidRDefault="002C1715" w:rsidP="002C1715">
      <w:pPr>
        <w:rPr>
          <w:sz w:val="20"/>
          <w:szCs w:val="20"/>
        </w:rPr>
      </w:pPr>
    </w:p>
    <w:p w:rsidR="002C1715" w:rsidRDefault="00D32E73" w:rsidP="002C1715">
      <w:pPr>
        <w:rPr>
          <w:sz w:val="20"/>
          <w:szCs w:val="20"/>
        </w:rPr>
      </w:pPr>
      <w:r w:rsidRPr="00D32E73">
        <w:rPr>
          <w:sz w:val="20"/>
          <w:szCs w:val="20"/>
          <w:lang w:val="fr-CA"/>
        </w:rPr>
        <w:pict>
          <v:rect id="_x0000_i1049" style="width:2in;height:1pt" o:hrpct="0" o:hralign="center" o:hrstd="t" o:hrnoshade="t" o:hr="t" fillcolor="black [3213]" stroked="f"/>
        </w:pict>
      </w:r>
    </w:p>
    <w:p w:rsidR="002C1715" w:rsidRDefault="002C1715" w:rsidP="002C1715">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RPr="00987F62" w:rsidTr="008F6F48">
        <w:trPr>
          <w:cantSplit/>
        </w:trPr>
        <w:tc>
          <w:tcPr>
            <w:tcW w:w="1458" w:type="dxa"/>
          </w:tcPr>
          <w:p w:rsidR="002C1715" w:rsidRPr="00987F62" w:rsidRDefault="002C1715" w:rsidP="008F6F48">
            <w:pPr>
              <w:rPr>
                <w:sz w:val="20"/>
              </w:rPr>
            </w:pPr>
            <w:r w:rsidRPr="00987F62">
              <w:rPr>
                <w:b/>
                <w:sz w:val="20"/>
                <w:lang w:val="fr-CA"/>
              </w:rPr>
              <w:t>35020</w:t>
            </w:r>
          </w:p>
          <w:p w:rsidR="002C1715" w:rsidRPr="00987F62" w:rsidRDefault="002C1715" w:rsidP="008F6F48">
            <w:pPr>
              <w:rPr>
                <w:b/>
                <w:sz w:val="20"/>
                <w:lang w:val="fr-CA"/>
              </w:rPr>
            </w:pPr>
          </w:p>
        </w:tc>
        <w:tc>
          <w:tcPr>
            <w:tcW w:w="8118" w:type="dxa"/>
          </w:tcPr>
          <w:p w:rsidR="002C1715" w:rsidRPr="00987F62" w:rsidRDefault="002C1715" w:rsidP="008F6F48">
            <w:pPr>
              <w:rPr>
                <w:sz w:val="20"/>
              </w:rPr>
            </w:pPr>
            <w:r w:rsidRPr="00987F62">
              <w:rPr>
                <w:b/>
                <w:sz w:val="20"/>
                <w:u w:val="single"/>
                <w:lang w:val="en-US"/>
              </w:rPr>
              <w:t xml:space="preserve">Gary </w:t>
            </w:r>
            <w:proofErr w:type="spellStart"/>
            <w:r w:rsidRPr="00987F62">
              <w:rPr>
                <w:b/>
                <w:sz w:val="20"/>
                <w:u w:val="single"/>
                <w:lang w:val="en-US"/>
              </w:rPr>
              <w:t>Eunick</w:t>
            </w:r>
            <w:proofErr w:type="spellEnd"/>
            <w:r w:rsidRPr="00987F62">
              <w:rPr>
                <w:b/>
                <w:sz w:val="20"/>
                <w:u w:val="single"/>
                <w:lang w:val="en-US"/>
              </w:rPr>
              <w:t xml:space="preserve"> v. Her Majesty the Queen</w:t>
            </w:r>
            <w:r w:rsidRPr="00987F62">
              <w:rPr>
                <w:sz w:val="20"/>
              </w:rPr>
              <w:t xml:space="preserve"> (Ont.) (Criminal) (By Leave)</w:t>
            </w:r>
          </w:p>
          <w:p w:rsidR="002C1715" w:rsidRPr="00987F62" w:rsidRDefault="002C1715" w:rsidP="008F6F48">
            <w:pPr>
              <w:rPr>
                <w:sz w:val="20"/>
              </w:rPr>
            </w:pPr>
          </w:p>
        </w:tc>
      </w:tr>
      <w:tr w:rsidR="002C1715" w:rsidRPr="00987F62" w:rsidTr="008F6F48">
        <w:trPr>
          <w:cantSplit/>
        </w:trPr>
        <w:tc>
          <w:tcPr>
            <w:tcW w:w="1458" w:type="dxa"/>
          </w:tcPr>
          <w:p w:rsidR="002C1715" w:rsidRPr="00987F62" w:rsidRDefault="002C1715" w:rsidP="008F6F48">
            <w:pPr>
              <w:rPr>
                <w:sz w:val="20"/>
              </w:rPr>
            </w:pPr>
            <w:r w:rsidRPr="00987F62">
              <w:rPr>
                <w:sz w:val="20"/>
              </w:rPr>
              <w:t>Coram :</w:t>
            </w:r>
          </w:p>
        </w:tc>
        <w:tc>
          <w:tcPr>
            <w:tcW w:w="8118" w:type="dxa"/>
          </w:tcPr>
          <w:p w:rsidR="002C1715" w:rsidRPr="00987F62" w:rsidRDefault="002C1715" w:rsidP="008F6F48">
            <w:pPr>
              <w:rPr>
                <w:sz w:val="20"/>
              </w:rPr>
            </w:pPr>
            <w:proofErr w:type="spellStart"/>
            <w:r w:rsidRPr="00987F62">
              <w:rPr>
                <w:sz w:val="20"/>
                <w:u w:val="single"/>
                <w:lang w:val="en-US"/>
              </w:rPr>
              <w:t>McLachlin</w:t>
            </w:r>
            <w:proofErr w:type="spellEnd"/>
            <w:r w:rsidRPr="00987F62">
              <w:rPr>
                <w:sz w:val="20"/>
                <w:u w:val="single"/>
                <w:lang w:val="en-US"/>
              </w:rPr>
              <w:t xml:space="preserve"> C.J. and </w:t>
            </w:r>
            <w:proofErr w:type="spellStart"/>
            <w:r w:rsidRPr="00987F62">
              <w:rPr>
                <w:sz w:val="20"/>
                <w:u w:val="single"/>
                <w:lang w:val="en-US"/>
              </w:rPr>
              <w:t>Abella</w:t>
            </w:r>
            <w:proofErr w:type="spellEnd"/>
            <w:r w:rsidRPr="00987F62">
              <w:rPr>
                <w:sz w:val="20"/>
                <w:u w:val="single"/>
                <w:lang w:val="en-US"/>
              </w:rPr>
              <w:t xml:space="preserve"> and Cromwell JJ.</w:t>
            </w:r>
          </w:p>
          <w:p w:rsidR="002C1715" w:rsidRPr="00987F62" w:rsidRDefault="002C1715" w:rsidP="008F6F48">
            <w:pPr>
              <w:rPr>
                <w:sz w:val="20"/>
                <w:u w:val="single"/>
              </w:rPr>
            </w:pPr>
          </w:p>
        </w:tc>
      </w:tr>
      <w:tr w:rsidR="002C1715" w:rsidRPr="00B32C76" w:rsidTr="008F6F48">
        <w:trPr>
          <w:cantSplit/>
        </w:trPr>
        <w:tc>
          <w:tcPr>
            <w:tcW w:w="9576" w:type="dxa"/>
            <w:gridSpan w:val="2"/>
          </w:tcPr>
          <w:p w:rsidR="002C1715" w:rsidRPr="00987F62" w:rsidRDefault="002C1715" w:rsidP="008F6F48">
            <w:pPr>
              <w:ind w:firstLine="720"/>
              <w:jc w:val="both"/>
              <w:rPr>
                <w:sz w:val="20"/>
              </w:rPr>
            </w:pPr>
            <w:r w:rsidRPr="00987F62">
              <w:rPr>
                <w:sz w:val="20"/>
              </w:rPr>
              <w:t>The motion for an extension of time to serve and file the application for leave to appeal is granted.  The application for leave to appeal from the judgment of the Court of Appeal for Ontario, Number C43435, 2009 ONCA 398, dated May 12, 2009, is dismissed without costs.</w:t>
            </w:r>
          </w:p>
          <w:p w:rsidR="002C1715" w:rsidRPr="00987F62" w:rsidRDefault="002C1715" w:rsidP="008F6F48">
            <w:pPr>
              <w:jc w:val="both"/>
              <w:rPr>
                <w:sz w:val="20"/>
              </w:rPr>
            </w:pPr>
          </w:p>
          <w:p w:rsidR="002C1715" w:rsidRPr="00987F62" w:rsidRDefault="002C1715" w:rsidP="008F6F48">
            <w:pPr>
              <w:ind w:firstLine="720"/>
              <w:jc w:val="both"/>
              <w:rPr>
                <w:sz w:val="20"/>
                <w:lang w:val="fr-CA"/>
              </w:rPr>
            </w:pPr>
            <w:r w:rsidRPr="00987F62">
              <w:rPr>
                <w:sz w:val="20"/>
                <w:lang w:val="fr-CA"/>
              </w:rPr>
              <w:t>La requête en prorogation du délai de signification et dépôt de la demande d’autorisation d’appel est accueillie. La demande d’autorisation d’appel de l’arrêt de la Cour d’appel de l’Ontario, numéro C43435, 2009 ONCA 398, daté du 12 mai 2009, est rejetée sans dépens.</w:t>
            </w:r>
          </w:p>
        </w:tc>
      </w:tr>
    </w:tbl>
    <w:p w:rsidR="002C1715" w:rsidRPr="00B9754C" w:rsidRDefault="002C1715" w:rsidP="002C1715">
      <w:pPr>
        <w:rPr>
          <w:sz w:val="20"/>
          <w:szCs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1715" w:rsidRPr="00371ABC" w:rsidTr="008F6F48">
        <w:tc>
          <w:tcPr>
            <w:tcW w:w="5000" w:type="pct"/>
            <w:gridSpan w:val="3"/>
          </w:tcPr>
          <w:p w:rsidR="002C1715" w:rsidRPr="00371ABC" w:rsidRDefault="002C1715" w:rsidP="008F6F48">
            <w:pPr>
              <w:jc w:val="both"/>
              <w:rPr>
                <w:rFonts w:eastAsia="Calibri"/>
                <w:smallCaps/>
                <w:sz w:val="20"/>
              </w:rPr>
            </w:pPr>
            <w:r w:rsidRPr="00371ABC">
              <w:rPr>
                <w:rFonts w:eastAsia="Calibri"/>
                <w:sz w:val="20"/>
              </w:rPr>
              <w:t>Criminal Law – Fresh evidence – Charge to the jury – Whether the Court of Appeal erred in law in concluding that the trial judge’s charge to the jury on the issue of planning and deliberation was not legally deficient and imbalanced? – Whether the fresh evidence tendered by the Applicant’s co-accused should be admitted with respect to the Applicant and necessitates that a new trial be ordered?</w:t>
            </w:r>
          </w:p>
        </w:tc>
      </w:tr>
      <w:tr w:rsidR="002C1715" w:rsidRPr="00371ABC" w:rsidTr="008F6F48">
        <w:tc>
          <w:tcPr>
            <w:tcW w:w="5000" w:type="pct"/>
            <w:gridSpan w:val="3"/>
          </w:tcPr>
          <w:p w:rsidR="002C1715" w:rsidRPr="00371ABC" w:rsidRDefault="002C1715" w:rsidP="008F6F48">
            <w:pPr>
              <w:jc w:val="both"/>
              <w:rPr>
                <w:rFonts w:eastAsia="Calibri"/>
                <w:sz w:val="20"/>
              </w:rPr>
            </w:pPr>
          </w:p>
        </w:tc>
      </w:tr>
      <w:tr w:rsidR="002C1715" w:rsidRPr="00371ABC" w:rsidTr="008F6F48">
        <w:tc>
          <w:tcPr>
            <w:tcW w:w="5000" w:type="pct"/>
            <w:gridSpan w:val="3"/>
          </w:tcPr>
          <w:p w:rsidR="002C1715" w:rsidRPr="00371ABC" w:rsidRDefault="002C1715" w:rsidP="008F6F48">
            <w:pPr>
              <w:jc w:val="both"/>
              <w:rPr>
                <w:rFonts w:eastAsia="Calibri"/>
                <w:sz w:val="20"/>
              </w:rPr>
            </w:pPr>
            <w:r w:rsidRPr="00371ABC">
              <w:rPr>
                <w:rFonts w:eastAsia="Calibri"/>
                <w:sz w:val="20"/>
              </w:rPr>
              <w:t xml:space="preserve">In 2002, an altercation broke out a Toronto nightclub. Shortly after the altercation, two gunmen entered the kitchen area of the nightclub and shot and killed one man. The gunmen also shot at another man who escaped with slight graze wound. Mr. </w:t>
            </w:r>
            <w:proofErr w:type="spellStart"/>
            <w:r w:rsidRPr="00371ABC">
              <w:rPr>
                <w:rFonts w:eastAsia="Calibri"/>
                <w:sz w:val="20"/>
              </w:rPr>
              <w:t>Eunick</w:t>
            </w:r>
            <w:proofErr w:type="spellEnd"/>
            <w:r w:rsidRPr="00371ABC">
              <w:rPr>
                <w:rFonts w:eastAsia="Calibri"/>
                <w:sz w:val="20"/>
              </w:rPr>
              <w:t xml:space="preserve">, who was previously known to eyewitnesses present at the nightclub, was identified as one of the shooters. At the time of Mr. </w:t>
            </w:r>
            <w:proofErr w:type="spellStart"/>
            <w:r w:rsidRPr="00371ABC">
              <w:rPr>
                <w:rFonts w:eastAsia="Calibri"/>
                <w:sz w:val="20"/>
              </w:rPr>
              <w:t>Eunick’s</w:t>
            </w:r>
            <w:proofErr w:type="spellEnd"/>
            <w:r w:rsidRPr="00371ABC">
              <w:rPr>
                <w:rFonts w:eastAsia="Calibri"/>
                <w:sz w:val="20"/>
              </w:rPr>
              <w:t xml:space="preserve"> arrest later that same day, police discovered various items of evidence that were </w:t>
            </w:r>
            <w:r w:rsidRPr="00371ABC">
              <w:rPr>
                <w:rFonts w:eastAsia="Calibri"/>
                <w:sz w:val="20"/>
              </w:rPr>
              <w:lastRenderedPageBreak/>
              <w:t xml:space="preserve">potentially indicative of Mr. </w:t>
            </w:r>
            <w:proofErr w:type="spellStart"/>
            <w:r w:rsidRPr="00371ABC">
              <w:rPr>
                <w:rFonts w:eastAsia="Calibri"/>
                <w:sz w:val="20"/>
              </w:rPr>
              <w:t>Eunick’s</w:t>
            </w:r>
            <w:proofErr w:type="spellEnd"/>
            <w:r w:rsidRPr="00371ABC">
              <w:rPr>
                <w:rFonts w:eastAsia="Calibri"/>
                <w:sz w:val="20"/>
              </w:rPr>
              <w:t xml:space="preserve"> involvement as a shooter. </w:t>
            </w:r>
          </w:p>
          <w:p w:rsidR="002C1715" w:rsidRPr="00371ABC" w:rsidRDefault="002C1715" w:rsidP="008F6F48">
            <w:pPr>
              <w:jc w:val="both"/>
              <w:rPr>
                <w:rFonts w:eastAsia="Calibri"/>
                <w:sz w:val="20"/>
              </w:rPr>
            </w:pPr>
          </w:p>
          <w:p w:rsidR="002C1715" w:rsidRPr="00371ABC" w:rsidRDefault="002C1715" w:rsidP="008F6F48">
            <w:pPr>
              <w:jc w:val="both"/>
              <w:rPr>
                <w:rFonts w:eastAsia="Calibri"/>
                <w:sz w:val="20"/>
              </w:rPr>
            </w:pPr>
            <w:r w:rsidRPr="00371ABC">
              <w:rPr>
                <w:rFonts w:eastAsia="Calibri"/>
                <w:sz w:val="20"/>
              </w:rPr>
              <w:t xml:space="preserve">Mr. </w:t>
            </w:r>
            <w:proofErr w:type="spellStart"/>
            <w:r w:rsidRPr="00371ABC">
              <w:rPr>
                <w:rFonts w:eastAsia="Calibri"/>
                <w:sz w:val="20"/>
              </w:rPr>
              <w:t>Eunick</w:t>
            </w:r>
            <w:proofErr w:type="spellEnd"/>
            <w:r w:rsidRPr="00371ABC">
              <w:rPr>
                <w:rFonts w:eastAsia="Calibri"/>
                <w:sz w:val="20"/>
              </w:rPr>
              <w:t xml:space="preserve"> and his co-accused Leighton Hay were convicted of first degree murder and attempted murder.</w:t>
            </w:r>
          </w:p>
          <w:p w:rsidR="002C1715" w:rsidRPr="00371ABC" w:rsidRDefault="002C1715" w:rsidP="008F6F48">
            <w:pPr>
              <w:jc w:val="both"/>
              <w:rPr>
                <w:rFonts w:eastAsia="Calibri"/>
                <w:sz w:val="20"/>
              </w:rPr>
            </w:pPr>
          </w:p>
          <w:p w:rsidR="002C1715" w:rsidRPr="00371ABC" w:rsidRDefault="002C1715" w:rsidP="008F6F48">
            <w:pPr>
              <w:jc w:val="both"/>
              <w:rPr>
                <w:rFonts w:eastAsia="Calibri"/>
                <w:sz w:val="20"/>
              </w:rPr>
            </w:pPr>
            <w:r w:rsidRPr="00371ABC">
              <w:rPr>
                <w:rFonts w:eastAsia="Calibri"/>
                <w:sz w:val="20"/>
              </w:rPr>
              <w:t xml:space="preserve">On July 19, 2012, Mr. Hay was granted leave to appeal to this Court. His appeal, along with a motion to adduce fresh evidence, is scheduled be heard by this Court in April 2013. </w:t>
            </w:r>
          </w:p>
          <w:p w:rsidR="002C1715" w:rsidRPr="00371ABC" w:rsidRDefault="002C1715" w:rsidP="008F6F48">
            <w:pPr>
              <w:jc w:val="both"/>
              <w:rPr>
                <w:rFonts w:eastAsia="Calibri"/>
                <w:sz w:val="20"/>
              </w:rPr>
            </w:pPr>
          </w:p>
        </w:tc>
      </w:tr>
      <w:tr w:rsidR="002C1715" w:rsidRPr="00371ABC" w:rsidTr="008F6F48">
        <w:tc>
          <w:tcPr>
            <w:tcW w:w="2427" w:type="pct"/>
          </w:tcPr>
          <w:p w:rsidR="002C1715" w:rsidRPr="00371ABC" w:rsidRDefault="002C1715" w:rsidP="008F6F48">
            <w:pPr>
              <w:jc w:val="both"/>
              <w:rPr>
                <w:rFonts w:eastAsia="Calibri"/>
                <w:sz w:val="20"/>
              </w:rPr>
            </w:pPr>
            <w:r w:rsidRPr="00371ABC">
              <w:rPr>
                <w:rFonts w:eastAsia="Calibri"/>
                <w:sz w:val="20"/>
              </w:rPr>
              <w:lastRenderedPageBreak/>
              <w:t>May 29, 2004</w:t>
            </w:r>
          </w:p>
          <w:p w:rsidR="002C1715" w:rsidRPr="00371ABC" w:rsidRDefault="002C1715" w:rsidP="008F6F48">
            <w:pPr>
              <w:jc w:val="both"/>
              <w:rPr>
                <w:rFonts w:eastAsia="Calibri"/>
                <w:sz w:val="20"/>
              </w:rPr>
            </w:pPr>
            <w:r w:rsidRPr="00371ABC">
              <w:rPr>
                <w:rFonts w:eastAsia="Calibri"/>
                <w:sz w:val="20"/>
              </w:rPr>
              <w:t>Ontario Superior Court of Justice</w:t>
            </w:r>
          </w:p>
          <w:p w:rsidR="002C1715" w:rsidRPr="00371ABC" w:rsidRDefault="002C1715" w:rsidP="008F6F48">
            <w:pPr>
              <w:jc w:val="both"/>
              <w:rPr>
                <w:rFonts w:eastAsia="Calibri"/>
                <w:sz w:val="20"/>
              </w:rPr>
            </w:pPr>
            <w:r w:rsidRPr="00371ABC">
              <w:rPr>
                <w:rFonts w:eastAsia="Calibri"/>
                <w:sz w:val="20"/>
              </w:rPr>
              <w:t>(McCombs J.)</w:t>
            </w:r>
          </w:p>
          <w:p w:rsidR="002C1715" w:rsidRPr="00371ABC" w:rsidRDefault="002C1715" w:rsidP="008F6F48">
            <w:pPr>
              <w:jc w:val="both"/>
              <w:rPr>
                <w:rFonts w:eastAsia="Calibri"/>
                <w:sz w:val="20"/>
              </w:rPr>
            </w:pPr>
          </w:p>
        </w:tc>
        <w:tc>
          <w:tcPr>
            <w:tcW w:w="243" w:type="pct"/>
          </w:tcPr>
          <w:p w:rsidR="002C1715" w:rsidRPr="00371ABC" w:rsidRDefault="002C1715" w:rsidP="008F6F48">
            <w:pPr>
              <w:jc w:val="both"/>
              <w:rPr>
                <w:rFonts w:eastAsia="Calibri"/>
                <w:sz w:val="20"/>
              </w:rPr>
            </w:pPr>
          </w:p>
        </w:tc>
        <w:tc>
          <w:tcPr>
            <w:tcW w:w="2330" w:type="pct"/>
          </w:tcPr>
          <w:p w:rsidR="002C1715" w:rsidRPr="00371ABC" w:rsidRDefault="002C1715" w:rsidP="008F6F48">
            <w:pPr>
              <w:jc w:val="both"/>
              <w:rPr>
                <w:rFonts w:eastAsia="Calibri"/>
                <w:sz w:val="20"/>
              </w:rPr>
            </w:pPr>
            <w:r w:rsidRPr="00371ABC">
              <w:rPr>
                <w:rFonts w:eastAsia="Calibri"/>
                <w:sz w:val="20"/>
              </w:rPr>
              <w:t>Applicant convicted of first degree murder and attempted murder</w:t>
            </w:r>
          </w:p>
          <w:p w:rsidR="002C1715" w:rsidRPr="00371ABC" w:rsidRDefault="002C1715" w:rsidP="008F6F48">
            <w:pPr>
              <w:jc w:val="both"/>
              <w:rPr>
                <w:rFonts w:eastAsia="Calibri"/>
                <w:sz w:val="20"/>
              </w:rPr>
            </w:pPr>
          </w:p>
        </w:tc>
      </w:tr>
      <w:tr w:rsidR="002C1715" w:rsidRPr="00371ABC" w:rsidTr="008F6F48">
        <w:tc>
          <w:tcPr>
            <w:tcW w:w="2427" w:type="pct"/>
          </w:tcPr>
          <w:p w:rsidR="002C1715" w:rsidRPr="00371ABC" w:rsidRDefault="002C1715" w:rsidP="008F6F48">
            <w:pPr>
              <w:jc w:val="both"/>
              <w:rPr>
                <w:rFonts w:eastAsia="Calibri"/>
                <w:sz w:val="20"/>
              </w:rPr>
            </w:pPr>
            <w:r w:rsidRPr="00371ABC">
              <w:rPr>
                <w:rFonts w:eastAsia="Calibri"/>
                <w:sz w:val="20"/>
              </w:rPr>
              <w:t>May 12, 2009</w:t>
            </w:r>
          </w:p>
          <w:p w:rsidR="002C1715" w:rsidRPr="00371ABC" w:rsidRDefault="002C1715" w:rsidP="008F6F48">
            <w:pPr>
              <w:jc w:val="both"/>
              <w:rPr>
                <w:rFonts w:eastAsia="Calibri"/>
                <w:sz w:val="20"/>
              </w:rPr>
            </w:pPr>
            <w:r w:rsidRPr="00371ABC">
              <w:rPr>
                <w:rFonts w:eastAsia="Calibri"/>
                <w:sz w:val="20"/>
              </w:rPr>
              <w:t>Court of Appeal for Ontario</w:t>
            </w:r>
          </w:p>
          <w:p w:rsidR="002C1715" w:rsidRPr="00371ABC" w:rsidRDefault="002C1715" w:rsidP="008F6F48">
            <w:pPr>
              <w:jc w:val="both"/>
              <w:rPr>
                <w:rFonts w:eastAsia="Calibri"/>
                <w:sz w:val="20"/>
              </w:rPr>
            </w:pPr>
            <w:r w:rsidRPr="00371ABC">
              <w:rPr>
                <w:rFonts w:eastAsia="Calibri"/>
                <w:sz w:val="20"/>
              </w:rPr>
              <w:t>(</w:t>
            </w:r>
            <w:proofErr w:type="spellStart"/>
            <w:r w:rsidRPr="00371ABC">
              <w:rPr>
                <w:rFonts w:eastAsia="Calibri"/>
                <w:sz w:val="20"/>
              </w:rPr>
              <w:t>Moldaver</w:t>
            </w:r>
            <w:proofErr w:type="spellEnd"/>
            <w:r w:rsidRPr="00371ABC">
              <w:rPr>
                <w:rFonts w:eastAsia="Calibri"/>
                <w:sz w:val="20"/>
              </w:rPr>
              <w:t xml:space="preserve">, Blair and </w:t>
            </w:r>
            <w:proofErr w:type="spellStart"/>
            <w:r w:rsidRPr="00371ABC">
              <w:rPr>
                <w:rFonts w:eastAsia="Calibri"/>
                <w:sz w:val="20"/>
              </w:rPr>
              <w:t>MacFarland</w:t>
            </w:r>
            <w:proofErr w:type="spellEnd"/>
            <w:r w:rsidRPr="00371ABC">
              <w:rPr>
                <w:rFonts w:eastAsia="Calibri"/>
                <w:sz w:val="20"/>
              </w:rPr>
              <w:t xml:space="preserve"> JJ.A.)</w:t>
            </w:r>
          </w:p>
          <w:p w:rsidR="002C1715" w:rsidRPr="00371ABC" w:rsidRDefault="002C1715" w:rsidP="008F6F48">
            <w:pPr>
              <w:jc w:val="both"/>
              <w:rPr>
                <w:rFonts w:eastAsia="Calibri"/>
                <w:sz w:val="20"/>
              </w:rPr>
            </w:pPr>
            <w:r w:rsidRPr="00371ABC">
              <w:rPr>
                <w:rFonts w:eastAsia="Calibri"/>
                <w:sz w:val="20"/>
              </w:rPr>
              <w:t>2009 ONCA 398</w:t>
            </w:r>
          </w:p>
          <w:p w:rsidR="002C1715" w:rsidRPr="00371ABC" w:rsidRDefault="002C1715" w:rsidP="008F6F48">
            <w:pPr>
              <w:jc w:val="both"/>
              <w:rPr>
                <w:rFonts w:eastAsia="Calibri"/>
                <w:sz w:val="20"/>
              </w:rPr>
            </w:pPr>
          </w:p>
        </w:tc>
        <w:tc>
          <w:tcPr>
            <w:tcW w:w="243" w:type="pct"/>
          </w:tcPr>
          <w:p w:rsidR="002C1715" w:rsidRPr="00371ABC" w:rsidRDefault="002C1715" w:rsidP="008F6F48">
            <w:pPr>
              <w:jc w:val="both"/>
              <w:rPr>
                <w:rFonts w:eastAsia="Calibri"/>
                <w:sz w:val="20"/>
              </w:rPr>
            </w:pPr>
          </w:p>
        </w:tc>
        <w:tc>
          <w:tcPr>
            <w:tcW w:w="2330" w:type="pct"/>
          </w:tcPr>
          <w:p w:rsidR="002C1715" w:rsidRPr="00371ABC" w:rsidRDefault="002C1715" w:rsidP="008F6F48">
            <w:pPr>
              <w:jc w:val="both"/>
              <w:rPr>
                <w:rFonts w:eastAsia="Calibri"/>
                <w:sz w:val="20"/>
              </w:rPr>
            </w:pPr>
            <w:r w:rsidRPr="00371ABC">
              <w:rPr>
                <w:rFonts w:eastAsia="Calibri"/>
                <w:sz w:val="20"/>
              </w:rPr>
              <w:t>Appeal against conviction dismissed</w:t>
            </w:r>
          </w:p>
          <w:p w:rsidR="002C1715" w:rsidRPr="00371ABC" w:rsidRDefault="002C1715" w:rsidP="008F6F48">
            <w:pPr>
              <w:jc w:val="both"/>
              <w:rPr>
                <w:rFonts w:eastAsia="Calibri"/>
                <w:sz w:val="20"/>
              </w:rPr>
            </w:pPr>
          </w:p>
        </w:tc>
      </w:tr>
      <w:tr w:rsidR="002C1715" w:rsidRPr="00371ABC" w:rsidTr="008F6F48">
        <w:tc>
          <w:tcPr>
            <w:tcW w:w="2427" w:type="pct"/>
          </w:tcPr>
          <w:p w:rsidR="002C1715" w:rsidRPr="00371ABC" w:rsidRDefault="002C1715" w:rsidP="008F6F48">
            <w:pPr>
              <w:jc w:val="both"/>
              <w:rPr>
                <w:rFonts w:eastAsia="Calibri"/>
                <w:sz w:val="20"/>
              </w:rPr>
            </w:pPr>
            <w:r w:rsidRPr="00371ABC">
              <w:rPr>
                <w:rFonts w:eastAsia="Calibri"/>
                <w:sz w:val="20"/>
              </w:rPr>
              <w:t>October 3, 2012</w:t>
            </w:r>
          </w:p>
          <w:p w:rsidR="002C1715" w:rsidRPr="00371ABC" w:rsidRDefault="002C1715" w:rsidP="008F6F48">
            <w:pPr>
              <w:jc w:val="both"/>
              <w:rPr>
                <w:rFonts w:eastAsia="Calibri"/>
                <w:sz w:val="20"/>
              </w:rPr>
            </w:pPr>
            <w:r w:rsidRPr="00371ABC">
              <w:rPr>
                <w:rFonts w:eastAsia="Calibri"/>
                <w:sz w:val="20"/>
              </w:rPr>
              <w:t>Supreme Court of Canada</w:t>
            </w:r>
          </w:p>
          <w:p w:rsidR="002C1715" w:rsidRPr="00371ABC" w:rsidRDefault="002C1715" w:rsidP="008F6F48">
            <w:pPr>
              <w:jc w:val="both"/>
              <w:rPr>
                <w:rFonts w:eastAsia="Calibri"/>
                <w:sz w:val="20"/>
              </w:rPr>
            </w:pPr>
          </w:p>
        </w:tc>
        <w:tc>
          <w:tcPr>
            <w:tcW w:w="243" w:type="pct"/>
          </w:tcPr>
          <w:p w:rsidR="002C1715" w:rsidRPr="00371ABC" w:rsidRDefault="002C1715" w:rsidP="008F6F48">
            <w:pPr>
              <w:jc w:val="both"/>
              <w:rPr>
                <w:rFonts w:eastAsia="Calibri"/>
                <w:sz w:val="20"/>
              </w:rPr>
            </w:pPr>
          </w:p>
        </w:tc>
        <w:tc>
          <w:tcPr>
            <w:tcW w:w="2330" w:type="pct"/>
          </w:tcPr>
          <w:p w:rsidR="002C1715" w:rsidRPr="00371ABC" w:rsidRDefault="002C1715" w:rsidP="008F6F48">
            <w:pPr>
              <w:jc w:val="both"/>
              <w:rPr>
                <w:rFonts w:eastAsia="Calibri"/>
                <w:sz w:val="20"/>
              </w:rPr>
            </w:pPr>
            <w:r w:rsidRPr="00371ABC">
              <w:rPr>
                <w:rFonts w:eastAsia="Calibri"/>
                <w:sz w:val="20"/>
              </w:rPr>
              <w:t>Motion for an extension of time to serve and file an application for leave to appeal and application for leave to appeal, filed</w:t>
            </w:r>
          </w:p>
        </w:tc>
      </w:tr>
    </w:tbl>
    <w:p w:rsidR="002C1715" w:rsidRPr="00C50A5C" w:rsidRDefault="002C1715" w:rsidP="002C1715">
      <w:pPr>
        <w:rPr>
          <w:sz w:val="20"/>
          <w:szCs w:val="20"/>
        </w:rPr>
      </w:pPr>
    </w:p>
    <w:p w:rsidR="002C1715" w:rsidRPr="00C50A5C" w:rsidRDefault="00D32E73" w:rsidP="002C1715">
      <w:pPr>
        <w:rPr>
          <w:sz w:val="20"/>
          <w:szCs w:val="20"/>
        </w:rPr>
      </w:pPr>
      <w:r w:rsidRPr="00D32E73">
        <w:rPr>
          <w:sz w:val="20"/>
          <w:szCs w:val="20"/>
          <w:lang w:val="fr-CA"/>
        </w:rPr>
        <w:pict>
          <v:rect id="_x0000_i1050" style="width:2in;height:1pt" o:hrpct="0" o:hralign="center" o:hrstd="t" o:hrnoshade="t" o:hr="t" fillcolor="black [3213]" stroked="f"/>
        </w:pict>
      </w:r>
    </w:p>
    <w:p w:rsidR="002C1715" w:rsidRDefault="002C1715" w:rsidP="002C1715">
      <w:pPr>
        <w:rPr>
          <w:sz w:val="20"/>
          <w:szCs w:val="20"/>
        </w:rPr>
      </w:pPr>
    </w:p>
    <w:p w:rsidR="002C1715" w:rsidRPr="001B157C" w:rsidRDefault="002C1715" w:rsidP="002C1715">
      <w:pPr>
        <w:rPr>
          <w:sz w:val="20"/>
          <w:szCs w:val="20"/>
          <w:u w:val="single"/>
          <w:lang w:val="fr-CA"/>
        </w:rPr>
      </w:pPr>
      <w:r w:rsidRPr="001B157C">
        <w:rPr>
          <w:sz w:val="20"/>
          <w:szCs w:val="20"/>
          <w:u w:val="single"/>
          <w:lang w:val="fr-CA"/>
        </w:rPr>
        <w:t>RÉSUMÉ DE L’AFFAIRE</w:t>
      </w:r>
    </w:p>
    <w:p w:rsidR="002C1715" w:rsidRDefault="002C1715" w:rsidP="002C171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C1715" w:rsidRPr="00B32C76" w:rsidTr="008F6F48">
        <w:tc>
          <w:tcPr>
            <w:tcW w:w="5000" w:type="pct"/>
            <w:gridSpan w:val="3"/>
          </w:tcPr>
          <w:p w:rsidR="002C1715" w:rsidRPr="00A939B0" w:rsidRDefault="002C1715" w:rsidP="008F6F48">
            <w:pPr>
              <w:jc w:val="both"/>
              <w:rPr>
                <w:rFonts w:eastAsia="Calibri"/>
                <w:smallCaps/>
                <w:sz w:val="20"/>
                <w:lang w:val="fr-CA"/>
              </w:rPr>
            </w:pPr>
            <w:r w:rsidRPr="00A939B0">
              <w:rPr>
                <w:rFonts w:eastAsia="Calibri"/>
                <w:sz w:val="20"/>
                <w:lang w:val="fr-CA"/>
              </w:rPr>
              <w:t xml:space="preserve">Droit criminel — Nouvel élément de preuve — Exposé au jury — La Cour d'appel </w:t>
            </w:r>
            <w:proofErr w:type="spellStart"/>
            <w:r w:rsidRPr="00A939B0">
              <w:rPr>
                <w:rFonts w:eastAsia="Calibri"/>
                <w:sz w:val="20"/>
                <w:lang w:val="fr-CA"/>
              </w:rPr>
              <w:t>a</w:t>
            </w:r>
            <w:r w:rsidRPr="00A939B0">
              <w:rPr>
                <w:rFonts w:eastAsia="Calibri"/>
                <w:sz w:val="20"/>
                <w:lang w:val="fr-CA"/>
              </w:rPr>
              <w:noBreakHyphen/>
              <w:t>t</w:t>
            </w:r>
            <w:r w:rsidRPr="00A939B0">
              <w:rPr>
                <w:rFonts w:eastAsia="Calibri"/>
                <w:sz w:val="20"/>
                <w:lang w:val="fr-CA"/>
              </w:rPr>
              <w:noBreakHyphen/>
              <w:t>elle</w:t>
            </w:r>
            <w:proofErr w:type="spellEnd"/>
            <w:r w:rsidRPr="00A939B0">
              <w:rPr>
                <w:rFonts w:eastAsia="Calibri"/>
                <w:sz w:val="20"/>
                <w:lang w:val="fr-CA"/>
              </w:rPr>
              <w:t xml:space="preserve"> commis une erreur de droit en concluant que l'exposé au jury du juge du procès sur la question de la planification et de la délibération n'était pas déficient et déséquilibré sur le plan juridique? — Le nouvel élément de preuve présenté par le coaccusé du demandeur </w:t>
            </w:r>
            <w:proofErr w:type="spellStart"/>
            <w:r w:rsidRPr="00A939B0">
              <w:rPr>
                <w:rFonts w:eastAsia="Calibri"/>
                <w:sz w:val="20"/>
                <w:lang w:val="fr-CA"/>
              </w:rPr>
              <w:t>devrait</w:t>
            </w:r>
            <w:r w:rsidRPr="00A939B0">
              <w:rPr>
                <w:rFonts w:eastAsia="Calibri"/>
                <w:sz w:val="20"/>
                <w:lang w:val="fr-CA"/>
              </w:rPr>
              <w:noBreakHyphen/>
              <w:t>il</w:t>
            </w:r>
            <w:proofErr w:type="spellEnd"/>
            <w:r w:rsidRPr="00A939B0">
              <w:rPr>
                <w:rFonts w:eastAsia="Calibri"/>
                <w:sz w:val="20"/>
                <w:lang w:val="fr-CA"/>
              </w:rPr>
              <w:t xml:space="preserve"> être admis à l'égard du demandeur et </w:t>
            </w:r>
            <w:proofErr w:type="spellStart"/>
            <w:r w:rsidRPr="00A939B0">
              <w:rPr>
                <w:rFonts w:eastAsia="Calibri"/>
                <w:sz w:val="20"/>
                <w:lang w:val="fr-CA"/>
              </w:rPr>
              <w:t>rend</w:t>
            </w:r>
            <w:r w:rsidRPr="00A939B0">
              <w:rPr>
                <w:rFonts w:eastAsia="Calibri"/>
                <w:sz w:val="20"/>
                <w:lang w:val="fr-CA"/>
              </w:rPr>
              <w:noBreakHyphen/>
              <w:t>il</w:t>
            </w:r>
            <w:proofErr w:type="spellEnd"/>
            <w:r w:rsidRPr="00A939B0">
              <w:rPr>
                <w:rFonts w:eastAsia="Calibri"/>
                <w:sz w:val="20"/>
                <w:lang w:val="fr-CA"/>
              </w:rPr>
              <w:t xml:space="preserve"> nécessaire la tenue d'un nouveau procès?</w:t>
            </w:r>
          </w:p>
        </w:tc>
      </w:tr>
      <w:tr w:rsidR="002C1715" w:rsidRPr="00B32C76" w:rsidTr="008F6F48">
        <w:tc>
          <w:tcPr>
            <w:tcW w:w="5000" w:type="pct"/>
            <w:gridSpan w:val="3"/>
          </w:tcPr>
          <w:p w:rsidR="002C1715" w:rsidRPr="00A939B0" w:rsidRDefault="002C1715" w:rsidP="008F6F48">
            <w:pPr>
              <w:jc w:val="both"/>
              <w:rPr>
                <w:rFonts w:eastAsia="Calibri"/>
                <w:sz w:val="20"/>
                <w:lang w:val="fr-CA"/>
              </w:rPr>
            </w:pPr>
          </w:p>
        </w:tc>
      </w:tr>
      <w:tr w:rsidR="002C1715" w:rsidRPr="00B32C76" w:rsidTr="008F6F48">
        <w:tc>
          <w:tcPr>
            <w:tcW w:w="5000" w:type="pct"/>
            <w:gridSpan w:val="3"/>
          </w:tcPr>
          <w:p w:rsidR="002C1715" w:rsidRPr="00A939B0" w:rsidRDefault="002C1715" w:rsidP="008F6F48">
            <w:pPr>
              <w:jc w:val="both"/>
              <w:rPr>
                <w:rFonts w:eastAsia="Calibri"/>
                <w:sz w:val="20"/>
                <w:lang w:val="fr-CA"/>
              </w:rPr>
            </w:pPr>
            <w:r w:rsidRPr="00A939B0">
              <w:rPr>
                <w:rFonts w:eastAsia="Calibri"/>
                <w:sz w:val="20"/>
                <w:lang w:val="fr-CA"/>
              </w:rPr>
              <w:t xml:space="preserve">En 2002, une bagarre a éclaté dans un club de nuit de Toronto.  Peu de temps après la bagarre, deux hommes armés sont entrés dans l’espace cuisine du club de nuit et ont tué un homme par balle.  Les tireurs ont également tiré un coup de feu sur un autre homme qui s'est enfui avec une blessure mineure superficielle.  Monsieur </w:t>
            </w:r>
            <w:proofErr w:type="spellStart"/>
            <w:r w:rsidRPr="00A939B0">
              <w:rPr>
                <w:rFonts w:eastAsia="Calibri"/>
                <w:sz w:val="20"/>
                <w:lang w:val="fr-CA"/>
              </w:rPr>
              <w:t>Eunick</w:t>
            </w:r>
            <w:proofErr w:type="spellEnd"/>
            <w:r w:rsidRPr="00A939B0">
              <w:rPr>
                <w:rFonts w:eastAsia="Calibri"/>
                <w:sz w:val="20"/>
                <w:lang w:val="fr-CA"/>
              </w:rPr>
              <w:t>, un homme connu des témoins oculaires qui se trouvaient dans le club de nuit, a été identifié comme l'un des tireurs.  Au moment de l'arrestation de M. </w:t>
            </w:r>
            <w:proofErr w:type="spellStart"/>
            <w:r w:rsidRPr="00A939B0">
              <w:rPr>
                <w:rFonts w:eastAsia="Calibri"/>
                <w:sz w:val="20"/>
                <w:lang w:val="fr-CA"/>
              </w:rPr>
              <w:t>Eunick</w:t>
            </w:r>
            <w:proofErr w:type="spellEnd"/>
            <w:r w:rsidRPr="00A939B0">
              <w:rPr>
                <w:rFonts w:eastAsia="Calibri"/>
                <w:sz w:val="20"/>
                <w:lang w:val="fr-CA"/>
              </w:rPr>
              <w:t xml:space="preserve"> plus tard le même jour, les policiers ont découvert divers éléments de preuve susceptibles d'impliquer M. </w:t>
            </w:r>
            <w:proofErr w:type="spellStart"/>
            <w:r w:rsidRPr="00A939B0">
              <w:rPr>
                <w:rFonts w:eastAsia="Calibri"/>
                <w:sz w:val="20"/>
                <w:lang w:val="fr-CA"/>
              </w:rPr>
              <w:t>Eunick</w:t>
            </w:r>
            <w:proofErr w:type="spellEnd"/>
            <w:r w:rsidRPr="00A939B0">
              <w:rPr>
                <w:rFonts w:eastAsia="Calibri"/>
                <w:sz w:val="20"/>
                <w:lang w:val="fr-CA"/>
              </w:rPr>
              <w:t xml:space="preserve"> comme tireur. </w:t>
            </w:r>
          </w:p>
          <w:p w:rsidR="002C1715" w:rsidRPr="00A939B0" w:rsidRDefault="002C1715" w:rsidP="008F6F48">
            <w:pPr>
              <w:jc w:val="both"/>
              <w:rPr>
                <w:rFonts w:eastAsia="Calibri"/>
                <w:sz w:val="20"/>
                <w:lang w:val="fr-CA"/>
              </w:rPr>
            </w:pPr>
          </w:p>
          <w:p w:rsidR="002C1715" w:rsidRPr="00A939B0" w:rsidRDefault="002C1715" w:rsidP="008F6F48">
            <w:pPr>
              <w:jc w:val="both"/>
              <w:rPr>
                <w:rFonts w:eastAsia="Calibri"/>
                <w:sz w:val="20"/>
                <w:lang w:val="fr-CA"/>
              </w:rPr>
            </w:pPr>
            <w:r w:rsidRPr="00A939B0">
              <w:rPr>
                <w:rFonts w:eastAsia="Calibri"/>
                <w:sz w:val="20"/>
                <w:lang w:val="fr-CA"/>
              </w:rPr>
              <w:t xml:space="preserve">Monsieur </w:t>
            </w:r>
            <w:proofErr w:type="spellStart"/>
            <w:r w:rsidRPr="00A939B0">
              <w:rPr>
                <w:rFonts w:eastAsia="Calibri"/>
                <w:sz w:val="20"/>
                <w:lang w:val="fr-CA"/>
              </w:rPr>
              <w:t>Eunick</w:t>
            </w:r>
            <w:proofErr w:type="spellEnd"/>
            <w:r w:rsidRPr="00A939B0">
              <w:rPr>
                <w:rFonts w:eastAsia="Calibri"/>
                <w:sz w:val="20"/>
                <w:lang w:val="fr-CA"/>
              </w:rPr>
              <w:t xml:space="preserve"> et son coaccusé Leighton Hay ont été déclarés coupables de meurtre au premier degré et de tentative de meurtre.</w:t>
            </w:r>
          </w:p>
          <w:p w:rsidR="002C1715" w:rsidRPr="00A939B0" w:rsidRDefault="002C1715" w:rsidP="008F6F48">
            <w:pPr>
              <w:jc w:val="both"/>
              <w:rPr>
                <w:rFonts w:eastAsia="Calibri"/>
                <w:sz w:val="20"/>
                <w:lang w:val="fr-CA"/>
              </w:rPr>
            </w:pPr>
          </w:p>
          <w:p w:rsidR="002C1715" w:rsidRPr="00A939B0" w:rsidRDefault="002C1715" w:rsidP="008F6F48">
            <w:pPr>
              <w:jc w:val="both"/>
              <w:rPr>
                <w:rFonts w:eastAsia="Calibri"/>
                <w:sz w:val="20"/>
                <w:lang w:val="fr-CA"/>
              </w:rPr>
            </w:pPr>
            <w:r w:rsidRPr="00A939B0">
              <w:rPr>
                <w:rFonts w:eastAsia="Calibri"/>
                <w:sz w:val="20"/>
                <w:lang w:val="fr-CA"/>
              </w:rPr>
              <w:t xml:space="preserve">Le 19 juillet 2012, M. Hay s'est vu accorder l'autorisation d'appel à cette Cour.  Son appel, ainsi qu'une requête en vue de produire de nouveaux éléments de preuve, doivent être entendus par cette Cour en avril 2013. </w:t>
            </w:r>
          </w:p>
          <w:p w:rsidR="002C1715" w:rsidRPr="00A939B0" w:rsidRDefault="002C1715" w:rsidP="008F6F48">
            <w:pPr>
              <w:jc w:val="both"/>
              <w:rPr>
                <w:rFonts w:eastAsia="Calibri"/>
                <w:sz w:val="20"/>
                <w:lang w:val="fr-CA"/>
              </w:rPr>
            </w:pPr>
          </w:p>
        </w:tc>
      </w:tr>
      <w:tr w:rsidR="002C1715" w:rsidRPr="00B32C76" w:rsidTr="008F6F48">
        <w:tc>
          <w:tcPr>
            <w:tcW w:w="2427" w:type="pct"/>
          </w:tcPr>
          <w:p w:rsidR="002C1715" w:rsidRPr="00A939B0" w:rsidRDefault="002C1715" w:rsidP="008F6F48">
            <w:pPr>
              <w:jc w:val="both"/>
              <w:rPr>
                <w:rFonts w:eastAsia="Calibri"/>
                <w:sz w:val="20"/>
                <w:lang w:val="fr-CA"/>
              </w:rPr>
            </w:pPr>
            <w:r w:rsidRPr="00A939B0">
              <w:rPr>
                <w:rFonts w:eastAsia="Calibri"/>
                <w:sz w:val="20"/>
                <w:lang w:val="fr-CA"/>
              </w:rPr>
              <w:t>29 mai 2004</w:t>
            </w:r>
          </w:p>
          <w:p w:rsidR="002C1715" w:rsidRPr="00A939B0" w:rsidRDefault="002C1715" w:rsidP="008F6F48">
            <w:pPr>
              <w:jc w:val="both"/>
              <w:rPr>
                <w:rFonts w:eastAsia="Calibri"/>
                <w:sz w:val="20"/>
                <w:lang w:val="fr-CA"/>
              </w:rPr>
            </w:pPr>
            <w:r w:rsidRPr="00A939B0">
              <w:rPr>
                <w:rFonts w:eastAsia="Calibri"/>
                <w:sz w:val="20"/>
                <w:lang w:val="fr-CA"/>
              </w:rPr>
              <w:t xml:space="preserve">Cour supérieure de justice de l'Ontario </w:t>
            </w:r>
          </w:p>
          <w:p w:rsidR="002C1715" w:rsidRPr="00A939B0" w:rsidRDefault="002C1715" w:rsidP="008F6F48">
            <w:pPr>
              <w:jc w:val="both"/>
              <w:rPr>
                <w:rFonts w:eastAsia="Calibri"/>
                <w:sz w:val="20"/>
                <w:lang w:val="fr-CA"/>
              </w:rPr>
            </w:pPr>
            <w:r w:rsidRPr="00A939B0">
              <w:rPr>
                <w:rFonts w:eastAsia="Calibri"/>
                <w:sz w:val="20"/>
                <w:lang w:val="fr-CA"/>
              </w:rPr>
              <w:t xml:space="preserve">(Juge </w:t>
            </w:r>
            <w:proofErr w:type="spellStart"/>
            <w:r w:rsidRPr="00A939B0">
              <w:rPr>
                <w:rFonts w:eastAsia="Calibri"/>
                <w:sz w:val="20"/>
                <w:lang w:val="fr-CA"/>
              </w:rPr>
              <w:t>McCombs</w:t>
            </w:r>
            <w:proofErr w:type="spellEnd"/>
            <w:r w:rsidRPr="00A939B0">
              <w:rPr>
                <w:rFonts w:eastAsia="Calibri"/>
                <w:sz w:val="20"/>
                <w:lang w:val="fr-CA"/>
              </w:rPr>
              <w:t>)</w:t>
            </w:r>
          </w:p>
          <w:p w:rsidR="002C1715" w:rsidRPr="00A939B0" w:rsidRDefault="002C1715" w:rsidP="008F6F48">
            <w:pPr>
              <w:jc w:val="both"/>
              <w:rPr>
                <w:rFonts w:eastAsia="Calibri"/>
                <w:sz w:val="20"/>
                <w:lang w:val="fr-CA"/>
              </w:rPr>
            </w:pPr>
          </w:p>
        </w:tc>
        <w:tc>
          <w:tcPr>
            <w:tcW w:w="243" w:type="pct"/>
          </w:tcPr>
          <w:p w:rsidR="002C1715" w:rsidRPr="00A939B0" w:rsidRDefault="002C1715" w:rsidP="008F6F48">
            <w:pPr>
              <w:jc w:val="both"/>
              <w:rPr>
                <w:rFonts w:eastAsia="Calibri"/>
                <w:sz w:val="20"/>
                <w:lang w:val="fr-CA"/>
              </w:rPr>
            </w:pPr>
          </w:p>
        </w:tc>
        <w:tc>
          <w:tcPr>
            <w:tcW w:w="2330" w:type="pct"/>
          </w:tcPr>
          <w:p w:rsidR="002C1715" w:rsidRPr="00A939B0" w:rsidRDefault="002C1715" w:rsidP="008F6F48">
            <w:pPr>
              <w:jc w:val="both"/>
              <w:rPr>
                <w:rFonts w:eastAsia="Calibri"/>
                <w:sz w:val="20"/>
                <w:lang w:val="fr-CA"/>
              </w:rPr>
            </w:pPr>
            <w:r w:rsidRPr="00A939B0">
              <w:rPr>
                <w:rFonts w:eastAsia="Calibri"/>
                <w:sz w:val="20"/>
                <w:lang w:val="fr-CA"/>
              </w:rPr>
              <w:t>Demandeur déclaré coupable de meurtre au premier degré et de tentative de meurtre</w:t>
            </w:r>
          </w:p>
          <w:p w:rsidR="002C1715" w:rsidRPr="00A939B0" w:rsidRDefault="002C1715" w:rsidP="008F6F48">
            <w:pPr>
              <w:jc w:val="both"/>
              <w:rPr>
                <w:rFonts w:eastAsia="Calibri"/>
                <w:sz w:val="20"/>
                <w:lang w:val="fr-CA"/>
              </w:rPr>
            </w:pPr>
          </w:p>
        </w:tc>
      </w:tr>
      <w:tr w:rsidR="002C1715" w:rsidRPr="00B32C76" w:rsidTr="008F6F48">
        <w:tc>
          <w:tcPr>
            <w:tcW w:w="2427" w:type="pct"/>
          </w:tcPr>
          <w:p w:rsidR="002C1715" w:rsidRPr="00A939B0" w:rsidRDefault="002C1715" w:rsidP="008F6F48">
            <w:pPr>
              <w:jc w:val="both"/>
              <w:rPr>
                <w:rFonts w:eastAsia="Calibri"/>
                <w:sz w:val="20"/>
                <w:lang w:val="fr-CA"/>
              </w:rPr>
            </w:pPr>
            <w:r w:rsidRPr="00A939B0">
              <w:rPr>
                <w:rFonts w:eastAsia="Calibri"/>
                <w:sz w:val="20"/>
                <w:lang w:val="fr-CA"/>
              </w:rPr>
              <w:t>12 mai 2009</w:t>
            </w:r>
          </w:p>
          <w:p w:rsidR="002C1715" w:rsidRPr="00A939B0" w:rsidRDefault="002C1715" w:rsidP="008F6F48">
            <w:pPr>
              <w:jc w:val="both"/>
              <w:rPr>
                <w:rFonts w:eastAsia="Calibri"/>
                <w:sz w:val="20"/>
                <w:lang w:val="fr-CA"/>
              </w:rPr>
            </w:pPr>
            <w:r w:rsidRPr="00A939B0">
              <w:rPr>
                <w:rFonts w:eastAsia="Calibri"/>
                <w:sz w:val="20"/>
                <w:lang w:val="fr-CA"/>
              </w:rPr>
              <w:t xml:space="preserve">Cour d'appel de l'Ontario </w:t>
            </w:r>
          </w:p>
          <w:p w:rsidR="002C1715" w:rsidRPr="00A939B0" w:rsidRDefault="002C1715" w:rsidP="008F6F48">
            <w:pPr>
              <w:jc w:val="both"/>
              <w:rPr>
                <w:rFonts w:eastAsia="Calibri"/>
                <w:sz w:val="20"/>
                <w:lang w:val="fr-CA"/>
              </w:rPr>
            </w:pPr>
            <w:r w:rsidRPr="00A939B0">
              <w:rPr>
                <w:rFonts w:eastAsia="Calibri"/>
                <w:sz w:val="20"/>
                <w:lang w:val="fr-CA"/>
              </w:rPr>
              <w:t xml:space="preserve">(Juges </w:t>
            </w:r>
            <w:proofErr w:type="spellStart"/>
            <w:r w:rsidRPr="00A939B0">
              <w:rPr>
                <w:rFonts w:eastAsia="Calibri"/>
                <w:sz w:val="20"/>
                <w:lang w:val="fr-CA"/>
              </w:rPr>
              <w:t>Moldaver</w:t>
            </w:r>
            <w:proofErr w:type="spellEnd"/>
            <w:r w:rsidRPr="00A939B0">
              <w:rPr>
                <w:rFonts w:eastAsia="Calibri"/>
                <w:sz w:val="20"/>
                <w:lang w:val="fr-CA"/>
              </w:rPr>
              <w:t xml:space="preserve">, Blair et </w:t>
            </w:r>
            <w:proofErr w:type="spellStart"/>
            <w:r w:rsidRPr="00A939B0">
              <w:rPr>
                <w:rFonts w:eastAsia="Calibri"/>
                <w:sz w:val="20"/>
                <w:lang w:val="fr-CA"/>
              </w:rPr>
              <w:t>MacFarland</w:t>
            </w:r>
            <w:proofErr w:type="spellEnd"/>
            <w:r w:rsidRPr="00A939B0">
              <w:rPr>
                <w:rFonts w:eastAsia="Calibri"/>
                <w:sz w:val="20"/>
                <w:lang w:val="fr-CA"/>
              </w:rPr>
              <w:t>)</w:t>
            </w:r>
          </w:p>
          <w:p w:rsidR="002C1715" w:rsidRPr="00A939B0" w:rsidRDefault="002C1715" w:rsidP="008F6F48">
            <w:pPr>
              <w:jc w:val="both"/>
              <w:rPr>
                <w:rFonts w:eastAsia="Calibri"/>
                <w:sz w:val="20"/>
                <w:lang w:val="fr-CA"/>
              </w:rPr>
            </w:pPr>
            <w:r w:rsidRPr="00A939B0">
              <w:rPr>
                <w:rFonts w:eastAsia="Calibri"/>
                <w:sz w:val="20"/>
                <w:lang w:val="fr-CA"/>
              </w:rPr>
              <w:t>2009 ONCA 398</w:t>
            </w:r>
          </w:p>
          <w:p w:rsidR="002C1715" w:rsidRPr="00A939B0" w:rsidRDefault="002C1715" w:rsidP="008F6F48">
            <w:pPr>
              <w:jc w:val="both"/>
              <w:rPr>
                <w:rFonts w:eastAsia="Calibri"/>
                <w:sz w:val="20"/>
                <w:lang w:val="fr-CA"/>
              </w:rPr>
            </w:pPr>
          </w:p>
        </w:tc>
        <w:tc>
          <w:tcPr>
            <w:tcW w:w="243" w:type="pct"/>
          </w:tcPr>
          <w:p w:rsidR="002C1715" w:rsidRPr="00A939B0" w:rsidRDefault="002C1715" w:rsidP="008F6F48">
            <w:pPr>
              <w:jc w:val="both"/>
              <w:rPr>
                <w:rFonts w:eastAsia="Calibri"/>
                <w:sz w:val="20"/>
                <w:lang w:val="fr-CA"/>
              </w:rPr>
            </w:pPr>
          </w:p>
        </w:tc>
        <w:tc>
          <w:tcPr>
            <w:tcW w:w="2330" w:type="pct"/>
          </w:tcPr>
          <w:p w:rsidR="002C1715" w:rsidRPr="00A939B0" w:rsidRDefault="002C1715" w:rsidP="008F6F48">
            <w:pPr>
              <w:jc w:val="both"/>
              <w:rPr>
                <w:rFonts w:eastAsia="Calibri"/>
                <w:sz w:val="20"/>
                <w:lang w:val="fr-CA"/>
              </w:rPr>
            </w:pPr>
            <w:r w:rsidRPr="00A939B0">
              <w:rPr>
                <w:rFonts w:eastAsia="Calibri"/>
                <w:sz w:val="20"/>
                <w:lang w:val="fr-CA"/>
              </w:rPr>
              <w:t>Appel de la déclaration de culpabilité, rejeté</w:t>
            </w:r>
          </w:p>
          <w:p w:rsidR="002C1715" w:rsidRPr="00A939B0" w:rsidRDefault="002C1715" w:rsidP="008F6F48">
            <w:pPr>
              <w:jc w:val="both"/>
              <w:rPr>
                <w:rFonts w:eastAsia="Calibri"/>
                <w:sz w:val="20"/>
                <w:lang w:val="fr-CA"/>
              </w:rPr>
            </w:pPr>
          </w:p>
        </w:tc>
      </w:tr>
      <w:tr w:rsidR="002C1715" w:rsidRPr="00B32C76" w:rsidTr="008F6F48">
        <w:tc>
          <w:tcPr>
            <w:tcW w:w="2427" w:type="pct"/>
          </w:tcPr>
          <w:p w:rsidR="002C1715" w:rsidRPr="00A939B0" w:rsidRDefault="002C1715" w:rsidP="008F6F48">
            <w:pPr>
              <w:jc w:val="both"/>
              <w:rPr>
                <w:rFonts w:eastAsia="Calibri"/>
                <w:sz w:val="20"/>
                <w:lang w:val="fr-CA"/>
              </w:rPr>
            </w:pPr>
            <w:r w:rsidRPr="00A939B0">
              <w:rPr>
                <w:rFonts w:eastAsia="Calibri"/>
                <w:sz w:val="20"/>
                <w:lang w:val="fr-CA"/>
              </w:rPr>
              <w:lastRenderedPageBreak/>
              <w:t>3 octobre 2012</w:t>
            </w:r>
          </w:p>
          <w:p w:rsidR="002C1715" w:rsidRPr="00A939B0" w:rsidRDefault="002C1715" w:rsidP="008F6F48">
            <w:pPr>
              <w:jc w:val="both"/>
              <w:rPr>
                <w:rFonts w:eastAsia="Calibri"/>
                <w:sz w:val="20"/>
                <w:lang w:val="fr-CA"/>
              </w:rPr>
            </w:pPr>
            <w:r w:rsidRPr="00A939B0">
              <w:rPr>
                <w:rFonts w:eastAsia="Calibri"/>
                <w:sz w:val="20"/>
                <w:lang w:val="fr-CA"/>
              </w:rPr>
              <w:t>Cour suprême du Canada</w:t>
            </w:r>
          </w:p>
          <w:p w:rsidR="002C1715" w:rsidRPr="00A939B0" w:rsidRDefault="002C1715" w:rsidP="008F6F48">
            <w:pPr>
              <w:jc w:val="both"/>
              <w:rPr>
                <w:rFonts w:eastAsia="Calibri"/>
                <w:sz w:val="20"/>
                <w:lang w:val="fr-CA"/>
              </w:rPr>
            </w:pPr>
          </w:p>
        </w:tc>
        <w:tc>
          <w:tcPr>
            <w:tcW w:w="243" w:type="pct"/>
          </w:tcPr>
          <w:p w:rsidR="002C1715" w:rsidRPr="00A939B0" w:rsidRDefault="002C1715" w:rsidP="008F6F48">
            <w:pPr>
              <w:jc w:val="both"/>
              <w:rPr>
                <w:rFonts w:eastAsia="Calibri"/>
                <w:sz w:val="20"/>
                <w:lang w:val="fr-CA"/>
              </w:rPr>
            </w:pPr>
          </w:p>
        </w:tc>
        <w:tc>
          <w:tcPr>
            <w:tcW w:w="2330" w:type="pct"/>
          </w:tcPr>
          <w:p w:rsidR="002C1715" w:rsidRPr="00A939B0" w:rsidRDefault="002C1715" w:rsidP="008F6F48">
            <w:pPr>
              <w:jc w:val="both"/>
              <w:rPr>
                <w:rFonts w:eastAsia="Calibri"/>
                <w:sz w:val="20"/>
                <w:lang w:val="fr-CA"/>
              </w:rPr>
            </w:pPr>
            <w:r w:rsidRPr="00A939B0">
              <w:rPr>
                <w:rFonts w:eastAsia="Calibri"/>
                <w:sz w:val="20"/>
                <w:lang w:val="fr-CA"/>
              </w:rPr>
              <w:t xml:space="preserve">Requête en prorogation du délai de signification et de dépôt d'une demande d'autorisation d'appel et demande d'autorisation d'appel, déposées </w:t>
            </w:r>
          </w:p>
        </w:tc>
      </w:tr>
    </w:tbl>
    <w:p w:rsidR="002C1715" w:rsidRPr="004A352A" w:rsidRDefault="002C1715" w:rsidP="002C1715">
      <w:pPr>
        <w:rPr>
          <w:sz w:val="20"/>
          <w:szCs w:val="20"/>
          <w:lang w:val="fr-CA"/>
        </w:rPr>
      </w:pPr>
    </w:p>
    <w:p w:rsidR="002C1715" w:rsidRDefault="00D32E73" w:rsidP="002C1715">
      <w:pPr>
        <w:rPr>
          <w:sz w:val="20"/>
          <w:szCs w:val="20"/>
        </w:rPr>
      </w:pPr>
      <w:r w:rsidRPr="00D32E73">
        <w:rPr>
          <w:sz w:val="20"/>
          <w:szCs w:val="20"/>
          <w:lang w:val="fr-CA"/>
        </w:rPr>
        <w:pict>
          <v:rect id="_x0000_i1051" style="width:2in;height:1pt" o:hrpct="0" o:hralign="center" o:hrstd="t" o:hrnoshade="t" o:hr="t" fillcolor="black [3213]" stroked="f"/>
        </w:pict>
      </w:r>
    </w:p>
    <w:p w:rsidR="002C1715" w:rsidRDefault="002C1715" w:rsidP="002C1715">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RPr="00FD3314" w:rsidTr="008F6F48">
        <w:trPr>
          <w:cantSplit/>
        </w:trPr>
        <w:tc>
          <w:tcPr>
            <w:tcW w:w="1458" w:type="dxa"/>
          </w:tcPr>
          <w:p w:rsidR="002C1715" w:rsidRPr="00FD3314" w:rsidRDefault="002C1715" w:rsidP="008F6F48">
            <w:pPr>
              <w:rPr>
                <w:sz w:val="20"/>
              </w:rPr>
            </w:pPr>
            <w:r w:rsidRPr="00FD3314">
              <w:rPr>
                <w:b/>
                <w:sz w:val="20"/>
                <w:lang w:val="fr-CA"/>
              </w:rPr>
              <w:t>35021</w:t>
            </w:r>
          </w:p>
          <w:p w:rsidR="002C1715" w:rsidRPr="00FD3314" w:rsidRDefault="002C1715" w:rsidP="008F6F48">
            <w:pPr>
              <w:rPr>
                <w:b/>
                <w:sz w:val="20"/>
                <w:lang w:val="fr-CA"/>
              </w:rPr>
            </w:pPr>
          </w:p>
        </w:tc>
        <w:tc>
          <w:tcPr>
            <w:tcW w:w="8118" w:type="dxa"/>
          </w:tcPr>
          <w:p w:rsidR="002C1715" w:rsidRPr="00FD3314" w:rsidRDefault="002C1715" w:rsidP="008F6F48">
            <w:pPr>
              <w:rPr>
                <w:sz w:val="20"/>
              </w:rPr>
            </w:pPr>
            <w:r w:rsidRPr="00FD3314">
              <w:rPr>
                <w:b/>
                <w:sz w:val="20"/>
                <w:u w:val="single"/>
                <w:lang w:val="en-US"/>
              </w:rPr>
              <w:t>Trevor Middleton v. Her Majesty the Queen</w:t>
            </w:r>
            <w:r w:rsidRPr="00FD3314">
              <w:rPr>
                <w:sz w:val="20"/>
              </w:rPr>
              <w:t xml:space="preserve"> (Ont.) (Criminal) (By Leave)</w:t>
            </w:r>
          </w:p>
          <w:p w:rsidR="002C1715" w:rsidRPr="00FD3314" w:rsidRDefault="002C1715" w:rsidP="008F6F48">
            <w:pPr>
              <w:rPr>
                <w:sz w:val="20"/>
              </w:rPr>
            </w:pPr>
          </w:p>
        </w:tc>
      </w:tr>
      <w:tr w:rsidR="002C1715" w:rsidRPr="00FD3314" w:rsidTr="008F6F48">
        <w:trPr>
          <w:cantSplit/>
        </w:trPr>
        <w:tc>
          <w:tcPr>
            <w:tcW w:w="1458" w:type="dxa"/>
          </w:tcPr>
          <w:p w:rsidR="002C1715" w:rsidRPr="00FD3314" w:rsidRDefault="002C1715" w:rsidP="008F6F48">
            <w:pPr>
              <w:rPr>
                <w:sz w:val="20"/>
              </w:rPr>
            </w:pPr>
            <w:r w:rsidRPr="00FD3314">
              <w:rPr>
                <w:sz w:val="20"/>
              </w:rPr>
              <w:t>Coram :</w:t>
            </w:r>
          </w:p>
        </w:tc>
        <w:tc>
          <w:tcPr>
            <w:tcW w:w="8118" w:type="dxa"/>
          </w:tcPr>
          <w:p w:rsidR="002C1715" w:rsidRPr="00FD3314" w:rsidRDefault="002C1715" w:rsidP="008F6F48">
            <w:pPr>
              <w:rPr>
                <w:sz w:val="20"/>
              </w:rPr>
            </w:pPr>
            <w:proofErr w:type="spellStart"/>
            <w:r w:rsidRPr="00FD3314">
              <w:rPr>
                <w:sz w:val="20"/>
                <w:u w:val="single"/>
                <w:lang w:val="en-US"/>
              </w:rPr>
              <w:t>McLachlin</w:t>
            </w:r>
            <w:proofErr w:type="spellEnd"/>
            <w:r w:rsidRPr="00FD3314">
              <w:rPr>
                <w:sz w:val="20"/>
                <w:u w:val="single"/>
                <w:lang w:val="en-US"/>
              </w:rPr>
              <w:t xml:space="preserve"> C.J. and </w:t>
            </w:r>
            <w:proofErr w:type="spellStart"/>
            <w:r w:rsidRPr="00FD3314">
              <w:rPr>
                <w:sz w:val="20"/>
                <w:u w:val="single"/>
                <w:lang w:val="en-US"/>
              </w:rPr>
              <w:t>Abella</w:t>
            </w:r>
            <w:proofErr w:type="spellEnd"/>
            <w:r w:rsidRPr="00FD3314">
              <w:rPr>
                <w:sz w:val="20"/>
                <w:u w:val="single"/>
                <w:lang w:val="en-US"/>
              </w:rPr>
              <w:t xml:space="preserve"> and Cromwell JJ.</w:t>
            </w:r>
          </w:p>
          <w:p w:rsidR="002C1715" w:rsidRPr="00FD3314" w:rsidRDefault="002C1715" w:rsidP="008F6F48">
            <w:pPr>
              <w:rPr>
                <w:sz w:val="20"/>
                <w:u w:val="single"/>
              </w:rPr>
            </w:pPr>
          </w:p>
        </w:tc>
      </w:tr>
      <w:tr w:rsidR="002C1715" w:rsidRPr="00B32C76" w:rsidTr="008F6F48">
        <w:trPr>
          <w:cantSplit/>
        </w:trPr>
        <w:tc>
          <w:tcPr>
            <w:tcW w:w="9576" w:type="dxa"/>
            <w:gridSpan w:val="2"/>
          </w:tcPr>
          <w:p w:rsidR="002C1715" w:rsidRPr="00FD3314" w:rsidRDefault="002C1715" w:rsidP="008F6F48">
            <w:pPr>
              <w:ind w:firstLine="720"/>
              <w:jc w:val="both"/>
              <w:rPr>
                <w:sz w:val="20"/>
              </w:rPr>
            </w:pPr>
            <w:r w:rsidRPr="00FD3314">
              <w:rPr>
                <w:sz w:val="20"/>
              </w:rPr>
              <w:t>The motion for an extension of time to serve and file the application for leave to appeal is granted.  The application for leave to appeal from the judgment of the Court of Appeal for Ontario, Number C51808, 2012 ONCA 523, dated August 2, 2012, is dismissed without costs.</w:t>
            </w:r>
          </w:p>
          <w:p w:rsidR="002C1715" w:rsidRPr="00FD3314" w:rsidRDefault="002C1715" w:rsidP="008F6F48">
            <w:pPr>
              <w:jc w:val="both"/>
              <w:rPr>
                <w:sz w:val="20"/>
              </w:rPr>
            </w:pPr>
          </w:p>
          <w:p w:rsidR="002C1715" w:rsidRPr="00FD3314" w:rsidRDefault="002C1715" w:rsidP="008F6F48">
            <w:pPr>
              <w:ind w:firstLine="720"/>
              <w:jc w:val="both"/>
              <w:rPr>
                <w:sz w:val="20"/>
                <w:lang w:val="fr-CA"/>
              </w:rPr>
            </w:pPr>
            <w:r w:rsidRPr="00FD3314">
              <w:rPr>
                <w:sz w:val="20"/>
                <w:lang w:val="fr-CA"/>
              </w:rPr>
              <w:t>La requête en prorogation du délai de signification et dépôt de la demande d’autorisation d’appel est accueillie. La demande d’autorisation d’appel de l’arrêt de la Cour d’appel de l’Ontario, numéro C51808, 2012 ONCA 523, daté du 2 août 2012, est rejetée sans dépens.</w:t>
            </w:r>
          </w:p>
        </w:tc>
      </w:tr>
    </w:tbl>
    <w:p w:rsidR="002C1715" w:rsidRDefault="002C1715" w:rsidP="002C1715">
      <w:pPr>
        <w:widowControl w:val="0"/>
        <w:rPr>
          <w:sz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2C1715" w:rsidRPr="00FD3314" w:rsidTr="008F6F48">
        <w:trPr>
          <w:gridAfter w:val="1"/>
          <w:wAfter w:w="48" w:type="pct"/>
        </w:trPr>
        <w:tc>
          <w:tcPr>
            <w:tcW w:w="4952" w:type="pct"/>
            <w:gridSpan w:val="3"/>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Criminal Law — Evidence — Hearsay — Principle that a hearsay statement by one party cannot be adduced as evidence to prove the state of mind of a third party, in the absence of a special relationship, by mere resort to the principled exception to the hearsay rule — Whether Court of Appeal has effectively gutted the co-conspirators’ exception to the hearsay rule.</w:t>
            </w:r>
          </w:p>
        </w:tc>
      </w:tr>
      <w:tr w:rsidR="002C1715" w:rsidRPr="00FD3314" w:rsidTr="008F6F48">
        <w:trPr>
          <w:gridAfter w:val="1"/>
          <w:wAfter w:w="48" w:type="pct"/>
        </w:trPr>
        <w:tc>
          <w:tcPr>
            <w:tcW w:w="4952" w:type="pct"/>
            <w:gridSpan w:val="3"/>
          </w:tcPr>
          <w:p w:rsidR="002C1715" w:rsidRPr="00FD3314" w:rsidRDefault="002C1715" w:rsidP="008F6F48">
            <w:pPr>
              <w:jc w:val="both"/>
              <w:rPr>
                <w:rFonts w:eastAsia="Calibri" w:cs="Times New Roman"/>
                <w:sz w:val="20"/>
                <w:szCs w:val="20"/>
              </w:rPr>
            </w:pPr>
          </w:p>
        </w:tc>
      </w:tr>
      <w:tr w:rsidR="002C1715" w:rsidRPr="00FD3314" w:rsidTr="008F6F48">
        <w:trPr>
          <w:gridAfter w:val="1"/>
          <w:wAfter w:w="48" w:type="pct"/>
        </w:trPr>
        <w:tc>
          <w:tcPr>
            <w:tcW w:w="4952" w:type="pct"/>
            <w:gridSpan w:val="3"/>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The applicant gave high speed chase to a Honda Civic.  The Civic went out of control and hit a tree.  All four occupants were injured, two catastrophically.  The Crown argued that the applicant led a group of partiers to some fishing docks to go “nip-tipping”, a derogatory term for pushing Asian anglers into the water.  The group pushed two fishermen into the water and fled, but one assailant was left behind and was badly beaten by the fishermen.  The applicant returned to find his beaten friend.  Outraged, he gave chase to the fleeing vehicle. He intentionally rammed it about 20 times until it hit a tree.  The defence argued that the applicant did not participate in the conduct on the docks and gave chase only to prevent the fishermen from fleeing from the police.  He did not intentionally make contact with the fleeing vehicle and it lost control on its own.  At issue is the admissibility of hearsay evidence.  When the group of assailants was going to the dock, two statements were uttered by an unknown person or persons saying, “We’re going nip-tipping” and “We’re going to push them in the river”.  The trial judge admitted the statements as part of the narrative, as evidence of a common intention held by the group, and as possible evidence that the applicant was motivated during the car chase by a racist animus.  A jury convicted the applicant on two counts of criminal negligence causing bodily harm and four counts of aggravated assault.  The Court of Appeal upheld the admissibility of the evidence and the convictions.</w:t>
            </w:r>
          </w:p>
          <w:p w:rsidR="002C1715" w:rsidRPr="00FD3314" w:rsidRDefault="002C1715" w:rsidP="008F6F48">
            <w:pPr>
              <w:jc w:val="both"/>
              <w:rPr>
                <w:rFonts w:eastAsia="Calibri" w:cs="Times New Roman"/>
                <w:sz w:val="20"/>
                <w:szCs w:val="20"/>
              </w:rPr>
            </w:pPr>
          </w:p>
        </w:tc>
      </w:tr>
      <w:tr w:rsidR="002C1715" w:rsidRPr="00FD3314" w:rsidTr="008F6F48">
        <w:tblPrEx>
          <w:tblCellMar>
            <w:bottom w:w="0" w:type="dxa"/>
          </w:tblCellMar>
        </w:tblPrEx>
        <w:tc>
          <w:tcPr>
            <w:tcW w:w="2367" w:type="pct"/>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December 15, 2009</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Ontario Superior Court of Justice</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w:t>
            </w:r>
            <w:proofErr w:type="spellStart"/>
            <w:r w:rsidRPr="00FD3314">
              <w:rPr>
                <w:rFonts w:eastAsia="Calibri" w:cs="Times New Roman"/>
                <w:sz w:val="20"/>
                <w:szCs w:val="20"/>
              </w:rPr>
              <w:t>Stong</w:t>
            </w:r>
            <w:proofErr w:type="spellEnd"/>
            <w:r w:rsidRPr="00FD3314">
              <w:rPr>
                <w:rFonts w:eastAsia="Calibri" w:cs="Times New Roman"/>
                <w:sz w:val="20"/>
                <w:szCs w:val="20"/>
              </w:rPr>
              <w:t xml:space="preserve"> J.)</w:t>
            </w:r>
          </w:p>
          <w:p w:rsidR="002C1715" w:rsidRPr="00FD3314" w:rsidRDefault="002C1715" w:rsidP="008F6F48">
            <w:pPr>
              <w:jc w:val="both"/>
              <w:rPr>
                <w:rFonts w:eastAsia="Calibri" w:cs="Times New Roman"/>
                <w:sz w:val="20"/>
                <w:szCs w:val="20"/>
              </w:rPr>
            </w:pPr>
          </w:p>
        </w:tc>
        <w:tc>
          <w:tcPr>
            <w:tcW w:w="267" w:type="pct"/>
          </w:tcPr>
          <w:p w:rsidR="002C1715" w:rsidRPr="00FD3314" w:rsidRDefault="002C1715" w:rsidP="008F6F48">
            <w:pPr>
              <w:jc w:val="both"/>
              <w:rPr>
                <w:rFonts w:eastAsia="Calibri" w:cs="Times New Roman"/>
                <w:sz w:val="20"/>
                <w:szCs w:val="20"/>
              </w:rPr>
            </w:pPr>
          </w:p>
        </w:tc>
        <w:tc>
          <w:tcPr>
            <w:tcW w:w="2366" w:type="pct"/>
            <w:gridSpan w:val="2"/>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Convictions by jury on two counts of criminal negligence causing bodily harm and four counts of aggravated assault</w:t>
            </w:r>
          </w:p>
        </w:tc>
      </w:tr>
      <w:tr w:rsidR="002C1715" w:rsidRPr="00FD3314" w:rsidTr="008F6F48">
        <w:tblPrEx>
          <w:tblCellMar>
            <w:bottom w:w="0" w:type="dxa"/>
          </w:tblCellMar>
        </w:tblPrEx>
        <w:tc>
          <w:tcPr>
            <w:tcW w:w="2367" w:type="pct"/>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February 12, 2010</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Ontario Superior Court of Justice</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w:t>
            </w:r>
            <w:proofErr w:type="spellStart"/>
            <w:r w:rsidRPr="00FD3314">
              <w:rPr>
                <w:rFonts w:eastAsia="Calibri" w:cs="Times New Roman"/>
                <w:sz w:val="20"/>
                <w:szCs w:val="20"/>
              </w:rPr>
              <w:t>Stong</w:t>
            </w:r>
            <w:proofErr w:type="spellEnd"/>
            <w:r w:rsidRPr="00FD3314">
              <w:rPr>
                <w:rFonts w:eastAsia="Calibri" w:cs="Times New Roman"/>
                <w:sz w:val="20"/>
                <w:szCs w:val="20"/>
              </w:rPr>
              <w:t xml:space="preserve"> J.)</w:t>
            </w:r>
          </w:p>
          <w:p w:rsidR="002C1715" w:rsidRPr="00FD3314" w:rsidRDefault="002C1715" w:rsidP="008F6F48">
            <w:pPr>
              <w:jc w:val="both"/>
              <w:rPr>
                <w:rFonts w:eastAsia="Calibri" w:cs="Times New Roman"/>
                <w:sz w:val="20"/>
                <w:szCs w:val="20"/>
              </w:rPr>
            </w:pPr>
          </w:p>
        </w:tc>
        <w:tc>
          <w:tcPr>
            <w:tcW w:w="267" w:type="pct"/>
          </w:tcPr>
          <w:p w:rsidR="002C1715" w:rsidRPr="00FD3314" w:rsidRDefault="002C1715" w:rsidP="008F6F48">
            <w:pPr>
              <w:jc w:val="both"/>
              <w:rPr>
                <w:rFonts w:eastAsia="Calibri" w:cs="Times New Roman"/>
                <w:sz w:val="20"/>
                <w:szCs w:val="20"/>
              </w:rPr>
            </w:pPr>
          </w:p>
        </w:tc>
        <w:tc>
          <w:tcPr>
            <w:tcW w:w="2366" w:type="pct"/>
            <w:gridSpan w:val="2"/>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Sentence to two years less a day imprisonment, plus 3 years probation and a 10 year driving prohibition.</w:t>
            </w:r>
          </w:p>
          <w:p w:rsidR="002C1715" w:rsidRPr="00FD3314" w:rsidRDefault="002C1715" w:rsidP="008F6F48">
            <w:pPr>
              <w:jc w:val="both"/>
              <w:rPr>
                <w:rFonts w:eastAsia="Calibri" w:cs="Times New Roman"/>
                <w:sz w:val="20"/>
                <w:szCs w:val="20"/>
              </w:rPr>
            </w:pPr>
          </w:p>
        </w:tc>
      </w:tr>
      <w:tr w:rsidR="002C1715" w:rsidRPr="00FD3314" w:rsidTr="008F6F48">
        <w:tblPrEx>
          <w:tblCellMar>
            <w:bottom w:w="0" w:type="dxa"/>
          </w:tblCellMar>
        </w:tblPrEx>
        <w:trPr>
          <w:cantSplit/>
        </w:trPr>
        <w:tc>
          <w:tcPr>
            <w:tcW w:w="2367" w:type="pct"/>
          </w:tcPr>
          <w:p w:rsidR="002C1715" w:rsidRPr="00FD3314" w:rsidRDefault="002C1715" w:rsidP="008F6F48">
            <w:pPr>
              <w:jc w:val="both"/>
              <w:rPr>
                <w:rFonts w:eastAsia="Calibri" w:cs="Times New Roman"/>
                <w:sz w:val="20"/>
                <w:szCs w:val="20"/>
              </w:rPr>
            </w:pPr>
            <w:r w:rsidRPr="00FD3314">
              <w:rPr>
                <w:rFonts w:eastAsia="Calibri" w:cs="Times New Roman"/>
                <w:sz w:val="20"/>
                <w:szCs w:val="20"/>
              </w:rPr>
              <w:lastRenderedPageBreak/>
              <w:t>August 2, 2012</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Court of Appeal for Ontario</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 xml:space="preserve">(Doherty, Feldman, </w:t>
            </w:r>
            <w:proofErr w:type="spellStart"/>
            <w:r w:rsidRPr="00FD3314">
              <w:rPr>
                <w:rFonts w:eastAsia="Calibri" w:cs="Times New Roman"/>
                <w:sz w:val="20"/>
                <w:szCs w:val="20"/>
              </w:rPr>
              <w:t>LaForme</w:t>
            </w:r>
            <w:proofErr w:type="spellEnd"/>
            <w:r w:rsidRPr="00FD3314">
              <w:rPr>
                <w:rFonts w:eastAsia="Calibri" w:cs="Times New Roman"/>
                <w:sz w:val="20"/>
                <w:szCs w:val="20"/>
              </w:rPr>
              <w:t xml:space="preserve"> JJ.A.)</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2012 ONCA 523;   C51808</w:t>
            </w:r>
          </w:p>
          <w:p w:rsidR="002C1715" w:rsidRPr="00FD3314" w:rsidRDefault="002C1715" w:rsidP="008F6F48">
            <w:pPr>
              <w:jc w:val="both"/>
              <w:rPr>
                <w:rFonts w:eastAsia="Calibri" w:cs="Times New Roman"/>
                <w:sz w:val="20"/>
                <w:szCs w:val="20"/>
              </w:rPr>
            </w:pPr>
          </w:p>
        </w:tc>
        <w:tc>
          <w:tcPr>
            <w:tcW w:w="267" w:type="pct"/>
          </w:tcPr>
          <w:p w:rsidR="002C1715" w:rsidRPr="00FD3314" w:rsidRDefault="002C1715" w:rsidP="008F6F48">
            <w:pPr>
              <w:jc w:val="both"/>
              <w:rPr>
                <w:rFonts w:eastAsia="Calibri" w:cs="Times New Roman"/>
                <w:sz w:val="20"/>
                <w:szCs w:val="20"/>
              </w:rPr>
            </w:pPr>
          </w:p>
        </w:tc>
        <w:tc>
          <w:tcPr>
            <w:tcW w:w="2366" w:type="pct"/>
            <w:gridSpan w:val="2"/>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Applicant’s appeal from convictions and Crown’s appeal from sentence dismissed</w:t>
            </w:r>
          </w:p>
          <w:p w:rsidR="002C1715" w:rsidRPr="00FD3314" w:rsidRDefault="002C1715" w:rsidP="008F6F48">
            <w:pPr>
              <w:jc w:val="both"/>
              <w:rPr>
                <w:rFonts w:eastAsia="Calibri" w:cs="Times New Roman"/>
                <w:sz w:val="20"/>
                <w:szCs w:val="20"/>
              </w:rPr>
            </w:pPr>
          </w:p>
        </w:tc>
      </w:tr>
      <w:tr w:rsidR="002C1715" w:rsidRPr="00FD3314" w:rsidTr="008F6F48">
        <w:tblPrEx>
          <w:tblCellMar>
            <w:bottom w:w="0" w:type="dxa"/>
          </w:tblCellMar>
        </w:tblPrEx>
        <w:trPr>
          <w:cantSplit/>
        </w:trPr>
        <w:tc>
          <w:tcPr>
            <w:tcW w:w="2367" w:type="pct"/>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October 3, 2012</w:t>
            </w:r>
          </w:p>
          <w:p w:rsidR="002C1715" w:rsidRPr="00FD3314" w:rsidRDefault="002C1715" w:rsidP="008F6F48">
            <w:pPr>
              <w:jc w:val="both"/>
              <w:rPr>
                <w:rFonts w:eastAsia="Calibri" w:cs="Times New Roman"/>
                <w:sz w:val="20"/>
                <w:szCs w:val="20"/>
              </w:rPr>
            </w:pPr>
            <w:r w:rsidRPr="00FD3314">
              <w:rPr>
                <w:rFonts w:eastAsia="Calibri" w:cs="Times New Roman"/>
                <w:sz w:val="20"/>
                <w:szCs w:val="20"/>
              </w:rPr>
              <w:t>Supreme Court of Canada</w:t>
            </w:r>
          </w:p>
        </w:tc>
        <w:tc>
          <w:tcPr>
            <w:tcW w:w="267" w:type="pct"/>
          </w:tcPr>
          <w:p w:rsidR="002C1715" w:rsidRPr="00FD3314" w:rsidRDefault="002C1715" w:rsidP="008F6F48">
            <w:pPr>
              <w:jc w:val="both"/>
              <w:rPr>
                <w:rFonts w:eastAsia="Calibri" w:cs="Times New Roman"/>
                <w:sz w:val="20"/>
                <w:szCs w:val="20"/>
              </w:rPr>
            </w:pPr>
          </w:p>
        </w:tc>
        <w:tc>
          <w:tcPr>
            <w:tcW w:w="2366" w:type="pct"/>
            <w:gridSpan w:val="2"/>
          </w:tcPr>
          <w:p w:rsidR="002C1715" w:rsidRPr="00FD3314" w:rsidRDefault="002C1715" w:rsidP="008F6F48">
            <w:pPr>
              <w:jc w:val="both"/>
              <w:rPr>
                <w:rFonts w:eastAsia="Calibri" w:cs="Times New Roman"/>
                <w:sz w:val="20"/>
                <w:szCs w:val="20"/>
              </w:rPr>
            </w:pPr>
            <w:r w:rsidRPr="00FD3314">
              <w:rPr>
                <w:rFonts w:eastAsia="Calibri" w:cs="Times New Roman"/>
                <w:sz w:val="20"/>
                <w:szCs w:val="20"/>
              </w:rPr>
              <w:t>Application for extension of time to serve and file application for leave to appeal and Application for leave to appeal filed</w:t>
            </w:r>
          </w:p>
        </w:tc>
      </w:tr>
    </w:tbl>
    <w:p w:rsidR="002C1715" w:rsidRPr="00C50A5C" w:rsidRDefault="002C1715" w:rsidP="002C1715">
      <w:pPr>
        <w:rPr>
          <w:sz w:val="20"/>
          <w:szCs w:val="20"/>
        </w:rPr>
      </w:pPr>
    </w:p>
    <w:p w:rsidR="002C1715" w:rsidRPr="00C50A5C" w:rsidRDefault="00D32E73" w:rsidP="002C1715">
      <w:pPr>
        <w:rPr>
          <w:sz w:val="20"/>
          <w:szCs w:val="20"/>
        </w:rPr>
      </w:pPr>
      <w:r w:rsidRPr="00D32E73">
        <w:rPr>
          <w:sz w:val="20"/>
          <w:szCs w:val="20"/>
          <w:lang w:val="fr-CA"/>
        </w:rPr>
        <w:pict>
          <v:rect id="_x0000_i1052" style="width:2in;height:1pt" o:hrpct="0" o:hralign="center" o:hrstd="t" o:hrnoshade="t" o:hr="t" fillcolor="black [3213]" stroked="f"/>
        </w:pict>
      </w:r>
    </w:p>
    <w:p w:rsidR="002C1715" w:rsidRDefault="002C1715" w:rsidP="002C1715">
      <w:pPr>
        <w:rPr>
          <w:sz w:val="20"/>
          <w:szCs w:val="20"/>
        </w:rPr>
      </w:pPr>
    </w:p>
    <w:p w:rsidR="002C1715" w:rsidRPr="001B157C" w:rsidRDefault="002C1715" w:rsidP="002C1715">
      <w:pPr>
        <w:rPr>
          <w:sz w:val="20"/>
          <w:szCs w:val="20"/>
          <w:u w:val="single"/>
          <w:lang w:val="fr-CA"/>
        </w:rPr>
      </w:pPr>
      <w:r w:rsidRPr="001B157C">
        <w:rPr>
          <w:sz w:val="20"/>
          <w:szCs w:val="20"/>
          <w:u w:val="single"/>
          <w:lang w:val="fr-CA"/>
        </w:rPr>
        <w:t>RÉSUMÉ DE L’AFFAIRE</w:t>
      </w:r>
    </w:p>
    <w:p w:rsidR="002C1715" w:rsidRDefault="002C1715" w:rsidP="002C1715">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2C1715" w:rsidRPr="00B32C76" w:rsidTr="008F6F48">
        <w:trPr>
          <w:gridAfter w:val="1"/>
          <w:wAfter w:w="48" w:type="pct"/>
        </w:trPr>
        <w:tc>
          <w:tcPr>
            <w:tcW w:w="4952" w:type="pct"/>
            <w:gridSpan w:val="3"/>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Droit criminel — Preuve — Ouï-dire — Principe selon lequel une déclaration relatée faite par une partie ne peut pas être mise en preuve pour prouver l'état d'esprit d'un tiers, en l'absence d'une relation spéciale, par le simple recours à l'exception raisonnée à la règle du ouï-dire — La Cour d'appel se trouve-t-elle à avoir dénaturé l'exception à la règle du ouï-dire relative aux </w:t>
            </w:r>
            <w:proofErr w:type="spellStart"/>
            <w:r w:rsidRPr="00FD3314">
              <w:rPr>
                <w:rFonts w:eastAsia="Calibri" w:cs="Times New Roman"/>
                <w:sz w:val="20"/>
                <w:szCs w:val="20"/>
                <w:lang w:val="fr-CA"/>
              </w:rPr>
              <w:t>coconspirateurs</w:t>
            </w:r>
            <w:proofErr w:type="spellEnd"/>
            <w:r w:rsidRPr="00FD3314">
              <w:rPr>
                <w:rFonts w:eastAsia="Calibri" w:cs="Times New Roman"/>
                <w:sz w:val="20"/>
                <w:szCs w:val="20"/>
                <w:lang w:val="fr-CA"/>
              </w:rPr>
              <w:t>?</w:t>
            </w:r>
          </w:p>
        </w:tc>
      </w:tr>
      <w:tr w:rsidR="002C1715" w:rsidRPr="00B32C76" w:rsidTr="008F6F48">
        <w:trPr>
          <w:gridAfter w:val="1"/>
          <w:wAfter w:w="48" w:type="pct"/>
        </w:trPr>
        <w:tc>
          <w:tcPr>
            <w:tcW w:w="4952" w:type="pct"/>
            <w:gridSpan w:val="3"/>
          </w:tcPr>
          <w:p w:rsidR="002C1715" w:rsidRPr="00FD3314" w:rsidRDefault="002C1715" w:rsidP="008F6F48">
            <w:pPr>
              <w:jc w:val="both"/>
              <w:rPr>
                <w:rFonts w:eastAsia="Calibri" w:cs="Times New Roman"/>
                <w:sz w:val="20"/>
                <w:szCs w:val="20"/>
                <w:lang w:val="fr-CA"/>
              </w:rPr>
            </w:pPr>
          </w:p>
        </w:tc>
      </w:tr>
      <w:tr w:rsidR="002C1715" w:rsidRPr="00B32C76" w:rsidTr="008F6F48">
        <w:trPr>
          <w:gridAfter w:val="1"/>
          <w:wAfter w:w="48" w:type="pct"/>
        </w:trPr>
        <w:tc>
          <w:tcPr>
            <w:tcW w:w="4952" w:type="pct"/>
            <w:gridSpan w:val="3"/>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Le demandeur a poursuivi à haute vitesse une Honda Civic.  La Civic a dérapé et a percuté un arbre.  Les quatre occupants ont été blessés, dont deux grièvement. Le ministère public a plaidé que le demandeur avait conduit un groupe de fêtards à des quais de pêche pour s'adonner à du [</w:t>
            </w:r>
            <w:r w:rsidRPr="00FD3314">
              <w:rPr>
                <w:rFonts w:eastAsia="Calibri" w:cs="Times New Roman"/>
                <w:smallCaps/>
                <w:sz w:val="20"/>
                <w:szCs w:val="20"/>
                <w:lang w:val="fr-CA"/>
              </w:rPr>
              <w:t>traduction</w:t>
            </w:r>
            <w:r w:rsidRPr="00FD3314">
              <w:rPr>
                <w:rFonts w:eastAsia="Calibri" w:cs="Times New Roman"/>
                <w:sz w:val="20"/>
                <w:szCs w:val="20"/>
                <w:lang w:val="fr-CA"/>
              </w:rPr>
              <w:t>] « pousse bridés », un terme méprisant qui désignait le fait de pousser à l’eau des pêcheurs asiatiques.  Le groupe a poussé deux pêcheurs à l'eau et s'est enfui, mais un des agresseurs est resté derrière et a été sérieusement tabassé par les pêcheurs.  Le demandeur est retourné pour retrouver son ami battu.  Hors de lui, il a poursuivi le véhicule en fuite.  Il l’a intentionnellement heurté par derrière une vingtaine de fois jusqu'à ce qu'il percute un arbre.  La défense a plaidé que le demandeur n'avait pas participé aux actes commis sur les quais et qu'il avait poursuivi le véhicule seulement pour empêcher les pêcheurs d’échapper à la police.  Il ne serait pas intentionnellement entré en contact avec le véhicule en fuite et celui-ci aurait dérapé de lui-même.  La question en litige est l'admissibilité d'une preuve par ouï-dire.  Lorsque le groupe d'agresseurs s'est dirigé vers le quai, deux déclarations auraient été faites par une ou plusieurs personnes qui auraient dit : [</w:t>
            </w:r>
            <w:r w:rsidRPr="00FD3314">
              <w:rPr>
                <w:rFonts w:eastAsia="Calibri" w:cs="Times New Roman"/>
                <w:smallCaps/>
                <w:sz w:val="20"/>
                <w:szCs w:val="20"/>
                <w:lang w:val="fr-CA"/>
              </w:rPr>
              <w:t>traduction</w:t>
            </w:r>
            <w:r w:rsidRPr="00FD3314">
              <w:rPr>
                <w:rFonts w:eastAsia="Calibri" w:cs="Times New Roman"/>
                <w:sz w:val="20"/>
                <w:szCs w:val="20"/>
                <w:lang w:val="fr-CA"/>
              </w:rPr>
              <w:t>] « On va faire du pousse bridés » et « On va les pousser dans la rivière ».  Le juge du procès a admis les déclarations en tant que partie intégrante du récit des faits, comme preuve d'intention commune du groupe et comme preuve éventuelle que le demandeur était motivé par le racisme pendant la poursuite en voiture.  Un jury a déclaré le demandeur coupable sous deux chefs de négligence criminelle causant des lésions corporelles et quatre chefs de voies de fait graves.  La Cour d'appel a confirmé l'admissibilité de la preuve et les déclarations de culpabilité.</w:t>
            </w:r>
          </w:p>
          <w:p w:rsidR="002C1715" w:rsidRPr="00FD3314" w:rsidRDefault="002C1715" w:rsidP="008F6F48">
            <w:pPr>
              <w:jc w:val="both"/>
              <w:rPr>
                <w:rFonts w:eastAsia="Calibri" w:cs="Times New Roman"/>
                <w:sz w:val="20"/>
                <w:szCs w:val="20"/>
                <w:lang w:val="fr-CA"/>
              </w:rPr>
            </w:pPr>
          </w:p>
        </w:tc>
      </w:tr>
      <w:tr w:rsidR="002C1715" w:rsidRPr="00B32C76" w:rsidTr="008F6F48">
        <w:tblPrEx>
          <w:tblCellMar>
            <w:bottom w:w="0" w:type="dxa"/>
          </w:tblCellMar>
        </w:tblPrEx>
        <w:tc>
          <w:tcPr>
            <w:tcW w:w="2367" w:type="pct"/>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15 décembre 2009</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Cour supérieure de justice de l'Ontario </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(Juge </w:t>
            </w:r>
            <w:proofErr w:type="spellStart"/>
            <w:r w:rsidRPr="00FD3314">
              <w:rPr>
                <w:rFonts w:eastAsia="Calibri" w:cs="Times New Roman"/>
                <w:sz w:val="20"/>
                <w:szCs w:val="20"/>
                <w:lang w:val="fr-CA"/>
              </w:rPr>
              <w:t>Stong</w:t>
            </w:r>
            <w:proofErr w:type="spellEnd"/>
            <w:r w:rsidRPr="00FD3314">
              <w:rPr>
                <w:rFonts w:eastAsia="Calibri" w:cs="Times New Roman"/>
                <w:sz w:val="20"/>
                <w:szCs w:val="20"/>
                <w:lang w:val="fr-CA"/>
              </w:rPr>
              <w:t>)</w:t>
            </w:r>
          </w:p>
          <w:p w:rsidR="002C1715" w:rsidRPr="00FD3314" w:rsidRDefault="002C1715" w:rsidP="008F6F48">
            <w:pPr>
              <w:jc w:val="both"/>
              <w:rPr>
                <w:rFonts w:eastAsia="Calibri" w:cs="Times New Roman"/>
                <w:sz w:val="20"/>
                <w:szCs w:val="20"/>
                <w:lang w:val="fr-CA"/>
              </w:rPr>
            </w:pPr>
          </w:p>
        </w:tc>
        <w:tc>
          <w:tcPr>
            <w:tcW w:w="267" w:type="pct"/>
          </w:tcPr>
          <w:p w:rsidR="002C1715" w:rsidRPr="00FD3314" w:rsidRDefault="002C1715" w:rsidP="008F6F48">
            <w:pPr>
              <w:jc w:val="both"/>
              <w:rPr>
                <w:rFonts w:eastAsia="Calibri" w:cs="Times New Roman"/>
                <w:sz w:val="20"/>
                <w:szCs w:val="20"/>
                <w:lang w:val="fr-CA"/>
              </w:rPr>
            </w:pPr>
          </w:p>
        </w:tc>
        <w:tc>
          <w:tcPr>
            <w:tcW w:w="2366" w:type="pct"/>
            <w:gridSpan w:val="2"/>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Déclarations de culpabilité par un jury sous deux chefs de négligence criminelle causant des lésions corporelles et quatre chefs de voies de fait graves</w:t>
            </w:r>
          </w:p>
        </w:tc>
      </w:tr>
      <w:tr w:rsidR="002C1715" w:rsidRPr="00B32C76" w:rsidTr="008F6F48">
        <w:tblPrEx>
          <w:tblCellMar>
            <w:bottom w:w="0" w:type="dxa"/>
          </w:tblCellMar>
        </w:tblPrEx>
        <w:tc>
          <w:tcPr>
            <w:tcW w:w="2367" w:type="pct"/>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12 février 2010</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Cour supérieure de justice de l'Ontario </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(Juge </w:t>
            </w:r>
            <w:proofErr w:type="spellStart"/>
            <w:r w:rsidRPr="00FD3314">
              <w:rPr>
                <w:rFonts w:eastAsia="Calibri" w:cs="Times New Roman"/>
                <w:sz w:val="20"/>
                <w:szCs w:val="20"/>
                <w:lang w:val="fr-CA"/>
              </w:rPr>
              <w:t>Stong</w:t>
            </w:r>
            <w:proofErr w:type="spellEnd"/>
            <w:r w:rsidRPr="00FD3314">
              <w:rPr>
                <w:rFonts w:eastAsia="Calibri" w:cs="Times New Roman"/>
                <w:sz w:val="20"/>
                <w:szCs w:val="20"/>
                <w:lang w:val="fr-CA"/>
              </w:rPr>
              <w:t>)</w:t>
            </w:r>
          </w:p>
          <w:p w:rsidR="002C1715" w:rsidRPr="00FD3314" w:rsidRDefault="002C1715" w:rsidP="008F6F48">
            <w:pPr>
              <w:jc w:val="both"/>
              <w:rPr>
                <w:rFonts w:eastAsia="Calibri" w:cs="Times New Roman"/>
                <w:sz w:val="20"/>
                <w:szCs w:val="20"/>
                <w:lang w:val="fr-CA"/>
              </w:rPr>
            </w:pPr>
          </w:p>
        </w:tc>
        <w:tc>
          <w:tcPr>
            <w:tcW w:w="267" w:type="pct"/>
          </w:tcPr>
          <w:p w:rsidR="002C1715" w:rsidRPr="00FD3314" w:rsidRDefault="002C1715" w:rsidP="008F6F48">
            <w:pPr>
              <w:jc w:val="both"/>
              <w:rPr>
                <w:rFonts w:eastAsia="Calibri" w:cs="Times New Roman"/>
                <w:sz w:val="20"/>
                <w:szCs w:val="20"/>
                <w:lang w:val="fr-CA"/>
              </w:rPr>
            </w:pPr>
          </w:p>
        </w:tc>
        <w:tc>
          <w:tcPr>
            <w:tcW w:w="2366" w:type="pct"/>
            <w:gridSpan w:val="2"/>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Peine d'emprisonnement de deux ans moins un jour plus trois années de probation et interdiction de conduire de dix ans.</w:t>
            </w:r>
          </w:p>
          <w:p w:rsidR="002C1715" w:rsidRPr="00FD3314" w:rsidRDefault="002C1715" w:rsidP="008F6F48">
            <w:pPr>
              <w:jc w:val="both"/>
              <w:rPr>
                <w:rFonts w:eastAsia="Calibri" w:cs="Times New Roman"/>
                <w:sz w:val="20"/>
                <w:szCs w:val="20"/>
                <w:lang w:val="fr-CA"/>
              </w:rPr>
            </w:pPr>
          </w:p>
        </w:tc>
      </w:tr>
      <w:tr w:rsidR="002C1715" w:rsidRPr="00B32C76" w:rsidTr="008F6F48">
        <w:tblPrEx>
          <w:tblCellMar>
            <w:bottom w:w="0" w:type="dxa"/>
          </w:tblCellMar>
        </w:tblPrEx>
        <w:tc>
          <w:tcPr>
            <w:tcW w:w="2367" w:type="pct"/>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2 août 2012</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Cour d'appel de l'Ontario </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(Juges Doherty, </w:t>
            </w:r>
            <w:proofErr w:type="spellStart"/>
            <w:r w:rsidRPr="00FD3314">
              <w:rPr>
                <w:rFonts w:eastAsia="Calibri" w:cs="Times New Roman"/>
                <w:sz w:val="20"/>
                <w:szCs w:val="20"/>
                <w:lang w:val="fr-CA"/>
              </w:rPr>
              <w:t>Feldman</w:t>
            </w:r>
            <w:proofErr w:type="spellEnd"/>
            <w:r w:rsidRPr="00FD3314">
              <w:rPr>
                <w:rFonts w:eastAsia="Calibri" w:cs="Times New Roman"/>
                <w:sz w:val="20"/>
                <w:szCs w:val="20"/>
                <w:lang w:val="fr-CA"/>
              </w:rPr>
              <w:t xml:space="preserve"> et </w:t>
            </w:r>
            <w:proofErr w:type="spellStart"/>
            <w:r w:rsidRPr="00FD3314">
              <w:rPr>
                <w:rFonts w:eastAsia="Calibri" w:cs="Times New Roman"/>
                <w:sz w:val="20"/>
                <w:szCs w:val="20"/>
                <w:lang w:val="fr-CA"/>
              </w:rPr>
              <w:t>LaForme</w:t>
            </w:r>
            <w:proofErr w:type="spellEnd"/>
            <w:r w:rsidRPr="00FD3314">
              <w:rPr>
                <w:rFonts w:eastAsia="Calibri" w:cs="Times New Roman"/>
                <w:sz w:val="20"/>
                <w:szCs w:val="20"/>
                <w:lang w:val="fr-CA"/>
              </w:rPr>
              <w:t>)</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2012 ONCA 523;   C51808</w:t>
            </w:r>
          </w:p>
          <w:p w:rsidR="002C1715" w:rsidRPr="00FD3314" w:rsidRDefault="002C1715" w:rsidP="008F6F48">
            <w:pPr>
              <w:jc w:val="both"/>
              <w:rPr>
                <w:rFonts w:eastAsia="Calibri" w:cs="Times New Roman"/>
                <w:sz w:val="20"/>
                <w:szCs w:val="20"/>
                <w:lang w:val="fr-CA"/>
              </w:rPr>
            </w:pPr>
          </w:p>
        </w:tc>
        <w:tc>
          <w:tcPr>
            <w:tcW w:w="267" w:type="pct"/>
          </w:tcPr>
          <w:p w:rsidR="002C1715" w:rsidRPr="00FD3314" w:rsidRDefault="002C1715" w:rsidP="008F6F48">
            <w:pPr>
              <w:jc w:val="both"/>
              <w:rPr>
                <w:rFonts w:eastAsia="Calibri" w:cs="Times New Roman"/>
                <w:sz w:val="20"/>
                <w:szCs w:val="20"/>
                <w:lang w:val="fr-CA"/>
              </w:rPr>
            </w:pPr>
          </w:p>
        </w:tc>
        <w:tc>
          <w:tcPr>
            <w:tcW w:w="2366" w:type="pct"/>
            <w:gridSpan w:val="2"/>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Appel des déclarations de culpabilité interjeté par le demandeur et appel de la peine interjeté par le ministère public, rejetés </w:t>
            </w:r>
          </w:p>
          <w:p w:rsidR="002C1715" w:rsidRPr="00FD3314" w:rsidRDefault="002C1715" w:rsidP="008F6F48">
            <w:pPr>
              <w:jc w:val="both"/>
              <w:rPr>
                <w:rFonts w:eastAsia="Calibri" w:cs="Times New Roman"/>
                <w:sz w:val="20"/>
                <w:szCs w:val="20"/>
                <w:lang w:val="fr-CA"/>
              </w:rPr>
            </w:pPr>
          </w:p>
        </w:tc>
      </w:tr>
      <w:tr w:rsidR="002C1715" w:rsidRPr="00B32C76" w:rsidTr="008F6F48">
        <w:tblPrEx>
          <w:tblCellMar>
            <w:bottom w:w="0" w:type="dxa"/>
          </w:tblCellMar>
        </w:tblPrEx>
        <w:tc>
          <w:tcPr>
            <w:tcW w:w="2367" w:type="pct"/>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3 octobre 2012</w:t>
            </w:r>
          </w:p>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Cour suprême du Canada</w:t>
            </w:r>
          </w:p>
        </w:tc>
        <w:tc>
          <w:tcPr>
            <w:tcW w:w="267" w:type="pct"/>
          </w:tcPr>
          <w:p w:rsidR="002C1715" w:rsidRPr="00FD3314" w:rsidRDefault="002C1715" w:rsidP="008F6F48">
            <w:pPr>
              <w:jc w:val="both"/>
              <w:rPr>
                <w:rFonts w:eastAsia="Calibri" w:cs="Times New Roman"/>
                <w:sz w:val="20"/>
                <w:szCs w:val="20"/>
                <w:lang w:val="fr-CA"/>
              </w:rPr>
            </w:pPr>
          </w:p>
        </w:tc>
        <w:tc>
          <w:tcPr>
            <w:tcW w:w="2366" w:type="pct"/>
            <w:gridSpan w:val="2"/>
          </w:tcPr>
          <w:p w:rsidR="002C1715" w:rsidRPr="00FD3314" w:rsidRDefault="002C1715" w:rsidP="008F6F48">
            <w:pPr>
              <w:jc w:val="both"/>
              <w:rPr>
                <w:rFonts w:eastAsia="Calibri" w:cs="Times New Roman"/>
                <w:sz w:val="20"/>
                <w:szCs w:val="20"/>
                <w:lang w:val="fr-CA"/>
              </w:rPr>
            </w:pPr>
            <w:r w:rsidRPr="00FD3314">
              <w:rPr>
                <w:rFonts w:eastAsia="Calibri" w:cs="Times New Roman"/>
                <w:sz w:val="20"/>
                <w:szCs w:val="20"/>
                <w:lang w:val="fr-CA"/>
              </w:rPr>
              <w:t xml:space="preserve">Demande de prorogation du délai de signification et de dépôt de la demande d'autorisation d'appel et demande autorisation d'appel, déposées </w:t>
            </w:r>
          </w:p>
        </w:tc>
      </w:tr>
    </w:tbl>
    <w:p w:rsidR="002C1715" w:rsidRPr="00D006F1" w:rsidRDefault="002C1715" w:rsidP="002C1715">
      <w:pPr>
        <w:rPr>
          <w:sz w:val="20"/>
          <w:szCs w:val="20"/>
          <w:lang w:val="fr-CA"/>
        </w:rPr>
      </w:pPr>
    </w:p>
    <w:p w:rsidR="002C1715" w:rsidRDefault="00D32E73" w:rsidP="002C1715">
      <w:pPr>
        <w:rPr>
          <w:sz w:val="20"/>
          <w:szCs w:val="20"/>
        </w:rPr>
      </w:pPr>
      <w:r w:rsidRPr="00D32E73">
        <w:rPr>
          <w:sz w:val="20"/>
          <w:szCs w:val="20"/>
          <w:lang w:val="fr-CA"/>
        </w:rPr>
        <w:pict>
          <v:rect id="_x0000_i1053" style="width:2in;height:1pt" o:hrpct="0" o:hralign="center" o:hrstd="t" o:hrnoshade="t" o:hr="t" fillcolor="black [3213]" stroked="f"/>
        </w:pict>
      </w:r>
    </w:p>
    <w:p w:rsidR="002C1715" w:rsidRDefault="002C1715" w:rsidP="002C1715">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1715" w:rsidRPr="00B8489B" w:rsidTr="008F6F48">
        <w:trPr>
          <w:cantSplit/>
        </w:trPr>
        <w:tc>
          <w:tcPr>
            <w:tcW w:w="1458" w:type="dxa"/>
          </w:tcPr>
          <w:p w:rsidR="002C1715" w:rsidRPr="00B8489B" w:rsidRDefault="002C1715" w:rsidP="008F6F48">
            <w:pPr>
              <w:rPr>
                <w:sz w:val="20"/>
              </w:rPr>
            </w:pPr>
            <w:r w:rsidRPr="00B8489B">
              <w:rPr>
                <w:b/>
                <w:sz w:val="20"/>
                <w:lang w:val="fr-CA"/>
              </w:rPr>
              <w:t>35036</w:t>
            </w:r>
          </w:p>
          <w:p w:rsidR="002C1715" w:rsidRPr="00B8489B" w:rsidRDefault="002C1715" w:rsidP="008F6F48">
            <w:pPr>
              <w:rPr>
                <w:b/>
                <w:sz w:val="20"/>
                <w:lang w:val="fr-CA"/>
              </w:rPr>
            </w:pPr>
          </w:p>
        </w:tc>
        <w:tc>
          <w:tcPr>
            <w:tcW w:w="8118" w:type="dxa"/>
          </w:tcPr>
          <w:p w:rsidR="002C1715" w:rsidRPr="00B8489B" w:rsidRDefault="002C1715" w:rsidP="008F6F48">
            <w:pPr>
              <w:rPr>
                <w:sz w:val="20"/>
              </w:rPr>
            </w:pPr>
            <w:r w:rsidRPr="00B8489B">
              <w:rPr>
                <w:b/>
                <w:sz w:val="20"/>
                <w:u w:val="single"/>
                <w:lang w:val="en-US"/>
              </w:rPr>
              <w:t xml:space="preserve">Larry Peter </w:t>
            </w:r>
            <w:proofErr w:type="spellStart"/>
            <w:r w:rsidRPr="00B8489B">
              <w:rPr>
                <w:b/>
                <w:sz w:val="20"/>
                <w:u w:val="single"/>
                <w:lang w:val="en-US"/>
              </w:rPr>
              <w:t>Klippenstein</w:t>
            </w:r>
            <w:proofErr w:type="spellEnd"/>
            <w:r w:rsidRPr="00B8489B">
              <w:rPr>
                <w:b/>
                <w:sz w:val="20"/>
                <w:u w:val="single"/>
                <w:lang w:val="en-US"/>
              </w:rPr>
              <w:t xml:space="preserve"> v. Attorney General of Manitoba</w:t>
            </w:r>
            <w:r w:rsidRPr="00B8489B">
              <w:rPr>
                <w:sz w:val="20"/>
              </w:rPr>
              <w:t xml:space="preserve"> (Man.) (Civil) (By Leave)</w:t>
            </w:r>
          </w:p>
          <w:p w:rsidR="002C1715" w:rsidRPr="00B8489B" w:rsidRDefault="002C1715" w:rsidP="008F6F48">
            <w:pPr>
              <w:rPr>
                <w:sz w:val="20"/>
              </w:rPr>
            </w:pPr>
          </w:p>
        </w:tc>
      </w:tr>
      <w:tr w:rsidR="002C1715" w:rsidRPr="00B8489B" w:rsidTr="008F6F48">
        <w:trPr>
          <w:cantSplit/>
        </w:trPr>
        <w:tc>
          <w:tcPr>
            <w:tcW w:w="1458" w:type="dxa"/>
          </w:tcPr>
          <w:p w:rsidR="002C1715" w:rsidRPr="00B8489B" w:rsidRDefault="002C1715" w:rsidP="008F6F48">
            <w:pPr>
              <w:rPr>
                <w:sz w:val="20"/>
              </w:rPr>
            </w:pPr>
            <w:r w:rsidRPr="00B8489B">
              <w:rPr>
                <w:sz w:val="20"/>
              </w:rPr>
              <w:t>Coram :</w:t>
            </w:r>
          </w:p>
        </w:tc>
        <w:tc>
          <w:tcPr>
            <w:tcW w:w="8118" w:type="dxa"/>
          </w:tcPr>
          <w:p w:rsidR="002C1715" w:rsidRPr="00B8489B" w:rsidRDefault="002C1715" w:rsidP="008F6F48">
            <w:pPr>
              <w:rPr>
                <w:sz w:val="20"/>
              </w:rPr>
            </w:pPr>
            <w:r w:rsidRPr="00B8489B">
              <w:rPr>
                <w:sz w:val="20"/>
                <w:u w:val="single"/>
                <w:lang w:val="en-US"/>
              </w:rPr>
              <w:t xml:space="preserve">Fish, Rothstein and </w:t>
            </w:r>
            <w:proofErr w:type="spellStart"/>
            <w:r w:rsidRPr="00B8489B">
              <w:rPr>
                <w:sz w:val="20"/>
                <w:u w:val="single"/>
                <w:lang w:val="en-US"/>
              </w:rPr>
              <w:t>Moldaver</w:t>
            </w:r>
            <w:proofErr w:type="spellEnd"/>
            <w:r w:rsidRPr="00B8489B">
              <w:rPr>
                <w:sz w:val="20"/>
                <w:u w:val="single"/>
                <w:lang w:val="en-US"/>
              </w:rPr>
              <w:t> JJ.</w:t>
            </w:r>
          </w:p>
          <w:p w:rsidR="002C1715" w:rsidRPr="00B8489B" w:rsidRDefault="002C1715" w:rsidP="008F6F48">
            <w:pPr>
              <w:rPr>
                <w:sz w:val="20"/>
                <w:u w:val="single"/>
              </w:rPr>
            </w:pPr>
          </w:p>
        </w:tc>
      </w:tr>
      <w:tr w:rsidR="002C1715" w:rsidRPr="00B32C76" w:rsidTr="008F6F48">
        <w:trPr>
          <w:cantSplit/>
        </w:trPr>
        <w:tc>
          <w:tcPr>
            <w:tcW w:w="9576" w:type="dxa"/>
            <w:gridSpan w:val="2"/>
          </w:tcPr>
          <w:p w:rsidR="002C1715" w:rsidRPr="00B8489B" w:rsidRDefault="002C1715" w:rsidP="008F6F48">
            <w:pPr>
              <w:ind w:firstLine="720"/>
              <w:jc w:val="both"/>
              <w:rPr>
                <w:sz w:val="20"/>
              </w:rPr>
            </w:pPr>
            <w:r w:rsidRPr="00B8489B">
              <w:rPr>
                <w:sz w:val="20"/>
              </w:rPr>
              <w:t>The application for leave to appeal from the judgment of the Court of Appeal of Manitoba, Number AI 11-30-07651, 2012 MBCA 77, dated August 27, 2012, is dismissed without costs.</w:t>
            </w:r>
          </w:p>
          <w:p w:rsidR="002C1715" w:rsidRPr="00B8489B" w:rsidRDefault="002C1715" w:rsidP="008F6F48">
            <w:pPr>
              <w:jc w:val="both"/>
              <w:rPr>
                <w:sz w:val="20"/>
              </w:rPr>
            </w:pPr>
          </w:p>
          <w:p w:rsidR="002C1715" w:rsidRPr="00B8489B" w:rsidRDefault="002C1715" w:rsidP="008F6F48">
            <w:pPr>
              <w:ind w:firstLine="720"/>
              <w:jc w:val="both"/>
              <w:rPr>
                <w:sz w:val="20"/>
                <w:lang w:val="fr-CA"/>
              </w:rPr>
            </w:pPr>
            <w:r w:rsidRPr="00B8489B">
              <w:rPr>
                <w:sz w:val="20"/>
                <w:lang w:val="fr-CA"/>
              </w:rPr>
              <w:t>La demande d’autorisation d’appel de l’arrêt de la Cour d’appel du Manitoba, numéro AI 11-30-07651, 2012 MBCA 77, daté du 27 août 2012, est rejetée sans dépens.</w:t>
            </w:r>
          </w:p>
        </w:tc>
      </w:tr>
    </w:tbl>
    <w:p w:rsidR="002C1715" w:rsidRPr="00165DBF" w:rsidRDefault="002C1715" w:rsidP="002C1715">
      <w:pPr>
        <w:rPr>
          <w:sz w:val="20"/>
          <w:szCs w:val="20"/>
          <w:lang w:val="fr-CA"/>
        </w:rPr>
      </w:pPr>
    </w:p>
    <w:p w:rsidR="002C1715" w:rsidRPr="001B157C" w:rsidRDefault="002C1715" w:rsidP="002C1715">
      <w:pPr>
        <w:rPr>
          <w:sz w:val="20"/>
          <w:szCs w:val="20"/>
          <w:u w:val="single"/>
        </w:rPr>
      </w:pPr>
      <w:r w:rsidRPr="001B157C">
        <w:rPr>
          <w:sz w:val="20"/>
          <w:szCs w:val="20"/>
          <w:u w:val="single"/>
        </w:rPr>
        <w:t>CASE SUMMARY</w:t>
      </w:r>
    </w:p>
    <w:p w:rsidR="002C1715" w:rsidRDefault="002C1715" w:rsidP="002C17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1715" w:rsidRPr="00B8489B" w:rsidTr="008F6F48">
        <w:tc>
          <w:tcPr>
            <w:tcW w:w="5000" w:type="pct"/>
            <w:gridSpan w:val="3"/>
          </w:tcPr>
          <w:p w:rsidR="002C1715" w:rsidRPr="00B8489B" w:rsidRDefault="002C1715" w:rsidP="008F6F48">
            <w:pPr>
              <w:jc w:val="both"/>
              <w:rPr>
                <w:rFonts w:eastAsia="Calibri" w:cs="Times New Roman"/>
                <w:sz w:val="20"/>
                <w:szCs w:val="20"/>
              </w:rPr>
            </w:pPr>
            <w:r w:rsidRPr="00B8489B">
              <w:rPr>
                <w:rFonts w:eastAsia="Calibri" w:cs="Times New Roman"/>
                <w:i/>
                <w:sz w:val="20"/>
                <w:szCs w:val="20"/>
              </w:rPr>
              <w:t>Charter of Rights</w:t>
            </w:r>
            <w:r w:rsidRPr="00B8489B">
              <w:rPr>
                <w:rFonts w:eastAsia="Calibri" w:cs="Times New Roman"/>
                <w:sz w:val="20"/>
                <w:szCs w:val="20"/>
              </w:rPr>
              <w:t xml:space="preserve"> — Right to equality — Civil procedure — Representation by counsel — Applicant bringing motion to have counsel appointed with respect to his applications — Whether it is constitutionally valid to deny Applicant’s motion for appointment of counsel — Whether it is supportable under s. 15 at the </w:t>
            </w:r>
            <w:r w:rsidRPr="00B8489B">
              <w:rPr>
                <w:rFonts w:eastAsia="Calibri" w:cs="Times New Roman"/>
                <w:i/>
                <w:sz w:val="20"/>
                <w:szCs w:val="20"/>
              </w:rPr>
              <w:t>Charter</w:t>
            </w:r>
            <w:r w:rsidRPr="00B8489B">
              <w:rPr>
                <w:rFonts w:eastAsia="Calibri" w:cs="Times New Roman"/>
                <w:sz w:val="20"/>
                <w:szCs w:val="20"/>
              </w:rPr>
              <w:t xml:space="preserve"> for a vulnerable person not to be provided counsel to defend his or her  interests</w:t>
            </w:r>
          </w:p>
        </w:tc>
      </w:tr>
      <w:tr w:rsidR="002C1715" w:rsidRPr="00B8489B" w:rsidTr="008F6F48">
        <w:tc>
          <w:tcPr>
            <w:tcW w:w="5000" w:type="pct"/>
            <w:gridSpan w:val="3"/>
          </w:tcPr>
          <w:p w:rsidR="002C1715" w:rsidRPr="00B8489B" w:rsidRDefault="002C1715" w:rsidP="008F6F48">
            <w:pPr>
              <w:jc w:val="both"/>
              <w:rPr>
                <w:rFonts w:eastAsia="Calibri" w:cs="Times New Roman"/>
                <w:sz w:val="20"/>
                <w:szCs w:val="20"/>
              </w:rPr>
            </w:pPr>
          </w:p>
        </w:tc>
      </w:tr>
      <w:tr w:rsidR="002C1715" w:rsidRPr="00B8489B" w:rsidTr="008F6F48">
        <w:tc>
          <w:tcPr>
            <w:tcW w:w="5000" w:type="pct"/>
            <w:gridSpan w:val="3"/>
          </w:tcPr>
          <w:p w:rsidR="002C1715" w:rsidRPr="00B8489B" w:rsidRDefault="002C1715" w:rsidP="008F6F48">
            <w:pPr>
              <w:jc w:val="both"/>
              <w:rPr>
                <w:rFonts w:eastAsia="Calibri" w:cs="Times New Roman"/>
                <w:sz w:val="20"/>
                <w:szCs w:val="20"/>
              </w:rPr>
            </w:pPr>
            <w:r w:rsidRPr="00B8489B">
              <w:rPr>
                <w:rFonts w:eastAsia="Calibri" w:cs="Times New Roman"/>
                <w:sz w:val="20"/>
                <w:szCs w:val="20"/>
              </w:rPr>
              <w:t>Mr. </w:t>
            </w:r>
            <w:proofErr w:type="spellStart"/>
            <w:r w:rsidRPr="00B8489B">
              <w:rPr>
                <w:rFonts w:eastAsia="Calibri" w:cs="Times New Roman"/>
                <w:sz w:val="20"/>
                <w:szCs w:val="20"/>
              </w:rPr>
              <w:t>Klippenstein</w:t>
            </w:r>
            <w:proofErr w:type="spellEnd"/>
            <w:r w:rsidRPr="00B8489B">
              <w:rPr>
                <w:rFonts w:eastAsia="Calibri" w:cs="Times New Roman"/>
                <w:sz w:val="20"/>
                <w:szCs w:val="20"/>
              </w:rPr>
              <w:t xml:space="preserve"> brought a motion to have counsel appointed to represent him with respect to four applications that he had filed in the Court of Queen’s Bench pursuant to s. 5 of </w:t>
            </w:r>
            <w:r w:rsidRPr="00B8489B">
              <w:rPr>
                <w:rFonts w:eastAsia="Calibri" w:cs="Times New Roman"/>
                <w:i/>
                <w:sz w:val="20"/>
                <w:szCs w:val="20"/>
              </w:rPr>
              <w:t>The Constitutional Questions Act</w:t>
            </w:r>
            <w:r w:rsidRPr="00B8489B">
              <w:rPr>
                <w:rFonts w:eastAsia="Calibri" w:cs="Times New Roman"/>
                <w:sz w:val="20"/>
                <w:szCs w:val="20"/>
              </w:rPr>
              <w:t>, C.C.S.M., c. C180.</w:t>
            </w:r>
          </w:p>
          <w:p w:rsidR="002C1715" w:rsidRPr="00B8489B" w:rsidRDefault="002C1715" w:rsidP="008F6F48">
            <w:pPr>
              <w:jc w:val="both"/>
              <w:rPr>
                <w:rFonts w:eastAsia="Calibri" w:cs="Times New Roman"/>
                <w:sz w:val="20"/>
                <w:szCs w:val="20"/>
              </w:rPr>
            </w:pPr>
          </w:p>
        </w:tc>
      </w:tr>
      <w:tr w:rsidR="002C1715" w:rsidRPr="00B8489B" w:rsidTr="008F6F48">
        <w:tc>
          <w:tcPr>
            <w:tcW w:w="2427" w:type="pct"/>
          </w:tcPr>
          <w:p w:rsidR="002C1715" w:rsidRPr="00B8489B" w:rsidRDefault="002C1715" w:rsidP="008F6F48">
            <w:pPr>
              <w:jc w:val="both"/>
              <w:rPr>
                <w:rFonts w:eastAsia="Calibri" w:cs="Times New Roman"/>
                <w:sz w:val="20"/>
                <w:szCs w:val="20"/>
              </w:rPr>
            </w:pPr>
            <w:r w:rsidRPr="00B8489B">
              <w:rPr>
                <w:rFonts w:eastAsia="Calibri" w:cs="Times New Roman"/>
                <w:sz w:val="20"/>
                <w:szCs w:val="20"/>
              </w:rPr>
              <w:t>September 22, 2011</w:t>
            </w:r>
          </w:p>
          <w:p w:rsidR="002C1715" w:rsidRPr="00B8489B" w:rsidRDefault="002C1715" w:rsidP="008F6F48">
            <w:pPr>
              <w:jc w:val="both"/>
              <w:rPr>
                <w:rFonts w:eastAsia="Calibri" w:cs="Times New Roman"/>
                <w:sz w:val="20"/>
                <w:szCs w:val="20"/>
              </w:rPr>
            </w:pPr>
            <w:r w:rsidRPr="00B8489B">
              <w:rPr>
                <w:rFonts w:eastAsia="Calibri" w:cs="Times New Roman"/>
                <w:sz w:val="20"/>
                <w:szCs w:val="20"/>
              </w:rPr>
              <w:t>Court of Queen’s Bench of Manitoba</w:t>
            </w:r>
          </w:p>
          <w:p w:rsidR="002C1715" w:rsidRPr="00B8489B" w:rsidRDefault="002C1715" w:rsidP="008F6F48">
            <w:pPr>
              <w:jc w:val="both"/>
              <w:rPr>
                <w:rFonts w:eastAsia="Calibri" w:cs="Times New Roman"/>
                <w:sz w:val="20"/>
                <w:szCs w:val="20"/>
              </w:rPr>
            </w:pPr>
            <w:r w:rsidRPr="00B8489B">
              <w:rPr>
                <w:rFonts w:eastAsia="Calibri" w:cs="Times New Roman"/>
                <w:sz w:val="20"/>
                <w:szCs w:val="20"/>
              </w:rPr>
              <w:t>(Oliphant J.)</w:t>
            </w:r>
          </w:p>
          <w:p w:rsidR="002C1715" w:rsidRPr="00B8489B" w:rsidRDefault="002C1715" w:rsidP="008F6F48">
            <w:pPr>
              <w:jc w:val="both"/>
              <w:rPr>
                <w:rFonts w:eastAsia="Calibri" w:cs="Times New Roman"/>
                <w:sz w:val="20"/>
                <w:szCs w:val="20"/>
              </w:rPr>
            </w:pPr>
          </w:p>
        </w:tc>
        <w:tc>
          <w:tcPr>
            <w:tcW w:w="243" w:type="pct"/>
          </w:tcPr>
          <w:p w:rsidR="002C1715" w:rsidRPr="00B8489B" w:rsidRDefault="002C1715" w:rsidP="008F6F48">
            <w:pPr>
              <w:jc w:val="both"/>
              <w:rPr>
                <w:rFonts w:eastAsia="Calibri" w:cs="Times New Roman"/>
                <w:sz w:val="20"/>
                <w:szCs w:val="20"/>
              </w:rPr>
            </w:pPr>
          </w:p>
        </w:tc>
        <w:tc>
          <w:tcPr>
            <w:tcW w:w="2330" w:type="pct"/>
          </w:tcPr>
          <w:p w:rsidR="002C1715" w:rsidRPr="00B8489B" w:rsidRDefault="002C1715" w:rsidP="008F6F48">
            <w:pPr>
              <w:jc w:val="both"/>
              <w:rPr>
                <w:rFonts w:eastAsia="Calibri" w:cs="Times New Roman"/>
                <w:sz w:val="20"/>
                <w:szCs w:val="20"/>
              </w:rPr>
            </w:pPr>
            <w:r w:rsidRPr="00B8489B">
              <w:rPr>
                <w:rFonts w:eastAsia="Calibri" w:cs="Times New Roman"/>
                <w:sz w:val="20"/>
                <w:szCs w:val="20"/>
              </w:rPr>
              <w:t>Applicant’s motion to have government-funded counsel appointed with respect to his applications dismissed</w:t>
            </w:r>
          </w:p>
        </w:tc>
      </w:tr>
      <w:tr w:rsidR="002C1715" w:rsidRPr="00B8489B" w:rsidTr="008F6F48">
        <w:tc>
          <w:tcPr>
            <w:tcW w:w="2427" w:type="pct"/>
          </w:tcPr>
          <w:p w:rsidR="002C1715" w:rsidRPr="00B8489B" w:rsidRDefault="002C1715" w:rsidP="008F6F48">
            <w:pPr>
              <w:jc w:val="both"/>
              <w:rPr>
                <w:rFonts w:eastAsia="Calibri" w:cs="Times New Roman"/>
                <w:sz w:val="20"/>
                <w:szCs w:val="20"/>
              </w:rPr>
            </w:pPr>
            <w:r w:rsidRPr="00B8489B">
              <w:rPr>
                <w:rFonts w:eastAsia="Calibri" w:cs="Times New Roman"/>
                <w:sz w:val="20"/>
                <w:szCs w:val="20"/>
              </w:rPr>
              <w:t>August 27, 2012</w:t>
            </w:r>
          </w:p>
          <w:p w:rsidR="002C1715" w:rsidRPr="00B8489B" w:rsidRDefault="002C1715" w:rsidP="008F6F48">
            <w:pPr>
              <w:jc w:val="both"/>
              <w:rPr>
                <w:rFonts w:eastAsia="Calibri" w:cs="Times New Roman"/>
                <w:sz w:val="20"/>
                <w:szCs w:val="20"/>
              </w:rPr>
            </w:pPr>
            <w:r w:rsidRPr="00B8489B">
              <w:rPr>
                <w:rFonts w:eastAsia="Calibri" w:cs="Times New Roman"/>
                <w:sz w:val="20"/>
                <w:szCs w:val="20"/>
              </w:rPr>
              <w:t>Court of Appeal of Manitoba</w:t>
            </w:r>
          </w:p>
          <w:p w:rsidR="002C1715" w:rsidRPr="00B8489B" w:rsidRDefault="002C1715" w:rsidP="008F6F48">
            <w:pPr>
              <w:jc w:val="both"/>
              <w:rPr>
                <w:rFonts w:eastAsia="Calibri" w:cs="Times New Roman"/>
                <w:sz w:val="20"/>
                <w:szCs w:val="20"/>
              </w:rPr>
            </w:pPr>
            <w:r w:rsidRPr="00B8489B">
              <w:rPr>
                <w:rFonts w:eastAsia="Calibri" w:cs="Times New Roman"/>
                <w:sz w:val="20"/>
                <w:szCs w:val="20"/>
              </w:rPr>
              <w:t xml:space="preserve">(Hamilton, </w:t>
            </w:r>
            <w:proofErr w:type="spellStart"/>
            <w:r w:rsidRPr="00B8489B">
              <w:rPr>
                <w:rFonts w:eastAsia="Calibri" w:cs="Times New Roman"/>
                <w:sz w:val="20"/>
                <w:szCs w:val="20"/>
              </w:rPr>
              <w:t>Monnin</w:t>
            </w:r>
            <w:proofErr w:type="spellEnd"/>
            <w:r w:rsidRPr="00B8489B">
              <w:rPr>
                <w:rFonts w:eastAsia="Calibri" w:cs="Times New Roman"/>
                <w:sz w:val="20"/>
                <w:szCs w:val="20"/>
              </w:rPr>
              <w:t xml:space="preserve"> and </w:t>
            </w:r>
            <w:proofErr w:type="spellStart"/>
            <w:r w:rsidRPr="00B8489B">
              <w:rPr>
                <w:rFonts w:eastAsia="Calibri" w:cs="Times New Roman"/>
                <w:sz w:val="20"/>
                <w:szCs w:val="20"/>
              </w:rPr>
              <w:t>MacInnes</w:t>
            </w:r>
            <w:proofErr w:type="spellEnd"/>
            <w:r w:rsidRPr="00B8489B">
              <w:rPr>
                <w:rFonts w:eastAsia="Calibri" w:cs="Times New Roman"/>
                <w:sz w:val="20"/>
                <w:szCs w:val="20"/>
              </w:rPr>
              <w:t xml:space="preserve"> JJ.A.)</w:t>
            </w:r>
          </w:p>
          <w:p w:rsidR="002C1715" w:rsidRPr="00B8489B" w:rsidRDefault="002C1715" w:rsidP="008F6F48">
            <w:pPr>
              <w:jc w:val="both"/>
              <w:rPr>
                <w:rFonts w:eastAsia="Calibri" w:cs="Times New Roman"/>
                <w:sz w:val="20"/>
                <w:szCs w:val="20"/>
              </w:rPr>
            </w:pPr>
            <w:r w:rsidRPr="00B8489B">
              <w:rPr>
                <w:rFonts w:eastAsia="Calibri" w:cs="Times New Roman"/>
                <w:sz w:val="20"/>
                <w:szCs w:val="20"/>
              </w:rPr>
              <w:t>2012 MBCA 77</w:t>
            </w:r>
          </w:p>
          <w:p w:rsidR="002C1715" w:rsidRPr="00B8489B" w:rsidRDefault="002C1715" w:rsidP="008F6F48">
            <w:pPr>
              <w:jc w:val="both"/>
              <w:rPr>
                <w:rFonts w:eastAsia="Calibri" w:cs="Times New Roman"/>
                <w:sz w:val="20"/>
                <w:szCs w:val="20"/>
              </w:rPr>
            </w:pPr>
          </w:p>
        </w:tc>
        <w:tc>
          <w:tcPr>
            <w:tcW w:w="243" w:type="pct"/>
          </w:tcPr>
          <w:p w:rsidR="002C1715" w:rsidRPr="00B8489B" w:rsidRDefault="002C1715" w:rsidP="008F6F48">
            <w:pPr>
              <w:jc w:val="both"/>
              <w:rPr>
                <w:rFonts w:eastAsia="Calibri" w:cs="Times New Roman"/>
                <w:sz w:val="20"/>
                <w:szCs w:val="20"/>
              </w:rPr>
            </w:pPr>
          </w:p>
        </w:tc>
        <w:tc>
          <w:tcPr>
            <w:tcW w:w="2330" w:type="pct"/>
          </w:tcPr>
          <w:p w:rsidR="002C1715" w:rsidRPr="00B8489B" w:rsidRDefault="002C1715" w:rsidP="008F6F48">
            <w:pPr>
              <w:jc w:val="both"/>
              <w:rPr>
                <w:rFonts w:eastAsia="Calibri" w:cs="Times New Roman"/>
                <w:sz w:val="20"/>
                <w:szCs w:val="20"/>
              </w:rPr>
            </w:pPr>
            <w:r w:rsidRPr="00B8489B">
              <w:rPr>
                <w:rFonts w:eastAsia="Calibri" w:cs="Times New Roman"/>
                <w:sz w:val="20"/>
                <w:szCs w:val="20"/>
              </w:rPr>
              <w:t>Appeal dismissed</w:t>
            </w:r>
          </w:p>
          <w:p w:rsidR="002C1715" w:rsidRPr="00B8489B" w:rsidRDefault="002C1715" w:rsidP="008F6F48">
            <w:pPr>
              <w:jc w:val="both"/>
              <w:rPr>
                <w:rFonts w:eastAsia="Calibri" w:cs="Times New Roman"/>
                <w:sz w:val="20"/>
                <w:szCs w:val="20"/>
              </w:rPr>
            </w:pPr>
          </w:p>
        </w:tc>
      </w:tr>
      <w:tr w:rsidR="002C1715" w:rsidRPr="00B8489B" w:rsidTr="008F6F48">
        <w:tc>
          <w:tcPr>
            <w:tcW w:w="2427" w:type="pct"/>
          </w:tcPr>
          <w:p w:rsidR="002C1715" w:rsidRPr="00B8489B" w:rsidRDefault="002C1715" w:rsidP="008F6F48">
            <w:pPr>
              <w:jc w:val="both"/>
              <w:rPr>
                <w:rFonts w:eastAsia="Calibri" w:cs="Times New Roman"/>
                <w:sz w:val="20"/>
                <w:szCs w:val="20"/>
              </w:rPr>
            </w:pPr>
            <w:r w:rsidRPr="00B8489B">
              <w:rPr>
                <w:rFonts w:eastAsia="Calibri" w:cs="Times New Roman"/>
                <w:sz w:val="20"/>
                <w:szCs w:val="20"/>
              </w:rPr>
              <w:t>October 16, 2012</w:t>
            </w:r>
          </w:p>
          <w:p w:rsidR="002C1715" w:rsidRPr="00B8489B" w:rsidRDefault="002C1715" w:rsidP="008F6F48">
            <w:pPr>
              <w:jc w:val="both"/>
              <w:rPr>
                <w:rFonts w:eastAsia="Calibri" w:cs="Times New Roman"/>
                <w:sz w:val="20"/>
                <w:szCs w:val="20"/>
              </w:rPr>
            </w:pPr>
            <w:r w:rsidRPr="00B8489B">
              <w:rPr>
                <w:rFonts w:eastAsia="Calibri" w:cs="Times New Roman"/>
                <w:sz w:val="20"/>
                <w:szCs w:val="20"/>
              </w:rPr>
              <w:t>Supreme Court of Canada</w:t>
            </w:r>
          </w:p>
        </w:tc>
        <w:tc>
          <w:tcPr>
            <w:tcW w:w="243" w:type="pct"/>
          </w:tcPr>
          <w:p w:rsidR="002C1715" w:rsidRPr="00B8489B" w:rsidRDefault="002C1715" w:rsidP="008F6F48">
            <w:pPr>
              <w:jc w:val="both"/>
              <w:rPr>
                <w:rFonts w:eastAsia="Calibri" w:cs="Times New Roman"/>
                <w:sz w:val="20"/>
                <w:szCs w:val="20"/>
              </w:rPr>
            </w:pPr>
          </w:p>
        </w:tc>
        <w:tc>
          <w:tcPr>
            <w:tcW w:w="2330" w:type="pct"/>
          </w:tcPr>
          <w:p w:rsidR="002C1715" w:rsidRPr="00B8489B" w:rsidRDefault="002C1715" w:rsidP="008F6F48">
            <w:pPr>
              <w:jc w:val="both"/>
              <w:rPr>
                <w:rFonts w:eastAsia="Calibri" w:cs="Times New Roman"/>
                <w:sz w:val="20"/>
                <w:szCs w:val="20"/>
              </w:rPr>
            </w:pPr>
            <w:r w:rsidRPr="00B8489B">
              <w:rPr>
                <w:rFonts w:eastAsia="Calibri" w:cs="Times New Roman"/>
                <w:sz w:val="20"/>
                <w:szCs w:val="20"/>
              </w:rPr>
              <w:t>Application for leave to appeal filed</w:t>
            </w:r>
          </w:p>
          <w:p w:rsidR="002C1715" w:rsidRPr="00B8489B" w:rsidRDefault="002C1715" w:rsidP="008F6F48">
            <w:pPr>
              <w:jc w:val="both"/>
              <w:rPr>
                <w:rFonts w:eastAsia="Calibri" w:cs="Times New Roman"/>
                <w:sz w:val="20"/>
                <w:szCs w:val="20"/>
              </w:rPr>
            </w:pPr>
          </w:p>
        </w:tc>
      </w:tr>
    </w:tbl>
    <w:p w:rsidR="002C1715" w:rsidRPr="00C50A5C" w:rsidRDefault="002C1715" w:rsidP="002C1715">
      <w:pPr>
        <w:rPr>
          <w:sz w:val="20"/>
          <w:szCs w:val="20"/>
        </w:rPr>
      </w:pPr>
    </w:p>
    <w:p w:rsidR="002C1715" w:rsidRPr="00C50A5C" w:rsidRDefault="00D32E73" w:rsidP="002C1715">
      <w:pPr>
        <w:rPr>
          <w:sz w:val="20"/>
          <w:szCs w:val="20"/>
        </w:rPr>
      </w:pPr>
      <w:r w:rsidRPr="00D32E73">
        <w:rPr>
          <w:sz w:val="20"/>
          <w:szCs w:val="20"/>
          <w:lang w:val="fr-CA"/>
        </w:rPr>
        <w:pict>
          <v:rect id="_x0000_i1054" style="width:2in;height:1pt" o:hrpct="0" o:hralign="center" o:hrstd="t" o:hrnoshade="t" o:hr="t" fillcolor="black [3213]" stroked="f"/>
        </w:pict>
      </w:r>
    </w:p>
    <w:p w:rsidR="002C1715" w:rsidRDefault="002C1715" w:rsidP="002C1715">
      <w:pPr>
        <w:rPr>
          <w:sz w:val="20"/>
          <w:szCs w:val="20"/>
        </w:rPr>
      </w:pPr>
    </w:p>
    <w:p w:rsidR="002C1715" w:rsidRPr="001B157C" w:rsidRDefault="002C1715" w:rsidP="002C1715">
      <w:pPr>
        <w:rPr>
          <w:sz w:val="20"/>
          <w:szCs w:val="20"/>
          <w:u w:val="single"/>
          <w:lang w:val="fr-CA"/>
        </w:rPr>
      </w:pPr>
      <w:r w:rsidRPr="001B157C">
        <w:rPr>
          <w:sz w:val="20"/>
          <w:szCs w:val="20"/>
          <w:u w:val="single"/>
          <w:lang w:val="fr-CA"/>
        </w:rPr>
        <w:t>RÉSUMÉ DE L’AFFAIRE</w:t>
      </w:r>
    </w:p>
    <w:p w:rsidR="002C1715" w:rsidRPr="00B8489B" w:rsidRDefault="002C1715" w:rsidP="002C1715">
      <w:pPr>
        <w:widowControl w:val="0"/>
        <w:rPr>
          <w:rFonts w:eastAsia="Times New Roman"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C1715" w:rsidRPr="00B32C76" w:rsidTr="008F6F48">
        <w:tc>
          <w:tcPr>
            <w:tcW w:w="5000" w:type="pct"/>
            <w:gridSpan w:val="3"/>
          </w:tcPr>
          <w:p w:rsidR="002C1715" w:rsidRPr="00B8489B" w:rsidRDefault="002C1715" w:rsidP="008F6F48">
            <w:pPr>
              <w:jc w:val="both"/>
              <w:rPr>
                <w:rFonts w:eastAsia="Calibri" w:cs="Times New Roman"/>
                <w:sz w:val="20"/>
                <w:szCs w:val="20"/>
                <w:lang w:val="fr-CA"/>
              </w:rPr>
            </w:pPr>
            <w:r w:rsidRPr="00B8489B">
              <w:rPr>
                <w:rFonts w:eastAsia="Calibri" w:cs="Times New Roman"/>
                <w:i/>
                <w:sz w:val="20"/>
                <w:szCs w:val="20"/>
                <w:lang w:val="fr-CA"/>
              </w:rPr>
              <w:t xml:space="preserve">Charte des droits </w:t>
            </w:r>
            <w:r w:rsidRPr="00B8489B">
              <w:rPr>
                <w:rFonts w:eastAsia="Calibri" w:cs="Times New Roman"/>
                <w:sz w:val="20"/>
                <w:szCs w:val="20"/>
                <w:lang w:val="fr-CA"/>
              </w:rPr>
              <w:t xml:space="preserve">— Droit à l'égalité — Procédure civile — Représentation par avocat — Le demandeur a présenté une requête pour faire nommer un avocat relativement à ses demandes — Est-il constitutionnel de rejeter la requête en nomination d'un avocat présentée par le demandeur? — Est-il justifié au regard de l'art. 15 de la </w:t>
            </w:r>
            <w:r w:rsidRPr="00B8489B">
              <w:rPr>
                <w:rFonts w:eastAsia="Calibri" w:cs="Times New Roman"/>
                <w:i/>
                <w:sz w:val="20"/>
                <w:szCs w:val="20"/>
                <w:lang w:val="fr-CA"/>
              </w:rPr>
              <w:t>Charte</w:t>
            </w:r>
            <w:r w:rsidRPr="00B8489B">
              <w:rPr>
                <w:rFonts w:eastAsia="Calibri" w:cs="Times New Roman"/>
                <w:sz w:val="20"/>
                <w:szCs w:val="20"/>
                <w:lang w:val="fr-CA"/>
              </w:rPr>
              <w:t xml:space="preserve"> que l’on ne fournisse pas un avocat à une personne vulnérable pour défendre ses intérêts?</w:t>
            </w:r>
          </w:p>
        </w:tc>
      </w:tr>
      <w:tr w:rsidR="002C1715" w:rsidRPr="00B32C76" w:rsidTr="008F6F48">
        <w:tc>
          <w:tcPr>
            <w:tcW w:w="5000" w:type="pct"/>
            <w:gridSpan w:val="3"/>
          </w:tcPr>
          <w:p w:rsidR="002C1715" w:rsidRPr="00B8489B" w:rsidRDefault="002C1715" w:rsidP="008F6F48">
            <w:pPr>
              <w:jc w:val="both"/>
              <w:rPr>
                <w:rFonts w:eastAsia="Calibri" w:cs="Times New Roman"/>
                <w:sz w:val="20"/>
                <w:szCs w:val="20"/>
                <w:lang w:val="fr-CA"/>
              </w:rPr>
            </w:pPr>
          </w:p>
        </w:tc>
      </w:tr>
      <w:tr w:rsidR="002C1715" w:rsidRPr="00B8489B" w:rsidTr="008F6F48">
        <w:tc>
          <w:tcPr>
            <w:tcW w:w="5000" w:type="pct"/>
            <w:gridSpan w:val="3"/>
          </w:tcPr>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Monsieur </w:t>
            </w:r>
            <w:proofErr w:type="spellStart"/>
            <w:r w:rsidRPr="00B8489B">
              <w:rPr>
                <w:rFonts w:eastAsia="Calibri" w:cs="Times New Roman"/>
                <w:sz w:val="20"/>
                <w:szCs w:val="20"/>
                <w:lang w:val="fr-CA"/>
              </w:rPr>
              <w:t>Klippenstein</w:t>
            </w:r>
            <w:proofErr w:type="spellEnd"/>
            <w:r w:rsidRPr="00B8489B">
              <w:rPr>
                <w:rFonts w:eastAsia="Calibri" w:cs="Times New Roman"/>
                <w:sz w:val="20"/>
                <w:szCs w:val="20"/>
                <w:lang w:val="fr-CA"/>
              </w:rPr>
              <w:t xml:space="preserve"> a présenté une requête pour faire nommer un avocat afin de le représenter relativement à quatre demandes qu'il avait présentées à la Cour du Banc de la Reine en vertu de l'art. 5 de la</w:t>
            </w:r>
            <w:r w:rsidRPr="00B8489B">
              <w:rPr>
                <w:rFonts w:eastAsia="Calibri" w:cs="Times New Roman"/>
                <w:i/>
                <w:sz w:val="20"/>
                <w:szCs w:val="20"/>
                <w:lang w:val="fr-CA"/>
              </w:rPr>
              <w:t xml:space="preserve"> Loi sur les questions constitutionnelles</w:t>
            </w:r>
            <w:r w:rsidRPr="00B8489B">
              <w:rPr>
                <w:rFonts w:eastAsia="Calibri" w:cs="Times New Roman"/>
                <w:sz w:val="20"/>
                <w:szCs w:val="20"/>
                <w:lang w:val="fr-CA"/>
              </w:rPr>
              <w:t>, C.P.L.M., ch. C180.</w:t>
            </w:r>
          </w:p>
          <w:p w:rsidR="002C1715" w:rsidRPr="00B8489B" w:rsidRDefault="002C1715" w:rsidP="008F6F48">
            <w:pPr>
              <w:jc w:val="both"/>
              <w:rPr>
                <w:rFonts w:eastAsia="Calibri" w:cs="Times New Roman"/>
                <w:sz w:val="20"/>
                <w:szCs w:val="20"/>
                <w:lang w:val="fr-CA"/>
              </w:rPr>
            </w:pPr>
          </w:p>
        </w:tc>
      </w:tr>
      <w:tr w:rsidR="002C1715" w:rsidRPr="00B32C76" w:rsidTr="008F6F48">
        <w:tc>
          <w:tcPr>
            <w:tcW w:w="2427" w:type="pct"/>
          </w:tcPr>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22 septembre 2011</w:t>
            </w:r>
          </w:p>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 xml:space="preserve">Cour du Banc de la Reine du Manitoba </w:t>
            </w:r>
          </w:p>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(Juge Oliphant)</w:t>
            </w:r>
          </w:p>
          <w:p w:rsidR="002C1715" w:rsidRPr="00B8489B" w:rsidRDefault="002C1715" w:rsidP="008F6F48">
            <w:pPr>
              <w:jc w:val="both"/>
              <w:rPr>
                <w:rFonts w:eastAsia="Calibri" w:cs="Times New Roman"/>
                <w:sz w:val="20"/>
                <w:szCs w:val="20"/>
                <w:lang w:val="fr-CA"/>
              </w:rPr>
            </w:pPr>
          </w:p>
        </w:tc>
        <w:tc>
          <w:tcPr>
            <w:tcW w:w="243" w:type="pct"/>
          </w:tcPr>
          <w:p w:rsidR="002C1715" w:rsidRPr="00B8489B" w:rsidRDefault="002C1715" w:rsidP="008F6F48">
            <w:pPr>
              <w:jc w:val="both"/>
              <w:rPr>
                <w:rFonts w:eastAsia="Calibri" w:cs="Times New Roman"/>
                <w:sz w:val="20"/>
                <w:szCs w:val="20"/>
                <w:lang w:val="fr-CA"/>
              </w:rPr>
            </w:pPr>
          </w:p>
        </w:tc>
        <w:tc>
          <w:tcPr>
            <w:tcW w:w="2330" w:type="pct"/>
          </w:tcPr>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Requête du demandeur pour faire nommer un avocat aux frais de l'État relativement à ses demandes, rejetée</w:t>
            </w:r>
          </w:p>
          <w:p w:rsidR="002C1715" w:rsidRPr="00B8489B" w:rsidRDefault="002C1715" w:rsidP="008F6F48">
            <w:pPr>
              <w:jc w:val="both"/>
              <w:rPr>
                <w:rFonts w:eastAsia="Calibri" w:cs="Times New Roman"/>
                <w:sz w:val="20"/>
                <w:szCs w:val="20"/>
                <w:lang w:val="fr-CA"/>
              </w:rPr>
            </w:pPr>
          </w:p>
        </w:tc>
      </w:tr>
      <w:tr w:rsidR="002C1715" w:rsidRPr="00B8489B" w:rsidTr="008F6F48">
        <w:tc>
          <w:tcPr>
            <w:tcW w:w="2427" w:type="pct"/>
          </w:tcPr>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lastRenderedPageBreak/>
              <w:t>27 août 2012</w:t>
            </w:r>
          </w:p>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Cour d'appel du Manitoba</w:t>
            </w:r>
          </w:p>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 xml:space="preserve">(Juges Hamilton, </w:t>
            </w:r>
            <w:proofErr w:type="spellStart"/>
            <w:r w:rsidRPr="00B8489B">
              <w:rPr>
                <w:rFonts w:eastAsia="Calibri" w:cs="Times New Roman"/>
                <w:sz w:val="20"/>
                <w:szCs w:val="20"/>
                <w:lang w:val="fr-CA"/>
              </w:rPr>
              <w:t>Monnin</w:t>
            </w:r>
            <w:proofErr w:type="spellEnd"/>
            <w:r w:rsidRPr="00B8489B">
              <w:rPr>
                <w:rFonts w:eastAsia="Calibri" w:cs="Times New Roman"/>
                <w:sz w:val="20"/>
                <w:szCs w:val="20"/>
                <w:lang w:val="fr-CA"/>
              </w:rPr>
              <w:t xml:space="preserve"> et </w:t>
            </w:r>
            <w:proofErr w:type="spellStart"/>
            <w:r w:rsidRPr="00B8489B">
              <w:rPr>
                <w:rFonts w:eastAsia="Calibri" w:cs="Times New Roman"/>
                <w:sz w:val="20"/>
                <w:szCs w:val="20"/>
                <w:lang w:val="fr-CA"/>
              </w:rPr>
              <w:t>MacInnes</w:t>
            </w:r>
            <w:proofErr w:type="spellEnd"/>
            <w:r w:rsidRPr="00B8489B">
              <w:rPr>
                <w:rFonts w:eastAsia="Calibri" w:cs="Times New Roman"/>
                <w:sz w:val="20"/>
                <w:szCs w:val="20"/>
                <w:lang w:val="fr-CA"/>
              </w:rPr>
              <w:t>)</w:t>
            </w:r>
          </w:p>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2012 MBCA 77</w:t>
            </w:r>
          </w:p>
          <w:p w:rsidR="002C1715" w:rsidRPr="00B8489B" w:rsidRDefault="002C1715" w:rsidP="008F6F48">
            <w:pPr>
              <w:jc w:val="both"/>
              <w:rPr>
                <w:rFonts w:eastAsia="Calibri" w:cs="Times New Roman"/>
                <w:sz w:val="20"/>
                <w:szCs w:val="20"/>
                <w:lang w:val="fr-CA"/>
              </w:rPr>
            </w:pPr>
          </w:p>
        </w:tc>
        <w:tc>
          <w:tcPr>
            <w:tcW w:w="243" w:type="pct"/>
          </w:tcPr>
          <w:p w:rsidR="002C1715" w:rsidRPr="00B8489B" w:rsidRDefault="002C1715" w:rsidP="008F6F48">
            <w:pPr>
              <w:jc w:val="both"/>
              <w:rPr>
                <w:rFonts w:eastAsia="Calibri" w:cs="Times New Roman"/>
                <w:sz w:val="20"/>
                <w:szCs w:val="20"/>
                <w:lang w:val="fr-CA"/>
              </w:rPr>
            </w:pPr>
          </w:p>
        </w:tc>
        <w:tc>
          <w:tcPr>
            <w:tcW w:w="2330" w:type="pct"/>
          </w:tcPr>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Appel rejeté</w:t>
            </w:r>
          </w:p>
          <w:p w:rsidR="002C1715" w:rsidRPr="00B8489B" w:rsidRDefault="002C1715" w:rsidP="008F6F48">
            <w:pPr>
              <w:jc w:val="both"/>
              <w:rPr>
                <w:rFonts w:eastAsia="Calibri" w:cs="Times New Roman"/>
                <w:sz w:val="20"/>
                <w:szCs w:val="20"/>
                <w:lang w:val="fr-CA"/>
              </w:rPr>
            </w:pPr>
          </w:p>
        </w:tc>
      </w:tr>
      <w:tr w:rsidR="002C1715" w:rsidRPr="00B8489B" w:rsidTr="008F6F48">
        <w:tc>
          <w:tcPr>
            <w:tcW w:w="2427" w:type="pct"/>
          </w:tcPr>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16 octobre 2012</w:t>
            </w:r>
          </w:p>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Cour suprême du Canada</w:t>
            </w:r>
          </w:p>
        </w:tc>
        <w:tc>
          <w:tcPr>
            <w:tcW w:w="243" w:type="pct"/>
          </w:tcPr>
          <w:p w:rsidR="002C1715" w:rsidRPr="00B8489B" w:rsidRDefault="002C1715" w:rsidP="008F6F48">
            <w:pPr>
              <w:jc w:val="both"/>
              <w:rPr>
                <w:rFonts w:eastAsia="Calibri" w:cs="Times New Roman"/>
                <w:sz w:val="20"/>
                <w:szCs w:val="20"/>
                <w:lang w:val="fr-CA"/>
              </w:rPr>
            </w:pPr>
          </w:p>
        </w:tc>
        <w:tc>
          <w:tcPr>
            <w:tcW w:w="2330" w:type="pct"/>
          </w:tcPr>
          <w:p w:rsidR="002C1715" w:rsidRPr="00B8489B" w:rsidRDefault="002C1715" w:rsidP="008F6F48">
            <w:pPr>
              <w:jc w:val="both"/>
              <w:rPr>
                <w:rFonts w:eastAsia="Calibri" w:cs="Times New Roman"/>
                <w:sz w:val="20"/>
                <w:szCs w:val="20"/>
                <w:lang w:val="fr-CA"/>
              </w:rPr>
            </w:pPr>
            <w:r w:rsidRPr="00B8489B">
              <w:rPr>
                <w:rFonts w:eastAsia="Calibri" w:cs="Times New Roman"/>
                <w:sz w:val="20"/>
                <w:szCs w:val="20"/>
                <w:lang w:val="fr-CA"/>
              </w:rPr>
              <w:t>Demande d'autorisation d'appel, déposée</w:t>
            </w:r>
          </w:p>
          <w:p w:rsidR="002C1715" w:rsidRPr="00B8489B" w:rsidRDefault="002C1715" w:rsidP="008F6F48">
            <w:pPr>
              <w:jc w:val="both"/>
              <w:rPr>
                <w:rFonts w:eastAsia="Calibri" w:cs="Times New Roman"/>
                <w:sz w:val="20"/>
                <w:szCs w:val="20"/>
                <w:lang w:val="fr-CA"/>
              </w:rPr>
            </w:pPr>
          </w:p>
        </w:tc>
      </w:tr>
    </w:tbl>
    <w:p w:rsidR="002C1715" w:rsidRPr="008D3CB6" w:rsidRDefault="002C1715" w:rsidP="002C1715">
      <w:pPr>
        <w:widowControl w:val="0"/>
        <w:rPr>
          <w:rFonts w:eastAsia="Times New Roman" w:cs="Times New Roman"/>
          <w:sz w:val="20"/>
          <w:szCs w:val="20"/>
        </w:rPr>
      </w:pPr>
    </w:p>
    <w:p w:rsidR="002C1715" w:rsidRPr="008D3CB6" w:rsidRDefault="00D32E73" w:rsidP="002C1715">
      <w:pPr>
        <w:rPr>
          <w:sz w:val="20"/>
          <w:szCs w:val="20"/>
          <w:lang w:val="fr-CA"/>
        </w:rPr>
      </w:pPr>
      <w:r w:rsidRPr="00D32E73">
        <w:rPr>
          <w:sz w:val="20"/>
          <w:szCs w:val="20"/>
          <w:lang w:val="fr-CA"/>
        </w:rPr>
        <w:pict>
          <v:rect id="_x0000_i1055"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7424E4" w:rsidRPr="00C4278F" w:rsidRDefault="007424E4" w:rsidP="007424E4">
      <w:pPr>
        <w:tabs>
          <w:tab w:val="left" w:pos="-1440"/>
          <w:tab w:val="left" w:pos="-720"/>
        </w:tabs>
        <w:jc w:val="both"/>
        <w:rPr>
          <w:rFonts w:eastAsia="Times New Roman" w:cs="Times New Roman"/>
          <w:sz w:val="20"/>
          <w:szCs w:val="20"/>
          <w:lang w:val="fr-CA" w:eastAsia="en-CA"/>
        </w:rPr>
      </w:pPr>
      <w:r w:rsidRPr="00C4278F">
        <w:rPr>
          <w:rFonts w:eastAsia="Times New Roman" w:cs="Times New Roman"/>
          <w:sz w:val="20"/>
          <w:szCs w:val="20"/>
          <w:lang w:val="fr-CA" w:eastAsia="en-CA"/>
        </w:rPr>
        <w:t>29.11.2012</w:t>
      </w:r>
    </w:p>
    <w:p w:rsidR="007424E4" w:rsidRPr="00C4278F" w:rsidRDefault="007424E4" w:rsidP="007424E4">
      <w:pPr>
        <w:tabs>
          <w:tab w:val="left" w:pos="-1440"/>
          <w:tab w:val="left" w:pos="-720"/>
        </w:tabs>
        <w:jc w:val="both"/>
        <w:rPr>
          <w:rFonts w:eastAsia="Times New Roman" w:cs="Times New Roman"/>
          <w:sz w:val="20"/>
          <w:szCs w:val="20"/>
          <w:lang w:val="fr-CA" w:eastAsia="en-CA"/>
        </w:rPr>
      </w:pPr>
    </w:p>
    <w:p w:rsidR="007424E4" w:rsidRPr="00C4278F" w:rsidRDefault="007424E4" w:rsidP="007424E4">
      <w:pPr>
        <w:tabs>
          <w:tab w:val="left" w:pos="-1440"/>
          <w:tab w:val="left" w:pos="-720"/>
        </w:tabs>
        <w:jc w:val="both"/>
        <w:rPr>
          <w:rFonts w:eastAsia="Times New Roman" w:cs="Times New Roman"/>
          <w:sz w:val="20"/>
          <w:szCs w:val="20"/>
          <w:lang w:val="fr-CA" w:eastAsia="en-CA"/>
        </w:rPr>
      </w:pPr>
      <w:proofErr w:type="spellStart"/>
      <w:r w:rsidRPr="00C4278F">
        <w:rPr>
          <w:rFonts w:eastAsia="Times New Roman" w:cs="Times New Roman"/>
          <w:sz w:val="20"/>
          <w:szCs w:val="20"/>
          <w:lang w:val="fr-CA" w:eastAsia="en-CA"/>
        </w:rPr>
        <w:t>Before</w:t>
      </w:r>
      <w:proofErr w:type="spellEnd"/>
      <w:r w:rsidRPr="00C4278F">
        <w:rPr>
          <w:rFonts w:eastAsia="Times New Roman" w:cs="Times New Roman"/>
          <w:sz w:val="20"/>
          <w:szCs w:val="20"/>
          <w:lang w:val="fr-CA" w:eastAsia="en-CA"/>
        </w:rPr>
        <w:t xml:space="preserve"> / Devant :   LEBEL J. / LE JUGE LEBEL</w:t>
      </w:r>
    </w:p>
    <w:p w:rsidR="007424E4" w:rsidRPr="00C4278F" w:rsidRDefault="007424E4" w:rsidP="007424E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424E4" w:rsidRPr="00B32C76" w:rsidTr="008F6F48">
        <w:tc>
          <w:tcPr>
            <w:tcW w:w="4338" w:type="dxa"/>
          </w:tcPr>
          <w:p w:rsidR="007424E4" w:rsidRPr="00C4278F" w:rsidRDefault="007424E4" w:rsidP="008F6F48">
            <w:pPr>
              <w:rPr>
                <w:b/>
              </w:rPr>
            </w:pPr>
            <w:r w:rsidRPr="00C4278F">
              <w:rPr>
                <w:b/>
                <w:lang w:val="en-US"/>
              </w:rPr>
              <w:t>Motion to adduce new evidence</w:t>
            </w:r>
            <w:r w:rsidRPr="00C4278F">
              <w:rPr>
                <w:lang w:val="en-US"/>
              </w:rPr>
              <w:t xml:space="preserve"> </w:t>
            </w:r>
            <w:r w:rsidR="00D32E73" w:rsidRPr="00C4278F">
              <w:rPr>
                <w:lang w:val="en-US"/>
              </w:rPr>
              <w:fldChar w:fldCharType="begin"/>
            </w:r>
            <w:r w:rsidRPr="00C4278F">
              <w:instrText xml:space="preserve"> SEQ CHAPTER \h \r 1</w:instrText>
            </w:r>
            <w:r w:rsidR="00D32E73" w:rsidRPr="00C4278F">
              <w:rPr>
                <w:lang w:val="en-US"/>
              </w:rPr>
              <w:fldChar w:fldCharType="end"/>
            </w:r>
          </w:p>
        </w:tc>
        <w:tc>
          <w:tcPr>
            <w:tcW w:w="1170" w:type="dxa"/>
          </w:tcPr>
          <w:p w:rsidR="007424E4" w:rsidRPr="00C4278F" w:rsidRDefault="007424E4" w:rsidP="008F6F48"/>
          <w:p w:rsidR="007424E4" w:rsidRPr="00C4278F" w:rsidRDefault="007424E4" w:rsidP="008F6F48"/>
        </w:tc>
        <w:tc>
          <w:tcPr>
            <w:tcW w:w="4327" w:type="dxa"/>
          </w:tcPr>
          <w:p w:rsidR="007424E4" w:rsidRPr="00C4278F" w:rsidRDefault="007424E4" w:rsidP="008F6F48">
            <w:pPr>
              <w:rPr>
                <w:b/>
                <w:bCs/>
                <w:lang w:val="fr-CA"/>
              </w:rPr>
            </w:pPr>
            <w:r w:rsidRPr="00C4278F">
              <w:rPr>
                <w:b/>
                <w:bCs/>
                <w:lang w:val="fr-CA"/>
              </w:rPr>
              <w:t xml:space="preserve">Requête en vue de présenter un nouvel élément de preuve </w:t>
            </w:r>
          </w:p>
          <w:p w:rsidR="007424E4" w:rsidRPr="00C4278F" w:rsidRDefault="00D32E73" w:rsidP="008F6F48">
            <w:pPr>
              <w:rPr>
                <w:b/>
                <w:bCs/>
                <w:lang w:val="fr-CA"/>
              </w:rPr>
            </w:pPr>
            <w:r w:rsidRPr="00C4278F">
              <w:rPr>
                <w:lang w:val="en-US"/>
              </w:rPr>
              <w:fldChar w:fldCharType="begin"/>
            </w:r>
            <w:r w:rsidR="007424E4" w:rsidRPr="00C4278F">
              <w:rPr>
                <w:lang w:val="fr-CA"/>
              </w:rPr>
              <w:instrText xml:space="preserve"> SEQ CHAPTER \h \r 1</w:instrText>
            </w:r>
            <w:r w:rsidRPr="00C4278F">
              <w:rPr>
                <w:lang w:val="en-US"/>
              </w:rPr>
              <w:fldChar w:fldCharType="end"/>
            </w:r>
          </w:p>
        </w:tc>
      </w:tr>
      <w:tr w:rsidR="007424E4" w:rsidRPr="00C4278F" w:rsidTr="008F6F48">
        <w:tc>
          <w:tcPr>
            <w:tcW w:w="4338" w:type="dxa"/>
          </w:tcPr>
          <w:p w:rsidR="007424E4" w:rsidRPr="00C4278F" w:rsidRDefault="007424E4" w:rsidP="008F6F48">
            <w:pPr>
              <w:rPr>
                <w:lang w:val="en-US"/>
              </w:rPr>
            </w:pPr>
            <w:proofErr w:type="spellStart"/>
            <w:r w:rsidRPr="00C4278F">
              <w:rPr>
                <w:lang w:val="en-US"/>
              </w:rPr>
              <w:t>Mandeep</w:t>
            </w:r>
            <w:proofErr w:type="spellEnd"/>
            <w:r w:rsidRPr="00C4278F">
              <w:rPr>
                <w:lang w:val="en-US"/>
              </w:rPr>
              <w:t xml:space="preserve"> Singh </w:t>
            </w:r>
            <w:proofErr w:type="spellStart"/>
            <w:r w:rsidRPr="00C4278F">
              <w:rPr>
                <w:lang w:val="en-US"/>
              </w:rPr>
              <w:t>Chehil</w:t>
            </w:r>
            <w:proofErr w:type="spellEnd"/>
            <w:r w:rsidRPr="00C4278F">
              <w:rPr>
                <w:lang w:val="en-US"/>
              </w:rPr>
              <w:t xml:space="preserve"> </w:t>
            </w:r>
          </w:p>
          <w:p w:rsidR="007424E4" w:rsidRPr="00C4278F" w:rsidRDefault="007424E4" w:rsidP="008F6F48">
            <w:pPr>
              <w:rPr>
                <w:lang w:val="en-US"/>
              </w:rPr>
            </w:pPr>
          </w:p>
          <w:p w:rsidR="007424E4" w:rsidRPr="00C4278F" w:rsidRDefault="007424E4" w:rsidP="008F6F48">
            <w:pPr>
              <w:tabs>
                <w:tab w:val="left" w:pos="-1440"/>
                <w:tab w:val="left" w:pos="-720"/>
              </w:tabs>
              <w:jc w:val="both"/>
              <w:rPr>
                <w:lang w:val="en-US"/>
              </w:rPr>
            </w:pPr>
            <w:r w:rsidRPr="00C4278F">
              <w:rPr>
                <w:lang w:val="en-US"/>
              </w:rPr>
              <w:tab/>
              <w:t>v. (34524)</w:t>
            </w:r>
          </w:p>
          <w:p w:rsidR="007424E4" w:rsidRPr="00C4278F" w:rsidRDefault="007424E4" w:rsidP="008F6F48">
            <w:pPr>
              <w:rPr>
                <w:lang w:val="en-US"/>
              </w:rPr>
            </w:pPr>
          </w:p>
          <w:p w:rsidR="007424E4" w:rsidRPr="00C4278F" w:rsidRDefault="007424E4" w:rsidP="008F6F48">
            <w:r w:rsidRPr="00C4278F">
              <w:rPr>
                <w:lang w:val="en-US"/>
              </w:rPr>
              <w:t xml:space="preserve">Her Majesty The Queen (Crim.) (N.S.) </w:t>
            </w:r>
          </w:p>
        </w:tc>
        <w:tc>
          <w:tcPr>
            <w:tcW w:w="1170" w:type="dxa"/>
          </w:tcPr>
          <w:p w:rsidR="007424E4" w:rsidRPr="00C4278F" w:rsidRDefault="007424E4" w:rsidP="008F6F48"/>
        </w:tc>
        <w:tc>
          <w:tcPr>
            <w:tcW w:w="4327" w:type="dxa"/>
          </w:tcPr>
          <w:p w:rsidR="007424E4" w:rsidRPr="00C4278F" w:rsidRDefault="007424E4" w:rsidP="008F6F48">
            <w:pPr>
              <w:rPr>
                <w:lang w:val="en-US"/>
              </w:rPr>
            </w:pPr>
          </w:p>
        </w:tc>
      </w:tr>
    </w:tbl>
    <w:p w:rsidR="007424E4" w:rsidRPr="00C4278F" w:rsidRDefault="007424E4" w:rsidP="007424E4">
      <w:pPr>
        <w:tabs>
          <w:tab w:val="left" w:pos="-1440"/>
          <w:tab w:val="left" w:pos="-720"/>
        </w:tabs>
        <w:jc w:val="both"/>
        <w:rPr>
          <w:rFonts w:eastAsia="Times New Roman" w:cs="Times New Roman"/>
          <w:sz w:val="20"/>
          <w:szCs w:val="20"/>
          <w:lang w:val="en-US" w:eastAsia="en-CA"/>
        </w:rPr>
      </w:pPr>
    </w:p>
    <w:p w:rsidR="007424E4" w:rsidRPr="00C4278F" w:rsidRDefault="007424E4" w:rsidP="007424E4">
      <w:pPr>
        <w:tabs>
          <w:tab w:val="left" w:pos="-1440"/>
          <w:tab w:val="left" w:pos="-720"/>
        </w:tabs>
        <w:jc w:val="both"/>
        <w:rPr>
          <w:rFonts w:eastAsia="Times New Roman" w:cs="Times New Roman"/>
          <w:sz w:val="20"/>
          <w:szCs w:val="20"/>
          <w:lang w:eastAsia="en-CA"/>
        </w:rPr>
      </w:pPr>
      <w:r w:rsidRPr="00C4278F">
        <w:rPr>
          <w:rFonts w:eastAsia="Times New Roman" w:cs="Times New Roman"/>
          <w:b/>
          <w:sz w:val="20"/>
          <w:szCs w:val="20"/>
          <w:lang w:eastAsia="en-CA"/>
        </w:rPr>
        <w:t>REFERRED / R</w:t>
      </w:r>
      <w:r w:rsidRPr="00C4278F">
        <w:rPr>
          <w:rFonts w:eastAsia="Times New Roman" w:cs="Times New Roman"/>
          <w:b/>
          <w:sz w:val="20"/>
          <w:szCs w:val="20"/>
          <w:lang w:val="en-US" w:eastAsia="en-CA"/>
        </w:rPr>
        <w:t>É</w:t>
      </w:r>
      <w:r w:rsidRPr="00C4278F">
        <w:rPr>
          <w:rFonts w:eastAsia="Times New Roman" w:cs="Times New Roman"/>
          <w:b/>
          <w:sz w:val="20"/>
          <w:szCs w:val="20"/>
          <w:lang w:eastAsia="en-CA"/>
        </w:rPr>
        <w:t xml:space="preserve">FÉRÉE </w:t>
      </w:r>
    </w:p>
    <w:p w:rsidR="007424E4" w:rsidRPr="00C4278F" w:rsidRDefault="007424E4" w:rsidP="007424E4">
      <w:pPr>
        <w:tabs>
          <w:tab w:val="left" w:pos="-1440"/>
          <w:tab w:val="left" w:pos="-720"/>
        </w:tabs>
        <w:jc w:val="both"/>
        <w:rPr>
          <w:rFonts w:eastAsia="Times New Roman" w:cs="Times New Roman"/>
          <w:sz w:val="20"/>
          <w:szCs w:val="20"/>
          <w:lang w:eastAsia="en-CA"/>
        </w:rPr>
      </w:pPr>
    </w:p>
    <w:p w:rsidR="007424E4" w:rsidRPr="00C4278F" w:rsidRDefault="007424E4" w:rsidP="007424E4">
      <w:pPr>
        <w:jc w:val="both"/>
        <w:rPr>
          <w:rFonts w:eastAsia="Times New Roman" w:cs="Times New Roman"/>
          <w:b/>
          <w:bCs/>
          <w:sz w:val="20"/>
          <w:szCs w:val="20"/>
          <w:lang w:val="en-US" w:eastAsia="en-CA"/>
        </w:rPr>
      </w:pPr>
      <w:r w:rsidRPr="00C4278F">
        <w:rPr>
          <w:rFonts w:eastAsia="Times New Roman" w:cs="Times New Roman"/>
          <w:b/>
          <w:bCs/>
          <w:sz w:val="20"/>
          <w:szCs w:val="20"/>
          <w:lang w:val="en-US" w:eastAsia="en-CA"/>
        </w:rPr>
        <w:t xml:space="preserve">UPON APPLICATION </w:t>
      </w:r>
      <w:r w:rsidRPr="00C4278F">
        <w:rPr>
          <w:rFonts w:eastAsia="Times New Roman" w:cs="Times New Roman"/>
          <w:sz w:val="20"/>
          <w:szCs w:val="20"/>
          <w:lang w:val="en-US" w:eastAsia="en-CA"/>
        </w:rPr>
        <w:t>by the respondent for an order admitting as fresh evidence the affidavit of Cpl. Greg Fraser (retired), sworn on October 22, 2012;</w:t>
      </w:r>
    </w:p>
    <w:p w:rsidR="007424E4" w:rsidRPr="00C4278F" w:rsidRDefault="007424E4" w:rsidP="007424E4">
      <w:pPr>
        <w:spacing w:line="233" w:lineRule="auto"/>
        <w:rPr>
          <w:rFonts w:eastAsia="Times New Roman" w:cs="Times New Roman"/>
          <w:sz w:val="20"/>
          <w:szCs w:val="20"/>
          <w:lang w:val="en-US" w:eastAsia="en-CA"/>
        </w:rPr>
      </w:pPr>
    </w:p>
    <w:p w:rsidR="007424E4" w:rsidRPr="00C4278F" w:rsidRDefault="007424E4" w:rsidP="007424E4">
      <w:pPr>
        <w:spacing w:line="233" w:lineRule="auto"/>
        <w:jc w:val="both"/>
        <w:rPr>
          <w:rFonts w:eastAsia="Times New Roman" w:cs="Times New Roman"/>
          <w:sz w:val="20"/>
          <w:szCs w:val="20"/>
          <w:lang w:val="en-US" w:eastAsia="en-CA"/>
        </w:rPr>
      </w:pPr>
      <w:r w:rsidRPr="00C4278F">
        <w:rPr>
          <w:rFonts w:eastAsia="Times New Roman" w:cs="Times New Roman"/>
          <w:b/>
          <w:bCs/>
          <w:sz w:val="20"/>
          <w:szCs w:val="20"/>
          <w:lang w:val="en-US" w:eastAsia="en-CA"/>
        </w:rPr>
        <w:t>AND THE MATERIAL FILED</w:t>
      </w:r>
      <w:r w:rsidRPr="00C4278F">
        <w:rPr>
          <w:rFonts w:eastAsia="Times New Roman" w:cs="Times New Roman"/>
          <w:sz w:val="20"/>
          <w:szCs w:val="20"/>
          <w:lang w:val="en-US" w:eastAsia="en-CA"/>
        </w:rPr>
        <w:t xml:space="preserve"> having been read;</w:t>
      </w:r>
    </w:p>
    <w:p w:rsidR="007424E4" w:rsidRPr="00C4278F" w:rsidRDefault="007424E4" w:rsidP="007424E4">
      <w:pPr>
        <w:spacing w:line="233" w:lineRule="auto"/>
        <w:rPr>
          <w:rFonts w:eastAsia="Times New Roman" w:cs="Times New Roman"/>
          <w:sz w:val="20"/>
          <w:szCs w:val="20"/>
          <w:lang w:val="en-US" w:eastAsia="en-CA"/>
        </w:rPr>
      </w:pPr>
    </w:p>
    <w:p w:rsidR="007424E4" w:rsidRPr="00C4278F" w:rsidRDefault="007424E4" w:rsidP="007424E4">
      <w:pPr>
        <w:spacing w:line="233" w:lineRule="auto"/>
        <w:rPr>
          <w:rFonts w:eastAsia="Times New Roman" w:cs="Times New Roman"/>
          <w:sz w:val="20"/>
          <w:szCs w:val="20"/>
          <w:lang w:val="en-US" w:eastAsia="en-CA"/>
        </w:rPr>
      </w:pPr>
      <w:r w:rsidRPr="00C4278F">
        <w:rPr>
          <w:rFonts w:eastAsia="Times New Roman" w:cs="Times New Roman"/>
          <w:b/>
          <w:bCs/>
          <w:sz w:val="20"/>
          <w:szCs w:val="20"/>
          <w:lang w:val="en-US" w:eastAsia="en-CA"/>
        </w:rPr>
        <w:t>IT IS HEREBY ORDERED THAT:</w:t>
      </w:r>
    </w:p>
    <w:p w:rsidR="007424E4" w:rsidRPr="00C4278F" w:rsidRDefault="007424E4" w:rsidP="007424E4">
      <w:pPr>
        <w:spacing w:line="233" w:lineRule="auto"/>
        <w:rPr>
          <w:rFonts w:eastAsia="Times New Roman" w:cs="Times New Roman"/>
          <w:sz w:val="20"/>
          <w:szCs w:val="20"/>
          <w:lang w:val="en-US" w:eastAsia="en-CA"/>
        </w:rPr>
      </w:pPr>
    </w:p>
    <w:p w:rsidR="007424E4" w:rsidRPr="00C4278F" w:rsidRDefault="007424E4" w:rsidP="007424E4">
      <w:pPr>
        <w:tabs>
          <w:tab w:val="left" w:pos="-1440"/>
          <w:tab w:val="left" w:pos="-720"/>
        </w:tabs>
        <w:jc w:val="both"/>
        <w:rPr>
          <w:rFonts w:eastAsia="Times New Roman" w:cs="Times New Roman"/>
          <w:sz w:val="20"/>
          <w:szCs w:val="20"/>
          <w:lang w:val="en-US" w:eastAsia="en-CA"/>
        </w:rPr>
      </w:pPr>
      <w:r w:rsidRPr="00C4278F">
        <w:rPr>
          <w:rFonts w:eastAsia="Times New Roman" w:cs="Times New Roman"/>
          <w:sz w:val="20"/>
          <w:szCs w:val="20"/>
          <w:lang w:val="en-US" w:eastAsia="en-CA"/>
        </w:rPr>
        <w:t>The motion is deferred to the panel hearing the appeal.</w:t>
      </w:r>
    </w:p>
    <w:p w:rsidR="007424E4" w:rsidRPr="00C4278F" w:rsidRDefault="007424E4" w:rsidP="007424E4">
      <w:pPr>
        <w:tabs>
          <w:tab w:val="left" w:pos="-1440"/>
          <w:tab w:val="left" w:pos="-720"/>
        </w:tabs>
        <w:jc w:val="both"/>
        <w:rPr>
          <w:rFonts w:eastAsia="Times New Roman" w:cs="Times New Roman"/>
          <w:sz w:val="20"/>
          <w:szCs w:val="20"/>
          <w:lang w:val="en-US" w:eastAsia="en-CA"/>
        </w:rPr>
      </w:pPr>
    </w:p>
    <w:p w:rsidR="007424E4" w:rsidRPr="00C4278F" w:rsidRDefault="007424E4" w:rsidP="007424E4">
      <w:pPr>
        <w:tabs>
          <w:tab w:val="left" w:pos="-1440"/>
          <w:tab w:val="left" w:pos="-720"/>
        </w:tabs>
        <w:jc w:val="both"/>
        <w:rPr>
          <w:rFonts w:eastAsia="Times New Roman" w:cs="Times New Roman"/>
          <w:sz w:val="20"/>
          <w:szCs w:val="20"/>
          <w:lang w:val="en-US" w:eastAsia="en-CA"/>
        </w:rPr>
      </w:pPr>
    </w:p>
    <w:p w:rsidR="007424E4" w:rsidRPr="00C4278F" w:rsidRDefault="007424E4" w:rsidP="007424E4">
      <w:pPr>
        <w:tabs>
          <w:tab w:val="left" w:pos="-1440"/>
          <w:tab w:val="left" w:pos="-720"/>
        </w:tabs>
        <w:jc w:val="both"/>
        <w:rPr>
          <w:rFonts w:eastAsia="Times New Roman" w:cs="Times New Roman"/>
          <w:sz w:val="20"/>
          <w:szCs w:val="20"/>
          <w:lang w:val="en-US" w:eastAsia="en-CA"/>
        </w:rPr>
      </w:pPr>
    </w:p>
    <w:p w:rsidR="007424E4" w:rsidRPr="00C4278F" w:rsidRDefault="007424E4" w:rsidP="007424E4">
      <w:pPr>
        <w:jc w:val="both"/>
        <w:rPr>
          <w:rFonts w:eastAsia="Times New Roman" w:cs="Times New Roman"/>
          <w:b/>
          <w:bCs/>
          <w:sz w:val="20"/>
          <w:szCs w:val="20"/>
          <w:lang w:val="fr-FR" w:eastAsia="en-CA"/>
        </w:rPr>
      </w:pPr>
      <w:r w:rsidRPr="00C4278F">
        <w:rPr>
          <w:rFonts w:eastAsia="Times New Roman" w:cs="Times New Roman"/>
          <w:b/>
          <w:bCs/>
          <w:sz w:val="20"/>
          <w:szCs w:val="20"/>
          <w:lang w:val="fr-FR" w:eastAsia="en-CA"/>
        </w:rPr>
        <w:t xml:space="preserve">À LA SUITE DE LA DEMANDE </w:t>
      </w:r>
      <w:r w:rsidRPr="00C4278F">
        <w:rPr>
          <w:rFonts w:eastAsia="Times New Roman" w:cs="Times New Roman"/>
          <w:bCs/>
          <w:sz w:val="20"/>
          <w:szCs w:val="20"/>
          <w:lang w:val="fr-FR" w:eastAsia="en-CA"/>
        </w:rPr>
        <w:t xml:space="preserve">présentée par l’intimée en vue de présenter comme nouvel élément de preuve, l’affidavit signé </w:t>
      </w:r>
      <w:r w:rsidRPr="00C4278F">
        <w:rPr>
          <w:rFonts w:eastAsia="Times New Roman" w:cs="Times New Roman"/>
          <w:sz w:val="20"/>
          <w:szCs w:val="20"/>
          <w:lang w:val="fr-FR" w:eastAsia="en-CA"/>
        </w:rPr>
        <w:t xml:space="preserve">le 22 octobre 2012 </w:t>
      </w:r>
      <w:r w:rsidRPr="00C4278F">
        <w:rPr>
          <w:rFonts w:eastAsia="Times New Roman" w:cs="Times New Roman"/>
          <w:bCs/>
          <w:sz w:val="20"/>
          <w:szCs w:val="20"/>
          <w:lang w:val="fr-FR" w:eastAsia="en-CA"/>
        </w:rPr>
        <w:t xml:space="preserve">par le </w:t>
      </w:r>
      <w:proofErr w:type="spellStart"/>
      <w:r w:rsidRPr="00C4278F">
        <w:rPr>
          <w:rFonts w:eastAsia="Times New Roman" w:cs="Times New Roman"/>
          <w:bCs/>
          <w:sz w:val="20"/>
          <w:szCs w:val="20"/>
          <w:lang w:val="fr-FR" w:eastAsia="en-CA"/>
        </w:rPr>
        <w:t>Capl</w:t>
      </w:r>
      <w:proofErr w:type="spellEnd"/>
      <w:r w:rsidRPr="00C4278F">
        <w:rPr>
          <w:rFonts w:eastAsia="Times New Roman" w:cs="Times New Roman"/>
          <w:bCs/>
          <w:sz w:val="20"/>
          <w:szCs w:val="20"/>
          <w:lang w:val="fr-FR" w:eastAsia="en-CA"/>
        </w:rPr>
        <w:t xml:space="preserve">. </w:t>
      </w:r>
      <w:r w:rsidRPr="00C4278F">
        <w:rPr>
          <w:rFonts w:eastAsia="Times New Roman" w:cs="Times New Roman"/>
          <w:sz w:val="20"/>
          <w:szCs w:val="20"/>
          <w:lang w:val="fr-FR" w:eastAsia="en-CA"/>
        </w:rPr>
        <w:t>Greg Fraser (à la retraite);</w:t>
      </w:r>
    </w:p>
    <w:p w:rsidR="007424E4" w:rsidRPr="00C4278F" w:rsidRDefault="007424E4" w:rsidP="007424E4">
      <w:pPr>
        <w:spacing w:line="233" w:lineRule="auto"/>
        <w:rPr>
          <w:rFonts w:eastAsia="Times New Roman" w:cs="Times New Roman"/>
          <w:sz w:val="20"/>
          <w:szCs w:val="20"/>
          <w:lang w:val="fr-FR" w:eastAsia="en-CA"/>
        </w:rPr>
      </w:pPr>
    </w:p>
    <w:p w:rsidR="007424E4" w:rsidRPr="00C4278F" w:rsidRDefault="007424E4" w:rsidP="007424E4">
      <w:pPr>
        <w:spacing w:line="233" w:lineRule="auto"/>
        <w:jc w:val="both"/>
        <w:rPr>
          <w:rFonts w:eastAsia="Times New Roman" w:cs="Times New Roman"/>
          <w:sz w:val="20"/>
          <w:szCs w:val="20"/>
          <w:lang w:val="fr-FR" w:eastAsia="en-CA"/>
        </w:rPr>
      </w:pPr>
      <w:r w:rsidRPr="00C4278F">
        <w:rPr>
          <w:rFonts w:eastAsia="Times New Roman" w:cs="Times New Roman"/>
          <w:b/>
          <w:bCs/>
          <w:sz w:val="20"/>
          <w:szCs w:val="20"/>
          <w:lang w:val="fr-FR" w:eastAsia="en-CA"/>
        </w:rPr>
        <w:t xml:space="preserve">ET APRÈS EXAMEN </w:t>
      </w:r>
      <w:r w:rsidRPr="00C4278F">
        <w:rPr>
          <w:rFonts w:eastAsia="Times New Roman" w:cs="Times New Roman"/>
          <w:bCs/>
          <w:sz w:val="20"/>
          <w:szCs w:val="20"/>
          <w:lang w:val="fr-FR" w:eastAsia="en-CA"/>
        </w:rPr>
        <w:t xml:space="preserve">des documents déposés, </w:t>
      </w:r>
    </w:p>
    <w:p w:rsidR="007424E4" w:rsidRPr="00C4278F" w:rsidRDefault="007424E4" w:rsidP="007424E4">
      <w:pPr>
        <w:spacing w:line="233" w:lineRule="auto"/>
        <w:rPr>
          <w:rFonts w:eastAsia="Times New Roman" w:cs="Times New Roman"/>
          <w:sz w:val="20"/>
          <w:szCs w:val="20"/>
          <w:lang w:val="fr-FR" w:eastAsia="en-CA"/>
        </w:rPr>
      </w:pPr>
    </w:p>
    <w:p w:rsidR="007424E4" w:rsidRPr="00C4278F" w:rsidRDefault="007424E4" w:rsidP="007424E4">
      <w:pPr>
        <w:spacing w:line="233" w:lineRule="auto"/>
        <w:rPr>
          <w:rFonts w:eastAsia="Times New Roman" w:cs="Times New Roman"/>
          <w:sz w:val="20"/>
          <w:szCs w:val="20"/>
          <w:lang w:val="fr-FR" w:eastAsia="en-CA"/>
        </w:rPr>
      </w:pPr>
      <w:r w:rsidRPr="00C4278F">
        <w:rPr>
          <w:rFonts w:eastAsia="Times New Roman" w:cs="Times New Roman"/>
          <w:b/>
          <w:bCs/>
          <w:sz w:val="20"/>
          <w:szCs w:val="20"/>
          <w:lang w:val="fr-FR" w:eastAsia="en-CA"/>
        </w:rPr>
        <w:t xml:space="preserve">IL EST ORDONNÉ CE QUI SUIT : </w:t>
      </w:r>
    </w:p>
    <w:p w:rsidR="007424E4" w:rsidRPr="00C4278F" w:rsidRDefault="007424E4" w:rsidP="007424E4">
      <w:pPr>
        <w:spacing w:line="233" w:lineRule="auto"/>
        <w:rPr>
          <w:rFonts w:eastAsia="Times New Roman" w:cs="Times New Roman"/>
          <w:sz w:val="20"/>
          <w:szCs w:val="20"/>
          <w:lang w:val="fr-FR" w:eastAsia="en-CA"/>
        </w:rPr>
      </w:pPr>
    </w:p>
    <w:p w:rsidR="007424E4" w:rsidRPr="00C4278F" w:rsidRDefault="007424E4" w:rsidP="007424E4">
      <w:pPr>
        <w:spacing w:line="233" w:lineRule="auto"/>
        <w:jc w:val="both"/>
        <w:rPr>
          <w:rFonts w:eastAsia="Times New Roman" w:cs="Times New Roman"/>
          <w:sz w:val="20"/>
          <w:szCs w:val="20"/>
          <w:lang w:val="fr-CA" w:eastAsia="en-CA"/>
        </w:rPr>
      </w:pPr>
      <w:r w:rsidRPr="00C4278F">
        <w:rPr>
          <w:rFonts w:eastAsia="Times New Roman" w:cs="Times New Roman"/>
          <w:sz w:val="20"/>
          <w:szCs w:val="20"/>
          <w:lang w:val="fr-FR" w:eastAsia="en-CA"/>
        </w:rPr>
        <w:t xml:space="preserve">La requête est déférée à la formation qui entendra l’appel. </w:t>
      </w:r>
    </w:p>
    <w:p w:rsidR="007424E4" w:rsidRPr="00C4278F" w:rsidRDefault="007424E4" w:rsidP="007424E4">
      <w:pPr>
        <w:tabs>
          <w:tab w:val="left" w:pos="-1440"/>
          <w:tab w:val="left" w:pos="-720"/>
        </w:tabs>
        <w:jc w:val="both"/>
        <w:rPr>
          <w:rFonts w:eastAsia="Times New Roman" w:cs="Times New Roman"/>
          <w:sz w:val="20"/>
          <w:szCs w:val="20"/>
          <w:lang w:val="fr-CA" w:eastAsia="en-CA"/>
        </w:rPr>
      </w:pPr>
    </w:p>
    <w:p w:rsidR="007424E4" w:rsidRPr="00C4278F" w:rsidRDefault="00D32E73" w:rsidP="007424E4">
      <w:pPr>
        <w:tabs>
          <w:tab w:val="left" w:pos="-1440"/>
          <w:tab w:val="left" w:pos="-720"/>
        </w:tabs>
        <w:jc w:val="both"/>
        <w:rPr>
          <w:rFonts w:eastAsia="Times New Roman" w:cs="Times New Roman"/>
          <w:sz w:val="20"/>
          <w:szCs w:val="20"/>
          <w:lang w:val="fr-CA" w:eastAsia="en-CA"/>
        </w:rPr>
      </w:pPr>
      <w:r w:rsidRPr="00D32E73">
        <w:rPr>
          <w:rFonts w:eastAsia="Times New Roman" w:cs="Times New Roman"/>
          <w:sz w:val="20"/>
          <w:szCs w:val="20"/>
          <w:lang w:val="fr-CA" w:eastAsia="en-CA"/>
        </w:rPr>
        <w:pict>
          <v:rect id="_x0000_i1058" style="width:2in;height:1pt" o:hrpct="0" o:hralign="center" o:hrstd="t" o:hrnoshade="t" o:hr="t" fillcolor="black [3213]" stroked="f"/>
        </w:pict>
      </w:r>
    </w:p>
    <w:p w:rsidR="007424E4" w:rsidRPr="00C4278F" w:rsidRDefault="007424E4" w:rsidP="007424E4">
      <w:pPr>
        <w:tabs>
          <w:tab w:val="left" w:pos="-1440"/>
          <w:tab w:val="left" w:pos="-720"/>
        </w:tabs>
        <w:jc w:val="both"/>
        <w:rPr>
          <w:rFonts w:eastAsia="Times New Roman" w:cs="Times New Roman"/>
          <w:sz w:val="20"/>
          <w:szCs w:val="20"/>
          <w:lang w:val="fr-CA" w:eastAsia="en-CA"/>
        </w:rPr>
      </w:pPr>
    </w:p>
    <w:p w:rsidR="007424E4" w:rsidRPr="00C4278F" w:rsidRDefault="007424E4" w:rsidP="007424E4">
      <w:pPr>
        <w:tabs>
          <w:tab w:val="left" w:pos="-1440"/>
          <w:tab w:val="left" w:pos="-720"/>
        </w:tabs>
        <w:jc w:val="both"/>
        <w:rPr>
          <w:rFonts w:eastAsia="Times New Roman" w:cs="Times New Roman"/>
          <w:sz w:val="20"/>
          <w:szCs w:val="20"/>
          <w:lang w:val="fr-CA" w:eastAsia="en-CA"/>
        </w:rPr>
      </w:pPr>
      <w:r w:rsidRPr="00C4278F">
        <w:rPr>
          <w:rFonts w:eastAsia="Times New Roman" w:cs="Times New Roman"/>
          <w:sz w:val="20"/>
          <w:szCs w:val="20"/>
          <w:lang w:val="fr-CA" w:eastAsia="en-CA"/>
        </w:rPr>
        <w:t>03.12.2012</w:t>
      </w:r>
    </w:p>
    <w:p w:rsidR="007424E4" w:rsidRPr="00C4278F" w:rsidRDefault="007424E4" w:rsidP="007424E4">
      <w:pPr>
        <w:tabs>
          <w:tab w:val="left" w:pos="-1440"/>
          <w:tab w:val="left" w:pos="-720"/>
        </w:tabs>
        <w:jc w:val="both"/>
        <w:rPr>
          <w:rFonts w:eastAsia="Times New Roman" w:cs="Times New Roman"/>
          <w:sz w:val="20"/>
          <w:szCs w:val="20"/>
          <w:lang w:val="fr-CA" w:eastAsia="en-CA"/>
        </w:rPr>
      </w:pPr>
    </w:p>
    <w:p w:rsidR="007424E4" w:rsidRPr="00C4278F" w:rsidRDefault="007424E4" w:rsidP="007424E4">
      <w:pPr>
        <w:jc w:val="both"/>
        <w:rPr>
          <w:rFonts w:eastAsia="Times New Roman" w:cs="Times New Roman"/>
          <w:sz w:val="20"/>
          <w:szCs w:val="20"/>
          <w:lang w:val="fr-CA" w:eastAsia="en-CA"/>
        </w:rPr>
      </w:pPr>
      <w:proofErr w:type="spellStart"/>
      <w:r w:rsidRPr="00C4278F">
        <w:rPr>
          <w:rFonts w:eastAsia="Times New Roman" w:cs="Times New Roman"/>
          <w:sz w:val="20"/>
          <w:szCs w:val="20"/>
          <w:lang w:val="fr-CA" w:eastAsia="en-CA"/>
        </w:rPr>
        <w:t>Before</w:t>
      </w:r>
      <w:proofErr w:type="spellEnd"/>
      <w:r w:rsidRPr="00C4278F">
        <w:rPr>
          <w:rFonts w:eastAsia="Times New Roman" w:cs="Times New Roman"/>
          <w:sz w:val="20"/>
          <w:szCs w:val="20"/>
          <w:lang w:val="fr-CA" w:eastAsia="en-CA"/>
        </w:rPr>
        <w:t xml:space="preserve"> / Devant:   </w:t>
      </w:r>
      <w:proofErr w:type="spellStart"/>
      <w:r w:rsidRPr="00C4278F">
        <w:rPr>
          <w:rFonts w:eastAsia="Times New Roman" w:cs="Times New Roman"/>
          <w:sz w:val="20"/>
          <w:szCs w:val="20"/>
          <w:lang w:val="fr-CA" w:eastAsia="en-CA"/>
        </w:rPr>
        <w:t>McLACHLIN</w:t>
      </w:r>
      <w:proofErr w:type="spellEnd"/>
      <w:r w:rsidRPr="00C4278F">
        <w:rPr>
          <w:rFonts w:eastAsia="Times New Roman" w:cs="Times New Roman"/>
          <w:sz w:val="20"/>
          <w:szCs w:val="20"/>
          <w:lang w:val="fr-CA" w:eastAsia="en-CA"/>
        </w:rPr>
        <w:t xml:space="preserve"> C.J. / LA JUGE EN CHEF </w:t>
      </w:r>
      <w:proofErr w:type="spellStart"/>
      <w:r w:rsidRPr="00C4278F">
        <w:rPr>
          <w:rFonts w:eastAsia="Times New Roman" w:cs="Times New Roman"/>
          <w:sz w:val="20"/>
          <w:szCs w:val="20"/>
          <w:lang w:val="fr-CA" w:eastAsia="en-CA"/>
        </w:rPr>
        <w:t>McLACHLIN</w:t>
      </w:r>
      <w:proofErr w:type="spellEnd"/>
    </w:p>
    <w:p w:rsidR="007424E4" w:rsidRPr="00C4278F" w:rsidRDefault="007424E4" w:rsidP="007424E4">
      <w:pPr>
        <w:tabs>
          <w:tab w:val="left" w:pos="-1440"/>
          <w:tab w:val="left" w:pos="-720"/>
        </w:tabs>
        <w:spacing w:line="-19" w:lineRule="auto"/>
        <w:jc w:val="both"/>
        <w:rPr>
          <w:rFonts w:eastAsia="Times New Roman" w:cs="Times New Roman"/>
          <w:sz w:val="20"/>
          <w:szCs w:val="20"/>
          <w:lang w:val="fr-CA" w:eastAsia="en-CA"/>
        </w:rPr>
      </w:pPr>
    </w:p>
    <w:p w:rsidR="007424E4" w:rsidRPr="00C4278F" w:rsidRDefault="007424E4" w:rsidP="007424E4">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424E4" w:rsidRPr="00C4278F" w:rsidTr="008F6F48">
        <w:trPr>
          <w:trHeight w:val="151"/>
        </w:trPr>
        <w:tc>
          <w:tcPr>
            <w:tcW w:w="4338" w:type="dxa"/>
          </w:tcPr>
          <w:p w:rsidR="007424E4" w:rsidRPr="00C4278F" w:rsidRDefault="00D32E73" w:rsidP="008F6F48">
            <w:pPr>
              <w:jc w:val="both"/>
              <w:rPr>
                <w:lang w:val="en-US"/>
              </w:rPr>
            </w:pPr>
            <w:r w:rsidRPr="00C4278F">
              <w:rPr>
                <w:lang w:val="en-US"/>
              </w:rPr>
              <w:fldChar w:fldCharType="begin"/>
            </w:r>
            <w:r w:rsidR="007424E4" w:rsidRPr="00C4278F">
              <w:rPr>
                <w:lang w:val="en-US"/>
              </w:rPr>
              <w:instrText xml:space="preserve"> SEQ CHAPTER \h \r 1</w:instrText>
            </w:r>
            <w:r w:rsidRPr="00C4278F">
              <w:rPr>
                <w:lang w:val="en-US"/>
              </w:rPr>
              <w:fldChar w:fldCharType="end"/>
            </w:r>
            <w:r w:rsidR="007424E4" w:rsidRPr="00C4278F">
              <w:rPr>
                <w:b/>
                <w:bCs/>
                <w:lang w:val="en-US"/>
              </w:rPr>
              <w:t xml:space="preserve">Miscellaneous motions </w:t>
            </w:r>
          </w:p>
        </w:tc>
        <w:tc>
          <w:tcPr>
            <w:tcW w:w="1170" w:type="dxa"/>
          </w:tcPr>
          <w:p w:rsidR="007424E4" w:rsidRPr="00C4278F" w:rsidRDefault="007424E4" w:rsidP="008F6F48">
            <w:pPr>
              <w:jc w:val="both"/>
            </w:pPr>
          </w:p>
          <w:p w:rsidR="007424E4" w:rsidRPr="00C4278F" w:rsidRDefault="007424E4" w:rsidP="008F6F48">
            <w:pPr>
              <w:jc w:val="both"/>
            </w:pPr>
          </w:p>
        </w:tc>
        <w:tc>
          <w:tcPr>
            <w:tcW w:w="4327" w:type="dxa"/>
          </w:tcPr>
          <w:p w:rsidR="007424E4" w:rsidRPr="00C4278F" w:rsidRDefault="00D32E73" w:rsidP="008F6F48">
            <w:pPr>
              <w:jc w:val="both"/>
              <w:rPr>
                <w:b/>
                <w:lang w:val="fr-CA"/>
              </w:rPr>
            </w:pPr>
            <w:r w:rsidRPr="00C4278F">
              <w:rPr>
                <w:b/>
                <w:lang w:val="en-US"/>
              </w:rPr>
              <w:fldChar w:fldCharType="begin"/>
            </w:r>
            <w:r w:rsidR="007424E4" w:rsidRPr="00C4278F">
              <w:rPr>
                <w:b/>
                <w:lang w:val="fr-CA"/>
              </w:rPr>
              <w:instrText xml:space="preserve"> SEQ CHAPTER \h \r 1</w:instrText>
            </w:r>
            <w:r w:rsidRPr="00C4278F">
              <w:rPr>
                <w:b/>
                <w:lang w:val="en-US"/>
              </w:rPr>
              <w:fldChar w:fldCharType="end"/>
            </w:r>
            <w:proofErr w:type="spellStart"/>
            <w:r w:rsidR="007424E4" w:rsidRPr="00C4278F">
              <w:rPr>
                <w:b/>
                <w:lang w:val="en-US"/>
              </w:rPr>
              <w:t>Requ</w:t>
            </w:r>
            <w:r w:rsidR="007424E4" w:rsidRPr="00C4278F">
              <w:rPr>
                <w:b/>
              </w:rPr>
              <w:t>êtes</w:t>
            </w:r>
            <w:proofErr w:type="spellEnd"/>
            <w:r w:rsidRPr="00C4278F">
              <w:rPr>
                <w:b/>
                <w:lang w:val="en-US"/>
              </w:rPr>
              <w:fldChar w:fldCharType="begin"/>
            </w:r>
            <w:r w:rsidR="007424E4" w:rsidRPr="00C4278F">
              <w:rPr>
                <w:b/>
                <w:lang w:val="fr-CA"/>
              </w:rPr>
              <w:instrText xml:space="preserve"> SEQ CHAPTER \h \r 1</w:instrText>
            </w:r>
            <w:r w:rsidRPr="00C4278F">
              <w:rPr>
                <w:b/>
                <w:lang w:val="en-US"/>
              </w:rPr>
              <w:fldChar w:fldCharType="end"/>
            </w:r>
            <w:r w:rsidR="007424E4" w:rsidRPr="00C4278F">
              <w:rPr>
                <w:b/>
                <w:lang w:val="en-US"/>
              </w:rPr>
              <w:t xml:space="preserve"> </w:t>
            </w:r>
            <w:proofErr w:type="spellStart"/>
            <w:r w:rsidR="007424E4" w:rsidRPr="00C4278F">
              <w:rPr>
                <w:b/>
                <w:lang w:val="en-US"/>
              </w:rPr>
              <w:t>diverses</w:t>
            </w:r>
            <w:proofErr w:type="spellEnd"/>
          </w:p>
        </w:tc>
      </w:tr>
      <w:tr w:rsidR="007424E4" w:rsidRPr="00B32C76" w:rsidTr="008F6F48">
        <w:trPr>
          <w:trHeight w:val="150"/>
        </w:trPr>
        <w:tc>
          <w:tcPr>
            <w:tcW w:w="4338" w:type="dxa"/>
          </w:tcPr>
          <w:p w:rsidR="007424E4" w:rsidRPr="00C4278F" w:rsidRDefault="007424E4" w:rsidP="008F6F48">
            <w:pPr>
              <w:jc w:val="both"/>
              <w:rPr>
                <w:lang w:val="fr-CA"/>
              </w:rPr>
            </w:pPr>
            <w:proofErr w:type="spellStart"/>
            <w:r w:rsidRPr="00C4278F">
              <w:rPr>
                <w:bCs/>
                <w:lang w:val="fr-CA"/>
              </w:rPr>
              <w:t>Pierino</w:t>
            </w:r>
            <w:proofErr w:type="spellEnd"/>
            <w:r w:rsidRPr="00C4278F">
              <w:rPr>
                <w:bCs/>
                <w:lang w:val="fr-CA"/>
              </w:rPr>
              <w:t xml:space="preserve"> </w:t>
            </w:r>
            <w:proofErr w:type="spellStart"/>
            <w:r w:rsidRPr="00C4278F">
              <w:rPr>
                <w:bCs/>
                <w:lang w:val="fr-CA"/>
              </w:rPr>
              <w:t>Divito</w:t>
            </w:r>
            <w:proofErr w:type="spellEnd"/>
          </w:p>
          <w:p w:rsidR="007424E4" w:rsidRPr="00C4278F" w:rsidRDefault="007424E4" w:rsidP="008F6F48">
            <w:pPr>
              <w:tabs>
                <w:tab w:val="left" w:pos="-1440"/>
                <w:tab w:val="left" w:pos="-720"/>
              </w:tabs>
              <w:jc w:val="both"/>
              <w:rPr>
                <w:lang w:val="fr-CA"/>
              </w:rPr>
            </w:pPr>
          </w:p>
          <w:p w:rsidR="007424E4" w:rsidRPr="00C4278F" w:rsidRDefault="007424E4" w:rsidP="008F6F48">
            <w:pPr>
              <w:tabs>
                <w:tab w:val="left" w:pos="-1440"/>
                <w:tab w:val="left" w:pos="-720"/>
              </w:tabs>
              <w:jc w:val="both"/>
              <w:rPr>
                <w:lang w:val="fr-CA"/>
              </w:rPr>
            </w:pPr>
            <w:r w:rsidRPr="00C4278F">
              <w:rPr>
                <w:lang w:val="fr-CA"/>
              </w:rPr>
              <w:tab/>
              <w:t>c. (34128)</w:t>
            </w:r>
          </w:p>
          <w:p w:rsidR="007424E4" w:rsidRPr="00C4278F" w:rsidRDefault="007424E4" w:rsidP="008F6F48">
            <w:pPr>
              <w:tabs>
                <w:tab w:val="left" w:pos="-1440"/>
                <w:tab w:val="left" w:pos="-720"/>
              </w:tabs>
              <w:jc w:val="both"/>
              <w:rPr>
                <w:lang w:val="fr-CA"/>
              </w:rPr>
            </w:pPr>
          </w:p>
          <w:p w:rsidR="007424E4" w:rsidRPr="00C4278F" w:rsidRDefault="007424E4" w:rsidP="008F6F48">
            <w:pPr>
              <w:jc w:val="both"/>
              <w:rPr>
                <w:lang w:val="fr-CA"/>
              </w:rPr>
            </w:pPr>
            <w:r w:rsidRPr="00C4278F">
              <w:rPr>
                <w:bCs/>
                <w:lang w:val="fr-CA"/>
              </w:rPr>
              <w:t xml:space="preserve">Ministre de la sécurité publique et de la protection civile </w:t>
            </w:r>
            <w:r w:rsidRPr="00C4278F">
              <w:rPr>
                <w:lang w:val="fr-CA"/>
              </w:rPr>
              <w:t>(C.F.)</w:t>
            </w:r>
          </w:p>
        </w:tc>
        <w:tc>
          <w:tcPr>
            <w:tcW w:w="1170" w:type="dxa"/>
          </w:tcPr>
          <w:p w:rsidR="007424E4" w:rsidRPr="00C4278F" w:rsidRDefault="007424E4" w:rsidP="008F6F48">
            <w:pPr>
              <w:jc w:val="both"/>
              <w:rPr>
                <w:lang w:val="fr-CA"/>
              </w:rPr>
            </w:pPr>
          </w:p>
        </w:tc>
        <w:tc>
          <w:tcPr>
            <w:tcW w:w="4327" w:type="dxa"/>
          </w:tcPr>
          <w:p w:rsidR="007424E4" w:rsidRPr="00C4278F" w:rsidRDefault="007424E4" w:rsidP="008F6F48">
            <w:pPr>
              <w:jc w:val="both"/>
              <w:rPr>
                <w:lang w:val="fr-CA"/>
              </w:rPr>
            </w:pPr>
          </w:p>
        </w:tc>
      </w:tr>
    </w:tbl>
    <w:p w:rsidR="007424E4" w:rsidRPr="00C4278F" w:rsidRDefault="007424E4" w:rsidP="007424E4">
      <w:pPr>
        <w:tabs>
          <w:tab w:val="left" w:pos="-1440"/>
          <w:tab w:val="left" w:pos="-720"/>
        </w:tabs>
        <w:jc w:val="both"/>
        <w:rPr>
          <w:rFonts w:eastAsia="Times New Roman" w:cs="Times New Roman"/>
          <w:sz w:val="20"/>
          <w:szCs w:val="20"/>
          <w:lang w:val="fr-CA" w:eastAsia="en-CA"/>
        </w:rPr>
      </w:pPr>
    </w:p>
    <w:p w:rsidR="007424E4" w:rsidRPr="00C4278F" w:rsidRDefault="007424E4" w:rsidP="007424E4">
      <w:pPr>
        <w:tabs>
          <w:tab w:val="left" w:pos="-1440"/>
          <w:tab w:val="left" w:pos="-720"/>
        </w:tabs>
        <w:jc w:val="both"/>
        <w:rPr>
          <w:rFonts w:eastAsia="Times New Roman" w:cs="Times New Roman"/>
          <w:sz w:val="20"/>
          <w:szCs w:val="20"/>
          <w:lang w:val="fr-CA" w:eastAsia="en-CA"/>
        </w:rPr>
      </w:pPr>
      <w:r w:rsidRPr="00C4278F">
        <w:rPr>
          <w:rFonts w:eastAsia="Times New Roman" w:cs="Times New Roman"/>
          <w:b/>
          <w:sz w:val="20"/>
          <w:szCs w:val="20"/>
          <w:lang w:val="fr-CA" w:eastAsia="en-CA"/>
        </w:rPr>
        <w:t xml:space="preserve">GRANTED IN PART / ACCORDÉE EN PARTIE </w:t>
      </w:r>
    </w:p>
    <w:p w:rsidR="007424E4" w:rsidRPr="00C4278F" w:rsidRDefault="007424E4" w:rsidP="007424E4">
      <w:pPr>
        <w:tabs>
          <w:tab w:val="left" w:pos="-1440"/>
          <w:tab w:val="left" w:pos="-720"/>
        </w:tabs>
        <w:jc w:val="both"/>
        <w:rPr>
          <w:rFonts w:eastAsia="Times New Roman" w:cs="Times New Roman"/>
          <w:sz w:val="20"/>
          <w:szCs w:val="20"/>
          <w:lang w:val="fr-CA" w:eastAsia="en-CA"/>
        </w:rPr>
      </w:pPr>
    </w:p>
    <w:p w:rsidR="007424E4" w:rsidRPr="00C4278F" w:rsidRDefault="007424E4" w:rsidP="007424E4">
      <w:pPr>
        <w:jc w:val="both"/>
        <w:rPr>
          <w:rFonts w:eastAsia="Times New Roman" w:cs="Times New Roman"/>
          <w:sz w:val="20"/>
          <w:szCs w:val="20"/>
          <w:lang w:val="fr-CA" w:eastAsia="en-CA"/>
        </w:rPr>
      </w:pPr>
      <w:r w:rsidRPr="00C4278F">
        <w:rPr>
          <w:rFonts w:eastAsia="Times New Roman" w:cs="Times New Roman"/>
          <w:b/>
          <w:bCs/>
          <w:sz w:val="20"/>
          <w:szCs w:val="20"/>
          <w:lang w:val="fr-CA" w:eastAsia="en-CA"/>
        </w:rPr>
        <w:t>À LA SUITE DE LA DEMANDE</w:t>
      </w:r>
      <w:r w:rsidRPr="00C4278F">
        <w:rPr>
          <w:rFonts w:eastAsia="Times New Roman" w:cs="Times New Roman"/>
          <w:sz w:val="20"/>
          <w:szCs w:val="20"/>
          <w:lang w:val="fr-CA" w:eastAsia="en-CA"/>
        </w:rPr>
        <w:t xml:space="preserve"> de l’intimé visant à obtenir la cassation de l’appel et la prorogation du délai de signification et de dépôt de la requête en cassation de l’appel;</w:t>
      </w:r>
    </w:p>
    <w:p w:rsidR="007424E4" w:rsidRPr="00C4278F" w:rsidRDefault="007424E4" w:rsidP="007424E4">
      <w:pPr>
        <w:jc w:val="both"/>
        <w:rPr>
          <w:rFonts w:eastAsia="Times New Roman" w:cs="Times New Roman"/>
          <w:sz w:val="20"/>
          <w:szCs w:val="20"/>
          <w:lang w:val="fr-CA" w:eastAsia="en-CA"/>
        </w:rPr>
      </w:pPr>
      <w:r w:rsidRPr="00C4278F">
        <w:rPr>
          <w:rFonts w:eastAsia="Times New Roman" w:cs="Times New Roman"/>
          <w:b/>
          <w:bCs/>
          <w:sz w:val="20"/>
          <w:szCs w:val="20"/>
          <w:lang w:val="fr-CA" w:eastAsia="en-CA"/>
        </w:rPr>
        <w:lastRenderedPageBreak/>
        <w:t>ET À LA SUITE DE LA DEMANDE</w:t>
      </w:r>
      <w:r w:rsidRPr="00C4278F">
        <w:rPr>
          <w:rFonts w:eastAsia="Times New Roman" w:cs="Times New Roman"/>
          <w:sz w:val="20"/>
          <w:szCs w:val="20"/>
          <w:lang w:val="fr-CA" w:eastAsia="en-CA"/>
        </w:rPr>
        <w:t xml:space="preserve"> de l’appelant visant à obtenir la prorogation du délai de  signification et de dépôt de la réponse à la requête en cassation de l'appel;</w:t>
      </w:r>
    </w:p>
    <w:p w:rsidR="007424E4" w:rsidRPr="00C4278F" w:rsidRDefault="007424E4" w:rsidP="007424E4">
      <w:pPr>
        <w:rPr>
          <w:rFonts w:cs="Times New Roman"/>
          <w:sz w:val="20"/>
          <w:szCs w:val="20"/>
          <w:lang w:val="fr-CA"/>
        </w:rPr>
      </w:pPr>
    </w:p>
    <w:p w:rsidR="007424E4" w:rsidRPr="00C4278F" w:rsidRDefault="007424E4" w:rsidP="007424E4">
      <w:pPr>
        <w:jc w:val="both"/>
        <w:rPr>
          <w:rFonts w:eastAsia="Times New Roman" w:cs="Times New Roman"/>
          <w:sz w:val="20"/>
          <w:szCs w:val="20"/>
          <w:lang w:val="fr-CA" w:eastAsia="en-CA"/>
        </w:rPr>
      </w:pPr>
      <w:r w:rsidRPr="00C4278F">
        <w:rPr>
          <w:rFonts w:eastAsia="Times New Roman" w:cs="Times New Roman"/>
          <w:b/>
          <w:bCs/>
          <w:sz w:val="20"/>
          <w:szCs w:val="20"/>
          <w:lang w:val="fr-CA" w:eastAsia="en-CA"/>
        </w:rPr>
        <w:t>ET À LA SUITE DE LA DEMANDE</w:t>
      </w:r>
      <w:r w:rsidRPr="00C4278F">
        <w:rPr>
          <w:rFonts w:eastAsia="Times New Roman" w:cs="Times New Roman"/>
          <w:sz w:val="20"/>
          <w:szCs w:val="20"/>
          <w:lang w:val="fr-CA" w:eastAsia="en-CA"/>
        </w:rPr>
        <w:t xml:space="preserve"> de l’appelant visant à obtenir la formulation de questions constitutionnelles et la prorogation du délai de signification et de dépôt de la requête en formulation de questions constitutionnelles;</w:t>
      </w:r>
    </w:p>
    <w:p w:rsidR="007424E4" w:rsidRPr="00C4278F" w:rsidRDefault="007424E4" w:rsidP="007424E4">
      <w:pPr>
        <w:jc w:val="both"/>
        <w:rPr>
          <w:rFonts w:eastAsia="Times New Roman" w:cs="Times New Roman"/>
          <w:sz w:val="20"/>
          <w:szCs w:val="20"/>
          <w:lang w:val="fr-CA" w:eastAsia="en-CA"/>
        </w:rPr>
      </w:pPr>
    </w:p>
    <w:p w:rsidR="007424E4" w:rsidRPr="00C4278F" w:rsidRDefault="007424E4" w:rsidP="007424E4">
      <w:pPr>
        <w:rPr>
          <w:rFonts w:cs="Times New Roman"/>
          <w:sz w:val="20"/>
          <w:szCs w:val="20"/>
          <w:lang w:val="fr-CA"/>
        </w:rPr>
      </w:pPr>
      <w:r w:rsidRPr="00C4278F">
        <w:rPr>
          <w:rFonts w:cs="Times New Roman"/>
          <w:b/>
          <w:bCs/>
          <w:sz w:val="20"/>
          <w:szCs w:val="20"/>
          <w:lang w:val="fr-CA"/>
        </w:rPr>
        <w:t>ET À LA SUITE DE LA DEMANDE</w:t>
      </w:r>
      <w:r w:rsidRPr="00C4278F">
        <w:rPr>
          <w:rFonts w:cs="Times New Roman"/>
          <w:sz w:val="20"/>
          <w:szCs w:val="20"/>
          <w:lang w:val="fr-CA"/>
        </w:rPr>
        <w:t xml:space="preserve"> de l’appelant visant à obtenir la prorogation du délai de  signification et de dépôt de </w:t>
      </w:r>
      <w:proofErr w:type="gramStart"/>
      <w:r w:rsidRPr="00C4278F">
        <w:rPr>
          <w:rFonts w:cs="Times New Roman"/>
          <w:sz w:val="20"/>
          <w:szCs w:val="20"/>
          <w:lang w:val="fr-CA"/>
        </w:rPr>
        <w:t>ses mémoire</w:t>
      </w:r>
      <w:proofErr w:type="gramEnd"/>
      <w:r w:rsidRPr="00C4278F">
        <w:rPr>
          <w:rFonts w:cs="Times New Roman"/>
          <w:sz w:val="20"/>
          <w:szCs w:val="20"/>
          <w:lang w:val="fr-CA"/>
        </w:rPr>
        <w:t>, dossier et recueil de sources;</w:t>
      </w:r>
    </w:p>
    <w:p w:rsidR="007424E4" w:rsidRPr="00C4278F" w:rsidRDefault="007424E4" w:rsidP="007424E4">
      <w:pPr>
        <w:jc w:val="both"/>
        <w:rPr>
          <w:rFonts w:eastAsia="Times New Roman" w:cs="Times New Roman"/>
          <w:sz w:val="20"/>
          <w:szCs w:val="20"/>
          <w:lang w:val="fr-CA" w:eastAsia="en-CA"/>
        </w:rPr>
      </w:pPr>
    </w:p>
    <w:p w:rsidR="007424E4" w:rsidRPr="00C4278F" w:rsidRDefault="007424E4" w:rsidP="007424E4">
      <w:pPr>
        <w:jc w:val="both"/>
        <w:rPr>
          <w:rFonts w:eastAsia="Times New Roman" w:cs="Times New Roman"/>
          <w:sz w:val="20"/>
          <w:szCs w:val="20"/>
          <w:lang w:val="fr-CA" w:eastAsia="en-CA"/>
        </w:rPr>
      </w:pPr>
      <w:r w:rsidRPr="00C4278F">
        <w:rPr>
          <w:rFonts w:eastAsia="Times New Roman" w:cs="Times New Roman"/>
          <w:b/>
          <w:bCs/>
          <w:sz w:val="20"/>
          <w:szCs w:val="20"/>
          <w:lang w:val="fr-CA" w:eastAsia="en-CA"/>
        </w:rPr>
        <w:t xml:space="preserve">ET APRÈS EXAMEN </w:t>
      </w:r>
      <w:r w:rsidRPr="00C4278F">
        <w:rPr>
          <w:rFonts w:eastAsia="Times New Roman" w:cs="Times New Roman"/>
          <w:bCs/>
          <w:sz w:val="20"/>
          <w:szCs w:val="20"/>
          <w:lang w:val="fr-CA" w:eastAsia="en-CA"/>
        </w:rPr>
        <w:t>des documents</w:t>
      </w:r>
      <w:r w:rsidRPr="00C4278F">
        <w:rPr>
          <w:rFonts w:eastAsia="Times New Roman" w:cs="Times New Roman"/>
          <w:sz w:val="20"/>
          <w:szCs w:val="20"/>
          <w:lang w:val="fr-CA" w:eastAsia="en-CA"/>
        </w:rPr>
        <w:t xml:space="preserve"> déposés;</w:t>
      </w:r>
    </w:p>
    <w:p w:rsidR="007424E4" w:rsidRPr="00C4278F" w:rsidRDefault="007424E4" w:rsidP="007424E4">
      <w:pPr>
        <w:jc w:val="both"/>
        <w:rPr>
          <w:rFonts w:eastAsia="Times New Roman" w:cs="Times New Roman"/>
          <w:sz w:val="20"/>
          <w:szCs w:val="20"/>
          <w:lang w:val="fr-CA" w:eastAsia="en-CA"/>
        </w:rPr>
      </w:pPr>
    </w:p>
    <w:p w:rsidR="007424E4" w:rsidRPr="00C4278F" w:rsidRDefault="007424E4" w:rsidP="007424E4">
      <w:pPr>
        <w:jc w:val="both"/>
        <w:rPr>
          <w:rFonts w:eastAsia="Times New Roman" w:cs="Times New Roman"/>
          <w:b/>
          <w:bCs/>
          <w:color w:val="000000"/>
          <w:sz w:val="20"/>
          <w:szCs w:val="20"/>
          <w:lang w:val="en-US" w:eastAsia="en-CA"/>
        </w:rPr>
      </w:pPr>
      <w:r w:rsidRPr="00C4278F">
        <w:rPr>
          <w:rFonts w:eastAsia="Times New Roman" w:cs="Times New Roman"/>
          <w:b/>
          <w:bCs/>
          <w:color w:val="000000"/>
          <w:sz w:val="20"/>
          <w:szCs w:val="20"/>
          <w:lang w:val="en-US" w:eastAsia="en-CA"/>
        </w:rPr>
        <w:t xml:space="preserve">L’ORDONNANCE SUIVANTE EST </w:t>
      </w:r>
      <w:proofErr w:type="gramStart"/>
      <w:r w:rsidRPr="00C4278F">
        <w:rPr>
          <w:rFonts w:eastAsia="Times New Roman" w:cs="Times New Roman"/>
          <w:b/>
          <w:bCs/>
          <w:color w:val="000000"/>
          <w:sz w:val="20"/>
          <w:szCs w:val="20"/>
          <w:lang w:val="en-US" w:eastAsia="en-CA"/>
        </w:rPr>
        <w:t>RENDUE :</w:t>
      </w:r>
      <w:proofErr w:type="gramEnd"/>
    </w:p>
    <w:p w:rsidR="007424E4" w:rsidRPr="00C4278F" w:rsidRDefault="007424E4" w:rsidP="007424E4">
      <w:pPr>
        <w:jc w:val="both"/>
        <w:rPr>
          <w:rFonts w:eastAsia="Times New Roman" w:cs="Times New Roman"/>
          <w:b/>
          <w:bCs/>
          <w:color w:val="000000"/>
          <w:sz w:val="20"/>
          <w:szCs w:val="20"/>
          <w:lang w:val="en-US" w:eastAsia="en-CA"/>
        </w:rPr>
      </w:pPr>
    </w:p>
    <w:p w:rsidR="007424E4" w:rsidRPr="00C4278F" w:rsidRDefault="007424E4" w:rsidP="007424E4">
      <w:pPr>
        <w:numPr>
          <w:ilvl w:val="0"/>
          <w:numId w:val="3"/>
        </w:numPr>
        <w:rPr>
          <w:rFonts w:cs="Times New Roman"/>
          <w:sz w:val="20"/>
          <w:szCs w:val="20"/>
          <w:lang w:val="fr-CA"/>
        </w:rPr>
      </w:pPr>
      <w:r w:rsidRPr="00C4278F">
        <w:rPr>
          <w:rFonts w:cs="Times New Roman"/>
          <w:sz w:val="20"/>
          <w:szCs w:val="20"/>
          <w:lang w:val="fr-CA"/>
        </w:rPr>
        <w:t>La requête de l’intimé en prorogation du délai de signification et de dépôt de la requête en cassation de l’appel et la requête en cassation de l’appel sont déférées à la formation chargée d'entendre l'appel;</w:t>
      </w:r>
    </w:p>
    <w:p w:rsidR="007424E4" w:rsidRPr="00C4278F" w:rsidRDefault="007424E4" w:rsidP="007424E4">
      <w:pPr>
        <w:rPr>
          <w:rFonts w:cs="Times New Roman"/>
          <w:sz w:val="20"/>
          <w:szCs w:val="20"/>
          <w:lang w:val="fr-CA"/>
        </w:rPr>
      </w:pPr>
    </w:p>
    <w:p w:rsidR="007424E4" w:rsidRPr="00C4278F" w:rsidRDefault="007424E4" w:rsidP="007424E4">
      <w:pPr>
        <w:numPr>
          <w:ilvl w:val="0"/>
          <w:numId w:val="3"/>
        </w:numPr>
        <w:rPr>
          <w:rFonts w:cs="Times New Roman"/>
          <w:sz w:val="20"/>
          <w:szCs w:val="20"/>
          <w:lang w:val="fr-CA"/>
        </w:rPr>
      </w:pPr>
      <w:r w:rsidRPr="00C4278F">
        <w:rPr>
          <w:rFonts w:cs="Times New Roman"/>
          <w:sz w:val="20"/>
          <w:szCs w:val="20"/>
          <w:lang w:val="fr-CA"/>
        </w:rPr>
        <w:t>La requête de l’appelant en prorogation du délai de signification et de dépôt de la réponse à la requête en cassation de l'appel est déférée à la formation chargée d'entendre l'appel;</w:t>
      </w:r>
    </w:p>
    <w:p w:rsidR="007424E4" w:rsidRPr="00C4278F" w:rsidRDefault="007424E4" w:rsidP="007424E4">
      <w:pPr>
        <w:rPr>
          <w:rFonts w:cs="Times New Roman"/>
          <w:sz w:val="20"/>
          <w:szCs w:val="20"/>
          <w:lang w:val="fr-CA"/>
        </w:rPr>
      </w:pPr>
    </w:p>
    <w:p w:rsidR="007424E4" w:rsidRPr="00C4278F" w:rsidRDefault="007424E4" w:rsidP="007424E4">
      <w:pPr>
        <w:numPr>
          <w:ilvl w:val="0"/>
          <w:numId w:val="3"/>
        </w:numPr>
        <w:spacing w:line="276" w:lineRule="auto"/>
        <w:jc w:val="both"/>
        <w:rPr>
          <w:rFonts w:cs="Times New Roman"/>
          <w:bCs/>
          <w:sz w:val="20"/>
          <w:szCs w:val="20"/>
          <w:lang w:val="fr-CA"/>
        </w:rPr>
      </w:pPr>
      <w:r w:rsidRPr="00C4278F">
        <w:rPr>
          <w:rFonts w:cs="Times New Roman"/>
          <w:sz w:val="20"/>
          <w:szCs w:val="20"/>
          <w:lang w:val="fr-CA"/>
        </w:rPr>
        <w:t>La requête de l’appelant en prorogation du délai de signification et de dépôt de la requête en formulation de questions constitutionnelles est accueillie et l</w:t>
      </w:r>
      <w:r w:rsidRPr="00C4278F">
        <w:rPr>
          <w:rFonts w:cs="Times New Roman"/>
          <w:bCs/>
          <w:sz w:val="20"/>
          <w:szCs w:val="20"/>
          <w:lang w:val="fr-CA"/>
        </w:rPr>
        <w:t>es questions constitutionnelles suivantes sont formulées :</w:t>
      </w:r>
    </w:p>
    <w:p w:rsidR="007424E4" w:rsidRPr="00C4278F" w:rsidRDefault="007424E4" w:rsidP="007424E4">
      <w:pPr>
        <w:jc w:val="both"/>
        <w:rPr>
          <w:rFonts w:eastAsia="Times New Roman" w:cs="Times New Roman"/>
          <w:bCs/>
          <w:sz w:val="20"/>
          <w:szCs w:val="20"/>
          <w:lang w:val="fr-CA" w:eastAsia="en-CA"/>
        </w:rPr>
      </w:pPr>
    </w:p>
    <w:p w:rsidR="007424E4" w:rsidRPr="00C4278F" w:rsidRDefault="007424E4" w:rsidP="007424E4">
      <w:pPr>
        <w:ind w:left="708"/>
        <w:rPr>
          <w:rFonts w:cs="Times New Roman"/>
          <w:sz w:val="20"/>
          <w:szCs w:val="20"/>
          <w:lang w:val="fr-CA"/>
        </w:rPr>
      </w:pPr>
      <w:r w:rsidRPr="00C4278F">
        <w:rPr>
          <w:rFonts w:cs="Times New Roman"/>
          <w:bCs/>
          <w:sz w:val="20"/>
          <w:szCs w:val="20"/>
          <w:lang w:val="fr-CA"/>
        </w:rPr>
        <w:t>(1)</w:t>
      </w:r>
      <w:r w:rsidRPr="00C4278F">
        <w:rPr>
          <w:rFonts w:cs="Times New Roman"/>
          <w:sz w:val="20"/>
          <w:szCs w:val="20"/>
          <w:lang w:val="fr-CA"/>
        </w:rPr>
        <w:t xml:space="preserve">  Les alinéas 10(1)</w:t>
      </w:r>
      <w:r w:rsidRPr="00C4278F">
        <w:rPr>
          <w:rFonts w:cs="Times New Roman"/>
          <w:i/>
          <w:sz w:val="20"/>
          <w:szCs w:val="20"/>
          <w:lang w:val="fr-CA"/>
        </w:rPr>
        <w:t>a</w:t>
      </w:r>
      <w:r w:rsidRPr="00C4278F">
        <w:rPr>
          <w:rFonts w:cs="Times New Roman"/>
          <w:sz w:val="20"/>
          <w:szCs w:val="20"/>
          <w:lang w:val="fr-CA"/>
        </w:rPr>
        <w:t>) et 10(2)</w:t>
      </w:r>
      <w:r w:rsidRPr="00C4278F">
        <w:rPr>
          <w:rFonts w:cs="Times New Roman"/>
          <w:i/>
          <w:sz w:val="20"/>
          <w:szCs w:val="20"/>
          <w:lang w:val="fr-CA"/>
        </w:rPr>
        <w:t>a</w:t>
      </w:r>
      <w:r w:rsidRPr="00C4278F">
        <w:rPr>
          <w:rFonts w:cs="Times New Roman"/>
          <w:sz w:val="20"/>
          <w:szCs w:val="20"/>
          <w:lang w:val="fr-CA"/>
        </w:rPr>
        <w:t xml:space="preserve">), lus en conjonction avec le par. 8(1) de la </w:t>
      </w:r>
      <w:r w:rsidRPr="00C4278F">
        <w:rPr>
          <w:rFonts w:cs="Times New Roman"/>
          <w:i/>
          <w:sz w:val="20"/>
          <w:szCs w:val="20"/>
          <w:lang w:val="fr-CA"/>
        </w:rPr>
        <w:t>Loi sur le transfèrement international des délinquants</w:t>
      </w:r>
      <w:r w:rsidRPr="00C4278F">
        <w:rPr>
          <w:rFonts w:cs="Times New Roman"/>
          <w:sz w:val="20"/>
          <w:szCs w:val="20"/>
          <w:lang w:val="fr-CA"/>
        </w:rPr>
        <w:t xml:space="preserve">, L.C. 2004, ch. 21, portent-ils atteinte au droit garanti par le par. 6(1) de la </w:t>
      </w:r>
      <w:r w:rsidRPr="00C4278F">
        <w:rPr>
          <w:rFonts w:cs="Times New Roman"/>
          <w:i/>
          <w:sz w:val="20"/>
          <w:szCs w:val="20"/>
          <w:lang w:val="fr-CA"/>
        </w:rPr>
        <w:t>Charte canadienne des droits et libertés</w:t>
      </w:r>
      <w:r w:rsidRPr="00C4278F">
        <w:rPr>
          <w:rFonts w:cs="Times New Roman"/>
          <w:sz w:val="20"/>
          <w:szCs w:val="20"/>
          <w:lang w:val="fr-CA"/>
        </w:rPr>
        <w:t>?</w:t>
      </w:r>
    </w:p>
    <w:p w:rsidR="007424E4" w:rsidRPr="00C4278F" w:rsidRDefault="007424E4" w:rsidP="007424E4">
      <w:pPr>
        <w:rPr>
          <w:rFonts w:cs="Times New Roman"/>
          <w:sz w:val="20"/>
          <w:szCs w:val="20"/>
          <w:lang w:val="fr-CA"/>
        </w:rPr>
      </w:pPr>
    </w:p>
    <w:p w:rsidR="007424E4" w:rsidRPr="00C4278F" w:rsidRDefault="007424E4" w:rsidP="007424E4">
      <w:pPr>
        <w:ind w:left="708" w:firstLine="12"/>
        <w:rPr>
          <w:rFonts w:cs="Times New Roman"/>
          <w:sz w:val="20"/>
          <w:szCs w:val="20"/>
          <w:lang w:val="fr-CA"/>
        </w:rPr>
      </w:pPr>
      <w:r w:rsidRPr="00C4278F">
        <w:rPr>
          <w:rFonts w:cs="Times New Roman"/>
          <w:sz w:val="20"/>
          <w:szCs w:val="20"/>
          <w:lang w:val="fr-CA"/>
        </w:rPr>
        <w:t xml:space="preserve">(2)  Dans l'affirmative, cette atteinte constitue-t-elle une limite raisonnable prescrite par une règle de droit dont la justification peut se démontrer dans le cadre d'une société libre et démocratique suivant l'article premier de la </w:t>
      </w:r>
      <w:r w:rsidRPr="00C4278F">
        <w:rPr>
          <w:rFonts w:cs="Times New Roman"/>
          <w:i/>
          <w:sz w:val="20"/>
          <w:szCs w:val="20"/>
          <w:lang w:val="fr-CA"/>
        </w:rPr>
        <w:t>Charte canadienne des droits et libertés</w:t>
      </w:r>
      <w:r w:rsidRPr="00C4278F">
        <w:rPr>
          <w:rFonts w:cs="Times New Roman"/>
          <w:sz w:val="20"/>
          <w:szCs w:val="20"/>
          <w:lang w:val="fr-CA"/>
        </w:rPr>
        <w:t>?</w:t>
      </w:r>
    </w:p>
    <w:p w:rsidR="007424E4" w:rsidRPr="00C4278F" w:rsidRDefault="007424E4" w:rsidP="007424E4">
      <w:pPr>
        <w:jc w:val="both"/>
        <w:rPr>
          <w:rFonts w:eastAsia="Times New Roman" w:cs="Times New Roman"/>
          <w:sz w:val="20"/>
          <w:szCs w:val="20"/>
          <w:lang w:val="fr-CA" w:eastAsia="en-CA"/>
        </w:rPr>
      </w:pPr>
    </w:p>
    <w:p w:rsidR="007424E4" w:rsidRPr="00C4278F" w:rsidRDefault="007424E4" w:rsidP="007424E4">
      <w:pPr>
        <w:numPr>
          <w:ilvl w:val="0"/>
          <w:numId w:val="3"/>
        </w:numPr>
        <w:rPr>
          <w:rFonts w:cs="Times New Roman"/>
          <w:sz w:val="20"/>
          <w:szCs w:val="20"/>
          <w:lang w:val="fr-CA"/>
        </w:rPr>
      </w:pPr>
      <w:r w:rsidRPr="00C4278F">
        <w:rPr>
          <w:rFonts w:cs="Times New Roman"/>
          <w:sz w:val="20"/>
          <w:szCs w:val="20"/>
          <w:lang w:val="fr-CA"/>
        </w:rPr>
        <w:t xml:space="preserve">La requête de l’appelant visant à obtenir la prorogation du délai de signification et de dépôt de </w:t>
      </w:r>
      <w:proofErr w:type="gramStart"/>
      <w:r w:rsidRPr="00C4278F">
        <w:rPr>
          <w:rFonts w:cs="Times New Roman"/>
          <w:sz w:val="20"/>
          <w:szCs w:val="20"/>
          <w:lang w:val="fr-CA"/>
        </w:rPr>
        <w:t>ses mémoire</w:t>
      </w:r>
      <w:proofErr w:type="gramEnd"/>
      <w:r w:rsidRPr="00C4278F">
        <w:rPr>
          <w:rFonts w:cs="Times New Roman"/>
          <w:sz w:val="20"/>
          <w:szCs w:val="20"/>
          <w:lang w:val="fr-CA"/>
        </w:rPr>
        <w:t>, dossier et recueil de sources est accueillie.</w:t>
      </w:r>
    </w:p>
    <w:p w:rsidR="007424E4" w:rsidRPr="00C4278F" w:rsidRDefault="007424E4" w:rsidP="007424E4">
      <w:pPr>
        <w:rPr>
          <w:rFonts w:eastAsia="Times New Roman" w:cs="Times New Roman"/>
          <w:sz w:val="20"/>
          <w:szCs w:val="20"/>
          <w:lang w:val="fr-CA" w:eastAsia="en-CA"/>
        </w:rPr>
      </w:pPr>
    </w:p>
    <w:p w:rsidR="007424E4" w:rsidRPr="00C4278F" w:rsidRDefault="007424E4" w:rsidP="007424E4">
      <w:pPr>
        <w:rPr>
          <w:rFonts w:eastAsia="Times New Roman" w:cs="Times New Roman"/>
          <w:sz w:val="20"/>
          <w:szCs w:val="20"/>
          <w:lang w:val="fr-CA" w:eastAsia="en-CA"/>
        </w:rPr>
      </w:pPr>
      <w:r w:rsidRPr="00C4278F">
        <w:rPr>
          <w:rFonts w:eastAsia="Times New Roman" w:cs="Times New Roman"/>
          <w:sz w:val="20"/>
          <w:szCs w:val="20"/>
          <w:lang w:val="fr-CA" w:eastAsia="en-CA"/>
        </w:rPr>
        <w:t>Les délais fixés pour la signification et le dépôt des documents sont les suivants :</w:t>
      </w:r>
    </w:p>
    <w:p w:rsidR="007424E4" w:rsidRPr="00C4278F" w:rsidRDefault="007424E4" w:rsidP="007424E4">
      <w:pPr>
        <w:rPr>
          <w:rFonts w:eastAsia="Times New Roman" w:cs="Times New Roman"/>
          <w:sz w:val="20"/>
          <w:szCs w:val="20"/>
          <w:lang w:val="fr-CA" w:eastAsia="en-CA"/>
        </w:rPr>
      </w:pPr>
    </w:p>
    <w:p w:rsidR="007424E4" w:rsidRPr="00C4278F" w:rsidRDefault="007424E4" w:rsidP="007424E4">
      <w:pPr>
        <w:numPr>
          <w:ilvl w:val="0"/>
          <w:numId w:val="2"/>
        </w:numPr>
        <w:autoSpaceDE w:val="0"/>
        <w:autoSpaceDN w:val="0"/>
        <w:adjustRightInd w:val="0"/>
        <w:contextualSpacing/>
        <w:jc w:val="both"/>
        <w:rPr>
          <w:rFonts w:cs="Times New Roman"/>
          <w:sz w:val="20"/>
          <w:szCs w:val="20"/>
          <w:lang w:val="fr-CA"/>
        </w:rPr>
      </w:pPr>
      <w:proofErr w:type="gramStart"/>
      <w:r w:rsidRPr="00C4278F">
        <w:rPr>
          <w:rFonts w:cs="Times New Roman"/>
          <w:sz w:val="20"/>
          <w:szCs w:val="20"/>
          <w:lang w:val="fr-CA"/>
        </w:rPr>
        <w:t>Les mémoire</w:t>
      </w:r>
      <w:proofErr w:type="gramEnd"/>
      <w:r w:rsidRPr="00C4278F">
        <w:rPr>
          <w:rFonts w:cs="Times New Roman"/>
          <w:sz w:val="20"/>
          <w:szCs w:val="20"/>
          <w:lang w:val="fr-CA"/>
        </w:rPr>
        <w:t xml:space="preserve">, dossier et recueil de sources de l’appelant seront signifiés et déposés au plus tard le 7 janvier 2013; </w:t>
      </w:r>
    </w:p>
    <w:p w:rsidR="007424E4" w:rsidRPr="00C4278F" w:rsidRDefault="007424E4" w:rsidP="007424E4">
      <w:pPr>
        <w:ind w:left="720"/>
        <w:contextualSpacing/>
        <w:rPr>
          <w:rFonts w:cs="Times New Roman"/>
          <w:sz w:val="20"/>
          <w:szCs w:val="20"/>
          <w:lang w:val="fr-CA"/>
        </w:rPr>
      </w:pPr>
    </w:p>
    <w:p w:rsidR="007424E4" w:rsidRPr="00C4278F" w:rsidRDefault="007424E4" w:rsidP="007424E4">
      <w:pPr>
        <w:numPr>
          <w:ilvl w:val="0"/>
          <w:numId w:val="2"/>
        </w:numPr>
        <w:autoSpaceDE w:val="0"/>
        <w:autoSpaceDN w:val="0"/>
        <w:adjustRightInd w:val="0"/>
        <w:contextualSpacing/>
        <w:jc w:val="both"/>
        <w:rPr>
          <w:rFonts w:cs="Times New Roman"/>
          <w:sz w:val="20"/>
          <w:szCs w:val="20"/>
          <w:lang w:val="fr-CA"/>
        </w:rPr>
      </w:pPr>
      <w:r w:rsidRPr="00C4278F">
        <w:rPr>
          <w:rFonts w:cs="Times New Roman"/>
          <w:sz w:val="20"/>
          <w:szCs w:val="20"/>
          <w:lang w:val="fr-CA"/>
        </w:rPr>
        <w:t xml:space="preserve">Toute demande d’autorisation d’intervenir sera signifiée et déposée au plus tard le 14 janvier 2013; </w:t>
      </w:r>
    </w:p>
    <w:p w:rsidR="007424E4" w:rsidRPr="00C4278F" w:rsidRDefault="007424E4" w:rsidP="007424E4">
      <w:pPr>
        <w:ind w:left="720"/>
        <w:contextualSpacing/>
        <w:rPr>
          <w:rFonts w:cs="Times New Roman"/>
          <w:sz w:val="20"/>
          <w:szCs w:val="20"/>
          <w:lang w:val="fr-CA"/>
        </w:rPr>
      </w:pPr>
    </w:p>
    <w:p w:rsidR="007424E4" w:rsidRPr="00C4278F" w:rsidRDefault="007424E4" w:rsidP="007424E4">
      <w:pPr>
        <w:numPr>
          <w:ilvl w:val="0"/>
          <w:numId w:val="2"/>
        </w:numPr>
        <w:autoSpaceDE w:val="0"/>
        <w:autoSpaceDN w:val="0"/>
        <w:adjustRightInd w:val="0"/>
        <w:contextualSpacing/>
        <w:jc w:val="both"/>
        <w:rPr>
          <w:rFonts w:cs="Times New Roman"/>
          <w:sz w:val="20"/>
          <w:szCs w:val="20"/>
          <w:lang w:val="fr-CA"/>
        </w:rPr>
      </w:pPr>
      <w:r w:rsidRPr="00C4278F">
        <w:rPr>
          <w:rFonts w:cs="Times New Roman"/>
          <w:sz w:val="20"/>
          <w:szCs w:val="20"/>
          <w:lang w:val="fr-CA"/>
        </w:rPr>
        <w:t>Les réponses à toute demande d’autorisation d’intervenir seront signifiées et déposées au plus tard le 21 janvier 2013;</w:t>
      </w:r>
    </w:p>
    <w:p w:rsidR="007424E4" w:rsidRPr="00C4278F" w:rsidRDefault="007424E4" w:rsidP="007424E4">
      <w:pPr>
        <w:ind w:left="720"/>
        <w:contextualSpacing/>
        <w:rPr>
          <w:rFonts w:cs="Times New Roman"/>
          <w:sz w:val="20"/>
          <w:szCs w:val="20"/>
          <w:lang w:val="fr-CA"/>
        </w:rPr>
      </w:pPr>
    </w:p>
    <w:p w:rsidR="007424E4" w:rsidRPr="00C4278F" w:rsidRDefault="007424E4" w:rsidP="007424E4">
      <w:pPr>
        <w:numPr>
          <w:ilvl w:val="0"/>
          <w:numId w:val="2"/>
        </w:numPr>
        <w:autoSpaceDE w:val="0"/>
        <w:autoSpaceDN w:val="0"/>
        <w:adjustRightInd w:val="0"/>
        <w:contextualSpacing/>
        <w:jc w:val="both"/>
        <w:rPr>
          <w:rFonts w:cs="Times New Roman"/>
          <w:sz w:val="20"/>
          <w:szCs w:val="20"/>
          <w:lang w:val="fr-CA"/>
        </w:rPr>
      </w:pPr>
      <w:r w:rsidRPr="00C4278F">
        <w:rPr>
          <w:rFonts w:cs="Times New Roman"/>
          <w:sz w:val="20"/>
          <w:szCs w:val="20"/>
          <w:lang w:val="fr-CA"/>
        </w:rPr>
        <w:t xml:space="preserve">Les répliques relatives à toute demande d’autorisation d’intervenir seront signifiées et déposées au plus tard le 24 janvier 2013; </w:t>
      </w:r>
    </w:p>
    <w:p w:rsidR="007424E4" w:rsidRPr="00C4278F" w:rsidRDefault="007424E4" w:rsidP="007424E4">
      <w:pPr>
        <w:ind w:left="720"/>
        <w:contextualSpacing/>
        <w:rPr>
          <w:rFonts w:cs="Times New Roman"/>
          <w:sz w:val="20"/>
          <w:szCs w:val="20"/>
          <w:lang w:val="fr-CA"/>
        </w:rPr>
      </w:pPr>
    </w:p>
    <w:p w:rsidR="007424E4" w:rsidRPr="00C4278F" w:rsidRDefault="007424E4" w:rsidP="007424E4">
      <w:pPr>
        <w:numPr>
          <w:ilvl w:val="0"/>
          <w:numId w:val="2"/>
        </w:numPr>
        <w:autoSpaceDE w:val="0"/>
        <w:autoSpaceDN w:val="0"/>
        <w:adjustRightInd w:val="0"/>
        <w:contextualSpacing/>
        <w:jc w:val="both"/>
        <w:rPr>
          <w:rFonts w:cs="Times New Roman"/>
          <w:sz w:val="20"/>
          <w:szCs w:val="20"/>
          <w:lang w:val="fr-CA"/>
        </w:rPr>
      </w:pPr>
      <w:proofErr w:type="gramStart"/>
      <w:r w:rsidRPr="00C4278F">
        <w:rPr>
          <w:rFonts w:cs="Times New Roman"/>
          <w:sz w:val="20"/>
          <w:szCs w:val="20"/>
          <w:lang w:val="fr-CA"/>
        </w:rPr>
        <w:t>Les mémoire</w:t>
      </w:r>
      <w:proofErr w:type="gramEnd"/>
      <w:r w:rsidRPr="00C4278F">
        <w:rPr>
          <w:rFonts w:cs="Times New Roman"/>
          <w:sz w:val="20"/>
          <w:szCs w:val="20"/>
          <w:lang w:val="fr-CA"/>
        </w:rPr>
        <w:t>, dossier et recueil de sources de l’intimé seront signifiés et déposés au plus tard le 4 février 2013;</w:t>
      </w:r>
    </w:p>
    <w:p w:rsidR="007424E4" w:rsidRPr="00C4278F" w:rsidRDefault="007424E4" w:rsidP="007424E4">
      <w:pPr>
        <w:ind w:left="720"/>
        <w:contextualSpacing/>
        <w:rPr>
          <w:rFonts w:cs="Times New Roman"/>
          <w:sz w:val="20"/>
          <w:szCs w:val="20"/>
          <w:lang w:val="fr-CA"/>
        </w:rPr>
      </w:pPr>
    </w:p>
    <w:p w:rsidR="007424E4" w:rsidRPr="00C4278F" w:rsidRDefault="007424E4" w:rsidP="007424E4">
      <w:pPr>
        <w:numPr>
          <w:ilvl w:val="0"/>
          <w:numId w:val="2"/>
        </w:numPr>
        <w:autoSpaceDE w:val="0"/>
        <w:autoSpaceDN w:val="0"/>
        <w:adjustRightInd w:val="0"/>
        <w:contextualSpacing/>
        <w:jc w:val="both"/>
        <w:rPr>
          <w:rFonts w:cs="Times New Roman"/>
          <w:sz w:val="20"/>
          <w:szCs w:val="20"/>
          <w:lang w:val="fr-CA"/>
        </w:rPr>
      </w:pPr>
      <w:r w:rsidRPr="00C4278F">
        <w:rPr>
          <w:rFonts w:cs="Times New Roman"/>
          <w:sz w:val="20"/>
          <w:szCs w:val="20"/>
          <w:lang w:val="fr-CA"/>
        </w:rPr>
        <w:t xml:space="preserve">Les mémoires des intervenants seront signifiés et déposés au plus tard à la date fixée dans l’ordonnance les autorisant à intervenir; </w:t>
      </w:r>
    </w:p>
    <w:p w:rsidR="007424E4" w:rsidRPr="00C4278F" w:rsidRDefault="007424E4" w:rsidP="007424E4">
      <w:pPr>
        <w:ind w:left="720"/>
        <w:contextualSpacing/>
        <w:rPr>
          <w:rFonts w:cs="Times New Roman"/>
          <w:sz w:val="20"/>
          <w:szCs w:val="20"/>
          <w:lang w:val="fr-CA"/>
        </w:rPr>
      </w:pPr>
    </w:p>
    <w:p w:rsidR="007424E4" w:rsidRPr="00C4278F" w:rsidRDefault="007424E4" w:rsidP="007424E4">
      <w:pPr>
        <w:numPr>
          <w:ilvl w:val="0"/>
          <w:numId w:val="2"/>
        </w:numPr>
        <w:autoSpaceDE w:val="0"/>
        <w:autoSpaceDN w:val="0"/>
        <w:adjustRightInd w:val="0"/>
        <w:contextualSpacing/>
        <w:jc w:val="both"/>
        <w:rPr>
          <w:rFonts w:cs="Times New Roman"/>
          <w:sz w:val="20"/>
          <w:szCs w:val="20"/>
          <w:lang w:val="fr-CA"/>
        </w:rPr>
      </w:pPr>
      <w:r w:rsidRPr="00C4278F">
        <w:rPr>
          <w:rFonts w:cs="Times New Roman"/>
          <w:sz w:val="20"/>
          <w:szCs w:val="20"/>
          <w:lang w:val="fr-CA"/>
        </w:rPr>
        <w:t xml:space="preserve">L’appel sera entendu le 18 février 2013. </w:t>
      </w:r>
    </w:p>
    <w:p w:rsidR="007424E4" w:rsidRPr="00C4278F" w:rsidRDefault="007424E4" w:rsidP="007424E4">
      <w:pPr>
        <w:ind w:left="720"/>
        <w:contextualSpacing/>
        <w:rPr>
          <w:rFonts w:cs="Times New Roman"/>
          <w:sz w:val="20"/>
          <w:szCs w:val="20"/>
          <w:lang w:val="fr-CA"/>
        </w:rPr>
      </w:pPr>
    </w:p>
    <w:p w:rsidR="007424E4" w:rsidRPr="00C4278F" w:rsidRDefault="007424E4" w:rsidP="007424E4">
      <w:pPr>
        <w:ind w:left="720"/>
        <w:contextualSpacing/>
        <w:rPr>
          <w:rFonts w:cs="Times New Roman"/>
          <w:sz w:val="20"/>
          <w:szCs w:val="20"/>
          <w:lang w:val="fr-CA"/>
        </w:rPr>
      </w:pPr>
    </w:p>
    <w:p w:rsidR="007424E4" w:rsidRPr="00C4278F" w:rsidRDefault="007424E4" w:rsidP="007424E4">
      <w:pPr>
        <w:contextualSpacing/>
        <w:jc w:val="both"/>
        <w:rPr>
          <w:rFonts w:eastAsia="Times New Roman" w:cs="Times New Roman"/>
          <w:sz w:val="20"/>
          <w:szCs w:val="20"/>
          <w:lang w:val="fr-CA" w:eastAsia="en-CA"/>
        </w:rPr>
      </w:pPr>
    </w:p>
    <w:p w:rsidR="007424E4" w:rsidRPr="00C4278F" w:rsidRDefault="007424E4" w:rsidP="007424E4">
      <w:pPr>
        <w:jc w:val="both"/>
        <w:rPr>
          <w:rFonts w:eastAsia="Times New Roman" w:cs="Times New Roman"/>
          <w:sz w:val="20"/>
          <w:szCs w:val="20"/>
          <w:lang w:eastAsia="en-CA"/>
        </w:rPr>
      </w:pPr>
      <w:r w:rsidRPr="00C4278F">
        <w:rPr>
          <w:rFonts w:eastAsia="Times New Roman" w:cs="Times New Roman"/>
          <w:b/>
          <w:bCs/>
          <w:sz w:val="20"/>
          <w:szCs w:val="20"/>
          <w:lang w:eastAsia="en-CA"/>
        </w:rPr>
        <w:lastRenderedPageBreak/>
        <w:t>UPON APPLICATION</w:t>
      </w:r>
      <w:r w:rsidRPr="00C4278F">
        <w:rPr>
          <w:rFonts w:eastAsia="Times New Roman" w:cs="Times New Roman"/>
          <w:sz w:val="20"/>
          <w:szCs w:val="20"/>
          <w:lang w:eastAsia="en-CA"/>
        </w:rPr>
        <w:t xml:space="preserve"> by the respondent for an order quashing the appeal and extending the time within which the respondent may serve and file his motion to quash the appeal;</w:t>
      </w:r>
    </w:p>
    <w:p w:rsidR="007424E4" w:rsidRPr="00C4278F" w:rsidRDefault="007424E4" w:rsidP="007424E4">
      <w:pPr>
        <w:jc w:val="both"/>
        <w:rPr>
          <w:rFonts w:eastAsia="Times New Roman" w:cs="Times New Roman"/>
          <w:sz w:val="20"/>
          <w:szCs w:val="20"/>
          <w:lang w:eastAsia="en-CA"/>
        </w:rPr>
      </w:pPr>
    </w:p>
    <w:p w:rsidR="007424E4" w:rsidRPr="00C4278F" w:rsidRDefault="007424E4" w:rsidP="007424E4">
      <w:pPr>
        <w:jc w:val="both"/>
        <w:rPr>
          <w:rFonts w:eastAsia="Times New Roman" w:cs="Times New Roman"/>
          <w:sz w:val="20"/>
          <w:szCs w:val="20"/>
          <w:lang w:eastAsia="en-CA"/>
        </w:rPr>
      </w:pPr>
      <w:r w:rsidRPr="00C4278F">
        <w:rPr>
          <w:rFonts w:eastAsia="Times New Roman" w:cs="Times New Roman"/>
          <w:b/>
          <w:bCs/>
          <w:sz w:val="20"/>
          <w:szCs w:val="20"/>
          <w:lang w:eastAsia="en-CA"/>
        </w:rPr>
        <w:t>AND UPON APPLICATION</w:t>
      </w:r>
      <w:r w:rsidRPr="00C4278F">
        <w:rPr>
          <w:rFonts w:eastAsia="Times New Roman" w:cs="Times New Roman"/>
          <w:sz w:val="20"/>
          <w:szCs w:val="20"/>
          <w:lang w:eastAsia="en-CA"/>
        </w:rPr>
        <w:t xml:space="preserve"> by the appellant for an order extending the time within which the appellant may serve and file his response to the motion to quash the appeal;</w:t>
      </w:r>
    </w:p>
    <w:p w:rsidR="007424E4" w:rsidRPr="00C4278F" w:rsidRDefault="007424E4" w:rsidP="007424E4">
      <w:pPr>
        <w:rPr>
          <w:rFonts w:cs="Times New Roman"/>
          <w:sz w:val="20"/>
          <w:szCs w:val="20"/>
        </w:rPr>
      </w:pPr>
    </w:p>
    <w:p w:rsidR="007424E4" w:rsidRPr="00C4278F" w:rsidRDefault="007424E4" w:rsidP="007424E4">
      <w:pPr>
        <w:jc w:val="both"/>
        <w:rPr>
          <w:rFonts w:eastAsia="Times New Roman" w:cs="Times New Roman"/>
          <w:sz w:val="20"/>
          <w:szCs w:val="20"/>
          <w:lang w:eastAsia="en-CA"/>
        </w:rPr>
      </w:pPr>
      <w:r w:rsidRPr="00C4278F">
        <w:rPr>
          <w:rFonts w:eastAsia="Times New Roman" w:cs="Times New Roman"/>
          <w:b/>
          <w:bCs/>
          <w:sz w:val="20"/>
          <w:szCs w:val="20"/>
          <w:lang w:eastAsia="en-CA"/>
        </w:rPr>
        <w:t>AND UPON APPLICATION</w:t>
      </w:r>
      <w:r w:rsidRPr="00C4278F">
        <w:rPr>
          <w:rFonts w:eastAsia="Times New Roman" w:cs="Times New Roman"/>
          <w:sz w:val="20"/>
          <w:szCs w:val="20"/>
          <w:lang w:eastAsia="en-CA"/>
        </w:rPr>
        <w:t xml:space="preserve"> by the appellant for an order stating constitutional questions and extending the time within which the appellant may serve and file his motion to state constitutional questions;</w:t>
      </w:r>
    </w:p>
    <w:p w:rsidR="007424E4" w:rsidRPr="00C4278F" w:rsidRDefault="007424E4" w:rsidP="007424E4">
      <w:pPr>
        <w:jc w:val="both"/>
        <w:rPr>
          <w:rFonts w:eastAsia="Times New Roman" w:cs="Times New Roman"/>
          <w:sz w:val="20"/>
          <w:szCs w:val="20"/>
          <w:lang w:eastAsia="en-CA"/>
        </w:rPr>
      </w:pPr>
    </w:p>
    <w:p w:rsidR="007424E4" w:rsidRPr="00C4278F" w:rsidRDefault="007424E4" w:rsidP="007424E4">
      <w:pPr>
        <w:rPr>
          <w:rFonts w:cs="Times New Roman"/>
          <w:sz w:val="20"/>
          <w:szCs w:val="20"/>
        </w:rPr>
      </w:pPr>
      <w:r w:rsidRPr="00C4278F">
        <w:rPr>
          <w:rFonts w:cs="Times New Roman"/>
          <w:b/>
          <w:bCs/>
          <w:sz w:val="20"/>
          <w:szCs w:val="20"/>
        </w:rPr>
        <w:t xml:space="preserve">AND UPON APPLICATION </w:t>
      </w:r>
      <w:r w:rsidRPr="00C4278F">
        <w:rPr>
          <w:rFonts w:cs="Times New Roman"/>
          <w:bCs/>
          <w:sz w:val="20"/>
          <w:szCs w:val="20"/>
        </w:rPr>
        <w:t>by the appellant for an order</w:t>
      </w:r>
      <w:r w:rsidRPr="00C4278F">
        <w:rPr>
          <w:rFonts w:cs="Times New Roman"/>
          <w:b/>
          <w:bCs/>
          <w:sz w:val="20"/>
          <w:szCs w:val="20"/>
        </w:rPr>
        <w:t xml:space="preserve"> </w:t>
      </w:r>
      <w:r w:rsidRPr="00C4278F">
        <w:rPr>
          <w:rFonts w:cs="Times New Roman"/>
          <w:sz w:val="20"/>
          <w:szCs w:val="20"/>
        </w:rPr>
        <w:t>extending the time within which the appellant may serve and file his factum, record and book of authorities;</w:t>
      </w:r>
    </w:p>
    <w:p w:rsidR="007424E4" w:rsidRPr="00C4278F" w:rsidRDefault="007424E4" w:rsidP="007424E4">
      <w:pPr>
        <w:jc w:val="both"/>
        <w:rPr>
          <w:rFonts w:eastAsia="Times New Roman" w:cs="Times New Roman"/>
          <w:sz w:val="20"/>
          <w:szCs w:val="20"/>
          <w:lang w:eastAsia="en-CA"/>
        </w:rPr>
      </w:pPr>
    </w:p>
    <w:p w:rsidR="007424E4" w:rsidRPr="00C4278F" w:rsidRDefault="007424E4" w:rsidP="007424E4">
      <w:pPr>
        <w:jc w:val="both"/>
        <w:rPr>
          <w:rFonts w:eastAsia="Times New Roman" w:cs="Times New Roman"/>
          <w:sz w:val="20"/>
          <w:szCs w:val="20"/>
          <w:lang w:eastAsia="en-CA"/>
        </w:rPr>
      </w:pPr>
      <w:r w:rsidRPr="00C4278F">
        <w:rPr>
          <w:rFonts w:eastAsia="Times New Roman" w:cs="Times New Roman"/>
          <w:b/>
          <w:bCs/>
          <w:sz w:val="20"/>
          <w:szCs w:val="20"/>
          <w:lang w:eastAsia="en-CA"/>
        </w:rPr>
        <w:t xml:space="preserve">AND THE MATERIAL FILED </w:t>
      </w:r>
      <w:r w:rsidRPr="00C4278F">
        <w:rPr>
          <w:rFonts w:eastAsia="Times New Roman" w:cs="Times New Roman"/>
          <w:bCs/>
          <w:sz w:val="20"/>
          <w:szCs w:val="20"/>
          <w:lang w:eastAsia="en-CA"/>
        </w:rPr>
        <w:t>having been read</w:t>
      </w:r>
      <w:r w:rsidRPr="00C4278F">
        <w:rPr>
          <w:rFonts w:eastAsia="Times New Roman" w:cs="Times New Roman"/>
          <w:sz w:val="20"/>
          <w:szCs w:val="20"/>
          <w:lang w:eastAsia="en-CA"/>
        </w:rPr>
        <w:t>;</w:t>
      </w:r>
    </w:p>
    <w:p w:rsidR="007424E4" w:rsidRPr="00C4278F" w:rsidRDefault="007424E4" w:rsidP="007424E4">
      <w:pPr>
        <w:jc w:val="both"/>
        <w:rPr>
          <w:rFonts w:eastAsia="Times New Roman" w:cs="Times New Roman"/>
          <w:sz w:val="20"/>
          <w:szCs w:val="20"/>
          <w:lang w:eastAsia="en-CA"/>
        </w:rPr>
      </w:pPr>
    </w:p>
    <w:p w:rsidR="007424E4" w:rsidRPr="00C4278F" w:rsidRDefault="007424E4" w:rsidP="007424E4">
      <w:pPr>
        <w:jc w:val="both"/>
        <w:rPr>
          <w:rFonts w:eastAsia="Times New Roman" w:cs="Times New Roman"/>
          <w:b/>
          <w:bCs/>
          <w:color w:val="000000"/>
          <w:sz w:val="20"/>
          <w:szCs w:val="20"/>
          <w:lang w:eastAsia="en-CA"/>
        </w:rPr>
      </w:pPr>
      <w:r w:rsidRPr="00C4278F">
        <w:rPr>
          <w:rFonts w:eastAsia="Times New Roman" w:cs="Times New Roman"/>
          <w:b/>
          <w:bCs/>
          <w:color w:val="000000"/>
          <w:sz w:val="20"/>
          <w:szCs w:val="20"/>
          <w:lang w:eastAsia="en-CA"/>
        </w:rPr>
        <w:t>IT IS HEREBY ORDERED THAT:</w:t>
      </w:r>
    </w:p>
    <w:p w:rsidR="007424E4" w:rsidRPr="00C4278F" w:rsidRDefault="007424E4" w:rsidP="007424E4">
      <w:pPr>
        <w:jc w:val="both"/>
        <w:rPr>
          <w:rFonts w:eastAsia="Times New Roman" w:cs="Times New Roman"/>
          <w:b/>
          <w:bCs/>
          <w:color w:val="000000"/>
          <w:sz w:val="20"/>
          <w:szCs w:val="20"/>
          <w:lang w:eastAsia="en-CA"/>
        </w:rPr>
      </w:pPr>
    </w:p>
    <w:p w:rsidR="007424E4" w:rsidRPr="00C4278F" w:rsidRDefault="007424E4" w:rsidP="007424E4">
      <w:pPr>
        <w:numPr>
          <w:ilvl w:val="0"/>
          <w:numId w:val="4"/>
        </w:numPr>
        <w:rPr>
          <w:rFonts w:cs="Times New Roman"/>
          <w:sz w:val="20"/>
          <w:szCs w:val="20"/>
        </w:rPr>
      </w:pPr>
      <w:r w:rsidRPr="00C4278F">
        <w:rPr>
          <w:rFonts w:cs="Times New Roman"/>
          <w:sz w:val="20"/>
          <w:szCs w:val="20"/>
        </w:rPr>
        <w:t>The motion by the respondent to extend the time to serve and file the motion to quash the appeal and the motion to quash the appeal are referred to the panel that will hear the appeal;</w:t>
      </w:r>
    </w:p>
    <w:p w:rsidR="007424E4" w:rsidRPr="00C4278F" w:rsidRDefault="007424E4" w:rsidP="007424E4">
      <w:pPr>
        <w:rPr>
          <w:rFonts w:cs="Times New Roman"/>
          <w:sz w:val="20"/>
          <w:szCs w:val="20"/>
        </w:rPr>
      </w:pPr>
    </w:p>
    <w:p w:rsidR="007424E4" w:rsidRPr="00C4278F" w:rsidRDefault="007424E4" w:rsidP="007424E4">
      <w:pPr>
        <w:numPr>
          <w:ilvl w:val="0"/>
          <w:numId w:val="4"/>
        </w:numPr>
        <w:rPr>
          <w:rFonts w:cs="Times New Roman"/>
          <w:sz w:val="20"/>
          <w:szCs w:val="20"/>
        </w:rPr>
      </w:pPr>
      <w:r w:rsidRPr="00C4278F">
        <w:rPr>
          <w:rFonts w:cs="Times New Roman"/>
          <w:sz w:val="20"/>
          <w:szCs w:val="20"/>
        </w:rPr>
        <w:t>The motion by the appellant to extend the time to serve and file the response to the motion to quash the appeal is referred to the panel that will hear the appeal;</w:t>
      </w:r>
    </w:p>
    <w:p w:rsidR="007424E4" w:rsidRPr="00C4278F" w:rsidRDefault="007424E4" w:rsidP="007424E4">
      <w:pPr>
        <w:rPr>
          <w:rFonts w:cs="Times New Roman"/>
          <w:sz w:val="20"/>
          <w:szCs w:val="20"/>
        </w:rPr>
      </w:pPr>
    </w:p>
    <w:p w:rsidR="007424E4" w:rsidRPr="00C4278F" w:rsidRDefault="007424E4" w:rsidP="007424E4">
      <w:pPr>
        <w:numPr>
          <w:ilvl w:val="0"/>
          <w:numId w:val="4"/>
        </w:numPr>
        <w:spacing w:line="276" w:lineRule="auto"/>
        <w:jc w:val="both"/>
        <w:rPr>
          <w:rFonts w:cs="Times New Roman"/>
          <w:bCs/>
          <w:sz w:val="20"/>
          <w:szCs w:val="20"/>
        </w:rPr>
      </w:pPr>
      <w:r w:rsidRPr="00C4278F">
        <w:rPr>
          <w:rFonts w:cs="Times New Roman"/>
          <w:sz w:val="20"/>
          <w:szCs w:val="20"/>
        </w:rPr>
        <w:t>The motion by the appellant to extend the time to serve and file the motion to state constitutional questions is granted, and the constitutional questions are stated as follows</w:t>
      </w:r>
      <w:r w:rsidRPr="00C4278F">
        <w:rPr>
          <w:rFonts w:cs="Times New Roman"/>
          <w:bCs/>
          <w:sz w:val="20"/>
          <w:szCs w:val="20"/>
        </w:rPr>
        <w:t>:</w:t>
      </w:r>
    </w:p>
    <w:p w:rsidR="007424E4" w:rsidRPr="00C4278F" w:rsidRDefault="007424E4" w:rsidP="007424E4">
      <w:pPr>
        <w:jc w:val="both"/>
        <w:rPr>
          <w:rFonts w:eastAsia="Times New Roman" w:cs="Times New Roman"/>
          <w:bCs/>
          <w:sz w:val="20"/>
          <w:szCs w:val="20"/>
          <w:lang w:eastAsia="en-CA"/>
        </w:rPr>
      </w:pPr>
    </w:p>
    <w:p w:rsidR="007424E4" w:rsidRPr="00C4278F" w:rsidRDefault="007424E4" w:rsidP="007424E4">
      <w:pPr>
        <w:ind w:left="708" w:firstLine="12"/>
        <w:rPr>
          <w:rFonts w:cs="Times New Roman"/>
          <w:sz w:val="20"/>
          <w:szCs w:val="20"/>
        </w:rPr>
      </w:pPr>
      <w:r w:rsidRPr="00C4278F">
        <w:rPr>
          <w:rFonts w:cs="Times New Roman"/>
          <w:bCs/>
          <w:sz w:val="20"/>
          <w:szCs w:val="20"/>
        </w:rPr>
        <w:t>(1)</w:t>
      </w:r>
      <w:r w:rsidRPr="00C4278F">
        <w:rPr>
          <w:rFonts w:cs="Times New Roman"/>
          <w:sz w:val="20"/>
          <w:szCs w:val="20"/>
        </w:rPr>
        <w:t xml:space="preserve">  Do ss. 10(1)(</w:t>
      </w:r>
      <w:r w:rsidRPr="00C4278F">
        <w:rPr>
          <w:rFonts w:cs="Times New Roman"/>
          <w:i/>
          <w:sz w:val="20"/>
          <w:szCs w:val="20"/>
        </w:rPr>
        <w:t>a</w:t>
      </w:r>
      <w:r w:rsidRPr="00C4278F">
        <w:rPr>
          <w:rFonts w:cs="Times New Roman"/>
          <w:sz w:val="20"/>
          <w:szCs w:val="20"/>
        </w:rPr>
        <w:t>) and 10(2)(</w:t>
      </w:r>
      <w:r w:rsidRPr="00C4278F">
        <w:rPr>
          <w:rFonts w:cs="Times New Roman"/>
          <w:i/>
          <w:sz w:val="20"/>
          <w:szCs w:val="20"/>
        </w:rPr>
        <w:t>a</w:t>
      </w:r>
      <w:r w:rsidRPr="00C4278F">
        <w:rPr>
          <w:rFonts w:cs="Times New Roman"/>
          <w:sz w:val="20"/>
          <w:szCs w:val="20"/>
        </w:rPr>
        <w:t xml:space="preserve">), read in conjunction with s. 8(1), of the </w:t>
      </w:r>
      <w:r w:rsidRPr="00C4278F">
        <w:rPr>
          <w:rFonts w:cs="Times New Roman"/>
          <w:i/>
          <w:sz w:val="20"/>
          <w:szCs w:val="20"/>
        </w:rPr>
        <w:t>International Transfer of Offenders Act</w:t>
      </w:r>
      <w:r w:rsidRPr="00C4278F">
        <w:rPr>
          <w:rFonts w:cs="Times New Roman"/>
          <w:sz w:val="20"/>
          <w:szCs w:val="20"/>
        </w:rPr>
        <w:t xml:space="preserve">, S.C. 2004, c. 21, infringe the right guaranteed by s. 6(1) of the </w:t>
      </w:r>
      <w:r w:rsidRPr="00C4278F">
        <w:rPr>
          <w:rFonts w:cs="Times New Roman"/>
          <w:i/>
          <w:sz w:val="20"/>
          <w:szCs w:val="20"/>
        </w:rPr>
        <w:t>Canadian Charter of Rights and Freedoms</w:t>
      </w:r>
      <w:r w:rsidRPr="00C4278F">
        <w:rPr>
          <w:rFonts w:cs="Times New Roman"/>
          <w:sz w:val="20"/>
          <w:szCs w:val="20"/>
        </w:rPr>
        <w:t>?</w:t>
      </w:r>
    </w:p>
    <w:p w:rsidR="007424E4" w:rsidRPr="00C4278F" w:rsidRDefault="007424E4" w:rsidP="007424E4">
      <w:pPr>
        <w:rPr>
          <w:rFonts w:cs="Times New Roman"/>
          <w:sz w:val="20"/>
          <w:szCs w:val="20"/>
        </w:rPr>
      </w:pPr>
    </w:p>
    <w:p w:rsidR="007424E4" w:rsidRPr="00C4278F" w:rsidRDefault="007424E4" w:rsidP="007424E4">
      <w:pPr>
        <w:ind w:left="708" w:firstLine="12"/>
        <w:rPr>
          <w:rFonts w:cs="Times New Roman"/>
          <w:sz w:val="20"/>
          <w:szCs w:val="20"/>
        </w:rPr>
      </w:pPr>
      <w:r w:rsidRPr="00C4278F">
        <w:rPr>
          <w:rFonts w:cs="Times New Roman"/>
          <w:sz w:val="20"/>
          <w:szCs w:val="20"/>
        </w:rPr>
        <w:t xml:space="preserve">(2)  If so, is the infringement a reasonable limit prescribed by law that can be demonstrably justified in a free and democratic society under s. 1 of the </w:t>
      </w:r>
      <w:r w:rsidRPr="00C4278F">
        <w:rPr>
          <w:rFonts w:cs="Times New Roman"/>
          <w:i/>
          <w:sz w:val="20"/>
          <w:szCs w:val="20"/>
        </w:rPr>
        <w:t>Canadian Charter of Rights and Freedoms</w:t>
      </w:r>
      <w:r w:rsidRPr="00C4278F">
        <w:rPr>
          <w:rFonts w:cs="Times New Roman"/>
          <w:sz w:val="20"/>
          <w:szCs w:val="20"/>
        </w:rPr>
        <w:t>?</w:t>
      </w:r>
    </w:p>
    <w:p w:rsidR="007424E4" w:rsidRPr="00C4278F" w:rsidRDefault="007424E4" w:rsidP="007424E4">
      <w:pPr>
        <w:jc w:val="both"/>
        <w:rPr>
          <w:rFonts w:eastAsia="Times New Roman" w:cs="Times New Roman"/>
          <w:sz w:val="20"/>
          <w:szCs w:val="20"/>
          <w:lang w:eastAsia="en-CA"/>
        </w:rPr>
      </w:pPr>
    </w:p>
    <w:p w:rsidR="007424E4" w:rsidRPr="00C4278F" w:rsidRDefault="007424E4" w:rsidP="007424E4">
      <w:pPr>
        <w:numPr>
          <w:ilvl w:val="0"/>
          <w:numId w:val="4"/>
        </w:numPr>
        <w:rPr>
          <w:rFonts w:cs="Times New Roman"/>
          <w:sz w:val="20"/>
          <w:szCs w:val="20"/>
        </w:rPr>
      </w:pPr>
      <w:r w:rsidRPr="00C4278F">
        <w:rPr>
          <w:rFonts w:cs="Times New Roman"/>
          <w:sz w:val="20"/>
          <w:szCs w:val="20"/>
        </w:rPr>
        <w:t>The motion by the appellant to extend the time to serve and file his factum, record and book of authorities is granted.</w:t>
      </w:r>
    </w:p>
    <w:p w:rsidR="007424E4" w:rsidRPr="00C4278F" w:rsidRDefault="007424E4" w:rsidP="007424E4">
      <w:pPr>
        <w:rPr>
          <w:rFonts w:eastAsia="Times New Roman" w:cs="Times New Roman"/>
          <w:sz w:val="20"/>
          <w:szCs w:val="20"/>
          <w:lang w:eastAsia="en-CA"/>
        </w:rPr>
      </w:pPr>
    </w:p>
    <w:p w:rsidR="007424E4" w:rsidRPr="00C4278F" w:rsidRDefault="007424E4" w:rsidP="007424E4">
      <w:pPr>
        <w:rPr>
          <w:rFonts w:eastAsia="Times New Roman" w:cs="Times New Roman"/>
          <w:sz w:val="20"/>
          <w:szCs w:val="20"/>
          <w:lang w:eastAsia="en-CA"/>
        </w:rPr>
      </w:pPr>
      <w:r w:rsidRPr="00C4278F">
        <w:rPr>
          <w:rFonts w:eastAsia="Times New Roman" w:cs="Times New Roman"/>
          <w:sz w:val="20"/>
          <w:szCs w:val="20"/>
          <w:lang w:eastAsia="en-CA"/>
        </w:rPr>
        <w:t>The schedule for serving and filing material is set as follows:</w:t>
      </w:r>
    </w:p>
    <w:p w:rsidR="007424E4" w:rsidRPr="00C4278F" w:rsidRDefault="007424E4" w:rsidP="007424E4">
      <w:pPr>
        <w:rPr>
          <w:rFonts w:eastAsia="Times New Roman" w:cs="Times New Roman"/>
          <w:sz w:val="20"/>
          <w:szCs w:val="20"/>
          <w:lang w:eastAsia="en-CA"/>
        </w:rPr>
      </w:pPr>
    </w:p>
    <w:p w:rsidR="007424E4" w:rsidRPr="00C4278F" w:rsidRDefault="007424E4" w:rsidP="007424E4">
      <w:pPr>
        <w:numPr>
          <w:ilvl w:val="0"/>
          <w:numId w:val="5"/>
        </w:numPr>
        <w:autoSpaceDE w:val="0"/>
        <w:autoSpaceDN w:val="0"/>
        <w:adjustRightInd w:val="0"/>
        <w:contextualSpacing/>
        <w:jc w:val="both"/>
        <w:rPr>
          <w:rFonts w:cs="Times New Roman"/>
          <w:sz w:val="20"/>
          <w:szCs w:val="20"/>
        </w:rPr>
      </w:pPr>
      <w:r w:rsidRPr="00C4278F">
        <w:rPr>
          <w:rFonts w:cs="Times New Roman"/>
          <w:sz w:val="20"/>
          <w:szCs w:val="20"/>
        </w:rPr>
        <w:t xml:space="preserve">The appellant’s factum, record and book of authorities are to be served and filed no later than January 7, 2013; </w:t>
      </w:r>
    </w:p>
    <w:p w:rsidR="007424E4" w:rsidRPr="00C4278F" w:rsidRDefault="007424E4" w:rsidP="007424E4">
      <w:pPr>
        <w:ind w:left="720"/>
        <w:contextualSpacing/>
        <w:rPr>
          <w:rFonts w:cs="Times New Roman"/>
          <w:sz w:val="20"/>
          <w:szCs w:val="20"/>
        </w:rPr>
      </w:pPr>
    </w:p>
    <w:p w:rsidR="007424E4" w:rsidRPr="00C4278F" w:rsidRDefault="007424E4" w:rsidP="007424E4">
      <w:pPr>
        <w:numPr>
          <w:ilvl w:val="0"/>
          <w:numId w:val="5"/>
        </w:numPr>
        <w:autoSpaceDE w:val="0"/>
        <w:autoSpaceDN w:val="0"/>
        <w:adjustRightInd w:val="0"/>
        <w:contextualSpacing/>
        <w:jc w:val="both"/>
        <w:rPr>
          <w:rFonts w:cs="Times New Roman"/>
          <w:sz w:val="20"/>
          <w:szCs w:val="20"/>
        </w:rPr>
      </w:pPr>
      <w:r w:rsidRPr="00C4278F">
        <w:rPr>
          <w:rFonts w:cs="Times New Roman"/>
          <w:sz w:val="20"/>
          <w:szCs w:val="20"/>
        </w:rPr>
        <w:t xml:space="preserve">Any application for leave to intervene is to be served and filed no later than January 14, 2013; </w:t>
      </w:r>
    </w:p>
    <w:p w:rsidR="007424E4" w:rsidRPr="00C4278F" w:rsidRDefault="007424E4" w:rsidP="007424E4">
      <w:pPr>
        <w:ind w:left="720"/>
        <w:contextualSpacing/>
        <w:rPr>
          <w:rFonts w:cs="Times New Roman"/>
          <w:sz w:val="20"/>
          <w:szCs w:val="20"/>
        </w:rPr>
      </w:pPr>
    </w:p>
    <w:p w:rsidR="007424E4" w:rsidRPr="00C4278F" w:rsidRDefault="007424E4" w:rsidP="007424E4">
      <w:pPr>
        <w:numPr>
          <w:ilvl w:val="0"/>
          <w:numId w:val="5"/>
        </w:numPr>
        <w:autoSpaceDE w:val="0"/>
        <w:autoSpaceDN w:val="0"/>
        <w:adjustRightInd w:val="0"/>
        <w:contextualSpacing/>
        <w:jc w:val="both"/>
        <w:rPr>
          <w:rFonts w:cs="Times New Roman"/>
          <w:sz w:val="20"/>
          <w:szCs w:val="20"/>
        </w:rPr>
      </w:pPr>
      <w:r w:rsidRPr="00C4278F">
        <w:rPr>
          <w:rFonts w:cs="Times New Roman"/>
          <w:sz w:val="20"/>
          <w:szCs w:val="20"/>
        </w:rPr>
        <w:t>The responses to any application for leave to intervene are to be served and filed no later than January 21, 2013;</w:t>
      </w:r>
    </w:p>
    <w:p w:rsidR="007424E4" w:rsidRPr="00C4278F" w:rsidRDefault="007424E4" w:rsidP="007424E4">
      <w:pPr>
        <w:ind w:left="720"/>
        <w:contextualSpacing/>
        <w:rPr>
          <w:rFonts w:cs="Times New Roman"/>
          <w:sz w:val="20"/>
          <w:szCs w:val="20"/>
        </w:rPr>
      </w:pPr>
    </w:p>
    <w:p w:rsidR="007424E4" w:rsidRPr="00C4278F" w:rsidRDefault="007424E4" w:rsidP="007424E4">
      <w:pPr>
        <w:numPr>
          <w:ilvl w:val="0"/>
          <w:numId w:val="5"/>
        </w:numPr>
        <w:autoSpaceDE w:val="0"/>
        <w:autoSpaceDN w:val="0"/>
        <w:adjustRightInd w:val="0"/>
        <w:contextualSpacing/>
        <w:jc w:val="both"/>
        <w:rPr>
          <w:rFonts w:cs="Times New Roman"/>
          <w:sz w:val="20"/>
          <w:szCs w:val="20"/>
        </w:rPr>
      </w:pPr>
      <w:r w:rsidRPr="00C4278F">
        <w:rPr>
          <w:rFonts w:cs="Times New Roman"/>
          <w:sz w:val="20"/>
          <w:szCs w:val="20"/>
        </w:rPr>
        <w:t xml:space="preserve">The replies on any application for leave to intervene are to be served and filed no later than January 24, 2013; </w:t>
      </w:r>
    </w:p>
    <w:p w:rsidR="007424E4" w:rsidRPr="00C4278F" w:rsidRDefault="007424E4" w:rsidP="007424E4">
      <w:pPr>
        <w:ind w:left="720"/>
        <w:contextualSpacing/>
        <w:rPr>
          <w:rFonts w:cs="Times New Roman"/>
          <w:sz w:val="20"/>
          <w:szCs w:val="20"/>
        </w:rPr>
      </w:pPr>
    </w:p>
    <w:p w:rsidR="007424E4" w:rsidRPr="00C4278F" w:rsidRDefault="007424E4" w:rsidP="007424E4">
      <w:pPr>
        <w:numPr>
          <w:ilvl w:val="0"/>
          <w:numId w:val="5"/>
        </w:numPr>
        <w:autoSpaceDE w:val="0"/>
        <w:autoSpaceDN w:val="0"/>
        <w:adjustRightInd w:val="0"/>
        <w:contextualSpacing/>
        <w:jc w:val="both"/>
        <w:rPr>
          <w:rFonts w:cs="Times New Roman"/>
          <w:sz w:val="20"/>
          <w:szCs w:val="20"/>
        </w:rPr>
      </w:pPr>
      <w:r w:rsidRPr="00C4278F">
        <w:rPr>
          <w:rFonts w:cs="Times New Roman"/>
          <w:sz w:val="20"/>
          <w:szCs w:val="20"/>
        </w:rPr>
        <w:t>The respondent’s factum, record and book of authorities are to be served and filed no later than February 4, 2013;</w:t>
      </w:r>
    </w:p>
    <w:p w:rsidR="007424E4" w:rsidRPr="00C4278F" w:rsidRDefault="007424E4" w:rsidP="007424E4">
      <w:pPr>
        <w:ind w:left="720"/>
        <w:contextualSpacing/>
        <w:rPr>
          <w:rFonts w:cs="Times New Roman"/>
          <w:sz w:val="20"/>
          <w:szCs w:val="20"/>
        </w:rPr>
      </w:pPr>
    </w:p>
    <w:p w:rsidR="007424E4" w:rsidRPr="00C4278F" w:rsidRDefault="007424E4" w:rsidP="007424E4">
      <w:pPr>
        <w:numPr>
          <w:ilvl w:val="0"/>
          <w:numId w:val="5"/>
        </w:numPr>
        <w:autoSpaceDE w:val="0"/>
        <w:autoSpaceDN w:val="0"/>
        <w:adjustRightInd w:val="0"/>
        <w:contextualSpacing/>
        <w:jc w:val="both"/>
        <w:rPr>
          <w:rFonts w:cs="Times New Roman"/>
          <w:sz w:val="20"/>
          <w:szCs w:val="20"/>
        </w:rPr>
      </w:pPr>
      <w:r w:rsidRPr="00C4278F">
        <w:rPr>
          <w:rFonts w:cs="Times New Roman"/>
          <w:sz w:val="20"/>
          <w:szCs w:val="20"/>
        </w:rPr>
        <w:t>The interveners’ factums are to be served and filed in accordance with the date set in the order granting leave to intervene; and</w:t>
      </w:r>
    </w:p>
    <w:p w:rsidR="007424E4" w:rsidRPr="00C4278F" w:rsidRDefault="007424E4" w:rsidP="007424E4">
      <w:pPr>
        <w:ind w:left="720"/>
        <w:contextualSpacing/>
        <w:rPr>
          <w:rFonts w:cs="Times New Roman"/>
          <w:sz w:val="20"/>
          <w:szCs w:val="20"/>
        </w:rPr>
      </w:pPr>
    </w:p>
    <w:p w:rsidR="007424E4" w:rsidRPr="000A3258" w:rsidRDefault="007424E4" w:rsidP="007424E4">
      <w:pPr>
        <w:numPr>
          <w:ilvl w:val="0"/>
          <w:numId w:val="5"/>
        </w:numPr>
        <w:autoSpaceDE w:val="0"/>
        <w:autoSpaceDN w:val="0"/>
        <w:adjustRightInd w:val="0"/>
        <w:spacing w:line="233" w:lineRule="auto"/>
        <w:contextualSpacing/>
        <w:jc w:val="both"/>
        <w:rPr>
          <w:sz w:val="20"/>
          <w:szCs w:val="20"/>
        </w:rPr>
      </w:pPr>
      <w:r w:rsidRPr="000A3258">
        <w:rPr>
          <w:rFonts w:cs="Times New Roman"/>
          <w:sz w:val="20"/>
          <w:szCs w:val="20"/>
        </w:rPr>
        <w:t xml:space="preserve">The appeal is to be heard on February 18, 2013. </w:t>
      </w:r>
    </w:p>
    <w:p w:rsidR="007424E4" w:rsidRDefault="007424E4" w:rsidP="007424E4">
      <w:pPr>
        <w:autoSpaceDE w:val="0"/>
        <w:autoSpaceDN w:val="0"/>
        <w:adjustRightInd w:val="0"/>
        <w:spacing w:line="233" w:lineRule="auto"/>
        <w:contextualSpacing/>
        <w:jc w:val="both"/>
        <w:rPr>
          <w:rFonts w:cs="Times New Roman"/>
          <w:sz w:val="20"/>
          <w:szCs w:val="20"/>
        </w:rPr>
      </w:pPr>
    </w:p>
    <w:p w:rsidR="00890FEB" w:rsidRPr="00C50A5C" w:rsidRDefault="00D32E73" w:rsidP="007424E4">
      <w:pPr>
        <w:tabs>
          <w:tab w:val="left" w:pos="-1440"/>
          <w:tab w:val="left" w:pos="-720"/>
        </w:tabs>
        <w:jc w:val="both"/>
        <w:rPr>
          <w:sz w:val="20"/>
          <w:szCs w:val="20"/>
          <w:lang w:val="fr-CA"/>
        </w:rPr>
      </w:pPr>
      <w:r w:rsidRPr="00D32E73">
        <w:rPr>
          <w:sz w:val="20"/>
          <w:szCs w:val="20"/>
          <w:lang w:val="fr-CA"/>
        </w:rPr>
        <w:pict>
          <v:rect id="_x0000_i1059"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5C0B5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6C5554" w:rsidRPr="00D1588A" w:rsidRDefault="006C5554" w:rsidP="006C5554">
      <w:pPr>
        <w:widowControl w:val="0"/>
        <w:rPr>
          <w:sz w:val="20"/>
          <w:szCs w:val="20"/>
        </w:rPr>
      </w:pPr>
      <w:r w:rsidRPr="00D1588A">
        <w:rPr>
          <w:sz w:val="20"/>
          <w:szCs w:val="20"/>
        </w:rPr>
        <w:t>07.12.2012</w:t>
      </w:r>
    </w:p>
    <w:p w:rsidR="006C5554" w:rsidRPr="00D1588A" w:rsidRDefault="006C5554" w:rsidP="006C5554">
      <w:pPr>
        <w:widowControl w:val="0"/>
        <w:rPr>
          <w:sz w:val="20"/>
          <w:szCs w:val="20"/>
        </w:rPr>
      </w:pPr>
    </w:p>
    <w:p w:rsidR="006C5554" w:rsidRPr="00D1588A" w:rsidRDefault="006C5554" w:rsidP="006C5554">
      <w:pPr>
        <w:widowControl w:val="0"/>
        <w:ind w:left="720" w:hanging="720"/>
        <w:rPr>
          <w:b/>
          <w:sz w:val="20"/>
          <w:szCs w:val="20"/>
        </w:rPr>
      </w:pPr>
      <w:r w:rsidRPr="00D1588A">
        <w:rPr>
          <w:sz w:val="20"/>
          <w:szCs w:val="20"/>
        </w:rPr>
        <w:t xml:space="preserve">Coram: </w:t>
      </w:r>
      <w:r w:rsidRPr="00D1588A">
        <w:rPr>
          <w:sz w:val="20"/>
          <w:szCs w:val="20"/>
        </w:rPr>
        <w:tab/>
      </w:r>
      <w:proofErr w:type="spellStart"/>
      <w:r w:rsidRPr="00D1588A">
        <w:rPr>
          <w:sz w:val="20"/>
          <w:szCs w:val="20"/>
          <w:u w:val="single"/>
        </w:rPr>
        <w:t>McLachlin</w:t>
      </w:r>
      <w:proofErr w:type="spellEnd"/>
      <w:r w:rsidRPr="00D1588A">
        <w:rPr>
          <w:sz w:val="20"/>
          <w:szCs w:val="20"/>
          <w:u w:val="single"/>
        </w:rPr>
        <w:t xml:space="preserve"> C.J. and </w:t>
      </w:r>
      <w:proofErr w:type="spellStart"/>
      <w:r w:rsidRPr="00D1588A">
        <w:rPr>
          <w:sz w:val="20"/>
          <w:szCs w:val="20"/>
          <w:u w:val="single"/>
        </w:rPr>
        <w:t>LeBel</w:t>
      </w:r>
      <w:proofErr w:type="spellEnd"/>
      <w:r w:rsidRPr="00D1588A">
        <w:rPr>
          <w:sz w:val="20"/>
          <w:szCs w:val="20"/>
          <w:u w:val="single"/>
        </w:rPr>
        <w:t xml:space="preserve">, Fish, </w:t>
      </w:r>
      <w:proofErr w:type="spellStart"/>
      <w:r w:rsidRPr="00D1588A">
        <w:rPr>
          <w:sz w:val="20"/>
          <w:szCs w:val="20"/>
          <w:u w:val="single"/>
        </w:rPr>
        <w:t>Abella</w:t>
      </w:r>
      <w:proofErr w:type="spellEnd"/>
      <w:r w:rsidRPr="00D1588A">
        <w:rPr>
          <w:sz w:val="20"/>
          <w:szCs w:val="20"/>
          <w:u w:val="single"/>
        </w:rPr>
        <w:t xml:space="preserve">, Rothstein, Cromwell, </w:t>
      </w:r>
      <w:proofErr w:type="spellStart"/>
      <w:r w:rsidRPr="00D1588A">
        <w:rPr>
          <w:sz w:val="20"/>
          <w:szCs w:val="20"/>
          <w:u w:val="single"/>
        </w:rPr>
        <w:t>Moldaver</w:t>
      </w:r>
      <w:proofErr w:type="spellEnd"/>
      <w:r w:rsidRPr="00D1588A">
        <w:rPr>
          <w:sz w:val="20"/>
          <w:szCs w:val="20"/>
          <w:u w:val="single"/>
        </w:rPr>
        <w:t xml:space="preserve">, </w:t>
      </w:r>
      <w:proofErr w:type="spellStart"/>
      <w:r w:rsidRPr="00D1588A">
        <w:rPr>
          <w:sz w:val="20"/>
          <w:szCs w:val="20"/>
          <w:u w:val="single"/>
        </w:rPr>
        <w:t>Karakatsanis</w:t>
      </w:r>
      <w:proofErr w:type="spellEnd"/>
      <w:r w:rsidRPr="00D1588A">
        <w:rPr>
          <w:sz w:val="20"/>
          <w:szCs w:val="20"/>
          <w:u w:val="single"/>
        </w:rPr>
        <w:t xml:space="preserve"> and Wagner JJ.</w:t>
      </w:r>
      <w:r w:rsidRPr="00D1588A">
        <w:rPr>
          <w:sz w:val="20"/>
          <w:szCs w:val="20"/>
        </w:rPr>
        <w:t xml:space="preserve"> </w:t>
      </w:r>
    </w:p>
    <w:p w:rsidR="006C5554" w:rsidRPr="00D1588A" w:rsidRDefault="006C5554" w:rsidP="006C5554">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6C5554" w:rsidRPr="00D1588A" w:rsidTr="008F6F48">
        <w:tc>
          <w:tcPr>
            <w:tcW w:w="4380" w:type="dxa"/>
            <w:tcMar>
              <w:left w:w="0" w:type="dxa"/>
              <w:right w:w="0" w:type="dxa"/>
            </w:tcMar>
          </w:tcPr>
          <w:p w:rsidR="006C5554" w:rsidRPr="00D1588A" w:rsidRDefault="006C5554" w:rsidP="008F6F48">
            <w:pPr>
              <w:widowControl w:val="0"/>
              <w:jc w:val="both"/>
              <w:rPr>
                <w:b/>
                <w:sz w:val="20"/>
                <w:szCs w:val="20"/>
              </w:rPr>
            </w:pPr>
            <w:r w:rsidRPr="00D1588A">
              <w:rPr>
                <w:b/>
                <w:sz w:val="20"/>
                <w:szCs w:val="20"/>
              </w:rPr>
              <w:t xml:space="preserve">Communications, Energy and </w:t>
            </w:r>
            <w:proofErr w:type="spellStart"/>
            <w:r w:rsidRPr="00D1588A">
              <w:rPr>
                <w:b/>
                <w:sz w:val="20"/>
                <w:szCs w:val="20"/>
              </w:rPr>
              <w:t>Paperworkers</w:t>
            </w:r>
            <w:proofErr w:type="spellEnd"/>
            <w:r w:rsidRPr="00D1588A">
              <w:rPr>
                <w:b/>
                <w:sz w:val="20"/>
                <w:szCs w:val="20"/>
              </w:rPr>
              <w:t xml:space="preserve"> Union of Canada, Local 30 </w:t>
            </w:r>
          </w:p>
          <w:p w:rsidR="006C5554" w:rsidRPr="00D1588A" w:rsidRDefault="006C5554" w:rsidP="008F6F48">
            <w:pPr>
              <w:widowControl w:val="0"/>
              <w:jc w:val="both"/>
              <w:rPr>
                <w:b/>
                <w:sz w:val="20"/>
                <w:szCs w:val="20"/>
              </w:rPr>
            </w:pPr>
          </w:p>
          <w:p w:rsidR="006C5554" w:rsidRPr="00D1588A" w:rsidRDefault="006C5554" w:rsidP="008F6F48">
            <w:pPr>
              <w:widowControl w:val="0"/>
              <w:tabs>
                <w:tab w:val="left" w:pos="736"/>
              </w:tabs>
              <w:jc w:val="both"/>
              <w:rPr>
                <w:b/>
                <w:sz w:val="20"/>
                <w:szCs w:val="20"/>
              </w:rPr>
            </w:pPr>
            <w:r w:rsidRPr="00D1588A">
              <w:rPr>
                <w:b/>
                <w:sz w:val="20"/>
                <w:szCs w:val="20"/>
              </w:rPr>
              <w:tab/>
              <w:t>v. (34473)</w:t>
            </w:r>
          </w:p>
          <w:p w:rsidR="006C5554" w:rsidRPr="00D1588A" w:rsidRDefault="006C5554" w:rsidP="008F6F48">
            <w:pPr>
              <w:widowControl w:val="0"/>
              <w:jc w:val="both"/>
              <w:rPr>
                <w:b/>
                <w:sz w:val="20"/>
                <w:szCs w:val="20"/>
              </w:rPr>
            </w:pPr>
          </w:p>
          <w:p w:rsidR="006C5554" w:rsidRPr="00D1588A" w:rsidRDefault="006C5554" w:rsidP="008F6F48">
            <w:pPr>
              <w:widowControl w:val="0"/>
              <w:jc w:val="both"/>
              <w:rPr>
                <w:sz w:val="20"/>
                <w:szCs w:val="20"/>
                <w:lang w:val="en-US"/>
              </w:rPr>
            </w:pPr>
            <w:r w:rsidRPr="00D1588A">
              <w:rPr>
                <w:b/>
                <w:sz w:val="20"/>
                <w:szCs w:val="20"/>
              </w:rPr>
              <w:t>Irving Pulp &amp; Paper, Limited (N.B.) (Civil) (By</w:t>
            </w:r>
            <w:r>
              <w:rPr>
                <w:b/>
                <w:sz w:val="20"/>
                <w:szCs w:val="20"/>
              </w:rPr>
              <w:t> </w:t>
            </w:r>
            <w:r w:rsidRPr="00D1588A">
              <w:rPr>
                <w:b/>
                <w:sz w:val="20"/>
                <w:szCs w:val="20"/>
              </w:rPr>
              <w:t>Leave)</w:t>
            </w:r>
            <w:r w:rsidRPr="00D1588A">
              <w:rPr>
                <w:sz w:val="20"/>
                <w:szCs w:val="20"/>
                <w:lang w:val="en-US"/>
              </w:rPr>
              <w:t xml:space="preserve"> </w:t>
            </w:r>
          </w:p>
        </w:tc>
        <w:tc>
          <w:tcPr>
            <w:tcW w:w="720" w:type="dxa"/>
            <w:tcMar>
              <w:left w:w="0" w:type="dxa"/>
              <w:right w:w="0" w:type="dxa"/>
            </w:tcMar>
          </w:tcPr>
          <w:p w:rsidR="006C5554" w:rsidRPr="00D1588A" w:rsidRDefault="006C5554" w:rsidP="008F6F48">
            <w:pPr>
              <w:widowControl w:val="0"/>
              <w:jc w:val="center"/>
              <w:rPr>
                <w:sz w:val="20"/>
                <w:szCs w:val="20"/>
                <w:lang w:val="en-US"/>
              </w:rPr>
            </w:pPr>
          </w:p>
        </w:tc>
        <w:tc>
          <w:tcPr>
            <w:tcW w:w="4380" w:type="dxa"/>
            <w:tcMar>
              <w:left w:w="0" w:type="dxa"/>
              <w:right w:w="0" w:type="dxa"/>
            </w:tcMar>
          </w:tcPr>
          <w:p w:rsidR="006C5554" w:rsidRPr="00D1588A" w:rsidRDefault="006C5554" w:rsidP="008F6F48">
            <w:pPr>
              <w:widowControl w:val="0"/>
              <w:jc w:val="both"/>
              <w:rPr>
                <w:sz w:val="20"/>
                <w:szCs w:val="20"/>
              </w:rPr>
            </w:pPr>
            <w:r w:rsidRPr="00D1588A">
              <w:rPr>
                <w:sz w:val="20"/>
                <w:szCs w:val="20"/>
              </w:rPr>
              <w:t xml:space="preserve">Daniel Leger, David </w:t>
            </w:r>
            <w:proofErr w:type="spellStart"/>
            <w:r w:rsidRPr="00D1588A">
              <w:rPr>
                <w:sz w:val="20"/>
                <w:szCs w:val="20"/>
              </w:rPr>
              <w:t>Mombourquette</w:t>
            </w:r>
            <w:proofErr w:type="spellEnd"/>
            <w:r w:rsidRPr="00D1588A">
              <w:rPr>
                <w:sz w:val="20"/>
                <w:szCs w:val="20"/>
              </w:rPr>
              <w:t xml:space="preserve">, and </w:t>
            </w:r>
            <w:proofErr w:type="spellStart"/>
            <w:r w:rsidRPr="00D1588A">
              <w:rPr>
                <w:sz w:val="20"/>
                <w:szCs w:val="20"/>
              </w:rPr>
              <w:t>Joël</w:t>
            </w:r>
            <w:proofErr w:type="spellEnd"/>
            <w:r w:rsidRPr="00D1588A">
              <w:rPr>
                <w:sz w:val="20"/>
                <w:szCs w:val="20"/>
              </w:rPr>
              <w:t xml:space="preserve"> Michaud for the appellant.</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Andrew </w:t>
            </w:r>
            <w:proofErr w:type="spellStart"/>
            <w:r w:rsidRPr="00D1588A">
              <w:rPr>
                <w:sz w:val="20"/>
                <w:szCs w:val="20"/>
              </w:rPr>
              <w:t>Lokan</w:t>
            </w:r>
            <w:proofErr w:type="spellEnd"/>
            <w:r w:rsidRPr="00D1588A">
              <w:rPr>
                <w:sz w:val="20"/>
                <w:szCs w:val="20"/>
              </w:rPr>
              <w:t xml:space="preserve">, Emily Lawrence and Chris </w:t>
            </w:r>
            <w:proofErr w:type="spellStart"/>
            <w:r w:rsidRPr="00D1588A">
              <w:rPr>
                <w:sz w:val="20"/>
                <w:szCs w:val="20"/>
              </w:rPr>
              <w:t>Dassios</w:t>
            </w:r>
            <w:proofErr w:type="spellEnd"/>
            <w:r w:rsidRPr="00D1588A">
              <w:rPr>
                <w:sz w:val="20"/>
                <w:szCs w:val="20"/>
              </w:rPr>
              <w:t xml:space="preserve"> for the intervener Power Workers' Union</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proofErr w:type="spellStart"/>
            <w:r w:rsidRPr="00D1588A">
              <w:rPr>
                <w:sz w:val="20"/>
                <w:szCs w:val="20"/>
              </w:rPr>
              <w:t>Ritu</w:t>
            </w:r>
            <w:proofErr w:type="spellEnd"/>
            <w:r w:rsidRPr="00D1588A">
              <w:rPr>
                <w:sz w:val="20"/>
                <w:szCs w:val="20"/>
              </w:rPr>
              <w:t xml:space="preserve"> </w:t>
            </w:r>
            <w:proofErr w:type="spellStart"/>
            <w:r w:rsidRPr="00D1588A">
              <w:rPr>
                <w:sz w:val="20"/>
                <w:szCs w:val="20"/>
              </w:rPr>
              <w:t>Khullar</w:t>
            </w:r>
            <w:proofErr w:type="spellEnd"/>
            <w:r w:rsidRPr="00D1588A">
              <w:rPr>
                <w:sz w:val="20"/>
                <w:szCs w:val="20"/>
              </w:rPr>
              <w:t xml:space="preserve"> for the intervener Communications, Energy and </w:t>
            </w:r>
            <w:proofErr w:type="spellStart"/>
            <w:r w:rsidRPr="00D1588A">
              <w:rPr>
                <w:sz w:val="20"/>
                <w:szCs w:val="20"/>
              </w:rPr>
              <w:t>Paperworkers</w:t>
            </w:r>
            <w:proofErr w:type="spellEnd"/>
            <w:r w:rsidRPr="00D1588A">
              <w:rPr>
                <w:sz w:val="20"/>
                <w:szCs w:val="20"/>
              </w:rPr>
              <w:t xml:space="preserve"> Union of Canada, Local 707.</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Joshua S. Phillips and Karen </w:t>
            </w:r>
            <w:proofErr w:type="spellStart"/>
            <w:r w:rsidRPr="00D1588A">
              <w:rPr>
                <w:sz w:val="20"/>
                <w:szCs w:val="20"/>
              </w:rPr>
              <w:t>Ensslen</w:t>
            </w:r>
            <w:proofErr w:type="spellEnd"/>
            <w:r w:rsidRPr="00D1588A">
              <w:rPr>
                <w:sz w:val="20"/>
                <w:szCs w:val="20"/>
              </w:rPr>
              <w:t xml:space="preserve"> for the intervener Canadian Civil Liberties Association.</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Neil Finkelstein, Steven Mason, Brandon </w:t>
            </w:r>
            <w:proofErr w:type="spellStart"/>
            <w:r w:rsidRPr="00D1588A">
              <w:rPr>
                <w:sz w:val="20"/>
                <w:szCs w:val="20"/>
              </w:rPr>
              <w:t>Kain</w:t>
            </w:r>
            <w:proofErr w:type="spellEnd"/>
            <w:r w:rsidRPr="00D1588A">
              <w:rPr>
                <w:sz w:val="20"/>
                <w:szCs w:val="20"/>
              </w:rPr>
              <w:t>, Byron Shaw and William Goss, Q.C., for the respondent.</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lang w:val="en-US"/>
              </w:rPr>
              <w:t xml:space="preserve">Robert </w:t>
            </w:r>
            <w:proofErr w:type="spellStart"/>
            <w:r w:rsidRPr="00D1588A">
              <w:rPr>
                <w:sz w:val="20"/>
                <w:szCs w:val="20"/>
                <w:lang w:val="en-US"/>
              </w:rPr>
              <w:t>Dupont</w:t>
            </w:r>
            <w:proofErr w:type="spellEnd"/>
            <w:r w:rsidRPr="00D1588A">
              <w:rPr>
                <w:sz w:val="20"/>
                <w:szCs w:val="20"/>
                <w:lang w:val="en-US"/>
              </w:rPr>
              <w:t xml:space="preserve">, Simon-Pierre Paquette and </w:t>
            </w:r>
            <w:proofErr w:type="spellStart"/>
            <w:r w:rsidRPr="00D1588A">
              <w:rPr>
                <w:sz w:val="20"/>
                <w:szCs w:val="20"/>
                <w:lang w:val="en-US"/>
              </w:rPr>
              <w:t>Johanne</w:t>
            </w:r>
            <w:proofErr w:type="spellEnd"/>
            <w:r w:rsidRPr="00D1588A">
              <w:rPr>
                <w:sz w:val="20"/>
                <w:szCs w:val="20"/>
                <w:lang w:val="en-US"/>
              </w:rPr>
              <w:t xml:space="preserve"> </w:t>
            </w:r>
            <w:proofErr w:type="spellStart"/>
            <w:r w:rsidRPr="00D1588A">
              <w:rPr>
                <w:sz w:val="20"/>
                <w:szCs w:val="20"/>
                <w:lang w:val="en-US"/>
              </w:rPr>
              <w:t>Cavé</w:t>
            </w:r>
            <w:proofErr w:type="spellEnd"/>
            <w:r w:rsidRPr="00D1588A">
              <w:rPr>
                <w:sz w:val="20"/>
                <w:szCs w:val="20"/>
                <w:lang w:val="en-US"/>
              </w:rPr>
              <w:t xml:space="preserve"> f</w:t>
            </w:r>
            <w:r w:rsidRPr="00D1588A">
              <w:rPr>
                <w:sz w:val="20"/>
                <w:szCs w:val="20"/>
              </w:rPr>
              <w:t>or the interveners Canadian National Railway Company, et al.</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Peter A. Gall, Q.C., Andrea </w:t>
            </w:r>
            <w:proofErr w:type="spellStart"/>
            <w:r w:rsidRPr="00D1588A">
              <w:rPr>
                <w:sz w:val="20"/>
                <w:szCs w:val="20"/>
              </w:rPr>
              <w:t>Zwack</w:t>
            </w:r>
            <w:proofErr w:type="spellEnd"/>
            <w:r w:rsidRPr="00D1588A">
              <w:rPr>
                <w:sz w:val="20"/>
                <w:szCs w:val="20"/>
              </w:rPr>
              <w:t xml:space="preserve"> and Melanie </w:t>
            </w:r>
            <w:proofErr w:type="spellStart"/>
            <w:r w:rsidRPr="00D1588A">
              <w:rPr>
                <w:sz w:val="20"/>
                <w:szCs w:val="20"/>
              </w:rPr>
              <w:t>Vipond</w:t>
            </w:r>
            <w:proofErr w:type="spellEnd"/>
            <w:r w:rsidRPr="00D1588A">
              <w:rPr>
                <w:sz w:val="20"/>
                <w:szCs w:val="20"/>
              </w:rPr>
              <w:t xml:space="preserve"> for the interveners Canadian Mining Association, et al.</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Norman A. Keith, Ailsa Jane Wiggins and Anna Abbott for the intervener Alliance of Manufacturers &amp; Exporters of Canada, carrying on business as Canadian Manufacturers &amp; Exporters.</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Written submission only by Barbara B. Johnston and April </w:t>
            </w:r>
            <w:proofErr w:type="spellStart"/>
            <w:r w:rsidRPr="00D1588A">
              <w:rPr>
                <w:sz w:val="20"/>
                <w:szCs w:val="20"/>
              </w:rPr>
              <w:t>Kosten</w:t>
            </w:r>
            <w:proofErr w:type="spellEnd"/>
            <w:r w:rsidRPr="00D1588A">
              <w:rPr>
                <w:sz w:val="20"/>
                <w:szCs w:val="20"/>
              </w:rPr>
              <w:t xml:space="preserve"> for the interveners Construction Owners Association of Alberta, et al.</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Written submission only for the intervener Alberta Federation of Labour.</w:t>
            </w:r>
          </w:p>
        </w:tc>
      </w:tr>
    </w:tbl>
    <w:p w:rsidR="006C5554" w:rsidRPr="00D1588A" w:rsidRDefault="006C5554" w:rsidP="006C5554">
      <w:pPr>
        <w:widowControl w:val="0"/>
      </w:pPr>
    </w:p>
    <w:p w:rsidR="006C5554" w:rsidRPr="00D1588A" w:rsidRDefault="006C5554" w:rsidP="006C5554">
      <w:pPr>
        <w:widowControl w:val="0"/>
        <w:rPr>
          <w:sz w:val="20"/>
          <w:szCs w:val="20"/>
        </w:rPr>
      </w:pPr>
      <w:r w:rsidRPr="00D1588A">
        <w:rPr>
          <w:b/>
          <w:sz w:val="20"/>
          <w:szCs w:val="20"/>
        </w:rPr>
        <w:t xml:space="preserve">RESERVED / </w:t>
      </w:r>
      <w:r w:rsidRPr="00D1588A">
        <w:rPr>
          <w:b/>
          <w:sz w:val="20"/>
          <w:szCs w:val="20"/>
          <w:lang w:val="fr-CA"/>
        </w:rPr>
        <w:t>EN DÉLIBÉRÉ</w:t>
      </w:r>
    </w:p>
    <w:p w:rsidR="006C5554" w:rsidRDefault="006C5554" w:rsidP="006C5554"/>
    <w:tbl>
      <w:tblPr>
        <w:tblW w:w="0" w:type="auto"/>
        <w:tblLayout w:type="fixed"/>
        <w:tblCellMar>
          <w:left w:w="0" w:type="dxa"/>
          <w:right w:w="0" w:type="dxa"/>
        </w:tblCellMar>
        <w:tblLook w:val="0000"/>
      </w:tblPr>
      <w:tblGrid>
        <w:gridCol w:w="4380"/>
        <w:gridCol w:w="720"/>
        <w:gridCol w:w="4380"/>
      </w:tblGrid>
      <w:tr w:rsidR="006C5554" w:rsidRPr="00B32C76" w:rsidTr="008F6F48">
        <w:tc>
          <w:tcPr>
            <w:tcW w:w="4380" w:type="dxa"/>
            <w:tcMar>
              <w:left w:w="0" w:type="dxa"/>
              <w:right w:w="0" w:type="dxa"/>
            </w:tcMar>
          </w:tcPr>
          <w:p w:rsidR="006C5554" w:rsidRPr="00D1588A" w:rsidRDefault="006C5554" w:rsidP="008F6F48">
            <w:pPr>
              <w:widowControl w:val="0"/>
              <w:jc w:val="both"/>
              <w:rPr>
                <w:b/>
                <w:sz w:val="20"/>
                <w:szCs w:val="20"/>
                <w:u w:val="single"/>
              </w:rPr>
            </w:pPr>
            <w:r w:rsidRPr="00D1588A">
              <w:rPr>
                <w:b/>
                <w:sz w:val="20"/>
                <w:szCs w:val="20"/>
                <w:u w:val="single"/>
              </w:rPr>
              <w:t>Nature of the case:</w:t>
            </w:r>
          </w:p>
          <w:p w:rsidR="006C5554" w:rsidRPr="00D1588A" w:rsidRDefault="006C5554" w:rsidP="008F6F48">
            <w:pPr>
              <w:widowControl w:val="0"/>
              <w:jc w:val="both"/>
              <w:rPr>
                <w:b/>
                <w:sz w:val="20"/>
                <w:szCs w:val="20"/>
              </w:rPr>
            </w:pPr>
          </w:p>
          <w:p w:rsidR="006C5554" w:rsidRPr="00D1588A" w:rsidRDefault="006C5554" w:rsidP="008F6F48">
            <w:pPr>
              <w:jc w:val="both"/>
              <w:rPr>
                <w:sz w:val="20"/>
                <w:szCs w:val="20"/>
              </w:rPr>
            </w:pPr>
            <w:r w:rsidRPr="00D1588A">
              <w:rPr>
                <w:sz w:val="20"/>
                <w:szCs w:val="20"/>
              </w:rPr>
              <w:t xml:space="preserve">Labour relations </w:t>
            </w:r>
            <w:r w:rsidRPr="00D1588A">
              <w:rPr>
                <w:rFonts w:ascii="MS Mincho" w:eastAsia="MS Mincho" w:hAnsi="MS Mincho" w:cs="MS Mincho" w:hint="eastAsia"/>
                <w:sz w:val="20"/>
                <w:szCs w:val="20"/>
              </w:rPr>
              <w:t>‑</w:t>
            </w:r>
            <w:r w:rsidRPr="00D1588A">
              <w:rPr>
                <w:rFonts w:cs="Times New Roman"/>
                <w:sz w:val="20"/>
                <w:szCs w:val="20"/>
              </w:rPr>
              <w:t xml:space="preserve"> Arbitration </w:t>
            </w:r>
            <w:r w:rsidRPr="00D1588A">
              <w:rPr>
                <w:rFonts w:ascii="MS Mincho" w:eastAsia="MS Mincho" w:hAnsi="MS Mincho" w:cs="MS Mincho" w:hint="eastAsia"/>
                <w:sz w:val="20"/>
                <w:szCs w:val="20"/>
              </w:rPr>
              <w:t>‑</w:t>
            </w:r>
            <w:r w:rsidRPr="00D1588A">
              <w:rPr>
                <w:rFonts w:cs="Times New Roman"/>
                <w:sz w:val="20"/>
                <w:szCs w:val="20"/>
              </w:rPr>
              <w:t xml:space="preserve"> Collectiv</w:t>
            </w:r>
            <w:r w:rsidRPr="00D1588A">
              <w:rPr>
                <w:sz w:val="20"/>
                <w:szCs w:val="20"/>
              </w:rPr>
              <w:t xml:space="preserve">e agreements </w:t>
            </w:r>
            <w:r w:rsidRPr="00D1588A">
              <w:rPr>
                <w:rFonts w:ascii="MS Mincho" w:eastAsia="MS Mincho" w:hAnsi="MS Mincho" w:cs="MS Mincho" w:hint="eastAsia"/>
                <w:sz w:val="20"/>
                <w:szCs w:val="20"/>
              </w:rPr>
              <w:t>‑</w:t>
            </w:r>
            <w:r w:rsidRPr="00D1588A">
              <w:rPr>
                <w:rFonts w:cs="Times New Roman"/>
                <w:sz w:val="20"/>
                <w:szCs w:val="20"/>
              </w:rPr>
              <w:t xml:space="preserve"> Policy grievance </w:t>
            </w:r>
            <w:r w:rsidRPr="00D1588A">
              <w:rPr>
                <w:rFonts w:ascii="MS Mincho" w:eastAsia="MS Mincho" w:hAnsi="MS Mincho" w:cs="MS Mincho" w:hint="eastAsia"/>
                <w:sz w:val="20"/>
                <w:szCs w:val="20"/>
              </w:rPr>
              <w:t>‑</w:t>
            </w:r>
            <w:r w:rsidRPr="00D1588A">
              <w:rPr>
                <w:rFonts w:cs="Times New Roman"/>
                <w:sz w:val="20"/>
                <w:szCs w:val="20"/>
              </w:rPr>
              <w:t xml:space="preserve"> Mandatory random alcohol testing policy </w:t>
            </w:r>
            <w:r w:rsidRPr="00D1588A">
              <w:rPr>
                <w:rFonts w:ascii="MS Mincho" w:eastAsia="MS Mincho" w:hAnsi="MS Mincho" w:cs="MS Mincho" w:hint="eastAsia"/>
                <w:sz w:val="20"/>
                <w:szCs w:val="20"/>
              </w:rPr>
              <w:t>‑</w:t>
            </w:r>
            <w:r w:rsidRPr="00D1588A">
              <w:rPr>
                <w:rFonts w:cs="Times New Roman"/>
                <w:sz w:val="20"/>
                <w:szCs w:val="20"/>
              </w:rPr>
              <w:t xml:space="preserve"> Inherently dangerous workplace </w:t>
            </w:r>
            <w:r w:rsidRPr="00D1588A">
              <w:rPr>
                <w:rFonts w:ascii="MS Mincho" w:eastAsia="MS Mincho" w:hAnsi="MS Mincho" w:cs="MS Mincho" w:hint="eastAsia"/>
                <w:sz w:val="20"/>
                <w:szCs w:val="20"/>
              </w:rPr>
              <w:t>‑</w:t>
            </w:r>
            <w:r w:rsidRPr="00D1588A">
              <w:rPr>
                <w:rFonts w:cs="Times New Roman"/>
                <w:sz w:val="20"/>
                <w:szCs w:val="20"/>
              </w:rPr>
              <w:t xml:space="preserve"> Judicial review </w:t>
            </w:r>
            <w:r w:rsidRPr="00D1588A">
              <w:rPr>
                <w:rFonts w:ascii="MS Mincho" w:eastAsia="MS Mincho" w:hAnsi="MS Mincho" w:cs="MS Mincho" w:hint="eastAsia"/>
                <w:sz w:val="20"/>
                <w:szCs w:val="20"/>
              </w:rPr>
              <w:t>‑</w:t>
            </w:r>
            <w:r w:rsidRPr="00D1588A">
              <w:rPr>
                <w:rFonts w:cs="Times New Roman"/>
                <w:sz w:val="20"/>
                <w:szCs w:val="20"/>
              </w:rPr>
              <w:t xml:space="preserve"> Standard of review </w:t>
            </w:r>
            <w:r w:rsidRPr="00D1588A">
              <w:rPr>
                <w:rFonts w:ascii="MS Mincho" w:eastAsia="MS Mincho" w:hAnsi="MS Mincho" w:cs="MS Mincho" w:hint="eastAsia"/>
                <w:sz w:val="20"/>
                <w:szCs w:val="20"/>
              </w:rPr>
              <w:t>‑</w:t>
            </w:r>
            <w:r w:rsidRPr="00D1588A">
              <w:rPr>
                <w:rFonts w:cs="Times New Roman"/>
                <w:sz w:val="20"/>
                <w:szCs w:val="20"/>
              </w:rPr>
              <w:t xml:space="preserve"> Whether the Court of Appeal erred in engaging in a standard of review analysis </w:t>
            </w:r>
            <w:r w:rsidRPr="00D1588A">
              <w:rPr>
                <w:rFonts w:ascii="MS Mincho" w:eastAsia="MS Mincho" w:hAnsi="MS Mincho" w:cs="MS Mincho" w:hint="eastAsia"/>
                <w:sz w:val="20"/>
                <w:szCs w:val="20"/>
              </w:rPr>
              <w:t>‑</w:t>
            </w:r>
            <w:r w:rsidRPr="00D1588A">
              <w:rPr>
                <w:rFonts w:cs="Times New Roman"/>
                <w:sz w:val="20"/>
                <w:szCs w:val="20"/>
              </w:rPr>
              <w:t xml:space="preserve"> Whether the Court of Appeal</w:t>
            </w:r>
            <w:r w:rsidRPr="00D1588A">
              <w:rPr>
                <w:sz w:val="20"/>
                <w:szCs w:val="20"/>
              </w:rPr>
              <w:t xml:space="preserve"> erred in its standard of review analysis </w:t>
            </w:r>
            <w:r w:rsidRPr="00D1588A">
              <w:rPr>
                <w:rFonts w:ascii="MS Mincho" w:eastAsia="MS Mincho" w:hAnsi="MS Mincho" w:cs="MS Mincho" w:hint="eastAsia"/>
                <w:sz w:val="20"/>
                <w:szCs w:val="20"/>
              </w:rPr>
              <w:t>‑</w:t>
            </w:r>
            <w:r w:rsidRPr="00D1588A">
              <w:rPr>
                <w:rFonts w:cs="Times New Roman"/>
                <w:sz w:val="20"/>
                <w:szCs w:val="20"/>
              </w:rPr>
              <w:t xml:space="preserve"> Whether the award was reasonable. </w:t>
            </w:r>
          </w:p>
          <w:p w:rsidR="006C5554" w:rsidRPr="00D1588A" w:rsidRDefault="006C5554" w:rsidP="008F6F48">
            <w:pPr>
              <w:widowControl w:val="0"/>
              <w:jc w:val="both"/>
              <w:rPr>
                <w:b/>
                <w:sz w:val="20"/>
                <w:szCs w:val="20"/>
              </w:rPr>
            </w:pPr>
          </w:p>
        </w:tc>
        <w:tc>
          <w:tcPr>
            <w:tcW w:w="720" w:type="dxa"/>
            <w:tcMar>
              <w:left w:w="0" w:type="dxa"/>
              <w:right w:w="0" w:type="dxa"/>
            </w:tcMar>
          </w:tcPr>
          <w:p w:rsidR="006C5554" w:rsidRPr="00D1588A" w:rsidRDefault="006C5554" w:rsidP="008F6F48">
            <w:pPr>
              <w:widowControl w:val="0"/>
              <w:jc w:val="center"/>
              <w:rPr>
                <w:sz w:val="20"/>
                <w:szCs w:val="20"/>
              </w:rPr>
            </w:pPr>
          </w:p>
        </w:tc>
        <w:tc>
          <w:tcPr>
            <w:tcW w:w="4380" w:type="dxa"/>
            <w:tcMar>
              <w:left w:w="0" w:type="dxa"/>
              <w:right w:w="0" w:type="dxa"/>
            </w:tcMar>
          </w:tcPr>
          <w:p w:rsidR="006C5554" w:rsidRPr="00D1588A" w:rsidRDefault="006C5554" w:rsidP="008F6F48">
            <w:pPr>
              <w:widowControl w:val="0"/>
              <w:jc w:val="both"/>
              <w:rPr>
                <w:b/>
                <w:sz w:val="20"/>
                <w:szCs w:val="20"/>
                <w:u w:val="single"/>
                <w:lang w:val="fr-CA"/>
              </w:rPr>
            </w:pPr>
            <w:r w:rsidRPr="00D1588A">
              <w:rPr>
                <w:b/>
                <w:sz w:val="20"/>
                <w:szCs w:val="20"/>
                <w:u w:val="single"/>
                <w:lang w:val="fr-CA"/>
              </w:rPr>
              <w:t>Nature de la cause :</w:t>
            </w:r>
          </w:p>
          <w:p w:rsidR="006C5554" w:rsidRDefault="006C5554" w:rsidP="008F6F48">
            <w:pPr>
              <w:jc w:val="both"/>
              <w:rPr>
                <w:sz w:val="20"/>
                <w:szCs w:val="20"/>
                <w:lang w:val="fr-CA"/>
              </w:rPr>
            </w:pPr>
          </w:p>
          <w:p w:rsidR="006C5554" w:rsidRPr="00D1588A" w:rsidRDefault="006C5554" w:rsidP="008F6F48">
            <w:pPr>
              <w:jc w:val="both"/>
              <w:rPr>
                <w:sz w:val="20"/>
                <w:szCs w:val="20"/>
                <w:lang w:val="fr-CA"/>
              </w:rPr>
            </w:pPr>
            <w:r w:rsidRPr="00D1588A">
              <w:rPr>
                <w:sz w:val="20"/>
                <w:szCs w:val="20"/>
                <w:lang w:val="fr-CA"/>
              </w:rPr>
              <w:t xml:space="preserve">Relations du travail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Arbitrage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Convention collective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Grief de principe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Politique de tests aléatoires de dépistage d’alcool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Lieu de travail dangereux par nature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Contrôle judiciaire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Norme de contrôle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L</w:t>
            </w:r>
            <w:r w:rsidRPr="00D1588A">
              <w:rPr>
                <w:sz w:val="20"/>
                <w:szCs w:val="20"/>
                <w:lang w:val="fr-CA"/>
              </w:rPr>
              <w:t>a Cour d’appel a</w:t>
            </w:r>
            <w:r w:rsidRPr="00D1588A">
              <w:rPr>
                <w:rFonts w:ascii="MS Mincho" w:eastAsia="MS Mincho" w:hAnsi="MS Mincho" w:cs="MS Mincho" w:hint="eastAsia"/>
                <w:sz w:val="20"/>
                <w:szCs w:val="20"/>
                <w:lang w:val="fr-CA"/>
              </w:rPr>
              <w:t>‑</w:t>
            </w:r>
            <w:r w:rsidRPr="00D1588A">
              <w:rPr>
                <w:rFonts w:cs="Times New Roman"/>
                <w:sz w:val="20"/>
                <w:szCs w:val="20"/>
                <w:lang w:val="fr-CA"/>
              </w:rPr>
              <w:t>t</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elle eu tort de faire une analyse relative à la norme de contrôle?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La Cour d’appel a</w:t>
            </w:r>
            <w:r w:rsidRPr="00D1588A">
              <w:rPr>
                <w:rFonts w:ascii="MS Mincho" w:eastAsia="MS Mincho" w:hAnsi="MS Mincho" w:cs="MS Mincho" w:hint="eastAsia"/>
                <w:sz w:val="20"/>
                <w:szCs w:val="20"/>
                <w:lang w:val="fr-CA"/>
              </w:rPr>
              <w:t>‑</w:t>
            </w:r>
            <w:r w:rsidRPr="00D1588A">
              <w:rPr>
                <w:rFonts w:cs="Times New Roman"/>
                <w:sz w:val="20"/>
                <w:szCs w:val="20"/>
                <w:lang w:val="fr-CA"/>
              </w:rPr>
              <w:t>t</w:t>
            </w:r>
            <w:r w:rsidRPr="00D1588A">
              <w:rPr>
                <w:rFonts w:ascii="MS Mincho" w:eastAsia="MS Mincho" w:hAnsi="MS Mincho" w:cs="MS Mincho" w:hint="eastAsia"/>
                <w:sz w:val="20"/>
                <w:szCs w:val="20"/>
                <w:lang w:val="fr-CA"/>
              </w:rPr>
              <w:t>‑</w:t>
            </w:r>
            <w:r w:rsidRPr="00D1588A">
              <w:rPr>
                <w:rFonts w:cs="Times New Roman"/>
                <w:sz w:val="20"/>
                <w:szCs w:val="20"/>
                <w:lang w:val="fr-CA"/>
              </w:rPr>
              <w:t>elle commis une erreur dans son analyse</w:t>
            </w:r>
            <w:r>
              <w:rPr>
                <w:rFonts w:cs="Times New Roman"/>
                <w:sz w:val="20"/>
                <w:szCs w:val="20"/>
                <w:lang w:val="fr-CA"/>
              </w:rPr>
              <w:t xml:space="preserve"> </w:t>
            </w:r>
            <w:r w:rsidRPr="00D1588A">
              <w:rPr>
                <w:rFonts w:cs="Times New Roman"/>
                <w:sz w:val="20"/>
                <w:szCs w:val="20"/>
                <w:lang w:val="fr-CA"/>
              </w:rPr>
              <w:lastRenderedPageBreak/>
              <w:t xml:space="preserve">relative à la norme de contrôle? </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 La sentence était</w:t>
            </w:r>
            <w:r w:rsidRPr="00D1588A">
              <w:rPr>
                <w:rFonts w:ascii="MS Mincho" w:eastAsia="MS Mincho" w:hAnsi="MS Mincho" w:cs="MS Mincho" w:hint="eastAsia"/>
                <w:sz w:val="20"/>
                <w:szCs w:val="20"/>
                <w:lang w:val="fr-CA"/>
              </w:rPr>
              <w:t>‑</w:t>
            </w:r>
            <w:r w:rsidRPr="00D1588A">
              <w:rPr>
                <w:rFonts w:cs="Times New Roman"/>
                <w:sz w:val="20"/>
                <w:szCs w:val="20"/>
                <w:lang w:val="fr-CA"/>
              </w:rPr>
              <w:t xml:space="preserve">elle raisonnable? </w:t>
            </w:r>
          </w:p>
        </w:tc>
      </w:tr>
    </w:tbl>
    <w:p w:rsidR="006C5554" w:rsidRPr="00D1588A" w:rsidRDefault="006C5554" w:rsidP="006C5554">
      <w:pPr>
        <w:widowControl w:val="0"/>
        <w:rPr>
          <w:sz w:val="20"/>
          <w:szCs w:val="20"/>
          <w:lang w:val="fr-CA"/>
        </w:rPr>
      </w:pPr>
    </w:p>
    <w:p w:rsidR="006C5554" w:rsidRPr="00D1588A" w:rsidRDefault="00D32E73" w:rsidP="006C5554">
      <w:pPr>
        <w:widowControl w:val="0"/>
        <w:rPr>
          <w:sz w:val="20"/>
          <w:szCs w:val="20"/>
          <w:lang w:val="fr-CA"/>
        </w:rPr>
      </w:pPr>
      <w:r w:rsidRPr="00D32E73">
        <w:rPr>
          <w:sz w:val="20"/>
          <w:szCs w:val="20"/>
          <w:lang w:val="fr-CA"/>
        </w:rPr>
        <w:pict>
          <v:rect id="_x0000_i1062" style="width:2in;height:1pt" o:hrpct="0" o:hralign="center" o:hrstd="t" o:hrnoshade="t" o:hr="t" fillcolor="black [3213]" stroked="f"/>
        </w:pict>
      </w:r>
    </w:p>
    <w:p w:rsidR="006C5554" w:rsidRPr="00D1588A" w:rsidRDefault="006C5554" w:rsidP="006C5554">
      <w:pPr>
        <w:widowControl w:val="0"/>
        <w:rPr>
          <w:sz w:val="20"/>
          <w:szCs w:val="20"/>
        </w:rPr>
      </w:pPr>
    </w:p>
    <w:p w:rsidR="006C5554" w:rsidRPr="00D1588A" w:rsidRDefault="006C5554" w:rsidP="006C5554">
      <w:pPr>
        <w:widowControl w:val="0"/>
        <w:rPr>
          <w:sz w:val="20"/>
          <w:szCs w:val="20"/>
        </w:rPr>
      </w:pPr>
      <w:r w:rsidRPr="00D1588A">
        <w:rPr>
          <w:sz w:val="20"/>
          <w:szCs w:val="20"/>
        </w:rPr>
        <w:t>10.12.2012</w:t>
      </w:r>
    </w:p>
    <w:p w:rsidR="006C5554" w:rsidRPr="00D1588A" w:rsidRDefault="006C5554" w:rsidP="006C5554">
      <w:pPr>
        <w:widowControl w:val="0"/>
        <w:rPr>
          <w:sz w:val="20"/>
          <w:szCs w:val="20"/>
        </w:rPr>
      </w:pPr>
    </w:p>
    <w:p w:rsidR="006C5554" w:rsidRPr="00D1588A" w:rsidRDefault="006C5554" w:rsidP="006C5554">
      <w:pPr>
        <w:widowControl w:val="0"/>
        <w:ind w:left="720" w:hanging="720"/>
        <w:rPr>
          <w:b/>
          <w:sz w:val="20"/>
          <w:szCs w:val="20"/>
        </w:rPr>
      </w:pPr>
      <w:r w:rsidRPr="00D1588A">
        <w:rPr>
          <w:sz w:val="20"/>
          <w:szCs w:val="20"/>
        </w:rPr>
        <w:t xml:space="preserve">Coram: </w:t>
      </w:r>
      <w:r w:rsidRPr="00D1588A">
        <w:rPr>
          <w:sz w:val="20"/>
          <w:szCs w:val="20"/>
        </w:rPr>
        <w:tab/>
      </w:r>
      <w:proofErr w:type="spellStart"/>
      <w:r w:rsidRPr="00D1588A">
        <w:rPr>
          <w:sz w:val="20"/>
          <w:szCs w:val="20"/>
          <w:u w:val="single"/>
        </w:rPr>
        <w:t>McLachlin</w:t>
      </w:r>
      <w:proofErr w:type="spellEnd"/>
      <w:r w:rsidRPr="00D1588A">
        <w:rPr>
          <w:sz w:val="20"/>
          <w:szCs w:val="20"/>
          <w:u w:val="single"/>
        </w:rPr>
        <w:t xml:space="preserve"> C.J. and </w:t>
      </w:r>
      <w:proofErr w:type="spellStart"/>
      <w:r w:rsidRPr="00D1588A">
        <w:rPr>
          <w:sz w:val="20"/>
          <w:szCs w:val="20"/>
          <w:u w:val="single"/>
        </w:rPr>
        <w:t>LeBel</w:t>
      </w:r>
      <w:proofErr w:type="spellEnd"/>
      <w:r w:rsidRPr="00D1588A">
        <w:rPr>
          <w:sz w:val="20"/>
          <w:szCs w:val="20"/>
          <w:u w:val="single"/>
        </w:rPr>
        <w:t xml:space="preserve">, Fish, </w:t>
      </w:r>
      <w:proofErr w:type="spellStart"/>
      <w:r w:rsidRPr="00D1588A">
        <w:rPr>
          <w:sz w:val="20"/>
          <w:szCs w:val="20"/>
          <w:u w:val="single"/>
        </w:rPr>
        <w:t>Abella</w:t>
      </w:r>
      <w:proofErr w:type="spellEnd"/>
      <w:r w:rsidRPr="00D1588A">
        <w:rPr>
          <w:sz w:val="20"/>
          <w:szCs w:val="20"/>
          <w:u w:val="single"/>
        </w:rPr>
        <w:t xml:space="preserve">, Rothstein, Cromwell and </w:t>
      </w:r>
      <w:proofErr w:type="spellStart"/>
      <w:r w:rsidRPr="00D1588A">
        <w:rPr>
          <w:sz w:val="20"/>
          <w:szCs w:val="20"/>
          <w:u w:val="single"/>
        </w:rPr>
        <w:t>Karakatsanis</w:t>
      </w:r>
      <w:proofErr w:type="spellEnd"/>
      <w:r w:rsidRPr="00D1588A">
        <w:rPr>
          <w:sz w:val="20"/>
          <w:szCs w:val="20"/>
          <w:u w:val="single"/>
        </w:rPr>
        <w:t xml:space="preserve"> JJ.</w:t>
      </w:r>
      <w:r w:rsidRPr="00D1588A">
        <w:rPr>
          <w:sz w:val="20"/>
          <w:szCs w:val="20"/>
        </w:rPr>
        <w:t xml:space="preserve"> </w:t>
      </w:r>
    </w:p>
    <w:p w:rsidR="006C5554" w:rsidRPr="00D1588A" w:rsidRDefault="006C5554" w:rsidP="006C5554">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6C5554" w:rsidRPr="00D1588A" w:rsidTr="008F6F48">
        <w:tc>
          <w:tcPr>
            <w:tcW w:w="4380" w:type="dxa"/>
            <w:tcMar>
              <w:left w:w="0" w:type="dxa"/>
              <w:right w:w="0" w:type="dxa"/>
            </w:tcMar>
          </w:tcPr>
          <w:p w:rsidR="006C5554" w:rsidRPr="00D1588A" w:rsidRDefault="006C5554" w:rsidP="008F6F48">
            <w:pPr>
              <w:widowControl w:val="0"/>
              <w:jc w:val="both"/>
              <w:rPr>
                <w:b/>
                <w:sz w:val="20"/>
                <w:szCs w:val="20"/>
                <w:lang w:val="fr-CA"/>
              </w:rPr>
            </w:pPr>
            <w:r w:rsidRPr="00D1588A">
              <w:rPr>
                <w:b/>
                <w:sz w:val="20"/>
                <w:szCs w:val="20"/>
                <w:lang w:val="fr-CA"/>
              </w:rPr>
              <w:t xml:space="preserve">Brian </w:t>
            </w:r>
            <w:proofErr w:type="spellStart"/>
            <w:r w:rsidRPr="00D1588A">
              <w:rPr>
                <w:b/>
                <w:sz w:val="20"/>
                <w:szCs w:val="20"/>
                <w:lang w:val="fr-CA"/>
              </w:rPr>
              <w:t>Cuthbertson</w:t>
            </w:r>
            <w:proofErr w:type="spellEnd"/>
            <w:r w:rsidRPr="00D1588A">
              <w:rPr>
                <w:b/>
                <w:sz w:val="20"/>
                <w:szCs w:val="20"/>
                <w:lang w:val="fr-CA"/>
              </w:rPr>
              <w:t xml:space="preserve"> et al. </w:t>
            </w:r>
          </w:p>
          <w:p w:rsidR="006C5554" w:rsidRPr="00D1588A" w:rsidRDefault="006C5554" w:rsidP="008F6F48">
            <w:pPr>
              <w:widowControl w:val="0"/>
              <w:jc w:val="both"/>
              <w:rPr>
                <w:b/>
                <w:sz w:val="20"/>
                <w:szCs w:val="20"/>
                <w:lang w:val="fr-CA"/>
              </w:rPr>
            </w:pPr>
          </w:p>
          <w:p w:rsidR="006C5554" w:rsidRPr="00D1588A" w:rsidRDefault="006C5554" w:rsidP="008F6F48">
            <w:pPr>
              <w:widowControl w:val="0"/>
              <w:tabs>
                <w:tab w:val="left" w:pos="736"/>
              </w:tabs>
              <w:jc w:val="both"/>
              <w:rPr>
                <w:b/>
                <w:sz w:val="20"/>
                <w:szCs w:val="20"/>
                <w:lang w:val="fr-CA"/>
              </w:rPr>
            </w:pPr>
            <w:r w:rsidRPr="00D1588A">
              <w:rPr>
                <w:b/>
                <w:sz w:val="20"/>
                <w:szCs w:val="20"/>
                <w:lang w:val="fr-CA"/>
              </w:rPr>
              <w:tab/>
              <w:t>v. (34362)</w:t>
            </w:r>
          </w:p>
          <w:p w:rsidR="006C5554" w:rsidRPr="00D1588A" w:rsidRDefault="006C5554" w:rsidP="008F6F48">
            <w:pPr>
              <w:widowControl w:val="0"/>
              <w:jc w:val="both"/>
              <w:rPr>
                <w:b/>
                <w:sz w:val="20"/>
                <w:szCs w:val="20"/>
                <w:lang w:val="fr-CA"/>
              </w:rPr>
            </w:pPr>
          </w:p>
          <w:p w:rsidR="006C5554" w:rsidRPr="00D1588A" w:rsidRDefault="006C5554" w:rsidP="008F6F48">
            <w:pPr>
              <w:widowControl w:val="0"/>
              <w:jc w:val="both"/>
              <w:rPr>
                <w:sz w:val="20"/>
                <w:szCs w:val="20"/>
                <w:lang w:val="en-US"/>
              </w:rPr>
            </w:pPr>
            <w:r w:rsidRPr="00D1588A">
              <w:rPr>
                <w:b/>
                <w:sz w:val="20"/>
                <w:szCs w:val="20"/>
              </w:rPr>
              <w:t xml:space="preserve">Hassan </w:t>
            </w:r>
            <w:proofErr w:type="spellStart"/>
            <w:r w:rsidRPr="00D1588A">
              <w:rPr>
                <w:b/>
                <w:sz w:val="20"/>
                <w:szCs w:val="20"/>
              </w:rPr>
              <w:t>Rasouli</w:t>
            </w:r>
            <w:proofErr w:type="spellEnd"/>
            <w:r w:rsidRPr="00D1588A">
              <w:rPr>
                <w:b/>
                <w:sz w:val="20"/>
                <w:szCs w:val="20"/>
              </w:rPr>
              <w:t xml:space="preserve"> by his Litigation Guardian and </w:t>
            </w:r>
            <w:proofErr w:type="spellStart"/>
            <w:r w:rsidRPr="00D1588A">
              <w:rPr>
                <w:b/>
                <w:sz w:val="20"/>
                <w:szCs w:val="20"/>
              </w:rPr>
              <w:t>Susbstitute</w:t>
            </w:r>
            <w:proofErr w:type="spellEnd"/>
            <w:r w:rsidRPr="00D1588A">
              <w:rPr>
                <w:b/>
                <w:sz w:val="20"/>
                <w:szCs w:val="20"/>
              </w:rPr>
              <w:t xml:space="preserve"> Decision Maker, </w:t>
            </w:r>
            <w:proofErr w:type="spellStart"/>
            <w:r w:rsidRPr="00D1588A">
              <w:rPr>
                <w:b/>
                <w:sz w:val="20"/>
                <w:szCs w:val="20"/>
              </w:rPr>
              <w:t>Parichehr</w:t>
            </w:r>
            <w:proofErr w:type="spellEnd"/>
            <w:r w:rsidRPr="00D1588A">
              <w:rPr>
                <w:b/>
                <w:sz w:val="20"/>
                <w:szCs w:val="20"/>
              </w:rPr>
              <w:t xml:space="preserve"> </w:t>
            </w:r>
            <w:proofErr w:type="spellStart"/>
            <w:r w:rsidRPr="00D1588A">
              <w:rPr>
                <w:b/>
                <w:sz w:val="20"/>
                <w:szCs w:val="20"/>
              </w:rPr>
              <w:t>Salasel</w:t>
            </w:r>
            <w:proofErr w:type="spellEnd"/>
            <w:r w:rsidRPr="00D1588A">
              <w:rPr>
                <w:b/>
                <w:sz w:val="20"/>
                <w:szCs w:val="20"/>
              </w:rPr>
              <w:t xml:space="preserve"> (Ont.) (Civil) (By Leave)</w:t>
            </w:r>
            <w:r w:rsidRPr="00D1588A">
              <w:rPr>
                <w:sz w:val="20"/>
                <w:szCs w:val="20"/>
                <w:lang w:val="en-US"/>
              </w:rPr>
              <w:t xml:space="preserve"> </w:t>
            </w:r>
          </w:p>
        </w:tc>
        <w:tc>
          <w:tcPr>
            <w:tcW w:w="720" w:type="dxa"/>
            <w:tcMar>
              <w:left w:w="0" w:type="dxa"/>
              <w:right w:w="0" w:type="dxa"/>
            </w:tcMar>
          </w:tcPr>
          <w:p w:rsidR="006C5554" w:rsidRPr="00D1588A" w:rsidRDefault="006C5554" w:rsidP="008F6F48">
            <w:pPr>
              <w:widowControl w:val="0"/>
              <w:jc w:val="center"/>
              <w:rPr>
                <w:sz w:val="20"/>
                <w:szCs w:val="20"/>
                <w:lang w:val="en-US"/>
              </w:rPr>
            </w:pPr>
          </w:p>
        </w:tc>
        <w:tc>
          <w:tcPr>
            <w:tcW w:w="4380" w:type="dxa"/>
            <w:tcMar>
              <w:left w:w="0" w:type="dxa"/>
              <w:right w:w="0" w:type="dxa"/>
            </w:tcMar>
          </w:tcPr>
          <w:p w:rsidR="006C5554" w:rsidRPr="00D1588A" w:rsidRDefault="006C5554" w:rsidP="008F6F48">
            <w:pPr>
              <w:widowControl w:val="0"/>
              <w:jc w:val="both"/>
              <w:rPr>
                <w:sz w:val="20"/>
                <w:szCs w:val="20"/>
              </w:rPr>
            </w:pPr>
            <w:r w:rsidRPr="00D1588A">
              <w:rPr>
                <w:sz w:val="20"/>
                <w:szCs w:val="20"/>
              </w:rPr>
              <w:t>Harry Underwood, Andrew McCutcheon and Erica J. Baron for the appellants.</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J. Gardner </w:t>
            </w:r>
            <w:proofErr w:type="spellStart"/>
            <w:r w:rsidRPr="00D1588A">
              <w:rPr>
                <w:sz w:val="20"/>
                <w:szCs w:val="20"/>
              </w:rPr>
              <w:t>Hodder</w:t>
            </w:r>
            <w:proofErr w:type="spellEnd"/>
            <w:r w:rsidRPr="00D1588A">
              <w:rPr>
                <w:sz w:val="20"/>
                <w:szCs w:val="20"/>
              </w:rPr>
              <w:t xml:space="preserve"> and Guillermo </w:t>
            </w:r>
            <w:proofErr w:type="spellStart"/>
            <w:r w:rsidRPr="00D1588A">
              <w:rPr>
                <w:sz w:val="20"/>
                <w:szCs w:val="20"/>
              </w:rPr>
              <w:t>Schible</w:t>
            </w:r>
            <w:proofErr w:type="spellEnd"/>
            <w:r w:rsidRPr="00D1588A">
              <w:rPr>
                <w:sz w:val="20"/>
                <w:szCs w:val="20"/>
              </w:rPr>
              <w:t xml:space="preserve"> for the respondent.</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lang w:val="en-US"/>
              </w:rPr>
            </w:pPr>
            <w:r w:rsidRPr="00D1588A">
              <w:rPr>
                <w:sz w:val="20"/>
                <w:szCs w:val="20"/>
                <w:lang w:val="en-US"/>
              </w:rPr>
              <w:t>Andrew S. Faith and Alexi N. Wood for the intervener Canadian Critical Care Society.</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lang w:val="en-US"/>
              </w:rPr>
            </w:pPr>
            <w:r w:rsidRPr="00D1588A">
              <w:rPr>
                <w:sz w:val="20"/>
                <w:szCs w:val="20"/>
                <w:lang w:val="en-US"/>
              </w:rPr>
              <w:t xml:space="preserve">Hugh R. </w:t>
            </w:r>
            <w:proofErr w:type="spellStart"/>
            <w:r w:rsidRPr="00D1588A">
              <w:rPr>
                <w:sz w:val="20"/>
                <w:szCs w:val="20"/>
                <w:lang w:val="en-US"/>
              </w:rPr>
              <w:t>Scher</w:t>
            </w:r>
            <w:proofErr w:type="spellEnd"/>
            <w:r w:rsidRPr="00D1588A">
              <w:rPr>
                <w:sz w:val="20"/>
                <w:szCs w:val="20"/>
                <w:lang w:val="en-US"/>
              </w:rPr>
              <w:t xml:space="preserve"> for the intervener Euthanasia Prevention Coalition.</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lang w:val="en-US"/>
              </w:rPr>
            </w:pPr>
            <w:proofErr w:type="spellStart"/>
            <w:r w:rsidRPr="00D1588A">
              <w:rPr>
                <w:sz w:val="20"/>
                <w:szCs w:val="20"/>
                <w:lang w:val="en-US"/>
              </w:rPr>
              <w:t>Rahool</w:t>
            </w:r>
            <w:proofErr w:type="spellEnd"/>
            <w:r w:rsidRPr="00D1588A">
              <w:rPr>
                <w:sz w:val="20"/>
                <w:szCs w:val="20"/>
                <w:lang w:val="en-US"/>
              </w:rPr>
              <w:t xml:space="preserve"> P. </w:t>
            </w:r>
            <w:proofErr w:type="spellStart"/>
            <w:r w:rsidRPr="00D1588A">
              <w:rPr>
                <w:sz w:val="20"/>
                <w:szCs w:val="20"/>
                <w:lang w:val="en-US"/>
              </w:rPr>
              <w:t>Agarwal</w:t>
            </w:r>
            <w:proofErr w:type="spellEnd"/>
            <w:r w:rsidRPr="00D1588A">
              <w:rPr>
                <w:sz w:val="20"/>
                <w:szCs w:val="20"/>
                <w:lang w:val="en-US"/>
              </w:rPr>
              <w:t xml:space="preserve">, </w:t>
            </w:r>
            <w:proofErr w:type="spellStart"/>
            <w:r w:rsidRPr="00D1588A">
              <w:rPr>
                <w:sz w:val="20"/>
                <w:szCs w:val="20"/>
                <w:lang w:val="en-US"/>
              </w:rPr>
              <w:t>Nahla</w:t>
            </w:r>
            <w:proofErr w:type="spellEnd"/>
            <w:r w:rsidRPr="00D1588A">
              <w:rPr>
                <w:sz w:val="20"/>
                <w:szCs w:val="20"/>
                <w:lang w:val="en-US"/>
              </w:rPr>
              <w:t xml:space="preserve"> </w:t>
            </w:r>
            <w:proofErr w:type="spellStart"/>
            <w:r w:rsidRPr="00D1588A">
              <w:rPr>
                <w:sz w:val="20"/>
                <w:szCs w:val="20"/>
                <w:lang w:val="en-US"/>
              </w:rPr>
              <w:t>Khouri</w:t>
            </w:r>
            <w:proofErr w:type="spellEnd"/>
            <w:r w:rsidRPr="00D1588A">
              <w:rPr>
                <w:sz w:val="20"/>
                <w:szCs w:val="20"/>
                <w:lang w:val="en-US"/>
              </w:rPr>
              <w:t xml:space="preserve"> and Nicholas Saint-Martin for the intervener Canadian Association of Critical Care Nurses.</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rPr>
            </w:pPr>
            <w:r w:rsidRPr="00D1588A">
              <w:rPr>
                <w:sz w:val="20"/>
                <w:szCs w:val="20"/>
              </w:rPr>
              <w:t xml:space="preserve">Dianne </w:t>
            </w:r>
            <w:proofErr w:type="spellStart"/>
            <w:r w:rsidRPr="00D1588A">
              <w:rPr>
                <w:sz w:val="20"/>
                <w:szCs w:val="20"/>
              </w:rPr>
              <w:t>Wintermute</w:t>
            </w:r>
            <w:proofErr w:type="spellEnd"/>
            <w:r w:rsidRPr="00D1588A">
              <w:rPr>
                <w:sz w:val="20"/>
                <w:szCs w:val="20"/>
              </w:rPr>
              <w:t>, Graham Webb and C. Tess Sheldon for the intervener Coalition of the Advocacy Centre for the Elderly, et al.</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rPr>
            </w:pPr>
            <w:r w:rsidRPr="00D1588A">
              <w:rPr>
                <w:sz w:val="20"/>
                <w:szCs w:val="20"/>
              </w:rPr>
              <w:t xml:space="preserve">Marshall </w:t>
            </w:r>
            <w:proofErr w:type="spellStart"/>
            <w:r w:rsidRPr="00D1588A">
              <w:rPr>
                <w:sz w:val="20"/>
                <w:szCs w:val="20"/>
              </w:rPr>
              <w:t>Swadron</w:t>
            </w:r>
            <w:proofErr w:type="spellEnd"/>
            <w:r w:rsidRPr="00D1588A">
              <w:rPr>
                <w:sz w:val="20"/>
                <w:szCs w:val="20"/>
              </w:rPr>
              <w:t xml:space="preserve">, Ryan Peck and Amy </w:t>
            </w:r>
            <w:proofErr w:type="spellStart"/>
            <w:r w:rsidRPr="00D1588A">
              <w:rPr>
                <w:sz w:val="20"/>
                <w:szCs w:val="20"/>
              </w:rPr>
              <w:t>Wah</w:t>
            </w:r>
            <w:proofErr w:type="spellEnd"/>
            <w:r w:rsidRPr="00D1588A">
              <w:rPr>
                <w:sz w:val="20"/>
                <w:szCs w:val="20"/>
              </w:rPr>
              <w:t xml:space="preserve"> for the intervener Mental Health Legal Committee, et al.</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proofErr w:type="spellStart"/>
            <w:r w:rsidRPr="00D1588A">
              <w:rPr>
                <w:sz w:val="20"/>
                <w:szCs w:val="20"/>
                <w:lang w:val="en-US"/>
              </w:rPr>
              <w:t>Albertos</w:t>
            </w:r>
            <w:proofErr w:type="spellEnd"/>
            <w:r w:rsidRPr="00D1588A">
              <w:rPr>
                <w:sz w:val="20"/>
                <w:szCs w:val="20"/>
                <w:lang w:val="en-US"/>
              </w:rPr>
              <w:t xml:space="preserve"> </w:t>
            </w:r>
            <w:proofErr w:type="spellStart"/>
            <w:r w:rsidRPr="00D1588A">
              <w:rPr>
                <w:sz w:val="20"/>
                <w:szCs w:val="20"/>
                <w:lang w:val="en-US"/>
              </w:rPr>
              <w:t>Polizogopoulos</w:t>
            </w:r>
            <w:proofErr w:type="spellEnd"/>
            <w:r w:rsidRPr="00D1588A">
              <w:rPr>
                <w:sz w:val="20"/>
                <w:szCs w:val="20"/>
                <w:lang w:val="en-US"/>
              </w:rPr>
              <w:t xml:space="preserve"> and Don Hutchinson for the intervener Evangelical Fellowship of Canada.</w:t>
            </w:r>
          </w:p>
        </w:tc>
      </w:tr>
    </w:tbl>
    <w:p w:rsidR="006C5554" w:rsidRPr="00D1588A" w:rsidRDefault="006C5554" w:rsidP="006C5554">
      <w:pPr>
        <w:widowControl w:val="0"/>
      </w:pPr>
    </w:p>
    <w:p w:rsidR="006C5554" w:rsidRPr="00D1588A" w:rsidRDefault="006C5554" w:rsidP="006C5554">
      <w:pPr>
        <w:widowControl w:val="0"/>
        <w:rPr>
          <w:sz w:val="20"/>
          <w:szCs w:val="20"/>
        </w:rPr>
      </w:pPr>
      <w:r w:rsidRPr="00D1588A">
        <w:rPr>
          <w:b/>
          <w:sz w:val="20"/>
          <w:szCs w:val="20"/>
        </w:rPr>
        <w:t xml:space="preserve">RESERVED / </w:t>
      </w:r>
      <w:r w:rsidRPr="00D1588A">
        <w:rPr>
          <w:b/>
          <w:sz w:val="20"/>
          <w:szCs w:val="20"/>
          <w:lang w:val="fr-CA"/>
        </w:rPr>
        <w:t>EN DÉLIBÉRÉ</w:t>
      </w:r>
    </w:p>
    <w:p w:rsidR="006C5554" w:rsidRPr="00D1588A" w:rsidRDefault="006C5554" w:rsidP="006C5554"/>
    <w:tbl>
      <w:tblPr>
        <w:tblW w:w="0" w:type="auto"/>
        <w:tblLayout w:type="fixed"/>
        <w:tblCellMar>
          <w:left w:w="0" w:type="dxa"/>
          <w:right w:w="0" w:type="dxa"/>
        </w:tblCellMar>
        <w:tblLook w:val="0000"/>
      </w:tblPr>
      <w:tblGrid>
        <w:gridCol w:w="4380"/>
        <w:gridCol w:w="720"/>
        <w:gridCol w:w="4380"/>
      </w:tblGrid>
      <w:tr w:rsidR="006C5554" w:rsidRPr="00B32C76" w:rsidTr="008F6F48">
        <w:tc>
          <w:tcPr>
            <w:tcW w:w="4380" w:type="dxa"/>
            <w:tcMar>
              <w:left w:w="0" w:type="dxa"/>
              <w:right w:w="0" w:type="dxa"/>
            </w:tcMar>
          </w:tcPr>
          <w:p w:rsidR="006C5554" w:rsidRPr="00D1588A" w:rsidRDefault="006C5554" w:rsidP="008F6F48">
            <w:pPr>
              <w:widowControl w:val="0"/>
              <w:jc w:val="both"/>
              <w:rPr>
                <w:b/>
                <w:sz w:val="20"/>
                <w:szCs w:val="20"/>
                <w:u w:val="single"/>
              </w:rPr>
            </w:pPr>
            <w:r w:rsidRPr="00D1588A">
              <w:rPr>
                <w:b/>
                <w:sz w:val="20"/>
                <w:szCs w:val="20"/>
                <w:u w:val="single"/>
              </w:rPr>
              <w:t>Nature of the case:</w:t>
            </w:r>
          </w:p>
          <w:p w:rsidR="006C5554" w:rsidRPr="00D1588A" w:rsidRDefault="006C5554" w:rsidP="008F6F48">
            <w:pPr>
              <w:widowControl w:val="0"/>
              <w:jc w:val="both"/>
              <w:rPr>
                <w:b/>
                <w:sz w:val="20"/>
                <w:szCs w:val="20"/>
              </w:rPr>
            </w:pPr>
          </w:p>
          <w:p w:rsidR="006C5554" w:rsidRPr="00D1588A" w:rsidRDefault="006C5554" w:rsidP="008F6F48">
            <w:pPr>
              <w:jc w:val="both"/>
              <w:rPr>
                <w:b/>
                <w:sz w:val="20"/>
                <w:szCs w:val="20"/>
              </w:rPr>
            </w:pPr>
            <w:r w:rsidRPr="00D1588A">
              <w:rPr>
                <w:sz w:val="20"/>
                <w:szCs w:val="20"/>
              </w:rPr>
              <w:t xml:space="preserve">Legislation </w:t>
            </w:r>
            <w:r w:rsidRPr="00D1588A">
              <w:rPr>
                <w:rFonts w:ascii="MS Mincho" w:eastAsia="MS Mincho" w:hAnsi="MS Mincho" w:cs="MS Mincho" w:hint="eastAsia"/>
                <w:sz w:val="20"/>
                <w:szCs w:val="20"/>
              </w:rPr>
              <w:t>‑</w:t>
            </w:r>
            <w:r w:rsidRPr="00D1588A">
              <w:rPr>
                <w:rFonts w:cs="Times New Roman"/>
                <w:sz w:val="20"/>
                <w:szCs w:val="20"/>
              </w:rPr>
              <w:t xml:space="preserve"> Interpretation </w:t>
            </w:r>
            <w:r w:rsidRPr="00D1588A">
              <w:rPr>
                <w:rFonts w:ascii="MS Mincho" w:eastAsia="MS Mincho" w:hAnsi="MS Mincho" w:cs="MS Mincho" w:hint="eastAsia"/>
                <w:sz w:val="20"/>
                <w:szCs w:val="20"/>
              </w:rPr>
              <w:t>‑</w:t>
            </w:r>
            <w:r w:rsidRPr="00D1588A">
              <w:rPr>
                <w:rFonts w:cs="Times New Roman"/>
                <w:sz w:val="20"/>
                <w:szCs w:val="20"/>
              </w:rPr>
              <w:t xml:space="preserve"> Health Care </w:t>
            </w:r>
            <w:r w:rsidRPr="00D1588A">
              <w:rPr>
                <w:rFonts w:ascii="MS Mincho" w:eastAsia="MS Mincho" w:hAnsi="MS Mincho" w:cs="MS Mincho" w:hint="eastAsia"/>
                <w:sz w:val="20"/>
                <w:szCs w:val="20"/>
              </w:rPr>
              <w:t>‑</w:t>
            </w:r>
            <w:r w:rsidRPr="00D1588A">
              <w:rPr>
                <w:rFonts w:cs="Times New Roman"/>
                <w:sz w:val="20"/>
                <w:szCs w:val="20"/>
              </w:rPr>
              <w:t xml:space="preserve"> Withdrawal of life</w:t>
            </w:r>
            <w:r w:rsidRPr="00D1588A">
              <w:rPr>
                <w:rFonts w:ascii="MS Mincho" w:eastAsia="MS Mincho" w:hAnsi="MS Mincho" w:cs="MS Mincho" w:hint="eastAsia"/>
                <w:sz w:val="20"/>
                <w:szCs w:val="20"/>
              </w:rPr>
              <w:t>‑</w:t>
            </w:r>
            <w:r w:rsidRPr="00D1588A">
              <w:rPr>
                <w:rFonts w:cs="Times New Roman"/>
                <w:sz w:val="20"/>
                <w:szCs w:val="20"/>
              </w:rPr>
              <w:t xml:space="preserve">sustaining medical treatment </w:t>
            </w:r>
            <w:r w:rsidRPr="00D1588A">
              <w:rPr>
                <w:rFonts w:ascii="MS Mincho" w:eastAsia="MS Mincho" w:hAnsi="MS Mincho" w:cs="MS Mincho" w:hint="eastAsia"/>
                <w:sz w:val="20"/>
                <w:szCs w:val="20"/>
              </w:rPr>
              <w:t>‑</w:t>
            </w:r>
            <w:r w:rsidRPr="00D1588A">
              <w:rPr>
                <w:rFonts w:cs="Times New Roman"/>
                <w:sz w:val="20"/>
                <w:szCs w:val="20"/>
              </w:rPr>
              <w:t xml:space="preserve"> Whether patient consent is required to withho</w:t>
            </w:r>
            <w:r w:rsidRPr="00D1588A">
              <w:rPr>
                <w:sz w:val="20"/>
                <w:szCs w:val="20"/>
              </w:rPr>
              <w:t>ld or withdraw non</w:t>
            </w:r>
            <w:r w:rsidRPr="00D1588A">
              <w:rPr>
                <w:rFonts w:ascii="MS Mincho" w:eastAsia="MS Mincho" w:hAnsi="MS Mincho" w:cs="MS Mincho" w:hint="eastAsia"/>
                <w:sz w:val="20"/>
                <w:szCs w:val="20"/>
              </w:rPr>
              <w:t>‑</w:t>
            </w:r>
            <w:r w:rsidRPr="00D1588A">
              <w:rPr>
                <w:rFonts w:cs="Times New Roman"/>
                <w:sz w:val="20"/>
                <w:szCs w:val="20"/>
              </w:rPr>
              <w:t xml:space="preserve">indicated treatment </w:t>
            </w:r>
            <w:r w:rsidRPr="00D1588A">
              <w:rPr>
                <w:rFonts w:ascii="MS Mincho" w:eastAsia="MS Mincho" w:hAnsi="MS Mincho" w:cs="MS Mincho" w:hint="eastAsia"/>
                <w:sz w:val="20"/>
                <w:szCs w:val="20"/>
              </w:rPr>
              <w:t>‑</w:t>
            </w:r>
            <w:r w:rsidRPr="00D1588A">
              <w:rPr>
                <w:rFonts w:cs="Times New Roman"/>
                <w:sz w:val="20"/>
                <w:szCs w:val="20"/>
              </w:rPr>
              <w:t xml:space="preserve"> Whether consent is required to withdraw non</w:t>
            </w:r>
            <w:r w:rsidRPr="00D1588A">
              <w:rPr>
                <w:rFonts w:ascii="MS Mincho" w:eastAsia="MS Mincho" w:hAnsi="MS Mincho" w:cs="MS Mincho" w:hint="eastAsia"/>
                <w:sz w:val="20"/>
                <w:szCs w:val="20"/>
              </w:rPr>
              <w:t>‑</w:t>
            </w:r>
            <w:r w:rsidRPr="00D1588A">
              <w:rPr>
                <w:rFonts w:cs="Times New Roman"/>
                <w:sz w:val="20"/>
                <w:szCs w:val="20"/>
              </w:rPr>
              <w:t>indicated treatment if other positive treatment is to be administered upon the withdrawal of the non</w:t>
            </w:r>
            <w:r w:rsidRPr="00D1588A">
              <w:rPr>
                <w:rFonts w:ascii="MS Mincho" w:eastAsia="MS Mincho" w:hAnsi="MS Mincho" w:cs="MS Mincho" w:hint="eastAsia"/>
                <w:sz w:val="20"/>
                <w:szCs w:val="20"/>
              </w:rPr>
              <w:t>‑</w:t>
            </w:r>
            <w:r w:rsidRPr="00D1588A">
              <w:rPr>
                <w:rFonts w:cs="Times New Roman"/>
                <w:sz w:val="20"/>
                <w:szCs w:val="20"/>
              </w:rPr>
              <w:t xml:space="preserve">indicated treatment </w:t>
            </w:r>
            <w:r w:rsidRPr="00D1588A">
              <w:rPr>
                <w:rFonts w:ascii="MS Mincho" w:eastAsia="MS Mincho" w:hAnsi="MS Mincho" w:cs="MS Mincho" w:hint="eastAsia"/>
                <w:sz w:val="20"/>
                <w:szCs w:val="20"/>
              </w:rPr>
              <w:t>‑</w:t>
            </w:r>
            <w:r w:rsidRPr="00D1588A">
              <w:rPr>
                <w:rFonts w:cs="Times New Roman"/>
                <w:sz w:val="20"/>
                <w:szCs w:val="20"/>
              </w:rPr>
              <w:t xml:space="preserve"> Where there is a category of life</w:t>
            </w:r>
            <w:r w:rsidRPr="00D1588A">
              <w:rPr>
                <w:rFonts w:ascii="MS Mincho" w:eastAsia="MS Mincho" w:hAnsi="MS Mincho" w:cs="MS Mincho" w:hint="eastAsia"/>
                <w:sz w:val="20"/>
                <w:szCs w:val="20"/>
              </w:rPr>
              <w:t>‑</w:t>
            </w:r>
            <w:r w:rsidRPr="00D1588A">
              <w:rPr>
                <w:rFonts w:cs="Times New Roman"/>
                <w:sz w:val="20"/>
                <w:szCs w:val="20"/>
              </w:rPr>
              <w:t>sustaining med</w:t>
            </w:r>
            <w:r w:rsidRPr="00D1588A">
              <w:rPr>
                <w:sz w:val="20"/>
                <w:szCs w:val="20"/>
              </w:rPr>
              <w:t>ical treatments that cannot be withdrawn or withheld without patient or substitute</w:t>
            </w:r>
            <w:r w:rsidRPr="00D1588A">
              <w:rPr>
                <w:rFonts w:ascii="MS Mincho" w:eastAsia="MS Mincho" w:hAnsi="MS Mincho" w:cs="MS Mincho" w:hint="eastAsia"/>
                <w:sz w:val="20"/>
                <w:szCs w:val="20"/>
              </w:rPr>
              <w:t>‑</w:t>
            </w:r>
            <w:r w:rsidRPr="00D1588A">
              <w:rPr>
                <w:rFonts w:cs="Times New Roman"/>
                <w:sz w:val="20"/>
                <w:szCs w:val="20"/>
              </w:rPr>
              <w:t>decision</w:t>
            </w:r>
            <w:r w:rsidRPr="00D1588A">
              <w:rPr>
                <w:rFonts w:ascii="MS Mincho" w:eastAsia="MS Mincho" w:hAnsi="MS Mincho" w:cs="MS Mincho" w:hint="eastAsia"/>
                <w:sz w:val="20"/>
                <w:szCs w:val="20"/>
              </w:rPr>
              <w:t>‑</w:t>
            </w:r>
            <w:r w:rsidRPr="00D1588A">
              <w:rPr>
                <w:rFonts w:cs="Times New Roman"/>
                <w:sz w:val="20"/>
                <w:szCs w:val="20"/>
              </w:rPr>
              <w:t>maker consent, even where the treatment is non</w:t>
            </w:r>
            <w:r w:rsidRPr="00D1588A">
              <w:rPr>
                <w:rFonts w:ascii="MS Mincho" w:eastAsia="MS Mincho" w:hAnsi="MS Mincho" w:cs="MS Mincho" w:hint="eastAsia"/>
                <w:sz w:val="20"/>
                <w:szCs w:val="20"/>
              </w:rPr>
              <w:t>‑</w:t>
            </w:r>
            <w:r w:rsidRPr="00D1588A">
              <w:rPr>
                <w:rFonts w:cs="Times New Roman"/>
                <w:sz w:val="20"/>
                <w:szCs w:val="20"/>
              </w:rPr>
              <w:t xml:space="preserve">indicated </w:t>
            </w:r>
            <w:r w:rsidRPr="00D1588A">
              <w:rPr>
                <w:rFonts w:ascii="MS Mincho" w:eastAsia="MS Mincho" w:hAnsi="MS Mincho" w:cs="MS Mincho" w:hint="eastAsia"/>
                <w:sz w:val="20"/>
                <w:szCs w:val="20"/>
              </w:rPr>
              <w:t>‑</w:t>
            </w:r>
            <w:r w:rsidRPr="00D1588A">
              <w:rPr>
                <w:rFonts w:cs="Times New Roman"/>
                <w:sz w:val="20"/>
                <w:szCs w:val="20"/>
              </w:rPr>
              <w:t xml:space="preserve"> In the event a physician concludes that a current treatment has become a non</w:t>
            </w:r>
            <w:r w:rsidRPr="00D1588A">
              <w:rPr>
                <w:rFonts w:ascii="MS Mincho" w:eastAsia="MS Mincho" w:hAnsi="MS Mincho" w:cs="MS Mincho" w:hint="eastAsia"/>
                <w:sz w:val="20"/>
                <w:szCs w:val="20"/>
              </w:rPr>
              <w:t>‑</w:t>
            </w:r>
            <w:r w:rsidRPr="00D1588A">
              <w:rPr>
                <w:rFonts w:cs="Times New Roman"/>
                <w:sz w:val="20"/>
                <w:szCs w:val="20"/>
              </w:rPr>
              <w:t>indicated treatment, despite</w:t>
            </w:r>
            <w:r w:rsidRPr="00D1588A">
              <w:rPr>
                <w:sz w:val="20"/>
                <w:szCs w:val="20"/>
              </w:rPr>
              <w:t xml:space="preserve"> prolonging life, what steps is a physician obliged to </w:t>
            </w:r>
            <w:r w:rsidRPr="00D1588A">
              <w:rPr>
                <w:sz w:val="20"/>
                <w:szCs w:val="20"/>
              </w:rPr>
              <w:lastRenderedPageBreak/>
              <w:t>take before withdrawing the non</w:t>
            </w:r>
            <w:r w:rsidRPr="00D1588A">
              <w:rPr>
                <w:rFonts w:ascii="MS Mincho" w:eastAsia="MS Mincho" w:hAnsi="MS Mincho" w:cs="MS Mincho" w:hint="eastAsia"/>
                <w:sz w:val="20"/>
                <w:szCs w:val="20"/>
              </w:rPr>
              <w:t>‑</w:t>
            </w:r>
            <w:r w:rsidRPr="00D1588A">
              <w:rPr>
                <w:rFonts w:cs="Times New Roman"/>
                <w:sz w:val="20"/>
                <w:szCs w:val="20"/>
              </w:rPr>
              <w:t>indicated treatment?</w:t>
            </w:r>
          </w:p>
        </w:tc>
        <w:tc>
          <w:tcPr>
            <w:tcW w:w="720" w:type="dxa"/>
            <w:tcMar>
              <w:left w:w="0" w:type="dxa"/>
              <w:right w:w="0" w:type="dxa"/>
            </w:tcMar>
          </w:tcPr>
          <w:p w:rsidR="006C5554" w:rsidRPr="00D1588A" w:rsidRDefault="006C5554" w:rsidP="008F6F48">
            <w:pPr>
              <w:widowControl w:val="0"/>
              <w:jc w:val="center"/>
              <w:rPr>
                <w:sz w:val="20"/>
                <w:szCs w:val="20"/>
              </w:rPr>
            </w:pPr>
          </w:p>
        </w:tc>
        <w:tc>
          <w:tcPr>
            <w:tcW w:w="4380" w:type="dxa"/>
            <w:tcMar>
              <w:left w:w="0" w:type="dxa"/>
              <w:right w:w="0" w:type="dxa"/>
            </w:tcMar>
          </w:tcPr>
          <w:p w:rsidR="006C5554" w:rsidRPr="00D1588A" w:rsidRDefault="006C5554" w:rsidP="008F6F48">
            <w:pPr>
              <w:widowControl w:val="0"/>
              <w:jc w:val="both"/>
              <w:rPr>
                <w:b/>
                <w:sz w:val="20"/>
                <w:szCs w:val="20"/>
                <w:u w:val="single"/>
                <w:lang w:val="fr-CA"/>
              </w:rPr>
            </w:pPr>
            <w:r w:rsidRPr="00D1588A">
              <w:rPr>
                <w:b/>
                <w:sz w:val="20"/>
                <w:szCs w:val="20"/>
                <w:u w:val="single"/>
                <w:lang w:val="fr-CA"/>
              </w:rPr>
              <w:t>Nature de la cause :</w:t>
            </w:r>
          </w:p>
          <w:p w:rsidR="006C5554" w:rsidRPr="00D1588A" w:rsidRDefault="006C5554" w:rsidP="008F6F48">
            <w:pPr>
              <w:widowControl w:val="0"/>
              <w:jc w:val="both"/>
              <w:rPr>
                <w:sz w:val="20"/>
                <w:szCs w:val="20"/>
                <w:lang w:val="fr-CA"/>
              </w:rPr>
            </w:pPr>
          </w:p>
          <w:p w:rsidR="006C5554" w:rsidRPr="00D1588A" w:rsidRDefault="006C5554" w:rsidP="008F6F48">
            <w:pPr>
              <w:jc w:val="both"/>
              <w:rPr>
                <w:sz w:val="20"/>
                <w:szCs w:val="20"/>
                <w:lang w:val="fr-CA"/>
              </w:rPr>
            </w:pPr>
            <w:r w:rsidRPr="00D1588A">
              <w:rPr>
                <w:rFonts w:eastAsia="Times New Roman" w:cs="Times New Roman"/>
                <w:sz w:val="20"/>
                <w:szCs w:val="20"/>
                <w:lang w:val="fr-CA"/>
              </w:rPr>
              <w:t xml:space="preserve">Législation </w:t>
            </w:r>
            <w:r w:rsidRPr="00D1588A">
              <w:rPr>
                <w:rFonts w:eastAsia="Times New Roman" w:cs="Times New Roman"/>
                <w:sz w:val="20"/>
                <w:szCs w:val="20"/>
                <w:lang w:val="fr-CA"/>
              </w:rPr>
              <w:noBreakHyphen/>
              <w:t xml:space="preserve"> Interprétation </w:t>
            </w:r>
            <w:r w:rsidRPr="00D1588A">
              <w:rPr>
                <w:rFonts w:eastAsia="Times New Roman" w:cs="Times New Roman"/>
                <w:sz w:val="20"/>
                <w:szCs w:val="20"/>
                <w:lang w:val="fr-CA"/>
              </w:rPr>
              <w:noBreakHyphen/>
              <w:t xml:space="preserve"> Soins de santé </w:t>
            </w:r>
            <w:r w:rsidRPr="00D1588A">
              <w:rPr>
                <w:rFonts w:eastAsia="Times New Roman" w:cs="Times New Roman"/>
                <w:sz w:val="20"/>
                <w:szCs w:val="20"/>
                <w:lang w:val="fr-CA"/>
              </w:rPr>
              <w:noBreakHyphen/>
              <w:t xml:space="preserve"> Retrait d’un traitement médical de maintien de la vie </w:t>
            </w:r>
            <w:r w:rsidRPr="00D1588A">
              <w:rPr>
                <w:rFonts w:eastAsia="Times New Roman" w:cs="Times New Roman"/>
                <w:sz w:val="20"/>
                <w:szCs w:val="20"/>
                <w:lang w:val="fr-CA"/>
              </w:rPr>
              <w:noBreakHyphen/>
              <w:t xml:space="preserve"> </w:t>
            </w:r>
            <w:proofErr w:type="spellStart"/>
            <w:r w:rsidRPr="00D1588A">
              <w:rPr>
                <w:rFonts w:eastAsia="Times New Roman" w:cs="Times New Roman"/>
                <w:sz w:val="20"/>
                <w:szCs w:val="20"/>
                <w:lang w:val="fr-CA"/>
              </w:rPr>
              <w:t>Faut</w:t>
            </w:r>
            <w:r w:rsidRPr="00D1588A">
              <w:rPr>
                <w:rFonts w:eastAsia="Times New Roman" w:cs="Times New Roman"/>
                <w:sz w:val="20"/>
                <w:szCs w:val="20"/>
                <w:lang w:val="fr-CA"/>
              </w:rPr>
              <w:noBreakHyphen/>
              <w:t>il</w:t>
            </w:r>
            <w:proofErr w:type="spellEnd"/>
            <w:r w:rsidRPr="00D1588A">
              <w:rPr>
                <w:rFonts w:eastAsia="Times New Roman" w:cs="Times New Roman"/>
                <w:sz w:val="20"/>
                <w:szCs w:val="20"/>
                <w:lang w:val="fr-CA"/>
              </w:rPr>
              <w:t xml:space="preserve"> obtenir le consentement du patient pour refuser ou retirer un traitement non indiqué? </w:t>
            </w:r>
            <w:r w:rsidRPr="00D1588A">
              <w:rPr>
                <w:rFonts w:eastAsia="Times New Roman" w:cs="Times New Roman"/>
                <w:sz w:val="20"/>
                <w:szCs w:val="20"/>
                <w:lang w:val="fr-CA"/>
              </w:rPr>
              <w:noBreakHyphen/>
              <w:t xml:space="preserve"> </w:t>
            </w:r>
            <w:proofErr w:type="spellStart"/>
            <w:r w:rsidRPr="00D1588A">
              <w:rPr>
                <w:rFonts w:eastAsia="Times New Roman" w:cs="Times New Roman"/>
                <w:sz w:val="20"/>
                <w:szCs w:val="20"/>
                <w:lang w:val="fr-CA"/>
              </w:rPr>
              <w:t>Faut</w:t>
            </w:r>
            <w:r w:rsidRPr="00D1588A">
              <w:rPr>
                <w:rFonts w:eastAsia="Times New Roman" w:cs="Times New Roman"/>
                <w:sz w:val="20"/>
                <w:szCs w:val="20"/>
                <w:lang w:val="fr-CA"/>
              </w:rPr>
              <w:noBreakHyphen/>
              <w:t>il</w:t>
            </w:r>
            <w:proofErr w:type="spellEnd"/>
            <w:r w:rsidRPr="00D1588A">
              <w:rPr>
                <w:rFonts w:eastAsia="Times New Roman" w:cs="Times New Roman"/>
                <w:sz w:val="20"/>
                <w:szCs w:val="20"/>
                <w:lang w:val="fr-CA"/>
              </w:rPr>
              <w:t xml:space="preserve"> obtenir le consentement pour retirer un traitement non indiqué si un autre traitement positif doit être administré dès le retrait du traitement non indiqué? </w:t>
            </w:r>
            <w:r w:rsidRPr="00D1588A">
              <w:rPr>
                <w:rFonts w:eastAsia="Times New Roman" w:cs="Times New Roman"/>
                <w:sz w:val="20"/>
                <w:szCs w:val="20"/>
                <w:lang w:val="fr-CA"/>
              </w:rPr>
              <w:noBreakHyphen/>
              <w:t xml:space="preserve"> </w:t>
            </w:r>
            <w:proofErr w:type="spellStart"/>
            <w:r w:rsidRPr="00D1588A">
              <w:rPr>
                <w:rFonts w:eastAsia="Times New Roman" w:cs="Times New Roman"/>
                <w:sz w:val="20"/>
                <w:szCs w:val="20"/>
                <w:lang w:val="fr-CA"/>
              </w:rPr>
              <w:t>Existe</w:t>
            </w:r>
            <w:r w:rsidRPr="00D1588A">
              <w:rPr>
                <w:rFonts w:eastAsia="Times New Roman" w:cs="Times New Roman"/>
                <w:sz w:val="20"/>
                <w:szCs w:val="20"/>
                <w:lang w:val="fr-CA"/>
              </w:rPr>
              <w:noBreakHyphen/>
              <w:t>t</w:t>
            </w:r>
            <w:r w:rsidRPr="00D1588A">
              <w:rPr>
                <w:rFonts w:eastAsia="Times New Roman" w:cs="Times New Roman"/>
                <w:sz w:val="20"/>
                <w:szCs w:val="20"/>
                <w:lang w:val="fr-CA"/>
              </w:rPr>
              <w:noBreakHyphen/>
              <w:t>il</w:t>
            </w:r>
            <w:proofErr w:type="spellEnd"/>
            <w:r w:rsidRPr="00D1588A">
              <w:rPr>
                <w:rFonts w:eastAsia="Times New Roman" w:cs="Times New Roman"/>
                <w:sz w:val="20"/>
                <w:szCs w:val="20"/>
                <w:lang w:val="fr-CA"/>
              </w:rPr>
              <w:t xml:space="preserve"> une catégorie de traitements médicaux de maintien de la vie qui ne peuvent être retirés ou refusés sans le consentement du patient ou du mandataire spécial, même lorsque le traitement est non indiqué? </w:t>
            </w:r>
            <w:r w:rsidRPr="00D1588A">
              <w:rPr>
                <w:rFonts w:eastAsia="Times New Roman" w:cs="Times New Roman"/>
                <w:sz w:val="20"/>
                <w:szCs w:val="20"/>
                <w:lang w:val="fr-CA"/>
              </w:rPr>
              <w:noBreakHyphen/>
              <w:t xml:space="preserve"> Si un médecin conclut qu’un traitement en cours est devenu non indiqué, même s’il prolonge la vie, quelles mesures le médecin </w:t>
            </w:r>
            <w:proofErr w:type="spellStart"/>
            <w:r w:rsidRPr="00D1588A">
              <w:rPr>
                <w:rFonts w:eastAsia="Times New Roman" w:cs="Times New Roman"/>
                <w:sz w:val="20"/>
                <w:szCs w:val="20"/>
                <w:lang w:val="fr-CA"/>
              </w:rPr>
              <w:t>est</w:t>
            </w:r>
            <w:r w:rsidRPr="00D1588A">
              <w:rPr>
                <w:rFonts w:eastAsia="Times New Roman" w:cs="Times New Roman"/>
                <w:sz w:val="20"/>
                <w:szCs w:val="20"/>
                <w:lang w:val="fr-CA"/>
              </w:rPr>
              <w:noBreakHyphen/>
              <w:t>il</w:t>
            </w:r>
            <w:proofErr w:type="spellEnd"/>
            <w:r w:rsidRPr="00D1588A">
              <w:rPr>
                <w:rFonts w:eastAsia="Times New Roman" w:cs="Times New Roman"/>
                <w:sz w:val="20"/>
                <w:szCs w:val="20"/>
                <w:lang w:val="fr-CA"/>
              </w:rPr>
              <w:t xml:space="preserve"> obligé de prendre avant de retirer le traitement non indiqué?</w:t>
            </w:r>
          </w:p>
        </w:tc>
      </w:tr>
    </w:tbl>
    <w:p w:rsidR="006C5554" w:rsidRPr="00D1588A" w:rsidRDefault="006C5554" w:rsidP="006C5554">
      <w:pPr>
        <w:widowControl w:val="0"/>
        <w:rPr>
          <w:sz w:val="20"/>
          <w:szCs w:val="20"/>
          <w:lang w:val="fr-CA"/>
        </w:rPr>
      </w:pPr>
    </w:p>
    <w:p w:rsidR="006C5554" w:rsidRPr="00D1588A" w:rsidRDefault="00D32E73" w:rsidP="006C5554">
      <w:pPr>
        <w:widowControl w:val="0"/>
        <w:rPr>
          <w:sz w:val="20"/>
          <w:szCs w:val="20"/>
        </w:rPr>
      </w:pPr>
      <w:r w:rsidRPr="00D32E73">
        <w:rPr>
          <w:sz w:val="20"/>
          <w:szCs w:val="20"/>
          <w:lang w:val="fr-CA"/>
        </w:rPr>
        <w:pict>
          <v:rect id="_x0000_i1063" style="width:2in;height:1pt" o:hrpct="0" o:hralign="center" o:hrstd="t" o:hrnoshade="t" o:hr="t" fillcolor="black [3213]" stroked="f"/>
        </w:pict>
      </w:r>
    </w:p>
    <w:p w:rsidR="006C5554" w:rsidRDefault="006C5554" w:rsidP="006C5554">
      <w:pPr>
        <w:widowControl w:val="0"/>
        <w:rPr>
          <w:sz w:val="20"/>
          <w:szCs w:val="20"/>
        </w:rPr>
      </w:pPr>
    </w:p>
    <w:p w:rsidR="006C5554" w:rsidRPr="00D1588A" w:rsidRDefault="006C5554" w:rsidP="006C5554">
      <w:pPr>
        <w:widowControl w:val="0"/>
        <w:rPr>
          <w:sz w:val="20"/>
          <w:szCs w:val="20"/>
        </w:rPr>
      </w:pPr>
      <w:r w:rsidRPr="00D1588A">
        <w:rPr>
          <w:sz w:val="20"/>
          <w:szCs w:val="20"/>
        </w:rPr>
        <w:t>11.12.2012</w:t>
      </w:r>
    </w:p>
    <w:p w:rsidR="006C5554" w:rsidRPr="00D1588A" w:rsidRDefault="006C5554" w:rsidP="006C5554">
      <w:pPr>
        <w:widowControl w:val="0"/>
        <w:rPr>
          <w:sz w:val="20"/>
          <w:szCs w:val="20"/>
        </w:rPr>
      </w:pPr>
    </w:p>
    <w:p w:rsidR="006C5554" w:rsidRPr="00D1588A" w:rsidRDefault="006C5554" w:rsidP="006C5554">
      <w:pPr>
        <w:widowControl w:val="0"/>
        <w:ind w:left="720" w:hanging="720"/>
        <w:rPr>
          <w:b/>
          <w:sz w:val="20"/>
          <w:szCs w:val="20"/>
        </w:rPr>
      </w:pPr>
      <w:r w:rsidRPr="00D1588A">
        <w:rPr>
          <w:sz w:val="20"/>
          <w:szCs w:val="20"/>
        </w:rPr>
        <w:t xml:space="preserve">Coram: </w:t>
      </w:r>
      <w:r w:rsidRPr="00D1588A">
        <w:rPr>
          <w:sz w:val="20"/>
          <w:szCs w:val="20"/>
        </w:rPr>
        <w:tab/>
      </w:r>
      <w:proofErr w:type="spellStart"/>
      <w:r w:rsidRPr="00D1588A">
        <w:rPr>
          <w:sz w:val="20"/>
          <w:szCs w:val="20"/>
          <w:u w:val="single"/>
        </w:rPr>
        <w:t>McLachlin</w:t>
      </w:r>
      <w:proofErr w:type="spellEnd"/>
      <w:r w:rsidRPr="00D1588A">
        <w:rPr>
          <w:sz w:val="20"/>
          <w:szCs w:val="20"/>
          <w:u w:val="single"/>
        </w:rPr>
        <w:t xml:space="preserve"> C.J. and </w:t>
      </w:r>
      <w:proofErr w:type="spellStart"/>
      <w:r w:rsidRPr="00D1588A">
        <w:rPr>
          <w:sz w:val="20"/>
          <w:szCs w:val="20"/>
          <w:u w:val="single"/>
        </w:rPr>
        <w:t>LeBel</w:t>
      </w:r>
      <w:proofErr w:type="spellEnd"/>
      <w:r w:rsidRPr="00D1588A">
        <w:rPr>
          <w:sz w:val="20"/>
          <w:szCs w:val="20"/>
          <w:u w:val="single"/>
        </w:rPr>
        <w:t xml:space="preserve">, Fish, </w:t>
      </w:r>
      <w:proofErr w:type="spellStart"/>
      <w:r w:rsidRPr="00D1588A">
        <w:rPr>
          <w:sz w:val="20"/>
          <w:szCs w:val="20"/>
          <w:u w:val="single"/>
        </w:rPr>
        <w:t>Abella</w:t>
      </w:r>
      <w:proofErr w:type="spellEnd"/>
      <w:r w:rsidRPr="00D1588A">
        <w:rPr>
          <w:sz w:val="20"/>
          <w:szCs w:val="20"/>
          <w:u w:val="single"/>
        </w:rPr>
        <w:t xml:space="preserve">, Rothstein, Cromwell, </w:t>
      </w:r>
      <w:proofErr w:type="spellStart"/>
      <w:r w:rsidRPr="00D1588A">
        <w:rPr>
          <w:sz w:val="20"/>
          <w:szCs w:val="20"/>
          <w:u w:val="single"/>
        </w:rPr>
        <w:t>Moldaver</w:t>
      </w:r>
      <w:proofErr w:type="spellEnd"/>
      <w:r w:rsidRPr="00D1588A">
        <w:rPr>
          <w:sz w:val="20"/>
          <w:szCs w:val="20"/>
          <w:u w:val="single"/>
        </w:rPr>
        <w:t xml:space="preserve">, </w:t>
      </w:r>
      <w:proofErr w:type="spellStart"/>
      <w:r w:rsidRPr="00D1588A">
        <w:rPr>
          <w:sz w:val="20"/>
          <w:szCs w:val="20"/>
          <w:u w:val="single"/>
        </w:rPr>
        <w:t>Karakatsanis</w:t>
      </w:r>
      <w:proofErr w:type="spellEnd"/>
      <w:r w:rsidRPr="00D1588A">
        <w:rPr>
          <w:sz w:val="20"/>
          <w:szCs w:val="20"/>
          <w:u w:val="single"/>
        </w:rPr>
        <w:t xml:space="preserve"> and Wagner JJ.</w:t>
      </w:r>
      <w:r w:rsidRPr="00D1588A">
        <w:rPr>
          <w:sz w:val="20"/>
          <w:szCs w:val="20"/>
        </w:rPr>
        <w:t xml:space="preserve"> </w:t>
      </w:r>
    </w:p>
    <w:p w:rsidR="006C5554" w:rsidRPr="00D1588A" w:rsidRDefault="006C5554" w:rsidP="006C5554">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6C5554" w:rsidRPr="00D1588A" w:rsidTr="008F6F48">
        <w:tc>
          <w:tcPr>
            <w:tcW w:w="4380" w:type="dxa"/>
            <w:tcMar>
              <w:left w:w="0" w:type="dxa"/>
              <w:right w:w="0" w:type="dxa"/>
            </w:tcMar>
          </w:tcPr>
          <w:p w:rsidR="006C5554" w:rsidRPr="00D1588A" w:rsidRDefault="006C5554" w:rsidP="008F6F48">
            <w:pPr>
              <w:widowControl w:val="0"/>
              <w:jc w:val="both"/>
              <w:rPr>
                <w:b/>
                <w:sz w:val="20"/>
                <w:szCs w:val="20"/>
              </w:rPr>
            </w:pPr>
            <w:r w:rsidRPr="00D1588A">
              <w:rPr>
                <w:b/>
                <w:sz w:val="20"/>
                <w:szCs w:val="20"/>
              </w:rPr>
              <w:t xml:space="preserve">Sally </w:t>
            </w:r>
            <w:proofErr w:type="spellStart"/>
            <w:r w:rsidRPr="00D1588A">
              <w:rPr>
                <w:b/>
                <w:sz w:val="20"/>
                <w:szCs w:val="20"/>
              </w:rPr>
              <w:t>Behn</w:t>
            </w:r>
            <w:proofErr w:type="spellEnd"/>
            <w:r w:rsidRPr="00D1588A">
              <w:rPr>
                <w:b/>
                <w:sz w:val="20"/>
                <w:szCs w:val="20"/>
              </w:rPr>
              <w:t xml:space="preserve"> et al. </w:t>
            </w:r>
          </w:p>
          <w:p w:rsidR="006C5554" w:rsidRPr="00D1588A" w:rsidRDefault="006C5554" w:rsidP="008F6F48">
            <w:pPr>
              <w:widowControl w:val="0"/>
              <w:jc w:val="both"/>
              <w:rPr>
                <w:b/>
                <w:sz w:val="20"/>
                <w:szCs w:val="20"/>
              </w:rPr>
            </w:pPr>
          </w:p>
          <w:p w:rsidR="006C5554" w:rsidRPr="00D1588A" w:rsidRDefault="006C5554" w:rsidP="008F6F48">
            <w:pPr>
              <w:widowControl w:val="0"/>
              <w:tabs>
                <w:tab w:val="left" w:pos="736"/>
              </w:tabs>
              <w:jc w:val="both"/>
              <w:rPr>
                <w:b/>
                <w:sz w:val="20"/>
                <w:szCs w:val="20"/>
              </w:rPr>
            </w:pPr>
            <w:r w:rsidRPr="00D1588A">
              <w:rPr>
                <w:b/>
                <w:sz w:val="20"/>
                <w:szCs w:val="20"/>
              </w:rPr>
              <w:tab/>
              <w:t>v. (34404)</w:t>
            </w:r>
          </w:p>
          <w:p w:rsidR="006C5554" w:rsidRPr="00D1588A" w:rsidRDefault="006C5554" w:rsidP="008F6F48">
            <w:pPr>
              <w:widowControl w:val="0"/>
              <w:jc w:val="both"/>
              <w:rPr>
                <w:b/>
                <w:sz w:val="20"/>
                <w:szCs w:val="20"/>
              </w:rPr>
            </w:pPr>
          </w:p>
          <w:p w:rsidR="006C5554" w:rsidRPr="00D1588A" w:rsidRDefault="006C5554" w:rsidP="008F6F48">
            <w:pPr>
              <w:widowControl w:val="0"/>
              <w:jc w:val="both"/>
              <w:rPr>
                <w:sz w:val="20"/>
                <w:szCs w:val="20"/>
                <w:lang w:val="en-US"/>
              </w:rPr>
            </w:pPr>
            <w:proofErr w:type="spellStart"/>
            <w:r w:rsidRPr="00D1588A">
              <w:rPr>
                <w:b/>
                <w:sz w:val="20"/>
                <w:szCs w:val="20"/>
                <w:lang w:val="fr-CA"/>
              </w:rPr>
              <w:t>Moulton</w:t>
            </w:r>
            <w:proofErr w:type="spellEnd"/>
            <w:r w:rsidRPr="00D1588A">
              <w:rPr>
                <w:b/>
                <w:sz w:val="20"/>
                <w:szCs w:val="20"/>
                <w:lang w:val="fr-CA"/>
              </w:rPr>
              <w:t xml:space="preserve"> </w:t>
            </w:r>
            <w:proofErr w:type="spellStart"/>
            <w:r w:rsidRPr="00D1588A">
              <w:rPr>
                <w:b/>
                <w:sz w:val="20"/>
                <w:szCs w:val="20"/>
                <w:lang w:val="fr-CA"/>
              </w:rPr>
              <w:t>Contracting</w:t>
            </w:r>
            <w:proofErr w:type="spellEnd"/>
            <w:r w:rsidRPr="00D1588A">
              <w:rPr>
                <w:b/>
                <w:sz w:val="20"/>
                <w:szCs w:val="20"/>
                <w:lang w:val="fr-CA"/>
              </w:rPr>
              <w:t xml:space="preserve"> Ltd. et al. </w:t>
            </w:r>
            <w:r w:rsidRPr="00D1588A">
              <w:rPr>
                <w:b/>
                <w:sz w:val="20"/>
                <w:szCs w:val="20"/>
              </w:rPr>
              <w:t xml:space="preserve">(B.C.) (Civil) (By Leave) </w:t>
            </w:r>
          </w:p>
        </w:tc>
        <w:tc>
          <w:tcPr>
            <w:tcW w:w="720" w:type="dxa"/>
            <w:tcMar>
              <w:left w:w="0" w:type="dxa"/>
              <w:right w:w="0" w:type="dxa"/>
            </w:tcMar>
          </w:tcPr>
          <w:p w:rsidR="006C5554" w:rsidRPr="00D1588A" w:rsidRDefault="006C5554" w:rsidP="008F6F48">
            <w:pPr>
              <w:widowControl w:val="0"/>
              <w:jc w:val="center"/>
              <w:rPr>
                <w:sz w:val="20"/>
                <w:szCs w:val="20"/>
                <w:lang w:val="en-US"/>
              </w:rPr>
            </w:pPr>
          </w:p>
        </w:tc>
        <w:tc>
          <w:tcPr>
            <w:tcW w:w="4380" w:type="dxa"/>
            <w:tcMar>
              <w:left w:w="0" w:type="dxa"/>
              <w:right w:w="0" w:type="dxa"/>
            </w:tcMar>
          </w:tcPr>
          <w:p w:rsidR="006C5554" w:rsidRPr="00D1588A" w:rsidRDefault="006C5554" w:rsidP="008F6F48">
            <w:pPr>
              <w:widowControl w:val="0"/>
              <w:jc w:val="both"/>
              <w:rPr>
                <w:sz w:val="20"/>
                <w:szCs w:val="20"/>
              </w:rPr>
            </w:pPr>
            <w:r w:rsidRPr="00D1588A">
              <w:rPr>
                <w:sz w:val="20"/>
                <w:szCs w:val="20"/>
              </w:rPr>
              <w:t xml:space="preserve">Robert </w:t>
            </w:r>
            <w:proofErr w:type="spellStart"/>
            <w:r w:rsidRPr="00D1588A">
              <w:rPr>
                <w:sz w:val="20"/>
                <w:szCs w:val="20"/>
              </w:rPr>
              <w:t>Janes</w:t>
            </w:r>
            <w:proofErr w:type="spellEnd"/>
            <w:r w:rsidRPr="00D1588A">
              <w:rPr>
                <w:sz w:val="20"/>
                <w:szCs w:val="20"/>
              </w:rPr>
              <w:t xml:space="preserve"> and </w:t>
            </w:r>
            <w:proofErr w:type="spellStart"/>
            <w:r w:rsidRPr="00D1588A">
              <w:rPr>
                <w:sz w:val="20"/>
                <w:szCs w:val="20"/>
              </w:rPr>
              <w:t>Karey</w:t>
            </w:r>
            <w:proofErr w:type="spellEnd"/>
            <w:r w:rsidRPr="00D1588A">
              <w:rPr>
                <w:sz w:val="20"/>
                <w:szCs w:val="20"/>
              </w:rPr>
              <w:t xml:space="preserve"> Brooks for the appellant.</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proofErr w:type="spellStart"/>
            <w:r w:rsidRPr="00D1588A">
              <w:rPr>
                <w:sz w:val="20"/>
                <w:szCs w:val="20"/>
              </w:rPr>
              <w:t>Allisun</w:t>
            </w:r>
            <w:proofErr w:type="spellEnd"/>
            <w:r w:rsidRPr="00D1588A">
              <w:rPr>
                <w:sz w:val="20"/>
                <w:szCs w:val="20"/>
              </w:rPr>
              <w:t xml:space="preserve"> </w:t>
            </w:r>
            <w:proofErr w:type="spellStart"/>
            <w:r w:rsidRPr="00D1588A">
              <w:rPr>
                <w:sz w:val="20"/>
                <w:szCs w:val="20"/>
              </w:rPr>
              <w:t>Rana</w:t>
            </w:r>
            <w:proofErr w:type="spellEnd"/>
            <w:r w:rsidRPr="00D1588A">
              <w:rPr>
                <w:sz w:val="20"/>
                <w:szCs w:val="20"/>
              </w:rPr>
              <w:t xml:space="preserve"> and Julie </w:t>
            </w:r>
            <w:proofErr w:type="spellStart"/>
            <w:r w:rsidRPr="00D1588A">
              <w:rPr>
                <w:sz w:val="20"/>
                <w:szCs w:val="20"/>
              </w:rPr>
              <w:t>Tannahill</w:t>
            </w:r>
            <w:proofErr w:type="spellEnd"/>
            <w:r w:rsidRPr="00D1588A">
              <w:rPr>
                <w:sz w:val="20"/>
                <w:szCs w:val="20"/>
              </w:rPr>
              <w:t xml:space="preserve"> for the intervener Chief Liz Logan, et al.</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Christopher G. Devlin and John </w:t>
            </w:r>
            <w:proofErr w:type="spellStart"/>
            <w:r w:rsidRPr="00D1588A">
              <w:rPr>
                <w:sz w:val="20"/>
                <w:szCs w:val="20"/>
              </w:rPr>
              <w:t>Gailus</w:t>
            </w:r>
            <w:proofErr w:type="spellEnd"/>
            <w:r w:rsidRPr="00D1588A">
              <w:rPr>
                <w:sz w:val="20"/>
                <w:szCs w:val="20"/>
              </w:rPr>
              <w:t xml:space="preserve"> for the intervener Chief Sally Sam and </w:t>
            </w:r>
            <w:proofErr w:type="spellStart"/>
            <w:r w:rsidRPr="00D1588A">
              <w:rPr>
                <w:sz w:val="20"/>
                <w:szCs w:val="20"/>
              </w:rPr>
              <w:t>Maiyoo</w:t>
            </w:r>
            <w:proofErr w:type="spellEnd"/>
            <w:r w:rsidRPr="00D1588A">
              <w:rPr>
                <w:sz w:val="20"/>
                <w:szCs w:val="20"/>
              </w:rPr>
              <w:t xml:space="preserve"> </w:t>
            </w:r>
            <w:proofErr w:type="spellStart"/>
            <w:r w:rsidRPr="00D1588A">
              <w:rPr>
                <w:sz w:val="20"/>
                <w:szCs w:val="20"/>
              </w:rPr>
              <w:t>Keyoh</w:t>
            </w:r>
            <w:proofErr w:type="spellEnd"/>
            <w:r w:rsidRPr="00D1588A">
              <w:rPr>
                <w:sz w:val="20"/>
                <w:szCs w:val="20"/>
              </w:rPr>
              <w:t xml:space="preserve"> Society.</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John Hurley and François </w:t>
            </w:r>
            <w:proofErr w:type="spellStart"/>
            <w:r w:rsidRPr="00D1588A">
              <w:rPr>
                <w:sz w:val="20"/>
                <w:szCs w:val="20"/>
              </w:rPr>
              <w:t>Dandonneau</w:t>
            </w:r>
            <w:proofErr w:type="spellEnd"/>
            <w:r w:rsidRPr="00D1588A">
              <w:rPr>
                <w:sz w:val="20"/>
                <w:szCs w:val="20"/>
              </w:rPr>
              <w:t xml:space="preserve"> for the intervener Grand Council of the </w:t>
            </w:r>
            <w:proofErr w:type="spellStart"/>
            <w:r w:rsidRPr="00D1588A">
              <w:rPr>
                <w:sz w:val="20"/>
                <w:szCs w:val="20"/>
              </w:rPr>
              <w:t>Crees</w:t>
            </w:r>
            <w:proofErr w:type="spellEnd"/>
            <w:r w:rsidRPr="00D1588A">
              <w:rPr>
                <w:sz w:val="20"/>
                <w:szCs w:val="20"/>
              </w:rPr>
              <w:t>.</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lang w:val="en-US"/>
              </w:rPr>
            </w:pPr>
            <w:r w:rsidRPr="00D1588A">
              <w:rPr>
                <w:sz w:val="20"/>
                <w:szCs w:val="20"/>
                <w:lang w:val="en-US"/>
              </w:rPr>
              <w:t xml:space="preserve">Charles F. </w:t>
            </w:r>
            <w:proofErr w:type="spellStart"/>
            <w:r w:rsidRPr="00D1588A">
              <w:rPr>
                <w:sz w:val="20"/>
                <w:szCs w:val="20"/>
                <w:lang w:val="en-US"/>
              </w:rPr>
              <w:t>Willms</w:t>
            </w:r>
            <w:proofErr w:type="spellEnd"/>
            <w:r w:rsidRPr="00D1588A">
              <w:rPr>
                <w:sz w:val="20"/>
                <w:szCs w:val="20"/>
                <w:lang w:val="en-US"/>
              </w:rPr>
              <w:t xml:space="preserve"> and Bridget </w:t>
            </w:r>
            <w:proofErr w:type="spellStart"/>
            <w:r w:rsidRPr="00D1588A">
              <w:rPr>
                <w:sz w:val="20"/>
                <w:szCs w:val="20"/>
                <w:lang w:val="en-US"/>
              </w:rPr>
              <w:t>Gilbride</w:t>
            </w:r>
            <w:proofErr w:type="spellEnd"/>
            <w:r w:rsidRPr="00D1588A">
              <w:rPr>
                <w:sz w:val="20"/>
                <w:szCs w:val="20"/>
                <w:lang w:val="en-US"/>
              </w:rPr>
              <w:t xml:space="preserve"> for the respondent Moulton Contracting Ltd.</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lang w:val="en-US"/>
              </w:rPr>
            </w:pPr>
            <w:r w:rsidRPr="00D1588A">
              <w:rPr>
                <w:sz w:val="20"/>
                <w:szCs w:val="20"/>
                <w:lang w:val="en-US"/>
              </w:rPr>
              <w:t>Keith J. Phillips and Joel Oliphant for the respondent Her Majesty the Queen in Right of the Province of British Columbia.</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rPr>
            </w:pPr>
            <w:r w:rsidRPr="00D1588A">
              <w:rPr>
                <w:sz w:val="20"/>
                <w:szCs w:val="20"/>
              </w:rPr>
              <w:t>Brian McLaughlin for the intervener Attorney General of Canada.</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Jean </w:t>
            </w:r>
            <w:proofErr w:type="spellStart"/>
            <w:r w:rsidRPr="00D1588A">
              <w:rPr>
                <w:sz w:val="20"/>
                <w:szCs w:val="20"/>
              </w:rPr>
              <w:t>Teillet</w:t>
            </w:r>
            <w:proofErr w:type="spellEnd"/>
            <w:r w:rsidRPr="00D1588A">
              <w:rPr>
                <w:sz w:val="20"/>
                <w:szCs w:val="20"/>
              </w:rPr>
              <w:t xml:space="preserve"> and </w:t>
            </w:r>
            <w:proofErr w:type="spellStart"/>
            <w:r w:rsidRPr="00D1588A">
              <w:rPr>
                <w:sz w:val="20"/>
                <w:szCs w:val="20"/>
              </w:rPr>
              <w:t>Nuri</w:t>
            </w:r>
            <w:proofErr w:type="spellEnd"/>
            <w:r w:rsidRPr="00D1588A">
              <w:rPr>
                <w:sz w:val="20"/>
                <w:szCs w:val="20"/>
              </w:rPr>
              <w:t xml:space="preserve"> G. Frame for the intervener Moose Cree First Nation.</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John J.L. Hunter, Q.C., Mark S. </w:t>
            </w:r>
            <w:proofErr w:type="spellStart"/>
            <w:r w:rsidRPr="00D1588A">
              <w:rPr>
                <w:sz w:val="20"/>
                <w:szCs w:val="20"/>
              </w:rPr>
              <w:t>Oulton</w:t>
            </w:r>
            <w:proofErr w:type="spellEnd"/>
            <w:r w:rsidRPr="00D1588A">
              <w:rPr>
                <w:sz w:val="20"/>
                <w:szCs w:val="20"/>
              </w:rPr>
              <w:t xml:space="preserve"> and Stephanie L. McHugh for the intervener Council of Forest Industries and Alberta Forest Products Association.</w:t>
            </w:r>
          </w:p>
        </w:tc>
      </w:tr>
    </w:tbl>
    <w:p w:rsidR="006C5554" w:rsidRPr="00D1588A" w:rsidRDefault="006C5554" w:rsidP="006C5554">
      <w:pPr>
        <w:widowControl w:val="0"/>
      </w:pPr>
    </w:p>
    <w:p w:rsidR="006C5554" w:rsidRPr="00D1588A" w:rsidRDefault="006C5554" w:rsidP="006C5554">
      <w:pPr>
        <w:widowControl w:val="0"/>
        <w:rPr>
          <w:sz w:val="20"/>
          <w:szCs w:val="20"/>
        </w:rPr>
      </w:pPr>
      <w:r w:rsidRPr="00D1588A">
        <w:rPr>
          <w:b/>
          <w:sz w:val="20"/>
          <w:szCs w:val="20"/>
        </w:rPr>
        <w:t xml:space="preserve">RESERVED / </w:t>
      </w:r>
      <w:r w:rsidRPr="00D1588A">
        <w:rPr>
          <w:b/>
          <w:sz w:val="20"/>
          <w:szCs w:val="20"/>
          <w:lang w:val="fr-CA"/>
        </w:rPr>
        <w:t>EN DÉLIBÉRÉ</w:t>
      </w:r>
    </w:p>
    <w:p w:rsidR="006C5554" w:rsidRPr="00D1588A" w:rsidRDefault="006C5554" w:rsidP="006C5554"/>
    <w:tbl>
      <w:tblPr>
        <w:tblW w:w="0" w:type="auto"/>
        <w:tblLayout w:type="fixed"/>
        <w:tblCellMar>
          <w:left w:w="0" w:type="dxa"/>
          <w:right w:w="0" w:type="dxa"/>
        </w:tblCellMar>
        <w:tblLook w:val="0000"/>
      </w:tblPr>
      <w:tblGrid>
        <w:gridCol w:w="4380"/>
        <w:gridCol w:w="720"/>
        <w:gridCol w:w="4380"/>
      </w:tblGrid>
      <w:tr w:rsidR="006C5554" w:rsidRPr="00B32C76" w:rsidTr="008F6F48">
        <w:tc>
          <w:tcPr>
            <w:tcW w:w="4380" w:type="dxa"/>
            <w:tcMar>
              <w:left w:w="0" w:type="dxa"/>
              <w:right w:w="0" w:type="dxa"/>
            </w:tcMar>
          </w:tcPr>
          <w:p w:rsidR="006C5554" w:rsidRPr="00D1588A" w:rsidRDefault="006C5554" w:rsidP="008F6F48">
            <w:pPr>
              <w:widowControl w:val="0"/>
              <w:jc w:val="both"/>
              <w:rPr>
                <w:b/>
                <w:sz w:val="20"/>
                <w:szCs w:val="20"/>
                <w:u w:val="single"/>
              </w:rPr>
            </w:pPr>
            <w:r w:rsidRPr="00D1588A">
              <w:rPr>
                <w:b/>
                <w:sz w:val="20"/>
                <w:szCs w:val="20"/>
                <w:u w:val="single"/>
              </w:rPr>
              <w:t>Nature of the case:</w:t>
            </w:r>
          </w:p>
          <w:p w:rsidR="006C5554" w:rsidRPr="00D1588A" w:rsidRDefault="006C5554" w:rsidP="008F6F48">
            <w:pPr>
              <w:widowControl w:val="0"/>
              <w:jc w:val="both"/>
              <w:rPr>
                <w:b/>
                <w:sz w:val="20"/>
                <w:szCs w:val="20"/>
              </w:rPr>
            </w:pPr>
          </w:p>
          <w:p w:rsidR="006C5554" w:rsidRPr="00D1588A" w:rsidRDefault="006C5554" w:rsidP="008F6F48">
            <w:pPr>
              <w:widowControl w:val="0"/>
              <w:jc w:val="both"/>
              <w:rPr>
                <w:b/>
                <w:sz w:val="20"/>
                <w:szCs w:val="20"/>
              </w:rPr>
            </w:pPr>
            <w:r w:rsidRPr="00D1588A">
              <w:rPr>
                <w:sz w:val="20"/>
                <w:szCs w:val="20"/>
              </w:rPr>
              <w:t xml:space="preserve">Aboriginal law </w:t>
            </w:r>
            <w:r w:rsidRPr="00D1588A">
              <w:rPr>
                <w:rFonts w:ascii="MS Mincho" w:eastAsia="MS Mincho" w:hAnsi="MS Mincho" w:cs="MS Mincho" w:hint="eastAsia"/>
                <w:sz w:val="20"/>
                <w:szCs w:val="20"/>
              </w:rPr>
              <w:t>‑</w:t>
            </w:r>
            <w:r w:rsidRPr="00D1588A">
              <w:rPr>
                <w:rFonts w:cs="Times New Roman"/>
                <w:sz w:val="20"/>
                <w:szCs w:val="20"/>
              </w:rPr>
              <w:t xml:space="preserve"> Treaty rights </w:t>
            </w:r>
            <w:r w:rsidRPr="00D1588A">
              <w:rPr>
                <w:rFonts w:ascii="MS Mincho" w:eastAsia="MS Mincho" w:hAnsi="MS Mincho" w:cs="MS Mincho" w:hint="eastAsia"/>
                <w:sz w:val="20"/>
                <w:szCs w:val="20"/>
              </w:rPr>
              <w:t>‑</w:t>
            </w:r>
            <w:r w:rsidRPr="00D1588A">
              <w:rPr>
                <w:rFonts w:cs="Times New Roman"/>
                <w:sz w:val="20"/>
                <w:szCs w:val="20"/>
              </w:rPr>
              <w:t xml:space="preserve"> Logging </w:t>
            </w:r>
            <w:r w:rsidRPr="00D1588A">
              <w:rPr>
                <w:rFonts w:ascii="MS Mincho" w:eastAsia="MS Mincho" w:hAnsi="MS Mincho" w:cs="MS Mincho" w:hint="eastAsia"/>
                <w:sz w:val="20"/>
                <w:szCs w:val="20"/>
              </w:rPr>
              <w:t>‑</w:t>
            </w:r>
            <w:r w:rsidRPr="00D1588A">
              <w:rPr>
                <w:rFonts w:cs="Times New Roman"/>
                <w:sz w:val="20"/>
                <w:szCs w:val="20"/>
              </w:rPr>
              <w:t xml:space="preserve"> Duty to consult </w:t>
            </w:r>
            <w:r w:rsidRPr="00D1588A">
              <w:rPr>
                <w:rFonts w:ascii="MS Mincho" w:eastAsia="MS Mincho" w:hAnsi="MS Mincho" w:cs="MS Mincho" w:hint="eastAsia"/>
                <w:sz w:val="20"/>
                <w:szCs w:val="20"/>
              </w:rPr>
              <w:t>‑</w:t>
            </w:r>
            <w:r w:rsidRPr="00D1588A">
              <w:rPr>
                <w:rFonts w:cs="Times New Roman"/>
                <w:sz w:val="20"/>
                <w:szCs w:val="20"/>
              </w:rPr>
              <w:t xml:space="preserve"> Civil procedure </w:t>
            </w:r>
            <w:r w:rsidRPr="00D1588A">
              <w:rPr>
                <w:rFonts w:ascii="MS Mincho" w:eastAsia="MS Mincho" w:hAnsi="MS Mincho" w:cs="MS Mincho" w:hint="eastAsia"/>
                <w:sz w:val="20"/>
                <w:szCs w:val="20"/>
              </w:rPr>
              <w:t>‑</w:t>
            </w:r>
            <w:r w:rsidRPr="00D1588A">
              <w:rPr>
                <w:rFonts w:cs="Times New Roman"/>
                <w:sz w:val="20"/>
                <w:szCs w:val="20"/>
              </w:rPr>
              <w:t xml:space="preserve"> Standing </w:t>
            </w:r>
            <w:r w:rsidRPr="00D1588A">
              <w:rPr>
                <w:rFonts w:ascii="MS Mincho" w:eastAsia="MS Mincho" w:hAnsi="MS Mincho" w:cs="MS Mincho" w:hint="eastAsia"/>
                <w:sz w:val="20"/>
                <w:szCs w:val="20"/>
              </w:rPr>
              <w:t>‑</w:t>
            </w:r>
            <w:r w:rsidRPr="00D1588A">
              <w:rPr>
                <w:sz w:val="20"/>
                <w:szCs w:val="20"/>
              </w:rPr>
              <w:t xml:space="preserve"> Collateral attack </w:t>
            </w:r>
            <w:r w:rsidRPr="00D1588A">
              <w:rPr>
                <w:rFonts w:ascii="MS Mincho" w:eastAsia="MS Mincho" w:hAnsi="MS Mincho" w:cs="MS Mincho" w:hint="eastAsia"/>
                <w:sz w:val="20"/>
                <w:szCs w:val="20"/>
              </w:rPr>
              <w:t>‑</w:t>
            </w:r>
            <w:r w:rsidRPr="00D1588A">
              <w:rPr>
                <w:rFonts w:cs="Times New Roman"/>
                <w:sz w:val="20"/>
                <w:szCs w:val="20"/>
              </w:rPr>
              <w:t xml:space="preserve"> Whether the courts below erred in holding that the appellants had no standing to raise the treaty rights defences </w:t>
            </w:r>
            <w:r w:rsidRPr="00D1588A">
              <w:rPr>
                <w:rFonts w:ascii="MS Mincho" w:eastAsia="MS Mincho" w:hAnsi="MS Mincho" w:cs="MS Mincho" w:hint="eastAsia"/>
                <w:sz w:val="20"/>
                <w:szCs w:val="20"/>
              </w:rPr>
              <w:t>‑</w:t>
            </w:r>
            <w:r w:rsidRPr="00D1588A">
              <w:rPr>
                <w:rFonts w:cs="Times New Roman"/>
                <w:sz w:val="20"/>
                <w:szCs w:val="20"/>
              </w:rPr>
              <w:t xml:space="preserve"> Whether the courts below erred in holding that the treaty rights defences constituted an impermissible collateral attac</w:t>
            </w:r>
            <w:r w:rsidRPr="00D1588A">
              <w:rPr>
                <w:sz w:val="20"/>
                <w:szCs w:val="20"/>
              </w:rPr>
              <w:t>k.</w:t>
            </w:r>
          </w:p>
        </w:tc>
        <w:tc>
          <w:tcPr>
            <w:tcW w:w="720" w:type="dxa"/>
            <w:tcMar>
              <w:left w:w="0" w:type="dxa"/>
              <w:right w:w="0" w:type="dxa"/>
            </w:tcMar>
          </w:tcPr>
          <w:p w:rsidR="006C5554" w:rsidRPr="00D1588A" w:rsidRDefault="006C5554" w:rsidP="008F6F48">
            <w:pPr>
              <w:widowControl w:val="0"/>
              <w:jc w:val="center"/>
              <w:rPr>
                <w:sz w:val="20"/>
                <w:szCs w:val="20"/>
              </w:rPr>
            </w:pPr>
          </w:p>
        </w:tc>
        <w:tc>
          <w:tcPr>
            <w:tcW w:w="4380" w:type="dxa"/>
            <w:tcMar>
              <w:left w:w="0" w:type="dxa"/>
              <w:right w:w="0" w:type="dxa"/>
            </w:tcMar>
          </w:tcPr>
          <w:p w:rsidR="006C5554" w:rsidRPr="00D1588A" w:rsidRDefault="006C5554" w:rsidP="008F6F48">
            <w:pPr>
              <w:widowControl w:val="0"/>
              <w:jc w:val="both"/>
              <w:rPr>
                <w:b/>
                <w:sz w:val="20"/>
                <w:szCs w:val="20"/>
                <w:u w:val="single"/>
                <w:lang w:val="fr-CA"/>
              </w:rPr>
            </w:pPr>
            <w:r w:rsidRPr="00D1588A">
              <w:rPr>
                <w:b/>
                <w:sz w:val="20"/>
                <w:szCs w:val="20"/>
                <w:u w:val="single"/>
                <w:lang w:val="fr-CA"/>
              </w:rPr>
              <w:t>Nature de la cause :</w:t>
            </w:r>
          </w:p>
          <w:p w:rsidR="006C5554" w:rsidRPr="00D1588A" w:rsidRDefault="006C5554" w:rsidP="008F6F48">
            <w:pPr>
              <w:widowControl w:val="0"/>
              <w:jc w:val="both"/>
              <w:rPr>
                <w:sz w:val="20"/>
                <w:szCs w:val="20"/>
                <w:lang w:val="fr-CA"/>
              </w:rPr>
            </w:pPr>
          </w:p>
          <w:p w:rsidR="006C5554" w:rsidRPr="00D1588A" w:rsidRDefault="006C5554" w:rsidP="008F6F48">
            <w:pPr>
              <w:jc w:val="both"/>
              <w:rPr>
                <w:sz w:val="20"/>
                <w:szCs w:val="20"/>
                <w:lang w:val="fr-CA"/>
              </w:rPr>
            </w:pPr>
            <w:r w:rsidRPr="00D1588A">
              <w:rPr>
                <w:rFonts w:eastAsia="Times New Roman" w:cs="Times New Roman"/>
                <w:sz w:val="20"/>
                <w:szCs w:val="20"/>
                <w:lang w:val="fr-CA"/>
              </w:rPr>
              <w:t xml:space="preserve">Droits des autochtones </w:t>
            </w:r>
            <w:r w:rsidRPr="00D1588A">
              <w:rPr>
                <w:rFonts w:eastAsia="Times New Roman" w:cs="Times New Roman"/>
                <w:sz w:val="20"/>
                <w:szCs w:val="20"/>
                <w:lang w:val="fr-CA"/>
              </w:rPr>
              <w:noBreakHyphen/>
              <w:t xml:space="preserve"> Droits issus de traités </w:t>
            </w:r>
            <w:r w:rsidRPr="00D1588A">
              <w:rPr>
                <w:rFonts w:eastAsia="Times New Roman" w:cs="Times New Roman"/>
                <w:sz w:val="20"/>
                <w:szCs w:val="20"/>
                <w:lang w:val="fr-CA"/>
              </w:rPr>
              <w:noBreakHyphen/>
              <w:t xml:space="preserve"> Ressources forestières </w:t>
            </w:r>
            <w:r w:rsidRPr="00D1588A">
              <w:rPr>
                <w:rFonts w:eastAsia="Times New Roman" w:cs="Times New Roman"/>
                <w:sz w:val="20"/>
                <w:szCs w:val="20"/>
                <w:lang w:val="fr-CA"/>
              </w:rPr>
              <w:noBreakHyphen/>
              <w:t xml:space="preserve"> Obligation de consulter </w:t>
            </w:r>
            <w:r w:rsidRPr="00D1588A">
              <w:rPr>
                <w:rFonts w:eastAsia="Times New Roman" w:cs="Times New Roman"/>
                <w:sz w:val="20"/>
                <w:szCs w:val="20"/>
                <w:lang w:val="fr-CA"/>
              </w:rPr>
              <w:noBreakHyphen/>
              <w:t xml:space="preserve"> Procédure civile </w:t>
            </w:r>
            <w:r w:rsidRPr="00D1588A">
              <w:rPr>
                <w:rFonts w:eastAsia="Times New Roman" w:cs="Times New Roman"/>
                <w:sz w:val="20"/>
                <w:szCs w:val="20"/>
                <w:lang w:val="fr-CA"/>
              </w:rPr>
              <w:noBreakHyphen/>
              <w:t xml:space="preserve"> Qualité pour agir </w:t>
            </w:r>
            <w:r w:rsidRPr="00D1588A">
              <w:rPr>
                <w:rFonts w:eastAsia="Times New Roman" w:cs="Times New Roman"/>
                <w:sz w:val="20"/>
                <w:szCs w:val="20"/>
                <w:lang w:val="fr-CA"/>
              </w:rPr>
              <w:noBreakHyphen/>
              <w:t xml:space="preserve"> Contestation indirecte </w:t>
            </w:r>
            <w:r w:rsidRPr="00D1588A">
              <w:rPr>
                <w:rFonts w:eastAsia="Times New Roman" w:cs="Times New Roman"/>
                <w:sz w:val="20"/>
                <w:szCs w:val="20"/>
                <w:lang w:val="fr-CA"/>
              </w:rPr>
              <w:noBreakHyphen/>
              <w:t xml:space="preserve"> Les juridictions inférieures </w:t>
            </w:r>
            <w:proofErr w:type="spellStart"/>
            <w:r w:rsidRPr="00D1588A">
              <w:rPr>
                <w:rFonts w:eastAsia="Times New Roman" w:cs="Times New Roman"/>
                <w:sz w:val="20"/>
                <w:szCs w:val="20"/>
                <w:lang w:val="fr-CA"/>
              </w:rPr>
              <w:t>ont</w:t>
            </w:r>
            <w:r w:rsidRPr="00D1588A">
              <w:rPr>
                <w:rFonts w:eastAsia="Times New Roman" w:cs="Times New Roman"/>
                <w:sz w:val="20"/>
                <w:szCs w:val="20"/>
                <w:lang w:val="fr-CA"/>
              </w:rPr>
              <w:noBreakHyphen/>
              <w:t>elles</w:t>
            </w:r>
            <w:proofErr w:type="spellEnd"/>
            <w:r w:rsidRPr="00D1588A">
              <w:rPr>
                <w:rFonts w:eastAsia="Times New Roman" w:cs="Times New Roman"/>
                <w:sz w:val="20"/>
                <w:szCs w:val="20"/>
                <w:lang w:val="fr-CA"/>
              </w:rPr>
              <w:t xml:space="preserve"> eu tort de conclure que les appelants n’avaient pas qualité pour soulever les moyens de défense fondés sur les droits issus de traités? </w:t>
            </w:r>
            <w:r w:rsidRPr="00D1588A">
              <w:rPr>
                <w:rFonts w:eastAsia="Times New Roman" w:cs="Times New Roman"/>
                <w:sz w:val="20"/>
                <w:szCs w:val="20"/>
                <w:lang w:val="fr-CA"/>
              </w:rPr>
              <w:noBreakHyphen/>
              <w:t xml:space="preserve"> Les juridictions inférieures </w:t>
            </w:r>
            <w:proofErr w:type="spellStart"/>
            <w:r w:rsidRPr="00D1588A">
              <w:rPr>
                <w:rFonts w:eastAsia="Times New Roman" w:cs="Times New Roman"/>
                <w:sz w:val="20"/>
                <w:szCs w:val="20"/>
                <w:lang w:val="fr-CA"/>
              </w:rPr>
              <w:t>ont</w:t>
            </w:r>
            <w:r w:rsidRPr="00D1588A">
              <w:rPr>
                <w:rFonts w:eastAsia="Times New Roman" w:cs="Times New Roman"/>
                <w:sz w:val="20"/>
                <w:szCs w:val="20"/>
                <w:lang w:val="fr-CA"/>
              </w:rPr>
              <w:noBreakHyphen/>
              <w:t>elles</w:t>
            </w:r>
            <w:proofErr w:type="spellEnd"/>
            <w:r w:rsidRPr="00D1588A">
              <w:rPr>
                <w:rFonts w:eastAsia="Times New Roman" w:cs="Times New Roman"/>
                <w:sz w:val="20"/>
                <w:szCs w:val="20"/>
                <w:lang w:val="fr-CA"/>
              </w:rPr>
              <w:t xml:space="preserve"> eu tort de conclure que les moyens de défense fondés sur les droits issus de traités constituaient une contestation indirecte irrecevable? </w:t>
            </w:r>
          </w:p>
        </w:tc>
      </w:tr>
    </w:tbl>
    <w:p w:rsidR="006C5554" w:rsidRPr="00D1588A" w:rsidRDefault="006C5554" w:rsidP="006C5554">
      <w:pPr>
        <w:widowControl w:val="0"/>
        <w:rPr>
          <w:sz w:val="20"/>
          <w:szCs w:val="20"/>
          <w:lang w:val="fr-CA"/>
        </w:rPr>
      </w:pPr>
    </w:p>
    <w:p w:rsidR="006C5554" w:rsidRPr="00D1588A" w:rsidRDefault="00D32E73" w:rsidP="006C5554">
      <w:pPr>
        <w:widowControl w:val="0"/>
        <w:rPr>
          <w:sz w:val="20"/>
          <w:szCs w:val="20"/>
          <w:lang w:val="fr-CA"/>
        </w:rPr>
      </w:pPr>
      <w:r w:rsidRPr="00D32E73">
        <w:rPr>
          <w:sz w:val="20"/>
          <w:szCs w:val="20"/>
          <w:lang w:val="fr-CA"/>
        </w:rPr>
        <w:pict>
          <v:rect id="_x0000_i1064" style="width:2in;height:1pt" o:hrpct="0" o:hralign="center" o:hrstd="t" o:hrnoshade="t" o:hr="t" fillcolor="black [3213]" stroked="f"/>
        </w:pict>
      </w:r>
    </w:p>
    <w:p w:rsidR="006C5554" w:rsidRPr="00D1588A" w:rsidRDefault="006C5554" w:rsidP="006C5554">
      <w:pPr>
        <w:widowControl w:val="0"/>
        <w:rPr>
          <w:sz w:val="20"/>
          <w:szCs w:val="20"/>
        </w:rPr>
      </w:pPr>
    </w:p>
    <w:p w:rsidR="006C5554" w:rsidRPr="00D1588A" w:rsidRDefault="006C5554" w:rsidP="006C5554">
      <w:pPr>
        <w:widowControl w:val="0"/>
        <w:rPr>
          <w:sz w:val="20"/>
          <w:szCs w:val="20"/>
        </w:rPr>
      </w:pPr>
      <w:r w:rsidRPr="00D1588A">
        <w:rPr>
          <w:sz w:val="20"/>
          <w:szCs w:val="20"/>
        </w:rPr>
        <w:lastRenderedPageBreak/>
        <w:t>12.12.2012</w:t>
      </w:r>
    </w:p>
    <w:p w:rsidR="006C5554" w:rsidRPr="00D1588A" w:rsidRDefault="006C5554" w:rsidP="006C5554">
      <w:pPr>
        <w:widowControl w:val="0"/>
        <w:rPr>
          <w:sz w:val="20"/>
          <w:szCs w:val="20"/>
        </w:rPr>
      </w:pPr>
    </w:p>
    <w:p w:rsidR="006C5554" w:rsidRPr="00D1588A" w:rsidRDefault="006C5554" w:rsidP="006C5554">
      <w:pPr>
        <w:widowControl w:val="0"/>
        <w:ind w:left="720" w:hanging="720"/>
        <w:rPr>
          <w:b/>
          <w:sz w:val="20"/>
          <w:szCs w:val="20"/>
        </w:rPr>
      </w:pPr>
      <w:r w:rsidRPr="00D1588A">
        <w:rPr>
          <w:sz w:val="20"/>
          <w:szCs w:val="20"/>
        </w:rPr>
        <w:t xml:space="preserve">Coram: </w:t>
      </w:r>
      <w:r w:rsidRPr="00D1588A">
        <w:rPr>
          <w:sz w:val="20"/>
          <w:szCs w:val="20"/>
        </w:rPr>
        <w:tab/>
      </w:r>
      <w:proofErr w:type="spellStart"/>
      <w:r w:rsidRPr="00D1588A">
        <w:rPr>
          <w:sz w:val="20"/>
          <w:szCs w:val="20"/>
          <w:u w:val="single"/>
        </w:rPr>
        <w:t>McLachlin</w:t>
      </w:r>
      <w:proofErr w:type="spellEnd"/>
      <w:r w:rsidRPr="00D1588A">
        <w:rPr>
          <w:sz w:val="20"/>
          <w:szCs w:val="20"/>
          <w:u w:val="single"/>
        </w:rPr>
        <w:t xml:space="preserve"> C.J. and </w:t>
      </w:r>
      <w:proofErr w:type="spellStart"/>
      <w:r w:rsidRPr="00D1588A">
        <w:rPr>
          <w:sz w:val="20"/>
          <w:szCs w:val="20"/>
          <w:u w:val="single"/>
        </w:rPr>
        <w:t>LeBel</w:t>
      </w:r>
      <w:proofErr w:type="spellEnd"/>
      <w:r w:rsidRPr="00D1588A">
        <w:rPr>
          <w:sz w:val="20"/>
          <w:szCs w:val="20"/>
          <w:u w:val="single"/>
        </w:rPr>
        <w:t xml:space="preserve">, Fish, </w:t>
      </w:r>
      <w:proofErr w:type="spellStart"/>
      <w:r w:rsidRPr="00D1588A">
        <w:rPr>
          <w:sz w:val="20"/>
          <w:szCs w:val="20"/>
          <w:u w:val="single"/>
        </w:rPr>
        <w:t>Abella</w:t>
      </w:r>
      <w:proofErr w:type="spellEnd"/>
      <w:r w:rsidRPr="00D1588A">
        <w:rPr>
          <w:sz w:val="20"/>
          <w:szCs w:val="20"/>
          <w:u w:val="single"/>
        </w:rPr>
        <w:t xml:space="preserve">, Rothstein, Cromwell, </w:t>
      </w:r>
      <w:proofErr w:type="spellStart"/>
      <w:r w:rsidRPr="00D1588A">
        <w:rPr>
          <w:sz w:val="20"/>
          <w:szCs w:val="20"/>
          <w:u w:val="single"/>
        </w:rPr>
        <w:t>Moldaver</w:t>
      </w:r>
      <w:proofErr w:type="spellEnd"/>
      <w:r w:rsidRPr="00D1588A">
        <w:rPr>
          <w:sz w:val="20"/>
          <w:szCs w:val="20"/>
          <w:u w:val="single"/>
        </w:rPr>
        <w:t xml:space="preserve">, </w:t>
      </w:r>
      <w:proofErr w:type="spellStart"/>
      <w:r w:rsidRPr="00D1588A">
        <w:rPr>
          <w:sz w:val="20"/>
          <w:szCs w:val="20"/>
          <w:u w:val="single"/>
        </w:rPr>
        <w:t>Karakatsanis</w:t>
      </w:r>
      <w:proofErr w:type="spellEnd"/>
      <w:r w:rsidRPr="00D1588A">
        <w:rPr>
          <w:sz w:val="20"/>
          <w:szCs w:val="20"/>
          <w:u w:val="single"/>
        </w:rPr>
        <w:t xml:space="preserve"> and Wagner JJ.</w:t>
      </w:r>
      <w:r w:rsidRPr="00D1588A">
        <w:rPr>
          <w:sz w:val="20"/>
          <w:szCs w:val="20"/>
        </w:rPr>
        <w:t xml:space="preserve"> </w:t>
      </w:r>
    </w:p>
    <w:p w:rsidR="006C5554" w:rsidRPr="00CF27A8" w:rsidRDefault="006C5554" w:rsidP="006C5554">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C5554" w:rsidRPr="00D1588A" w:rsidTr="008F6F48">
        <w:tc>
          <w:tcPr>
            <w:tcW w:w="4380" w:type="dxa"/>
            <w:tcMar>
              <w:left w:w="0" w:type="dxa"/>
              <w:right w:w="0" w:type="dxa"/>
            </w:tcMar>
          </w:tcPr>
          <w:p w:rsidR="006C5554" w:rsidRPr="00D1588A" w:rsidRDefault="006C5554" w:rsidP="008F6F48">
            <w:pPr>
              <w:widowControl w:val="0"/>
              <w:jc w:val="both"/>
              <w:rPr>
                <w:b/>
                <w:sz w:val="20"/>
                <w:szCs w:val="20"/>
              </w:rPr>
            </w:pPr>
            <w:r w:rsidRPr="00D1588A">
              <w:rPr>
                <w:b/>
                <w:sz w:val="20"/>
                <w:szCs w:val="20"/>
              </w:rPr>
              <w:t xml:space="preserve">Her Majesty the Queen </w:t>
            </w:r>
          </w:p>
          <w:p w:rsidR="006C5554" w:rsidRPr="00D1588A" w:rsidRDefault="006C5554" w:rsidP="008F6F48">
            <w:pPr>
              <w:widowControl w:val="0"/>
              <w:jc w:val="both"/>
              <w:rPr>
                <w:b/>
                <w:sz w:val="20"/>
                <w:szCs w:val="20"/>
              </w:rPr>
            </w:pPr>
          </w:p>
          <w:p w:rsidR="006C5554" w:rsidRPr="00D1588A" w:rsidRDefault="006C5554" w:rsidP="008F6F48">
            <w:pPr>
              <w:widowControl w:val="0"/>
              <w:tabs>
                <w:tab w:val="left" w:pos="736"/>
              </w:tabs>
              <w:jc w:val="both"/>
              <w:rPr>
                <w:b/>
                <w:sz w:val="20"/>
                <w:szCs w:val="20"/>
              </w:rPr>
            </w:pPr>
            <w:r w:rsidRPr="00D1588A">
              <w:rPr>
                <w:b/>
                <w:sz w:val="20"/>
                <w:szCs w:val="20"/>
              </w:rPr>
              <w:tab/>
              <w:t>v. (34317)</w:t>
            </w:r>
          </w:p>
          <w:p w:rsidR="006C5554" w:rsidRPr="00D1588A" w:rsidRDefault="006C5554" w:rsidP="008F6F48">
            <w:pPr>
              <w:widowControl w:val="0"/>
              <w:jc w:val="both"/>
              <w:rPr>
                <w:b/>
                <w:sz w:val="20"/>
                <w:szCs w:val="20"/>
              </w:rPr>
            </w:pPr>
          </w:p>
          <w:p w:rsidR="006C5554" w:rsidRPr="00D1588A" w:rsidRDefault="006C5554" w:rsidP="008F6F48">
            <w:pPr>
              <w:widowControl w:val="0"/>
              <w:jc w:val="both"/>
              <w:rPr>
                <w:sz w:val="20"/>
                <w:szCs w:val="20"/>
                <w:lang w:val="en-US"/>
              </w:rPr>
            </w:pPr>
            <w:r w:rsidRPr="00D1588A">
              <w:rPr>
                <w:b/>
                <w:sz w:val="20"/>
                <w:szCs w:val="20"/>
              </w:rPr>
              <w:t xml:space="preserve">Criminal Lawyers' Association of Ontario et al. (Ont.) (Criminal) (By Leave) </w:t>
            </w:r>
          </w:p>
        </w:tc>
        <w:tc>
          <w:tcPr>
            <w:tcW w:w="720" w:type="dxa"/>
            <w:tcMar>
              <w:left w:w="0" w:type="dxa"/>
              <w:right w:w="0" w:type="dxa"/>
            </w:tcMar>
          </w:tcPr>
          <w:p w:rsidR="006C5554" w:rsidRPr="00D1588A" w:rsidRDefault="006C5554" w:rsidP="008F6F48">
            <w:pPr>
              <w:widowControl w:val="0"/>
              <w:jc w:val="center"/>
              <w:rPr>
                <w:sz w:val="20"/>
                <w:szCs w:val="20"/>
                <w:lang w:val="en-US"/>
              </w:rPr>
            </w:pPr>
          </w:p>
        </w:tc>
        <w:tc>
          <w:tcPr>
            <w:tcW w:w="4380" w:type="dxa"/>
            <w:tcMar>
              <w:left w:w="0" w:type="dxa"/>
              <w:right w:w="0" w:type="dxa"/>
            </w:tcMar>
          </w:tcPr>
          <w:p w:rsidR="006C5554" w:rsidRPr="00D1588A" w:rsidRDefault="006C5554" w:rsidP="008F6F48">
            <w:pPr>
              <w:widowControl w:val="0"/>
              <w:jc w:val="both"/>
              <w:rPr>
                <w:sz w:val="20"/>
                <w:szCs w:val="20"/>
              </w:rPr>
            </w:pPr>
            <w:proofErr w:type="spellStart"/>
            <w:r w:rsidRPr="00D1588A">
              <w:rPr>
                <w:sz w:val="20"/>
                <w:szCs w:val="20"/>
              </w:rPr>
              <w:t>Malliha</w:t>
            </w:r>
            <w:proofErr w:type="spellEnd"/>
            <w:r w:rsidRPr="00D1588A">
              <w:rPr>
                <w:sz w:val="20"/>
                <w:szCs w:val="20"/>
              </w:rPr>
              <w:t xml:space="preserve"> Wilson, Troy Harrison, Kristin Smith and </w:t>
            </w:r>
            <w:proofErr w:type="spellStart"/>
            <w:r w:rsidRPr="00D1588A">
              <w:rPr>
                <w:sz w:val="20"/>
                <w:szCs w:val="20"/>
              </w:rPr>
              <w:t>Baaba</w:t>
            </w:r>
            <w:proofErr w:type="spellEnd"/>
            <w:r w:rsidRPr="00D1588A">
              <w:rPr>
                <w:sz w:val="20"/>
                <w:szCs w:val="20"/>
              </w:rPr>
              <w:t xml:space="preserve"> </w:t>
            </w:r>
            <w:proofErr w:type="spellStart"/>
            <w:r w:rsidRPr="00D1588A">
              <w:rPr>
                <w:sz w:val="20"/>
                <w:szCs w:val="20"/>
              </w:rPr>
              <w:t>Forson</w:t>
            </w:r>
            <w:proofErr w:type="spellEnd"/>
            <w:r w:rsidRPr="00D1588A">
              <w:rPr>
                <w:sz w:val="20"/>
                <w:szCs w:val="20"/>
              </w:rPr>
              <w:t xml:space="preserve"> for the appellant.</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rPr>
            </w:pPr>
            <w:r w:rsidRPr="00D1588A">
              <w:rPr>
                <w:sz w:val="20"/>
                <w:szCs w:val="20"/>
              </w:rPr>
              <w:t xml:space="preserve">Alain </w:t>
            </w:r>
            <w:proofErr w:type="spellStart"/>
            <w:r w:rsidRPr="00D1588A">
              <w:rPr>
                <w:sz w:val="20"/>
                <w:szCs w:val="20"/>
              </w:rPr>
              <w:t>Préfontaine</w:t>
            </w:r>
            <w:proofErr w:type="spellEnd"/>
            <w:r w:rsidRPr="00D1588A">
              <w:rPr>
                <w:sz w:val="20"/>
                <w:szCs w:val="20"/>
              </w:rPr>
              <w:t xml:space="preserve"> for the intervener Attorney General of Canada.</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lang w:val="fr-CA"/>
              </w:rPr>
            </w:pPr>
            <w:r w:rsidRPr="00D1588A">
              <w:rPr>
                <w:sz w:val="20"/>
                <w:szCs w:val="20"/>
                <w:lang w:val="fr-CA"/>
              </w:rPr>
              <w:t>Jean-Yves Bernard et Brigitte Bussières pour l’intervenant Procureur général du Québec.</w:t>
            </w:r>
          </w:p>
          <w:p w:rsidR="006C5554" w:rsidRPr="00D1588A" w:rsidRDefault="006C5554" w:rsidP="008F6F48">
            <w:pPr>
              <w:widowControl w:val="0"/>
              <w:jc w:val="both"/>
              <w:rPr>
                <w:sz w:val="20"/>
                <w:szCs w:val="20"/>
                <w:lang w:val="fr-CA"/>
              </w:rPr>
            </w:pPr>
          </w:p>
          <w:p w:rsidR="006C5554" w:rsidRPr="00D1588A" w:rsidRDefault="006C5554" w:rsidP="008F6F48">
            <w:pPr>
              <w:widowControl w:val="0"/>
              <w:jc w:val="both"/>
              <w:rPr>
                <w:sz w:val="20"/>
                <w:szCs w:val="20"/>
                <w:lang w:val="en-US"/>
              </w:rPr>
            </w:pPr>
            <w:r w:rsidRPr="00D1588A">
              <w:rPr>
                <w:sz w:val="20"/>
                <w:szCs w:val="20"/>
                <w:lang w:val="en-US"/>
              </w:rPr>
              <w:t>Written submissions only for the intervener Attorney General of Manitoba.</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lang w:val="en-US"/>
              </w:rPr>
            </w:pPr>
            <w:r w:rsidRPr="00D1588A">
              <w:rPr>
                <w:sz w:val="20"/>
                <w:szCs w:val="20"/>
                <w:lang w:val="en-US"/>
              </w:rPr>
              <w:t>Bryant Alexander Mackey</w:t>
            </w:r>
            <w:r w:rsidRPr="00D1588A">
              <w:rPr>
                <w:sz w:val="20"/>
                <w:szCs w:val="20"/>
                <w:lang w:val="en-US"/>
              </w:rPr>
              <w:tab/>
              <w:t xml:space="preserve"> for the intervener Attorney General of British Columbia.</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lang w:val="en-US"/>
              </w:rPr>
            </w:pPr>
            <w:r w:rsidRPr="00D1588A">
              <w:rPr>
                <w:sz w:val="20"/>
                <w:szCs w:val="20"/>
                <w:lang w:val="en-US"/>
              </w:rPr>
              <w:t xml:space="preserve">P. </w:t>
            </w:r>
            <w:proofErr w:type="spellStart"/>
            <w:r w:rsidRPr="00D1588A">
              <w:rPr>
                <w:sz w:val="20"/>
                <w:szCs w:val="20"/>
                <w:lang w:val="en-US"/>
              </w:rPr>
              <w:t>Andras</w:t>
            </w:r>
            <w:proofErr w:type="spellEnd"/>
            <w:r w:rsidRPr="00D1588A">
              <w:rPr>
                <w:sz w:val="20"/>
                <w:szCs w:val="20"/>
                <w:lang w:val="en-US"/>
              </w:rPr>
              <w:t xml:space="preserve"> </w:t>
            </w:r>
            <w:proofErr w:type="spellStart"/>
            <w:r w:rsidRPr="00D1588A">
              <w:rPr>
                <w:sz w:val="20"/>
                <w:szCs w:val="20"/>
                <w:lang w:val="en-US"/>
              </w:rPr>
              <w:t>Schreck</w:t>
            </w:r>
            <w:proofErr w:type="spellEnd"/>
            <w:r w:rsidRPr="00D1588A">
              <w:rPr>
                <w:sz w:val="20"/>
                <w:szCs w:val="20"/>
                <w:lang w:val="en-US"/>
              </w:rPr>
              <w:t xml:space="preserve"> and Louis P. </w:t>
            </w:r>
            <w:proofErr w:type="spellStart"/>
            <w:r w:rsidRPr="00D1588A">
              <w:rPr>
                <w:sz w:val="20"/>
                <w:szCs w:val="20"/>
                <w:lang w:val="en-US"/>
              </w:rPr>
              <w:t>Strezos</w:t>
            </w:r>
            <w:proofErr w:type="spellEnd"/>
            <w:r w:rsidRPr="00D1588A">
              <w:rPr>
                <w:sz w:val="20"/>
                <w:szCs w:val="20"/>
                <w:lang w:val="en-US"/>
              </w:rPr>
              <w:t xml:space="preserve"> for the respondent.</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rPr>
            </w:pPr>
            <w:r w:rsidRPr="00D1588A">
              <w:rPr>
                <w:sz w:val="20"/>
                <w:szCs w:val="20"/>
              </w:rPr>
              <w:t xml:space="preserve">Micah B. Rankin, Michael </w:t>
            </w:r>
            <w:proofErr w:type="spellStart"/>
            <w:r w:rsidRPr="00D1588A">
              <w:rPr>
                <w:sz w:val="20"/>
                <w:szCs w:val="20"/>
              </w:rPr>
              <w:t>Sobkin</w:t>
            </w:r>
            <w:proofErr w:type="spellEnd"/>
            <w:r w:rsidRPr="00D1588A">
              <w:rPr>
                <w:sz w:val="20"/>
                <w:szCs w:val="20"/>
              </w:rPr>
              <w:t xml:space="preserve"> and Elizabeth France for the intervener British Columbia Civil Liberties Association.</w:t>
            </w:r>
          </w:p>
          <w:p w:rsidR="006C5554" w:rsidRPr="00D1588A" w:rsidRDefault="006C5554" w:rsidP="008F6F48">
            <w:pPr>
              <w:widowControl w:val="0"/>
              <w:jc w:val="both"/>
              <w:rPr>
                <w:sz w:val="20"/>
                <w:szCs w:val="20"/>
              </w:rPr>
            </w:pPr>
          </w:p>
          <w:p w:rsidR="006C5554" w:rsidRPr="00D1588A" w:rsidRDefault="006C5554" w:rsidP="008F6F48">
            <w:pPr>
              <w:widowControl w:val="0"/>
              <w:jc w:val="both"/>
              <w:rPr>
                <w:sz w:val="20"/>
                <w:szCs w:val="20"/>
                <w:lang w:val="en-US"/>
              </w:rPr>
            </w:pPr>
            <w:r w:rsidRPr="00D1588A">
              <w:rPr>
                <w:sz w:val="20"/>
                <w:szCs w:val="20"/>
              </w:rPr>
              <w:t>John Norris for the intervener Advocates' Society.</w:t>
            </w:r>
          </w:p>
          <w:p w:rsidR="006C5554" w:rsidRPr="00D1588A" w:rsidRDefault="006C5554" w:rsidP="008F6F48">
            <w:pPr>
              <w:widowControl w:val="0"/>
              <w:jc w:val="both"/>
              <w:rPr>
                <w:sz w:val="20"/>
                <w:szCs w:val="20"/>
                <w:lang w:val="en-US"/>
              </w:rPr>
            </w:pPr>
          </w:p>
          <w:p w:rsidR="006C5554" w:rsidRPr="00D1588A" w:rsidRDefault="006C5554" w:rsidP="008F6F48">
            <w:pPr>
              <w:widowControl w:val="0"/>
              <w:jc w:val="both"/>
              <w:rPr>
                <w:sz w:val="20"/>
                <w:szCs w:val="20"/>
              </w:rPr>
            </w:pPr>
            <w:r w:rsidRPr="00D1588A">
              <w:rPr>
                <w:sz w:val="20"/>
                <w:szCs w:val="20"/>
              </w:rPr>
              <w:t>Anita Szigeti, Mercedes Perez and Marie-France Major for the intervener Mental Health Legal Committee.</w:t>
            </w:r>
          </w:p>
        </w:tc>
      </w:tr>
    </w:tbl>
    <w:p w:rsidR="006C5554" w:rsidRPr="00CF27A8" w:rsidRDefault="006C5554" w:rsidP="006C5554">
      <w:pPr>
        <w:widowControl w:val="0"/>
        <w:rPr>
          <w:sz w:val="20"/>
          <w:szCs w:val="20"/>
        </w:rPr>
      </w:pPr>
    </w:p>
    <w:p w:rsidR="006C5554" w:rsidRPr="00D1588A" w:rsidRDefault="006C5554" w:rsidP="006C5554">
      <w:pPr>
        <w:widowControl w:val="0"/>
        <w:rPr>
          <w:sz w:val="20"/>
          <w:szCs w:val="20"/>
        </w:rPr>
      </w:pPr>
      <w:r w:rsidRPr="00D1588A">
        <w:rPr>
          <w:b/>
          <w:sz w:val="20"/>
          <w:szCs w:val="20"/>
        </w:rPr>
        <w:t xml:space="preserve">RESERVED / </w:t>
      </w:r>
      <w:r w:rsidRPr="00D1588A">
        <w:rPr>
          <w:b/>
          <w:sz w:val="20"/>
          <w:szCs w:val="20"/>
          <w:lang w:val="fr-CA"/>
        </w:rPr>
        <w:t>EN DÉLIBÉRÉ</w:t>
      </w:r>
    </w:p>
    <w:p w:rsidR="006C5554" w:rsidRPr="00CF27A8" w:rsidRDefault="006C5554" w:rsidP="006C5554">
      <w:pPr>
        <w:rPr>
          <w:sz w:val="20"/>
          <w:szCs w:val="20"/>
        </w:rPr>
      </w:pPr>
    </w:p>
    <w:tbl>
      <w:tblPr>
        <w:tblW w:w="0" w:type="auto"/>
        <w:tblLayout w:type="fixed"/>
        <w:tblCellMar>
          <w:left w:w="0" w:type="dxa"/>
          <w:right w:w="0" w:type="dxa"/>
        </w:tblCellMar>
        <w:tblLook w:val="0000"/>
      </w:tblPr>
      <w:tblGrid>
        <w:gridCol w:w="4380"/>
        <w:gridCol w:w="720"/>
        <w:gridCol w:w="4380"/>
      </w:tblGrid>
      <w:tr w:rsidR="006C5554" w:rsidRPr="00B32C76" w:rsidTr="008F6F48">
        <w:tc>
          <w:tcPr>
            <w:tcW w:w="4380" w:type="dxa"/>
            <w:tcMar>
              <w:left w:w="0" w:type="dxa"/>
              <w:right w:w="0" w:type="dxa"/>
            </w:tcMar>
          </w:tcPr>
          <w:p w:rsidR="006C5554" w:rsidRPr="00D1588A" w:rsidRDefault="006C5554" w:rsidP="008F6F48">
            <w:pPr>
              <w:widowControl w:val="0"/>
              <w:jc w:val="both"/>
              <w:rPr>
                <w:b/>
                <w:sz w:val="20"/>
                <w:szCs w:val="20"/>
                <w:u w:val="single"/>
              </w:rPr>
            </w:pPr>
            <w:r w:rsidRPr="00D1588A">
              <w:rPr>
                <w:b/>
                <w:sz w:val="20"/>
                <w:szCs w:val="20"/>
                <w:u w:val="single"/>
              </w:rPr>
              <w:t>Nature of the case:</w:t>
            </w:r>
          </w:p>
          <w:p w:rsidR="006C5554" w:rsidRPr="00D1588A" w:rsidRDefault="006C5554" w:rsidP="008F6F48">
            <w:pPr>
              <w:widowControl w:val="0"/>
              <w:jc w:val="both"/>
              <w:rPr>
                <w:b/>
                <w:sz w:val="20"/>
                <w:szCs w:val="20"/>
              </w:rPr>
            </w:pPr>
          </w:p>
          <w:p w:rsidR="006C5554" w:rsidRPr="00D1588A" w:rsidRDefault="006C5554" w:rsidP="008F6F48">
            <w:pPr>
              <w:jc w:val="both"/>
              <w:rPr>
                <w:rFonts w:eastAsia="Times New Roman" w:cs="Times New Roman"/>
                <w:szCs w:val="24"/>
              </w:rPr>
            </w:pPr>
            <w:r w:rsidRPr="00D1588A">
              <w:rPr>
                <w:rFonts w:eastAsia="Times New Roman" w:cs="Times New Roman"/>
                <w:sz w:val="20"/>
                <w:szCs w:val="20"/>
              </w:rPr>
              <w:t xml:space="preserve">Constitutional Law </w:t>
            </w:r>
            <w:r w:rsidRPr="00D1588A">
              <w:rPr>
                <w:rFonts w:eastAsia="Times New Roman" w:cs="Times New Roman"/>
                <w:sz w:val="20"/>
                <w:szCs w:val="20"/>
              </w:rPr>
              <w:noBreakHyphen/>
              <w:t xml:space="preserve"> Division of powers </w:t>
            </w:r>
            <w:r w:rsidRPr="00D1588A">
              <w:rPr>
                <w:rFonts w:eastAsia="Times New Roman" w:cs="Times New Roman"/>
                <w:sz w:val="20"/>
                <w:szCs w:val="20"/>
              </w:rPr>
              <w:noBreakHyphen/>
              <w:t xml:space="preserve"> Court’s jurisdiction to order fees be paid to </w:t>
            </w:r>
            <w:r w:rsidRPr="00D1588A">
              <w:rPr>
                <w:rFonts w:eastAsia="Times New Roman" w:cs="Times New Roman"/>
                <w:i/>
                <w:iCs/>
                <w:sz w:val="20"/>
                <w:szCs w:val="20"/>
              </w:rPr>
              <w:t>amicus curiae</w:t>
            </w:r>
            <w:r w:rsidRPr="00D1588A">
              <w:rPr>
                <w:rFonts w:eastAsia="Times New Roman" w:cs="Times New Roman"/>
                <w:sz w:val="20"/>
                <w:szCs w:val="20"/>
              </w:rPr>
              <w:t xml:space="preserve"> from Consolidated Revenue Fund </w:t>
            </w:r>
            <w:r w:rsidRPr="00D1588A">
              <w:rPr>
                <w:rFonts w:eastAsia="Times New Roman" w:cs="Times New Roman"/>
                <w:sz w:val="20"/>
                <w:szCs w:val="20"/>
              </w:rPr>
              <w:noBreakHyphen/>
              <w:t xml:space="preserve"> Court’s authority to set fees payable to </w:t>
            </w:r>
            <w:r w:rsidRPr="00D1588A">
              <w:rPr>
                <w:rFonts w:eastAsia="Times New Roman" w:cs="Times New Roman"/>
                <w:i/>
                <w:iCs/>
                <w:sz w:val="20"/>
                <w:szCs w:val="20"/>
              </w:rPr>
              <w:t>amicus curiae</w:t>
            </w:r>
            <w:r w:rsidRPr="00D1588A">
              <w:rPr>
                <w:rFonts w:eastAsia="Times New Roman" w:cs="Times New Roman"/>
                <w:sz w:val="20"/>
                <w:szCs w:val="20"/>
              </w:rPr>
              <w:t xml:space="preserve"> </w:t>
            </w:r>
            <w:r w:rsidRPr="00D1588A">
              <w:rPr>
                <w:rFonts w:eastAsia="Times New Roman" w:cs="Times New Roman"/>
                <w:sz w:val="20"/>
                <w:szCs w:val="20"/>
              </w:rPr>
              <w:noBreakHyphen/>
              <w:t xml:space="preserve"> Whether the Court of Appeal erred in finding that the court has the inherent jurisdiction or the statutory authority to order Ontario to use public money to fund </w:t>
            </w:r>
            <w:r w:rsidRPr="00D1588A">
              <w:rPr>
                <w:rFonts w:eastAsia="Times New Roman" w:cs="Times New Roman"/>
                <w:i/>
                <w:iCs/>
                <w:sz w:val="20"/>
                <w:szCs w:val="20"/>
              </w:rPr>
              <w:t>amicus</w:t>
            </w:r>
            <w:r w:rsidRPr="00D1588A">
              <w:rPr>
                <w:rFonts w:eastAsia="Times New Roman" w:cs="Times New Roman"/>
                <w:sz w:val="20"/>
                <w:szCs w:val="20"/>
              </w:rPr>
              <w:t xml:space="preserve"> in the face of the legislature’s exclusive jurisdiction to disburse public funds </w:t>
            </w:r>
            <w:r w:rsidRPr="00D1588A">
              <w:rPr>
                <w:rFonts w:eastAsia="Times New Roman" w:cs="Times New Roman"/>
                <w:sz w:val="20"/>
                <w:szCs w:val="20"/>
              </w:rPr>
              <w:noBreakHyphen/>
              <w:t xml:space="preserve"> In the alternative, whether the Court of Appeal erred in finding that there was no requirement for the court to adopt the least restrictive approach when it has ordered that </w:t>
            </w:r>
            <w:r w:rsidRPr="00D1588A">
              <w:rPr>
                <w:rFonts w:eastAsia="Times New Roman" w:cs="Times New Roman"/>
                <w:i/>
                <w:iCs/>
                <w:sz w:val="20"/>
                <w:szCs w:val="20"/>
              </w:rPr>
              <w:t>amicus</w:t>
            </w:r>
            <w:r w:rsidRPr="00D1588A">
              <w:rPr>
                <w:rFonts w:eastAsia="Times New Roman" w:cs="Times New Roman"/>
                <w:sz w:val="20"/>
                <w:szCs w:val="20"/>
              </w:rPr>
              <w:t xml:space="preserve"> </w:t>
            </w:r>
            <w:r w:rsidRPr="00D1588A">
              <w:rPr>
                <w:rFonts w:eastAsia="Times New Roman" w:cs="Times New Roman"/>
                <w:i/>
                <w:iCs/>
                <w:sz w:val="20"/>
                <w:szCs w:val="20"/>
              </w:rPr>
              <w:t>curiae</w:t>
            </w:r>
            <w:r w:rsidRPr="00D1588A">
              <w:rPr>
                <w:rFonts w:eastAsia="Times New Roman" w:cs="Times New Roman"/>
                <w:sz w:val="20"/>
                <w:szCs w:val="20"/>
              </w:rPr>
              <w:t xml:space="preserve"> is necessary to protect an </w:t>
            </w:r>
            <w:proofErr w:type="spellStart"/>
            <w:r w:rsidRPr="00D1588A">
              <w:rPr>
                <w:rFonts w:eastAsia="Times New Roman" w:cs="Times New Roman"/>
                <w:sz w:val="20"/>
                <w:szCs w:val="20"/>
              </w:rPr>
              <w:t>accused’s</w:t>
            </w:r>
            <w:proofErr w:type="spellEnd"/>
            <w:r w:rsidRPr="00D1588A">
              <w:rPr>
                <w:rFonts w:eastAsia="Times New Roman" w:cs="Times New Roman"/>
                <w:sz w:val="20"/>
                <w:szCs w:val="20"/>
              </w:rPr>
              <w:t xml:space="preserve"> fair trial rights. </w:t>
            </w:r>
          </w:p>
          <w:p w:rsidR="006C5554" w:rsidRPr="00D1588A" w:rsidRDefault="006C5554" w:rsidP="008F6F48">
            <w:pPr>
              <w:widowControl w:val="0"/>
              <w:jc w:val="both"/>
              <w:rPr>
                <w:b/>
                <w:sz w:val="20"/>
                <w:szCs w:val="20"/>
              </w:rPr>
            </w:pPr>
          </w:p>
        </w:tc>
        <w:tc>
          <w:tcPr>
            <w:tcW w:w="720" w:type="dxa"/>
            <w:tcMar>
              <w:left w:w="0" w:type="dxa"/>
              <w:right w:w="0" w:type="dxa"/>
            </w:tcMar>
          </w:tcPr>
          <w:p w:rsidR="006C5554" w:rsidRPr="00D1588A" w:rsidRDefault="006C5554" w:rsidP="008F6F48">
            <w:pPr>
              <w:widowControl w:val="0"/>
              <w:jc w:val="center"/>
              <w:rPr>
                <w:sz w:val="20"/>
                <w:szCs w:val="20"/>
              </w:rPr>
            </w:pPr>
          </w:p>
        </w:tc>
        <w:tc>
          <w:tcPr>
            <w:tcW w:w="4380" w:type="dxa"/>
            <w:tcMar>
              <w:left w:w="0" w:type="dxa"/>
              <w:right w:w="0" w:type="dxa"/>
            </w:tcMar>
          </w:tcPr>
          <w:p w:rsidR="006C5554" w:rsidRPr="00D1588A" w:rsidRDefault="006C5554" w:rsidP="008F6F48">
            <w:pPr>
              <w:widowControl w:val="0"/>
              <w:jc w:val="both"/>
              <w:rPr>
                <w:b/>
                <w:sz w:val="20"/>
                <w:szCs w:val="20"/>
                <w:u w:val="single"/>
                <w:lang w:val="fr-CA"/>
              </w:rPr>
            </w:pPr>
            <w:r w:rsidRPr="00D1588A">
              <w:rPr>
                <w:b/>
                <w:sz w:val="20"/>
                <w:szCs w:val="20"/>
                <w:u w:val="single"/>
                <w:lang w:val="fr-CA"/>
              </w:rPr>
              <w:t>Nature de la cause :</w:t>
            </w:r>
          </w:p>
          <w:p w:rsidR="006C5554" w:rsidRPr="00D1588A" w:rsidRDefault="006C5554" w:rsidP="008F6F48">
            <w:pPr>
              <w:widowControl w:val="0"/>
              <w:jc w:val="both"/>
              <w:rPr>
                <w:sz w:val="20"/>
                <w:szCs w:val="20"/>
                <w:lang w:val="fr-CA"/>
              </w:rPr>
            </w:pPr>
          </w:p>
          <w:p w:rsidR="006C5554" w:rsidRPr="00D1588A" w:rsidRDefault="006C5554" w:rsidP="008F6F48">
            <w:pPr>
              <w:jc w:val="both"/>
              <w:rPr>
                <w:sz w:val="20"/>
                <w:szCs w:val="20"/>
                <w:lang w:val="fr-CA"/>
              </w:rPr>
            </w:pPr>
            <w:r w:rsidRPr="00D1588A">
              <w:rPr>
                <w:rFonts w:eastAsia="Times New Roman" w:cs="Times New Roman"/>
                <w:sz w:val="20"/>
                <w:szCs w:val="20"/>
                <w:lang w:val="fr-CA"/>
              </w:rPr>
              <w:t xml:space="preserve">Droit constitutionnel </w:t>
            </w:r>
            <w:r w:rsidRPr="00D1588A">
              <w:rPr>
                <w:rFonts w:eastAsia="Times New Roman" w:cs="Times New Roman"/>
                <w:sz w:val="20"/>
                <w:szCs w:val="20"/>
                <w:lang w:val="fr-CA"/>
              </w:rPr>
              <w:noBreakHyphen/>
              <w:t xml:space="preserve"> Partage des compétences </w:t>
            </w:r>
            <w:r w:rsidRPr="00D1588A">
              <w:rPr>
                <w:rFonts w:eastAsia="Times New Roman" w:cs="Times New Roman"/>
                <w:sz w:val="20"/>
                <w:szCs w:val="20"/>
                <w:lang w:val="fr-CA"/>
              </w:rPr>
              <w:noBreakHyphen/>
              <w:t xml:space="preserve"> Compétence du tribunal pour ordonner que des honoraires soient payés à des </w:t>
            </w:r>
            <w:proofErr w:type="spellStart"/>
            <w:r w:rsidRPr="00D1588A">
              <w:rPr>
                <w:rFonts w:eastAsia="Times New Roman" w:cs="Times New Roman"/>
                <w:i/>
                <w:iCs/>
                <w:sz w:val="20"/>
                <w:szCs w:val="20"/>
                <w:lang w:val="fr-CA"/>
              </w:rPr>
              <w:t>amicus</w:t>
            </w:r>
            <w:proofErr w:type="spellEnd"/>
            <w:r w:rsidRPr="00D1588A">
              <w:rPr>
                <w:rFonts w:eastAsia="Times New Roman" w:cs="Times New Roman"/>
                <w:i/>
                <w:iCs/>
                <w:sz w:val="20"/>
                <w:szCs w:val="20"/>
                <w:lang w:val="fr-CA"/>
              </w:rPr>
              <w:t xml:space="preserve"> </w:t>
            </w:r>
            <w:proofErr w:type="spellStart"/>
            <w:r w:rsidRPr="00D1588A">
              <w:rPr>
                <w:rFonts w:eastAsia="Times New Roman" w:cs="Times New Roman"/>
                <w:i/>
                <w:iCs/>
                <w:sz w:val="20"/>
                <w:szCs w:val="20"/>
                <w:lang w:val="fr-CA"/>
              </w:rPr>
              <w:t>curiae</w:t>
            </w:r>
            <w:proofErr w:type="spellEnd"/>
            <w:r w:rsidRPr="00D1588A">
              <w:rPr>
                <w:rFonts w:eastAsia="Times New Roman" w:cs="Times New Roman"/>
                <w:sz w:val="20"/>
                <w:szCs w:val="20"/>
                <w:lang w:val="fr-CA"/>
              </w:rPr>
              <w:t xml:space="preserve"> sur le Trésor </w:t>
            </w:r>
            <w:r w:rsidRPr="00D1588A">
              <w:rPr>
                <w:rFonts w:eastAsia="Times New Roman" w:cs="Times New Roman"/>
                <w:sz w:val="20"/>
                <w:szCs w:val="20"/>
                <w:lang w:val="fr-CA"/>
              </w:rPr>
              <w:noBreakHyphen/>
              <w:t xml:space="preserve"> Pouvoir du tribunal de fixer les honoraires payables aux </w:t>
            </w:r>
            <w:proofErr w:type="spellStart"/>
            <w:r w:rsidRPr="00D1588A">
              <w:rPr>
                <w:rFonts w:eastAsia="Times New Roman" w:cs="Times New Roman"/>
                <w:i/>
                <w:iCs/>
                <w:sz w:val="20"/>
                <w:szCs w:val="20"/>
                <w:lang w:val="fr-CA"/>
              </w:rPr>
              <w:t>amicus</w:t>
            </w:r>
            <w:proofErr w:type="spellEnd"/>
            <w:r w:rsidRPr="00D1588A">
              <w:rPr>
                <w:rFonts w:eastAsia="Times New Roman" w:cs="Times New Roman"/>
                <w:i/>
                <w:iCs/>
                <w:sz w:val="20"/>
                <w:szCs w:val="20"/>
                <w:lang w:val="fr-CA"/>
              </w:rPr>
              <w:t xml:space="preserve"> </w:t>
            </w:r>
            <w:proofErr w:type="spellStart"/>
            <w:r w:rsidRPr="00D1588A">
              <w:rPr>
                <w:rFonts w:eastAsia="Times New Roman" w:cs="Times New Roman"/>
                <w:i/>
                <w:iCs/>
                <w:sz w:val="20"/>
                <w:szCs w:val="20"/>
                <w:lang w:val="fr-CA"/>
              </w:rPr>
              <w:t>curiae</w:t>
            </w:r>
            <w:proofErr w:type="spellEnd"/>
            <w:r w:rsidRPr="00D1588A">
              <w:rPr>
                <w:rFonts w:eastAsia="Times New Roman" w:cs="Times New Roman"/>
                <w:sz w:val="20"/>
                <w:szCs w:val="20"/>
                <w:lang w:val="fr-CA"/>
              </w:rPr>
              <w:t xml:space="preserve"> </w:t>
            </w:r>
            <w:r w:rsidRPr="00D1588A">
              <w:rPr>
                <w:rFonts w:eastAsia="Times New Roman" w:cs="Times New Roman"/>
                <w:sz w:val="20"/>
                <w:szCs w:val="20"/>
                <w:lang w:val="fr-CA"/>
              </w:rPr>
              <w:noBreakHyphen/>
              <w:t xml:space="preserve"> La Cour d’appel </w:t>
            </w:r>
            <w:proofErr w:type="spellStart"/>
            <w:r w:rsidRPr="00D1588A">
              <w:rPr>
                <w:rFonts w:eastAsia="Times New Roman" w:cs="Times New Roman"/>
                <w:sz w:val="20"/>
                <w:szCs w:val="20"/>
                <w:lang w:val="fr-CA"/>
              </w:rPr>
              <w:t>a</w:t>
            </w:r>
            <w:r w:rsidRPr="00D1588A">
              <w:rPr>
                <w:rFonts w:eastAsia="Times New Roman" w:cs="Times New Roman"/>
                <w:sz w:val="20"/>
                <w:szCs w:val="20"/>
                <w:lang w:val="fr-CA"/>
              </w:rPr>
              <w:noBreakHyphen/>
              <w:t>t</w:t>
            </w:r>
            <w:r w:rsidRPr="00D1588A">
              <w:rPr>
                <w:rFonts w:eastAsia="Times New Roman" w:cs="Times New Roman"/>
                <w:sz w:val="20"/>
                <w:szCs w:val="20"/>
                <w:lang w:val="fr-CA"/>
              </w:rPr>
              <w:noBreakHyphen/>
              <w:t>elle</w:t>
            </w:r>
            <w:proofErr w:type="spellEnd"/>
            <w:r w:rsidRPr="00D1588A">
              <w:rPr>
                <w:rFonts w:eastAsia="Times New Roman" w:cs="Times New Roman"/>
                <w:sz w:val="20"/>
                <w:szCs w:val="20"/>
                <w:lang w:val="fr-CA"/>
              </w:rPr>
              <w:t xml:space="preserve"> eu tort de conclure que le tribunal avait la compétence inhérente ou le pouvoir conféré par la loi d’ordonner à l’Ontario d’utiliser des fonds publics pour payer des </w:t>
            </w:r>
            <w:proofErr w:type="spellStart"/>
            <w:r w:rsidRPr="00D1588A">
              <w:rPr>
                <w:rFonts w:eastAsia="Times New Roman" w:cs="Times New Roman"/>
                <w:i/>
                <w:iCs/>
                <w:sz w:val="20"/>
                <w:szCs w:val="20"/>
                <w:lang w:val="fr-CA"/>
              </w:rPr>
              <w:t>amicus</w:t>
            </w:r>
            <w:proofErr w:type="spellEnd"/>
            <w:r w:rsidRPr="00D1588A">
              <w:rPr>
                <w:rFonts w:eastAsia="Times New Roman" w:cs="Times New Roman"/>
                <w:sz w:val="20"/>
                <w:szCs w:val="20"/>
                <w:lang w:val="fr-CA"/>
              </w:rPr>
              <w:t xml:space="preserve"> eu égard à la compétence exclusive du législateur pour débourser des fonds publics? </w:t>
            </w:r>
            <w:r w:rsidRPr="00D1588A">
              <w:rPr>
                <w:rFonts w:eastAsia="Times New Roman" w:cs="Times New Roman"/>
                <w:sz w:val="20"/>
                <w:szCs w:val="20"/>
                <w:lang w:val="fr-CA"/>
              </w:rPr>
              <w:noBreakHyphen/>
              <w:t xml:space="preserve"> À titre subsidiaire, la Cour d’appel </w:t>
            </w:r>
            <w:proofErr w:type="spellStart"/>
            <w:r w:rsidRPr="00D1588A">
              <w:rPr>
                <w:rFonts w:eastAsia="Times New Roman" w:cs="Times New Roman"/>
                <w:sz w:val="20"/>
                <w:szCs w:val="20"/>
                <w:lang w:val="fr-CA"/>
              </w:rPr>
              <w:t>a</w:t>
            </w:r>
            <w:r w:rsidRPr="00D1588A">
              <w:rPr>
                <w:rFonts w:eastAsia="Times New Roman" w:cs="Times New Roman"/>
                <w:sz w:val="20"/>
                <w:szCs w:val="20"/>
                <w:lang w:val="fr-CA"/>
              </w:rPr>
              <w:noBreakHyphen/>
              <w:t>t</w:t>
            </w:r>
            <w:r w:rsidRPr="00D1588A">
              <w:rPr>
                <w:rFonts w:eastAsia="Times New Roman" w:cs="Times New Roman"/>
                <w:sz w:val="20"/>
                <w:szCs w:val="20"/>
                <w:lang w:val="fr-CA"/>
              </w:rPr>
              <w:noBreakHyphen/>
              <w:t>elle</w:t>
            </w:r>
            <w:proofErr w:type="spellEnd"/>
            <w:r w:rsidRPr="00D1588A">
              <w:rPr>
                <w:rFonts w:eastAsia="Times New Roman" w:cs="Times New Roman"/>
                <w:sz w:val="20"/>
                <w:szCs w:val="20"/>
                <w:lang w:val="fr-CA"/>
              </w:rPr>
              <w:t xml:space="preserve"> eu tort de conclure que le tribunal n’était pas tenu d’adopter l’approche la moins restrictive lorsqu’il a statué que la présence d’</w:t>
            </w:r>
            <w:proofErr w:type="spellStart"/>
            <w:r w:rsidRPr="00D1588A">
              <w:rPr>
                <w:rFonts w:eastAsia="Times New Roman" w:cs="Times New Roman"/>
                <w:i/>
                <w:iCs/>
                <w:sz w:val="20"/>
                <w:szCs w:val="20"/>
                <w:lang w:val="fr-CA"/>
              </w:rPr>
              <w:t>amicus</w:t>
            </w:r>
            <w:proofErr w:type="spellEnd"/>
            <w:r w:rsidRPr="00D1588A">
              <w:rPr>
                <w:rFonts w:eastAsia="Times New Roman" w:cs="Times New Roman"/>
                <w:i/>
                <w:iCs/>
                <w:sz w:val="20"/>
                <w:szCs w:val="20"/>
                <w:lang w:val="fr-CA"/>
              </w:rPr>
              <w:t xml:space="preserve"> </w:t>
            </w:r>
            <w:proofErr w:type="spellStart"/>
            <w:r w:rsidRPr="00D1588A">
              <w:rPr>
                <w:rFonts w:eastAsia="Times New Roman" w:cs="Times New Roman"/>
                <w:i/>
                <w:iCs/>
                <w:sz w:val="20"/>
                <w:szCs w:val="20"/>
                <w:lang w:val="fr-CA"/>
              </w:rPr>
              <w:t>curiae</w:t>
            </w:r>
            <w:proofErr w:type="spellEnd"/>
            <w:r w:rsidRPr="00D1588A">
              <w:rPr>
                <w:rFonts w:eastAsia="Times New Roman" w:cs="Times New Roman"/>
                <w:sz w:val="20"/>
                <w:szCs w:val="20"/>
                <w:lang w:val="fr-CA"/>
              </w:rPr>
              <w:t xml:space="preserve"> était nécessaire pour protéger les droits d’un accusé à un procès équitable? </w:t>
            </w:r>
          </w:p>
        </w:tc>
      </w:tr>
    </w:tbl>
    <w:p w:rsidR="006C5554" w:rsidRPr="00D1588A" w:rsidRDefault="006C5554" w:rsidP="006C5554">
      <w:pPr>
        <w:widowControl w:val="0"/>
        <w:rPr>
          <w:sz w:val="20"/>
          <w:szCs w:val="20"/>
          <w:lang w:val="fr-CA"/>
        </w:rPr>
      </w:pPr>
    </w:p>
    <w:p w:rsidR="006C5554" w:rsidRPr="00D1588A" w:rsidRDefault="00D32E73" w:rsidP="006C5554">
      <w:pPr>
        <w:widowControl w:val="0"/>
        <w:rPr>
          <w:sz w:val="20"/>
          <w:szCs w:val="20"/>
          <w:lang w:val="fr-CA"/>
        </w:rPr>
      </w:pPr>
      <w:r w:rsidRPr="00D32E73">
        <w:rPr>
          <w:sz w:val="20"/>
          <w:szCs w:val="20"/>
          <w:lang w:val="fr-CA"/>
        </w:rPr>
        <w:pict>
          <v:rect id="_x0000_i1065" style="width:2in;height:1pt" o:hrpct="0" o:hralign="center" o:hrstd="t" o:hrnoshade="t" o:hr="t" fillcolor="black [3213]" stroked="f"/>
        </w:pict>
      </w:r>
    </w:p>
    <w:p w:rsidR="006C5554" w:rsidRPr="00D1588A" w:rsidRDefault="006C5554" w:rsidP="006C5554">
      <w:pPr>
        <w:widowControl w:val="0"/>
        <w:rPr>
          <w:sz w:val="20"/>
          <w:szCs w:val="20"/>
        </w:rPr>
      </w:pPr>
    </w:p>
    <w:p w:rsidR="006C5554" w:rsidRPr="00D1588A" w:rsidRDefault="006C5554" w:rsidP="006C5554">
      <w:pPr>
        <w:widowControl w:val="0"/>
        <w:rPr>
          <w:sz w:val="20"/>
          <w:szCs w:val="20"/>
          <w:lang w:val="fr-CA"/>
        </w:rPr>
      </w:pPr>
      <w:r w:rsidRPr="00D1588A">
        <w:rPr>
          <w:sz w:val="20"/>
          <w:szCs w:val="20"/>
          <w:lang w:val="fr-CA"/>
        </w:rPr>
        <w:lastRenderedPageBreak/>
        <w:t>13.12.2012</w:t>
      </w:r>
    </w:p>
    <w:p w:rsidR="006C5554" w:rsidRPr="00D1588A" w:rsidRDefault="006C5554" w:rsidP="006C5554">
      <w:pPr>
        <w:widowControl w:val="0"/>
        <w:rPr>
          <w:sz w:val="20"/>
          <w:szCs w:val="20"/>
          <w:lang w:val="fr-CA"/>
        </w:rPr>
      </w:pPr>
    </w:p>
    <w:p w:rsidR="006C5554" w:rsidRPr="00D1588A" w:rsidRDefault="006C5554" w:rsidP="006C5554">
      <w:pPr>
        <w:widowControl w:val="0"/>
        <w:ind w:left="720" w:hanging="720"/>
        <w:rPr>
          <w:b/>
          <w:sz w:val="20"/>
          <w:szCs w:val="20"/>
          <w:lang w:val="fr-CA"/>
        </w:rPr>
      </w:pPr>
      <w:r w:rsidRPr="00D1588A">
        <w:rPr>
          <w:sz w:val="20"/>
          <w:szCs w:val="20"/>
          <w:lang w:val="fr-CA"/>
        </w:rPr>
        <w:t xml:space="preserve">Coram: </w:t>
      </w:r>
      <w:r w:rsidRPr="00D1588A">
        <w:rPr>
          <w:sz w:val="20"/>
          <w:szCs w:val="20"/>
          <w:lang w:val="fr-CA"/>
        </w:rPr>
        <w:tab/>
      </w:r>
      <w:r w:rsidRPr="00D1588A">
        <w:rPr>
          <w:sz w:val="20"/>
          <w:szCs w:val="20"/>
          <w:u w:val="single"/>
          <w:lang w:val="fr-CA"/>
        </w:rPr>
        <w:t xml:space="preserve">Les juges </w:t>
      </w:r>
      <w:proofErr w:type="spellStart"/>
      <w:r w:rsidRPr="00D1588A">
        <w:rPr>
          <w:sz w:val="20"/>
          <w:szCs w:val="20"/>
          <w:u w:val="single"/>
          <w:lang w:val="fr-CA"/>
        </w:rPr>
        <w:t>LeBel</w:t>
      </w:r>
      <w:proofErr w:type="spellEnd"/>
      <w:r w:rsidRPr="00D1588A">
        <w:rPr>
          <w:sz w:val="20"/>
          <w:szCs w:val="20"/>
          <w:u w:val="single"/>
          <w:lang w:val="fr-CA"/>
        </w:rPr>
        <w:t xml:space="preserve">, Fish, Abella, </w:t>
      </w:r>
      <w:proofErr w:type="spellStart"/>
      <w:r w:rsidRPr="00D1588A">
        <w:rPr>
          <w:sz w:val="20"/>
          <w:szCs w:val="20"/>
          <w:u w:val="single"/>
          <w:lang w:val="fr-CA"/>
        </w:rPr>
        <w:t>Rothstein</w:t>
      </w:r>
      <w:proofErr w:type="spellEnd"/>
      <w:r w:rsidRPr="00D1588A">
        <w:rPr>
          <w:sz w:val="20"/>
          <w:szCs w:val="20"/>
          <w:u w:val="single"/>
          <w:lang w:val="fr-CA"/>
        </w:rPr>
        <w:t xml:space="preserve">, </w:t>
      </w:r>
      <w:proofErr w:type="spellStart"/>
      <w:r w:rsidRPr="00D1588A">
        <w:rPr>
          <w:sz w:val="20"/>
          <w:szCs w:val="20"/>
          <w:u w:val="single"/>
          <w:lang w:val="fr-CA"/>
        </w:rPr>
        <w:t>Moldaver</w:t>
      </w:r>
      <w:proofErr w:type="spellEnd"/>
      <w:r w:rsidRPr="00D1588A">
        <w:rPr>
          <w:sz w:val="20"/>
          <w:szCs w:val="20"/>
          <w:u w:val="single"/>
          <w:lang w:val="fr-CA"/>
        </w:rPr>
        <w:t xml:space="preserve">, </w:t>
      </w:r>
      <w:proofErr w:type="spellStart"/>
      <w:r w:rsidRPr="00D1588A">
        <w:rPr>
          <w:sz w:val="20"/>
          <w:szCs w:val="20"/>
          <w:u w:val="single"/>
          <w:lang w:val="fr-CA"/>
        </w:rPr>
        <w:t>Karakatsanis</w:t>
      </w:r>
      <w:proofErr w:type="spellEnd"/>
      <w:r w:rsidRPr="00D1588A">
        <w:rPr>
          <w:sz w:val="20"/>
          <w:szCs w:val="20"/>
          <w:u w:val="single"/>
          <w:lang w:val="fr-CA"/>
        </w:rPr>
        <w:t xml:space="preserve"> et Wagner</w:t>
      </w:r>
      <w:r w:rsidRPr="00D1588A">
        <w:rPr>
          <w:sz w:val="20"/>
          <w:szCs w:val="20"/>
          <w:lang w:val="fr-CA"/>
        </w:rPr>
        <w:t xml:space="preserve"> </w:t>
      </w:r>
    </w:p>
    <w:p w:rsidR="006C5554" w:rsidRPr="00D1588A" w:rsidRDefault="006C5554" w:rsidP="006C5554">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6C5554" w:rsidRPr="00D1588A" w:rsidTr="008F6F48">
        <w:tc>
          <w:tcPr>
            <w:tcW w:w="4380" w:type="dxa"/>
            <w:tcMar>
              <w:left w:w="0" w:type="dxa"/>
              <w:right w:w="0" w:type="dxa"/>
            </w:tcMar>
          </w:tcPr>
          <w:p w:rsidR="006C5554" w:rsidRPr="00D1588A" w:rsidRDefault="006C5554" w:rsidP="008F6F48">
            <w:pPr>
              <w:widowControl w:val="0"/>
              <w:jc w:val="both"/>
              <w:rPr>
                <w:b/>
                <w:sz w:val="20"/>
                <w:szCs w:val="20"/>
                <w:lang w:val="fr-CA"/>
              </w:rPr>
            </w:pPr>
            <w:r w:rsidRPr="00D1588A">
              <w:rPr>
                <w:b/>
                <w:sz w:val="20"/>
                <w:szCs w:val="20"/>
                <w:lang w:val="fr-CA"/>
              </w:rPr>
              <w:t xml:space="preserve">Cathie Gauthier </w:t>
            </w:r>
          </w:p>
          <w:p w:rsidR="006C5554" w:rsidRPr="00D1588A" w:rsidRDefault="006C5554" w:rsidP="008F6F48">
            <w:pPr>
              <w:widowControl w:val="0"/>
              <w:jc w:val="both"/>
              <w:rPr>
                <w:b/>
                <w:sz w:val="20"/>
                <w:szCs w:val="20"/>
                <w:lang w:val="fr-CA"/>
              </w:rPr>
            </w:pPr>
          </w:p>
          <w:p w:rsidR="006C5554" w:rsidRPr="00D1588A" w:rsidRDefault="006C5554" w:rsidP="008F6F48">
            <w:pPr>
              <w:widowControl w:val="0"/>
              <w:tabs>
                <w:tab w:val="left" w:pos="736"/>
              </w:tabs>
              <w:jc w:val="both"/>
              <w:rPr>
                <w:b/>
                <w:sz w:val="20"/>
                <w:szCs w:val="20"/>
                <w:lang w:val="fr-CA"/>
              </w:rPr>
            </w:pPr>
            <w:r w:rsidRPr="00D1588A">
              <w:rPr>
                <w:b/>
                <w:sz w:val="20"/>
                <w:szCs w:val="20"/>
                <w:lang w:val="fr-CA"/>
              </w:rPr>
              <w:tab/>
              <w:t>c. (34444)</w:t>
            </w:r>
          </w:p>
          <w:p w:rsidR="006C5554" w:rsidRPr="00D1588A" w:rsidRDefault="006C5554" w:rsidP="008F6F48">
            <w:pPr>
              <w:widowControl w:val="0"/>
              <w:jc w:val="both"/>
              <w:rPr>
                <w:b/>
                <w:sz w:val="20"/>
                <w:szCs w:val="20"/>
                <w:lang w:val="fr-CA"/>
              </w:rPr>
            </w:pPr>
          </w:p>
          <w:p w:rsidR="006C5554" w:rsidRPr="00D1588A" w:rsidRDefault="006C5554" w:rsidP="008F6F48">
            <w:pPr>
              <w:widowControl w:val="0"/>
              <w:jc w:val="both"/>
              <w:rPr>
                <w:sz w:val="20"/>
                <w:szCs w:val="20"/>
                <w:lang w:val="fr-CA"/>
              </w:rPr>
            </w:pPr>
            <w:r w:rsidRPr="00D1588A">
              <w:rPr>
                <w:b/>
                <w:sz w:val="20"/>
                <w:szCs w:val="20"/>
                <w:lang w:val="fr-CA"/>
              </w:rPr>
              <w:t>Sa Majesté la Reine (</w:t>
            </w:r>
            <w:proofErr w:type="spellStart"/>
            <w:r w:rsidRPr="00D1588A">
              <w:rPr>
                <w:b/>
                <w:sz w:val="20"/>
                <w:szCs w:val="20"/>
                <w:lang w:val="fr-CA"/>
              </w:rPr>
              <w:t>Qc</w:t>
            </w:r>
            <w:proofErr w:type="spellEnd"/>
            <w:r w:rsidRPr="00D1588A">
              <w:rPr>
                <w:b/>
                <w:sz w:val="20"/>
                <w:szCs w:val="20"/>
                <w:lang w:val="fr-CA"/>
              </w:rPr>
              <w:t xml:space="preserve">) (Criminelle) (Autorisation) </w:t>
            </w:r>
          </w:p>
        </w:tc>
        <w:tc>
          <w:tcPr>
            <w:tcW w:w="720" w:type="dxa"/>
            <w:tcMar>
              <w:left w:w="0" w:type="dxa"/>
              <w:right w:w="0" w:type="dxa"/>
            </w:tcMar>
          </w:tcPr>
          <w:p w:rsidR="006C5554" w:rsidRPr="00D1588A" w:rsidRDefault="006C5554" w:rsidP="008F6F48">
            <w:pPr>
              <w:widowControl w:val="0"/>
              <w:jc w:val="center"/>
              <w:rPr>
                <w:sz w:val="20"/>
                <w:szCs w:val="20"/>
                <w:lang w:val="fr-CA"/>
              </w:rPr>
            </w:pPr>
          </w:p>
        </w:tc>
        <w:tc>
          <w:tcPr>
            <w:tcW w:w="4380" w:type="dxa"/>
            <w:tcMar>
              <w:left w:w="0" w:type="dxa"/>
              <w:right w:w="0" w:type="dxa"/>
            </w:tcMar>
          </w:tcPr>
          <w:p w:rsidR="006C5554" w:rsidRPr="00D1588A" w:rsidRDefault="006C5554" w:rsidP="008F6F48">
            <w:pPr>
              <w:widowControl w:val="0"/>
              <w:jc w:val="both"/>
              <w:rPr>
                <w:sz w:val="20"/>
                <w:szCs w:val="20"/>
                <w:lang w:val="fr-CA"/>
              </w:rPr>
            </w:pPr>
            <w:r w:rsidRPr="00D1588A">
              <w:rPr>
                <w:sz w:val="20"/>
                <w:szCs w:val="20"/>
                <w:lang w:val="fr-CA"/>
              </w:rPr>
              <w:t>René Duval pour l’appelante.</w:t>
            </w:r>
          </w:p>
          <w:p w:rsidR="006C5554" w:rsidRPr="00D1588A" w:rsidRDefault="006C5554" w:rsidP="008F6F48">
            <w:pPr>
              <w:widowControl w:val="0"/>
              <w:jc w:val="both"/>
              <w:rPr>
                <w:sz w:val="20"/>
                <w:szCs w:val="20"/>
                <w:lang w:val="fr-CA"/>
              </w:rPr>
            </w:pPr>
          </w:p>
          <w:p w:rsidR="006C5554" w:rsidRPr="00D1588A" w:rsidRDefault="006C5554" w:rsidP="008F6F48">
            <w:pPr>
              <w:widowControl w:val="0"/>
              <w:jc w:val="both"/>
              <w:rPr>
                <w:sz w:val="20"/>
                <w:szCs w:val="20"/>
                <w:lang w:val="fr-CA"/>
              </w:rPr>
            </w:pPr>
            <w:r w:rsidRPr="00D1588A">
              <w:rPr>
                <w:sz w:val="20"/>
                <w:szCs w:val="20"/>
                <w:lang w:val="fr-CA"/>
              </w:rPr>
              <w:t>Sonia Rouleau, Régis Boisvert et Mélanie Paré pour l’intimée.</w:t>
            </w:r>
          </w:p>
          <w:p w:rsidR="006C5554" w:rsidRPr="00D1588A" w:rsidRDefault="006C5554" w:rsidP="008F6F48">
            <w:pPr>
              <w:widowControl w:val="0"/>
              <w:jc w:val="both"/>
              <w:rPr>
                <w:sz w:val="20"/>
                <w:szCs w:val="20"/>
                <w:lang w:val="fr-CA"/>
              </w:rPr>
            </w:pPr>
          </w:p>
          <w:p w:rsidR="006C5554" w:rsidRPr="00D1588A" w:rsidRDefault="006C5554" w:rsidP="008F6F48">
            <w:pPr>
              <w:widowControl w:val="0"/>
              <w:jc w:val="both"/>
              <w:rPr>
                <w:sz w:val="20"/>
                <w:szCs w:val="20"/>
                <w:lang w:val="en-US"/>
              </w:rPr>
            </w:pPr>
            <w:r w:rsidRPr="00D1588A">
              <w:rPr>
                <w:sz w:val="20"/>
                <w:szCs w:val="20"/>
                <w:lang w:val="en-US"/>
              </w:rPr>
              <w:t xml:space="preserve">Grace </w:t>
            </w:r>
            <w:proofErr w:type="spellStart"/>
            <w:r w:rsidRPr="00D1588A">
              <w:rPr>
                <w:sz w:val="20"/>
                <w:szCs w:val="20"/>
                <w:lang w:val="en-US"/>
              </w:rPr>
              <w:t>Choi</w:t>
            </w:r>
            <w:proofErr w:type="spellEnd"/>
            <w:r w:rsidRPr="00D1588A">
              <w:rPr>
                <w:sz w:val="20"/>
                <w:szCs w:val="20"/>
                <w:lang w:val="en-US"/>
              </w:rPr>
              <w:t xml:space="preserve"> and Christine Bartlett-Hughes for the intervener Attorney General of Ontario.</w:t>
            </w:r>
          </w:p>
        </w:tc>
      </w:tr>
    </w:tbl>
    <w:p w:rsidR="006C5554" w:rsidRPr="00D1588A" w:rsidRDefault="006C5554" w:rsidP="006C5554">
      <w:pPr>
        <w:widowControl w:val="0"/>
      </w:pPr>
    </w:p>
    <w:p w:rsidR="006C5554" w:rsidRPr="00D1588A" w:rsidRDefault="006C5554" w:rsidP="006C5554">
      <w:pPr>
        <w:widowControl w:val="0"/>
        <w:rPr>
          <w:sz w:val="20"/>
          <w:szCs w:val="20"/>
        </w:rPr>
      </w:pPr>
      <w:r w:rsidRPr="00D1588A">
        <w:rPr>
          <w:b/>
          <w:sz w:val="20"/>
          <w:szCs w:val="20"/>
        </w:rPr>
        <w:t xml:space="preserve">RESERVED / </w:t>
      </w:r>
      <w:r w:rsidRPr="00D1588A">
        <w:rPr>
          <w:b/>
          <w:sz w:val="20"/>
          <w:szCs w:val="20"/>
          <w:lang w:val="fr-CA"/>
        </w:rPr>
        <w:t>EN DÉLIBÉRÉ</w:t>
      </w:r>
    </w:p>
    <w:p w:rsidR="006C5554" w:rsidRPr="00D1588A" w:rsidRDefault="006C5554" w:rsidP="006C5554"/>
    <w:tbl>
      <w:tblPr>
        <w:tblW w:w="0" w:type="auto"/>
        <w:tblLayout w:type="fixed"/>
        <w:tblCellMar>
          <w:left w:w="0" w:type="dxa"/>
          <w:right w:w="0" w:type="dxa"/>
        </w:tblCellMar>
        <w:tblLook w:val="0000"/>
      </w:tblPr>
      <w:tblGrid>
        <w:gridCol w:w="4380"/>
        <w:gridCol w:w="720"/>
        <w:gridCol w:w="4380"/>
      </w:tblGrid>
      <w:tr w:rsidR="006C5554" w:rsidRPr="00D1588A" w:rsidTr="008F6F48">
        <w:tc>
          <w:tcPr>
            <w:tcW w:w="4380" w:type="dxa"/>
            <w:tcMar>
              <w:left w:w="0" w:type="dxa"/>
              <w:right w:w="0" w:type="dxa"/>
            </w:tcMar>
          </w:tcPr>
          <w:p w:rsidR="006C5554" w:rsidRPr="00D1588A" w:rsidRDefault="006C5554" w:rsidP="008F6F48">
            <w:pPr>
              <w:widowControl w:val="0"/>
              <w:jc w:val="both"/>
              <w:rPr>
                <w:b/>
                <w:sz w:val="20"/>
                <w:szCs w:val="20"/>
                <w:u w:val="single"/>
              </w:rPr>
            </w:pPr>
            <w:r w:rsidRPr="00D1588A">
              <w:rPr>
                <w:b/>
                <w:sz w:val="20"/>
                <w:szCs w:val="20"/>
                <w:u w:val="single"/>
              </w:rPr>
              <w:t>Nature of the case:</w:t>
            </w:r>
          </w:p>
          <w:p w:rsidR="006C5554" w:rsidRPr="00D1588A" w:rsidRDefault="006C5554" w:rsidP="008F6F48">
            <w:pPr>
              <w:widowControl w:val="0"/>
              <w:jc w:val="both"/>
              <w:rPr>
                <w:b/>
                <w:sz w:val="20"/>
                <w:szCs w:val="20"/>
              </w:rPr>
            </w:pPr>
          </w:p>
          <w:p w:rsidR="006C5554" w:rsidRPr="00D1588A" w:rsidRDefault="006C5554" w:rsidP="008F6F48">
            <w:pPr>
              <w:jc w:val="both"/>
              <w:rPr>
                <w:rFonts w:eastAsia="Times New Roman" w:cs="Times New Roman"/>
                <w:szCs w:val="24"/>
              </w:rPr>
            </w:pPr>
            <w:r w:rsidRPr="00D1588A">
              <w:rPr>
                <w:rFonts w:eastAsia="Times New Roman" w:cs="Times New Roman"/>
                <w:sz w:val="20"/>
                <w:szCs w:val="20"/>
              </w:rPr>
              <w:t xml:space="preserve">Criminal law </w:t>
            </w:r>
            <w:r w:rsidRPr="00D1588A">
              <w:rPr>
                <w:rFonts w:eastAsia="Times New Roman" w:cs="Times New Roman"/>
                <w:sz w:val="20"/>
                <w:szCs w:val="20"/>
              </w:rPr>
              <w:noBreakHyphen/>
              <w:t xml:space="preserve"> Jury charge </w:t>
            </w:r>
            <w:r w:rsidRPr="00D1588A">
              <w:rPr>
                <w:rFonts w:eastAsia="Times New Roman" w:cs="Times New Roman"/>
                <w:sz w:val="20"/>
                <w:szCs w:val="20"/>
              </w:rPr>
              <w:noBreakHyphen/>
              <w:t xml:space="preserve"> Defence of abandonment </w:t>
            </w:r>
            <w:r w:rsidRPr="00D1588A">
              <w:rPr>
                <w:rFonts w:eastAsia="Times New Roman" w:cs="Times New Roman"/>
                <w:sz w:val="20"/>
                <w:szCs w:val="20"/>
              </w:rPr>
              <w:noBreakHyphen/>
              <w:t xml:space="preserve"> Whether Court of Appeal erred in law in holding that trial judge had been right not to put defence of abandonment to jury </w:t>
            </w:r>
            <w:r w:rsidRPr="00D1588A">
              <w:rPr>
                <w:rFonts w:eastAsia="Times New Roman" w:cs="Times New Roman"/>
                <w:sz w:val="20"/>
                <w:szCs w:val="20"/>
              </w:rPr>
              <w:noBreakHyphen/>
              <w:t xml:space="preserve"> Whether Court of Appeal erred in law in upholding guilty verdicts on ground that appellant should have prevented children from drinking beverages prepared by her spouse </w:t>
            </w:r>
            <w:r w:rsidRPr="00D1588A">
              <w:rPr>
                <w:rFonts w:eastAsia="Times New Roman" w:cs="Times New Roman"/>
                <w:sz w:val="20"/>
                <w:szCs w:val="20"/>
              </w:rPr>
              <w:noBreakHyphen/>
              <w:t xml:space="preserve"> </w:t>
            </w:r>
            <w:r w:rsidRPr="00D1588A">
              <w:rPr>
                <w:rFonts w:eastAsia="Times New Roman" w:cs="Times New Roman"/>
                <w:i/>
                <w:iCs/>
                <w:sz w:val="20"/>
                <w:szCs w:val="20"/>
              </w:rPr>
              <w:t xml:space="preserve">R. v. </w:t>
            </w:r>
            <w:proofErr w:type="spellStart"/>
            <w:r w:rsidRPr="00D1588A">
              <w:rPr>
                <w:rFonts w:eastAsia="Times New Roman" w:cs="Times New Roman"/>
                <w:i/>
                <w:iCs/>
                <w:sz w:val="20"/>
                <w:szCs w:val="20"/>
              </w:rPr>
              <w:t>Cinous</w:t>
            </w:r>
            <w:proofErr w:type="spellEnd"/>
            <w:r w:rsidRPr="00D1588A">
              <w:rPr>
                <w:rFonts w:eastAsia="Times New Roman" w:cs="Times New Roman"/>
                <w:sz w:val="20"/>
                <w:szCs w:val="20"/>
              </w:rPr>
              <w:t>, [2002] 2 S.C.R. 3.</w:t>
            </w:r>
          </w:p>
          <w:p w:rsidR="006C5554" w:rsidRPr="00D1588A" w:rsidRDefault="006C5554" w:rsidP="008F6F48">
            <w:pPr>
              <w:widowControl w:val="0"/>
              <w:jc w:val="both"/>
              <w:rPr>
                <w:b/>
                <w:sz w:val="20"/>
                <w:szCs w:val="20"/>
              </w:rPr>
            </w:pPr>
          </w:p>
        </w:tc>
        <w:tc>
          <w:tcPr>
            <w:tcW w:w="720" w:type="dxa"/>
            <w:tcMar>
              <w:left w:w="0" w:type="dxa"/>
              <w:right w:w="0" w:type="dxa"/>
            </w:tcMar>
          </w:tcPr>
          <w:p w:rsidR="006C5554" w:rsidRPr="00D1588A" w:rsidRDefault="006C5554" w:rsidP="008F6F48">
            <w:pPr>
              <w:widowControl w:val="0"/>
              <w:jc w:val="center"/>
              <w:rPr>
                <w:sz w:val="20"/>
                <w:szCs w:val="20"/>
              </w:rPr>
            </w:pPr>
          </w:p>
        </w:tc>
        <w:tc>
          <w:tcPr>
            <w:tcW w:w="4380" w:type="dxa"/>
            <w:tcMar>
              <w:left w:w="0" w:type="dxa"/>
              <w:right w:w="0" w:type="dxa"/>
            </w:tcMar>
          </w:tcPr>
          <w:p w:rsidR="006C5554" w:rsidRPr="00D1588A" w:rsidRDefault="006C5554" w:rsidP="008F6F48">
            <w:pPr>
              <w:widowControl w:val="0"/>
              <w:jc w:val="both"/>
              <w:rPr>
                <w:b/>
                <w:sz w:val="20"/>
                <w:szCs w:val="20"/>
                <w:u w:val="single"/>
                <w:lang w:val="fr-CA"/>
              </w:rPr>
            </w:pPr>
            <w:r w:rsidRPr="00D1588A">
              <w:rPr>
                <w:b/>
                <w:sz w:val="20"/>
                <w:szCs w:val="20"/>
                <w:u w:val="single"/>
                <w:lang w:val="fr-CA"/>
              </w:rPr>
              <w:t>Nature de la cause :</w:t>
            </w:r>
          </w:p>
          <w:p w:rsidR="006C5554" w:rsidRPr="00D1588A" w:rsidRDefault="006C5554" w:rsidP="008F6F48">
            <w:pPr>
              <w:widowControl w:val="0"/>
              <w:jc w:val="both"/>
              <w:rPr>
                <w:sz w:val="20"/>
                <w:szCs w:val="20"/>
                <w:lang w:val="fr-CA"/>
              </w:rPr>
            </w:pPr>
          </w:p>
          <w:p w:rsidR="006C5554" w:rsidRPr="00D1588A" w:rsidRDefault="006C5554" w:rsidP="008F6F48">
            <w:pPr>
              <w:jc w:val="both"/>
              <w:rPr>
                <w:rFonts w:eastAsia="Times New Roman" w:cs="Times New Roman"/>
                <w:szCs w:val="24"/>
              </w:rPr>
            </w:pPr>
            <w:r w:rsidRPr="00D1588A">
              <w:rPr>
                <w:rFonts w:eastAsia="Times New Roman" w:cs="Times New Roman"/>
                <w:sz w:val="20"/>
                <w:szCs w:val="20"/>
                <w:lang w:val="fr-CA"/>
              </w:rPr>
              <w:t xml:space="preserve">Droit criminel </w:t>
            </w:r>
            <w:r w:rsidRPr="00D1588A">
              <w:rPr>
                <w:rFonts w:eastAsia="Times New Roman" w:cs="Times New Roman"/>
                <w:sz w:val="20"/>
                <w:szCs w:val="20"/>
                <w:lang w:val="fr-CA"/>
              </w:rPr>
              <w:noBreakHyphen/>
              <w:t xml:space="preserve"> Directives au jury </w:t>
            </w:r>
            <w:r w:rsidRPr="00D1588A">
              <w:rPr>
                <w:rFonts w:eastAsia="Times New Roman" w:cs="Times New Roman"/>
                <w:sz w:val="20"/>
                <w:szCs w:val="20"/>
                <w:lang w:val="fr-CA"/>
              </w:rPr>
              <w:noBreakHyphen/>
              <w:t xml:space="preserve"> Moyen de défense de désistement </w:t>
            </w:r>
            <w:r w:rsidRPr="00D1588A">
              <w:rPr>
                <w:rFonts w:eastAsia="Times New Roman" w:cs="Times New Roman"/>
                <w:sz w:val="20"/>
                <w:szCs w:val="20"/>
                <w:lang w:val="fr-CA"/>
              </w:rPr>
              <w:noBreakHyphen/>
              <w:t xml:space="preserve"> La Cour d’appel </w:t>
            </w:r>
            <w:proofErr w:type="spellStart"/>
            <w:r w:rsidRPr="00D1588A">
              <w:rPr>
                <w:rFonts w:eastAsia="Times New Roman" w:cs="Times New Roman"/>
                <w:sz w:val="20"/>
                <w:szCs w:val="20"/>
                <w:lang w:val="fr-CA"/>
              </w:rPr>
              <w:t>a</w:t>
            </w:r>
            <w:r w:rsidRPr="00D1588A">
              <w:rPr>
                <w:rFonts w:eastAsia="Times New Roman" w:cs="Times New Roman"/>
                <w:sz w:val="20"/>
                <w:szCs w:val="20"/>
                <w:lang w:val="fr-CA"/>
              </w:rPr>
              <w:noBreakHyphen/>
              <w:t>t</w:t>
            </w:r>
            <w:r w:rsidRPr="00D1588A">
              <w:rPr>
                <w:rFonts w:eastAsia="Times New Roman" w:cs="Times New Roman"/>
                <w:sz w:val="20"/>
                <w:szCs w:val="20"/>
                <w:lang w:val="fr-CA"/>
              </w:rPr>
              <w:noBreakHyphen/>
              <w:t>elle</w:t>
            </w:r>
            <w:proofErr w:type="spellEnd"/>
            <w:r w:rsidRPr="00D1588A">
              <w:rPr>
                <w:rFonts w:eastAsia="Times New Roman" w:cs="Times New Roman"/>
                <w:sz w:val="20"/>
                <w:szCs w:val="20"/>
                <w:lang w:val="fr-CA"/>
              </w:rPr>
              <w:t xml:space="preserve"> commis une erreur de droit en décidant que le juge du procès avait eu raison de ne pas soumettre la défense de désistement au jury? </w:t>
            </w:r>
            <w:r w:rsidRPr="00D1588A">
              <w:rPr>
                <w:rFonts w:eastAsia="Times New Roman" w:cs="Times New Roman"/>
                <w:sz w:val="20"/>
                <w:szCs w:val="20"/>
                <w:lang w:val="fr-CA"/>
              </w:rPr>
              <w:noBreakHyphen/>
              <w:t xml:space="preserve"> La Cour d’appel </w:t>
            </w:r>
            <w:proofErr w:type="spellStart"/>
            <w:r w:rsidRPr="00D1588A">
              <w:rPr>
                <w:rFonts w:eastAsia="Times New Roman" w:cs="Times New Roman"/>
                <w:sz w:val="20"/>
                <w:szCs w:val="20"/>
                <w:lang w:val="fr-CA"/>
              </w:rPr>
              <w:t>a</w:t>
            </w:r>
            <w:r w:rsidRPr="00D1588A">
              <w:rPr>
                <w:rFonts w:eastAsia="Times New Roman" w:cs="Times New Roman"/>
                <w:sz w:val="20"/>
                <w:szCs w:val="20"/>
                <w:lang w:val="fr-CA"/>
              </w:rPr>
              <w:noBreakHyphen/>
              <w:t>t</w:t>
            </w:r>
            <w:r w:rsidRPr="00D1588A">
              <w:rPr>
                <w:rFonts w:eastAsia="Times New Roman" w:cs="Times New Roman"/>
                <w:sz w:val="20"/>
                <w:szCs w:val="20"/>
                <w:lang w:val="fr-CA"/>
              </w:rPr>
              <w:noBreakHyphen/>
              <w:t>elle</w:t>
            </w:r>
            <w:proofErr w:type="spellEnd"/>
            <w:r w:rsidRPr="00D1588A">
              <w:rPr>
                <w:rFonts w:eastAsia="Times New Roman" w:cs="Times New Roman"/>
                <w:sz w:val="20"/>
                <w:szCs w:val="20"/>
                <w:lang w:val="fr-CA"/>
              </w:rPr>
              <w:t xml:space="preserve"> commis une erreur de droit en maintenant les verdicts de culpabilité au motif que l’appelante aurait dû empêcher les enfants de boire les boissons préparés par son conjoint? </w:t>
            </w:r>
            <w:r w:rsidRPr="00D1588A">
              <w:rPr>
                <w:rFonts w:eastAsia="Times New Roman" w:cs="Times New Roman"/>
                <w:sz w:val="20"/>
                <w:szCs w:val="20"/>
              </w:rPr>
              <w:noBreakHyphen/>
              <w:t xml:space="preserve"> </w:t>
            </w:r>
            <w:r w:rsidRPr="00D1588A">
              <w:rPr>
                <w:rFonts w:eastAsia="Times New Roman" w:cs="Times New Roman"/>
                <w:i/>
                <w:iCs/>
                <w:sz w:val="20"/>
                <w:szCs w:val="20"/>
              </w:rPr>
              <w:t xml:space="preserve">R. c. </w:t>
            </w:r>
            <w:proofErr w:type="spellStart"/>
            <w:r w:rsidRPr="00D1588A">
              <w:rPr>
                <w:rFonts w:eastAsia="Times New Roman" w:cs="Times New Roman"/>
                <w:i/>
                <w:iCs/>
                <w:sz w:val="20"/>
                <w:szCs w:val="20"/>
              </w:rPr>
              <w:t>Cinous</w:t>
            </w:r>
            <w:proofErr w:type="spellEnd"/>
            <w:r w:rsidRPr="00D1588A">
              <w:rPr>
                <w:rFonts w:eastAsia="Times New Roman" w:cs="Times New Roman"/>
                <w:sz w:val="20"/>
                <w:szCs w:val="20"/>
              </w:rPr>
              <w:t>, [2002] 2 R.C.S. 3.</w:t>
            </w:r>
          </w:p>
        </w:tc>
      </w:tr>
    </w:tbl>
    <w:p w:rsidR="006C5554" w:rsidRPr="00D1588A" w:rsidRDefault="006C5554" w:rsidP="006C5554">
      <w:pPr>
        <w:widowControl w:val="0"/>
        <w:rPr>
          <w:sz w:val="20"/>
          <w:szCs w:val="20"/>
          <w:lang w:val="fr-CA"/>
        </w:rPr>
      </w:pPr>
    </w:p>
    <w:p w:rsidR="006C5554" w:rsidRPr="00956ACB" w:rsidRDefault="00D32E73" w:rsidP="006C5554">
      <w:pPr>
        <w:widowControl w:val="0"/>
        <w:rPr>
          <w:sz w:val="20"/>
          <w:szCs w:val="20"/>
          <w:lang w:val="fr-CA"/>
        </w:rPr>
      </w:pPr>
      <w:r w:rsidRPr="00D32E73">
        <w:rPr>
          <w:sz w:val="20"/>
          <w:szCs w:val="20"/>
          <w:lang w:val="fr-CA"/>
        </w:rPr>
        <w:pict>
          <v:rect id="_x0000_i1066" style="width:2in;height:1pt" o:hrpct="0" o:hralign="center" o:hrstd="t" o:hrnoshade="t" o:hr="t" fillcolor="black [3213]" stroked="f"/>
        </w:pict>
      </w:r>
    </w:p>
    <w:p w:rsidR="006C5554" w:rsidRDefault="006C5554" w:rsidP="006C5554">
      <w:pPr>
        <w:widowControl w:val="0"/>
        <w:rPr>
          <w:sz w:val="20"/>
          <w:szCs w:val="20"/>
        </w:rPr>
      </w:pPr>
    </w:p>
    <w:p w:rsidR="006C5554" w:rsidRPr="00C1697B" w:rsidRDefault="006C5554" w:rsidP="006C5554">
      <w:pPr>
        <w:widowControl w:val="0"/>
        <w:rPr>
          <w:sz w:val="20"/>
          <w:szCs w:val="20"/>
          <w:lang w:val="fr-CA"/>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5C0B5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B250F9" w:rsidRPr="00C7489A" w:rsidRDefault="00B250F9" w:rsidP="00B250F9">
      <w:pPr>
        <w:rPr>
          <w:b/>
          <w:sz w:val="20"/>
          <w:szCs w:val="20"/>
          <w:lang w:val="fr-CA"/>
        </w:rPr>
      </w:pPr>
      <w:r w:rsidRPr="00C7489A">
        <w:rPr>
          <w:b/>
          <w:sz w:val="20"/>
          <w:szCs w:val="20"/>
          <w:lang w:val="fr-CA"/>
        </w:rPr>
        <w:t>DECEMBER 13, 2012 / LE 13 DÉCEMBRE 2012</w:t>
      </w:r>
    </w:p>
    <w:p w:rsidR="00B250F9" w:rsidRPr="00C7489A" w:rsidRDefault="00B250F9" w:rsidP="00B250F9">
      <w:pPr>
        <w:rPr>
          <w:sz w:val="20"/>
          <w:szCs w:val="20"/>
          <w:lang w:val="fr-CA"/>
        </w:rPr>
      </w:pPr>
    </w:p>
    <w:p w:rsidR="00B250F9" w:rsidRPr="00D03CCC" w:rsidRDefault="00B250F9" w:rsidP="00B250F9">
      <w:pPr>
        <w:ind w:left="1440" w:hanging="1440"/>
        <w:jc w:val="both"/>
        <w:rPr>
          <w:sz w:val="20"/>
          <w:szCs w:val="20"/>
          <w:lang w:val="en-GB"/>
        </w:rPr>
      </w:pPr>
      <w:r w:rsidRPr="00C7489A">
        <w:rPr>
          <w:b/>
          <w:sz w:val="20"/>
          <w:szCs w:val="20"/>
          <w:lang w:val="fr-CA"/>
        </w:rPr>
        <w:t>34231</w:t>
      </w:r>
      <w:r w:rsidRPr="00C7489A">
        <w:rPr>
          <w:b/>
          <w:sz w:val="20"/>
          <w:szCs w:val="20"/>
          <w:lang w:val="fr-CA"/>
        </w:rPr>
        <w:tab/>
      </w:r>
      <w:proofErr w:type="spellStart"/>
      <w:r w:rsidRPr="00C7489A">
        <w:rPr>
          <w:b/>
          <w:sz w:val="20"/>
          <w:szCs w:val="20"/>
          <w:u w:val="single"/>
          <w:lang w:val="fr-CA"/>
        </w:rPr>
        <w:t>Cogeco</w:t>
      </w:r>
      <w:proofErr w:type="spellEnd"/>
      <w:r w:rsidRPr="00C7489A">
        <w:rPr>
          <w:b/>
          <w:sz w:val="20"/>
          <w:szCs w:val="20"/>
          <w:u w:val="single"/>
          <w:lang w:val="fr-CA"/>
        </w:rPr>
        <w:t xml:space="preserve"> </w:t>
      </w:r>
      <w:proofErr w:type="spellStart"/>
      <w:r w:rsidRPr="00C7489A">
        <w:rPr>
          <w:b/>
          <w:sz w:val="20"/>
          <w:szCs w:val="20"/>
          <w:u w:val="single"/>
          <w:lang w:val="fr-CA"/>
        </w:rPr>
        <w:t>Cable</w:t>
      </w:r>
      <w:proofErr w:type="spellEnd"/>
      <w:r w:rsidRPr="00C7489A">
        <w:rPr>
          <w:b/>
          <w:sz w:val="20"/>
          <w:szCs w:val="20"/>
          <w:u w:val="single"/>
          <w:lang w:val="fr-CA"/>
        </w:rPr>
        <w:t xml:space="preserve"> Inc., Rogers Communications Inc., TELUS Communications </w:t>
      </w:r>
      <w:proofErr w:type="spellStart"/>
      <w:r w:rsidRPr="00C7489A">
        <w:rPr>
          <w:b/>
          <w:sz w:val="20"/>
          <w:szCs w:val="20"/>
          <w:u w:val="single"/>
          <w:lang w:val="fr-CA"/>
        </w:rPr>
        <w:t>Company</w:t>
      </w:r>
      <w:proofErr w:type="spellEnd"/>
      <w:r w:rsidRPr="00C7489A">
        <w:rPr>
          <w:b/>
          <w:sz w:val="20"/>
          <w:szCs w:val="20"/>
          <w:u w:val="single"/>
          <w:lang w:val="fr-CA"/>
        </w:rPr>
        <w:t xml:space="preserve"> and Shaw Communications Inc. v. Bell Media Inc. </w:t>
      </w:r>
      <w:r w:rsidRPr="00D03CCC">
        <w:rPr>
          <w:b/>
          <w:sz w:val="20"/>
          <w:szCs w:val="20"/>
          <w:u w:val="single"/>
          <w:lang w:val="en-GB"/>
        </w:rPr>
        <w:t xml:space="preserve">(formerly CTV </w:t>
      </w:r>
      <w:proofErr w:type="spellStart"/>
      <w:r w:rsidRPr="00D03CCC">
        <w:rPr>
          <w:b/>
          <w:sz w:val="20"/>
          <w:szCs w:val="20"/>
          <w:u w:val="single"/>
          <w:lang w:val="en-GB"/>
        </w:rPr>
        <w:t>Globemedia</w:t>
      </w:r>
      <w:proofErr w:type="spellEnd"/>
      <w:r w:rsidRPr="00D03CCC">
        <w:rPr>
          <w:b/>
          <w:sz w:val="20"/>
          <w:szCs w:val="20"/>
          <w:u w:val="single"/>
          <w:lang w:val="en-GB"/>
        </w:rPr>
        <w:t xml:space="preserve"> Inc.), V Interactions Inc., Newfoundland Broadcasting Co. Ltd. and </w:t>
      </w:r>
      <w:proofErr w:type="spellStart"/>
      <w:r w:rsidRPr="00D03CCC">
        <w:rPr>
          <w:b/>
          <w:sz w:val="20"/>
          <w:szCs w:val="20"/>
          <w:u w:val="single"/>
          <w:lang w:val="en-GB"/>
        </w:rPr>
        <w:t>Canwest</w:t>
      </w:r>
      <w:proofErr w:type="spellEnd"/>
      <w:r w:rsidRPr="00D03CCC">
        <w:rPr>
          <w:b/>
          <w:sz w:val="20"/>
          <w:szCs w:val="20"/>
          <w:u w:val="single"/>
          <w:lang w:val="en-GB"/>
        </w:rPr>
        <w:t xml:space="preserve"> Television Limited</w:t>
      </w:r>
      <w:r>
        <w:rPr>
          <w:b/>
          <w:sz w:val="20"/>
          <w:szCs w:val="20"/>
          <w:u w:val="single"/>
          <w:lang w:val="en-GB"/>
        </w:rPr>
        <w:t xml:space="preserve"> Partnership</w:t>
      </w:r>
      <w:r w:rsidRPr="00D03CCC">
        <w:rPr>
          <w:b/>
          <w:sz w:val="20"/>
          <w:szCs w:val="20"/>
          <w:u w:val="single"/>
          <w:lang w:val="en-GB"/>
        </w:rPr>
        <w:t xml:space="preserve"> – and – Canadian Radio-television and Telecommunications Commission</w:t>
      </w:r>
      <w:r>
        <w:rPr>
          <w:sz w:val="20"/>
          <w:szCs w:val="20"/>
          <w:lang w:val="en-GB"/>
        </w:rPr>
        <w:t xml:space="preserve"> (F</w:t>
      </w:r>
      <w:r w:rsidRPr="00D03CCC">
        <w:rPr>
          <w:sz w:val="20"/>
          <w:szCs w:val="20"/>
          <w:lang w:val="en-GB"/>
        </w:rPr>
        <w:t>.C.)</w:t>
      </w:r>
    </w:p>
    <w:p w:rsidR="00B250F9" w:rsidRPr="00D03CCC" w:rsidRDefault="00B250F9" w:rsidP="00B250F9">
      <w:pPr>
        <w:ind w:left="1440"/>
        <w:jc w:val="both"/>
        <w:rPr>
          <w:sz w:val="20"/>
          <w:szCs w:val="20"/>
        </w:rPr>
      </w:pPr>
      <w:r w:rsidRPr="00D03CCC">
        <w:rPr>
          <w:b/>
          <w:sz w:val="20"/>
          <w:szCs w:val="20"/>
        </w:rPr>
        <w:t>201</w:t>
      </w:r>
      <w:r>
        <w:rPr>
          <w:b/>
          <w:sz w:val="20"/>
          <w:szCs w:val="20"/>
        </w:rPr>
        <w:t>2</w:t>
      </w:r>
      <w:r w:rsidRPr="00D03CCC">
        <w:rPr>
          <w:b/>
          <w:sz w:val="20"/>
          <w:szCs w:val="20"/>
        </w:rPr>
        <w:t xml:space="preserve"> SCC </w:t>
      </w:r>
      <w:r>
        <w:rPr>
          <w:b/>
          <w:sz w:val="20"/>
          <w:szCs w:val="20"/>
        </w:rPr>
        <w:t>68</w:t>
      </w:r>
      <w:r w:rsidRPr="00D03CCC">
        <w:rPr>
          <w:b/>
          <w:sz w:val="20"/>
          <w:szCs w:val="20"/>
        </w:rPr>
        <w:t xml:space="preserve"> / 201</w:t>
      </w:r>
      <w:r>
        <w:rPr>
          <w:b/>
          <w:sz w:val="20"/>
          <w:szCs w:val="20"/>
        </w:rPr>
        <w:t>2</w:t>
      </w:r>
      <w:r w:rsidRPr="00D03CCC">
        <w:rPr>
          <w:b/>
          <w:sz w:val="20"/>
          <w:szCs w:val="20"/>
        </w:rPr>
        <w:t xml:space="preserve"> CSC </w:t>
      </w:r>
      <w:r>
        <w:rPr>
          <w:b/>
          <w:sz w:val="20"/>
          <w:szCs w:val="20"/>
        </w:rPr>
        <w:t>68</w:t>
      </w:r>
    </w:p>
    <w:p w:rsidR="00B250F9" w:rsidRPr="00D03CCC"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B250F9" w:rsidRPr="00080C00"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r w:rsidRPr="00080C00">
        <w:rPr>
          <w:sz w:val="20"/>
          <w:szCs w:val="20"/>
        </w:rPr>
        <w:t>Coram:</w:t>
      </w:r>
      <w:r w:rsidRPr="00080C00">
        <w:rPr>
          <w:sz w:val="20"/>
          <w:szCs w:val="20"/>
        </w:rPr>
        <w:tab/>
      </w:r>
      <w:r w:rsidRPr="00080C00">
        <w:rPr>
          <w:sz w:val="20"/>
          <w:szCs w:val="20"/>
        </w:rPr>
        <w:tab/>
      </w:r>
      <w:proofErr w:type="spellStart"/>
      <w:r w:rsidRPr="00080C00">
        <w:rPr>
          <w:sz w:val="20"/>
          <w:szCs w:val="20"/>
          <w:u w:val="single"/>
        </w:rPr>
        <w:t>McLachlin</w:t>
      </w:r>
      <w:proofErr w:type="spellEnd"/>
      <w:r w:rsidRPr="00080C00">
        <w:rPr>
          <w:sz w:val="20"/>
          <w:szCs w:val="20"/>
          <w:u w:val="single"/>
        </w:rPr>
        <w:t xml:space="preserve"> C.J. and </w:t>
      </w:r>
      <w:proofErr w:type="spellStart"/>
      <w:r w:rsidRPr="00080C00">
        <w:rPr>
          <w:sz w:val="20"/>
          <w:szCs w:val="20"/>
          <w:u w:val="single"/>
        </w:rPr>
        <w:t>LeBel</w:t>
      </w:r>
      <w:proofErr w:type="spellEnd"/>
      <w:r w:rsidRPr="00080C00">
        <w:rPr>
          <w:sz w:val="20"/>
          <w:szCs w:val="20"/>
          <w:u w:val="single"/>
        </w:rPr>
        <w:t xml:space="preserve">, </w:t>
      </w:r>
      <w:proofErr w:type="spellStart"/>
      <w:r w:rsidRPr="00080C00">
        <w:rPr>
          <w:sz w:val="20"/>
          <w:szCs w:val="20"/>
          <w:u w:val="single"/>
        </w:rPr>
        <w:t>Deschamps</w:t>
      </w:r>
      <w:proofErr w:type="spellEnd"/>
      <w:r w:rsidRPr="00080C00">
        <w:rPr>
          <w:sz w:val="20"/>
          <w:szCs w:val="20"/>
          <w:u w:val="single"/>
        </w:rPr>
        <w:t xml:space="preserve">, Fish, </w:t>
      </w:r>
      <w:proofErr w:type="spellStart"/>
      <w:r w:rsidRPr="00080C00">
        <w:rPr>
          <w:sz w:val="20"/>
          <w:szCs w:val="20"/>
          <w:u w:val="single"/>
        </w:rPr>
        <w:t>Abella</w:t>
      </w:r>
      <w:proofErr w:type="spellEnd"/>
      <w:r w:rsidRPr="00080C00">
        <w:rPr>
          <w:sz w:val="20"/>
          <w:szCs w:val="20"/>
          <w:u w:val="single"/>
        </w:rPr>
        <w:t xml:space="preserve">, Rothstein, Cromwell, </w:t>
      </w:r>
      <w:proofErr w:type="spellStart"/>
      <w:r w:rsidRPr="00080C00">
        <w:rPr>
          <w:sz w:val="20"/>
          <w:szCs w:val="20"/>
          <w:u w:val="single"/>
        </w:rPr>
        <w:t>Moldaver</w:t>
      </w:r>
      <w:proofErr w:type="spellEnd"/>
      <w:r w:rsidRPr="00080C00">
        <w:rPr>
          <w:sz w:val="20"/>
          <w:szCs w:val="20"/>
          <w:u w:val="single"/>
        </w:rPr>
        <w:t xml:space="preserve"> and </w:t>
      </w:r>
      <w:proofErr w:type="spellStart"/>
      <w:r w:rsidRPr="00080C00">
        <w:rPr>
          <w:sz w:val="20"/>
          <w:szCs w:val="20"/>
          <w:u w:val="single"/>
        </w:rPr>
        <w:t>Karakatsanis</w:t>
      </w:r>
      <w:proofErr w:type="spellEnd"/>
      <w:r w:rsidRPr="00080C00">
        <w:rPr>
          <w:sz w:val="20"/>
          <w:szCs w:val="20"/>
          <w:u w:val="single"/>
        </w:rPr>
        <w:t xml:space="preserve"> JJ.</w:t>
      </w:r>
    </w:p>
    <w:p w:rsidR="00B250F9" w:rsidRPr="00080C00"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16"/>
          <w:szCs w:val="20"/>
        </w:rPr>
      </w:pPr>
    </w:p>
    <w:p w:rsidR="00B250F9" w:rsidRPr="00080C00" w:rsidRDefault="00B250F9" w:rsidP="00B250F9">
      <w:pPr>
        <w:jc w:val="both"/>
        <w:rPr>
          <w:sz w:val="20"/>
          <w:lang w:val="fr-CA"/>
        </w:rPr>
      </w:pPr>
      <w:r w:rsidRPr="00080C00">
        <w:rPr>
          <w:sz w:val="20"/>
        </w:rPr>
        <w:t xml:space="preserve">The appeal from the judgment of the Federal Court of Appeal, Number A-113-10, 2011 FCA 64, dated February 28, 2011, heard on April 17, 2012, is allowed with costs throughout.  </w:t>
      </w:r>
      <w:r w:rsidRPr="00080C00">
        <w:rPr>
          <w:sz w:val="20"/>
          <w:lang w:val="fr-CA"/>
        </w:rPr>
        <w:t xml:space="preserve">Deschamps, Abella, Cromwell and </w:t>
      </w:r>
      <w:proofErr w:type="spellStart"/>
      <w:r w:rsidRPr="00080C00">
        <w:rPr>
          <w:sz w:val="20"/>
          <w:lang w:val="fr-CA"/>
        </w:rPr>
        <w:t>Karakatsanis</w:t>
      </w:r>
      <w:proofErr w:type="spellEnd"/>
      <w:r w:rsidRPr="00080C00">
        <w:rPr>
          <w:sz w:val="20"/>
          <w:lang w:val="fr-CA"/>
        </w:rPr>
        <w:t xml:space="preserve"> JJ. </w:t>
      </w:r>
      <w:proofErr w:type="gramStart"/>
      <w:r w:rsidRPr="00080C00">
        <w:rPr>
          <w:sz w:val="20"/>
          <w:lang w:val="fr-CA"/>
        </w:rPr>
        <w:t>are</w:t>
      </w:r>
      <w:proofErr w:type="gramEnd"/>
      <w:r w:rsidRPr="00080C00">
        <w:rPr>
          <w:sz w:val="20"/>
          <w:lang w:val="fr-CA"/>
        </w:rPr>
        <w:t xml:space="preserve"> </w:t>
      </w:r>
      <w:proofErr w:type="spellStart"/>
      <w:r w:rsidRPr="00080C00">
        <w:rPr>
          <w:sz w:val="20"/>
          <w:lang w:val="fr-CA"/>
        </w:rPr>
        <w:t>dissenting</w:t>
      </w:r>
      <w:proofErr w:type="spellEnd"/>
      <w:r w:rsidRPr="00080C00">
        <w:rPr>
          <w:sz w:val="20"/>
          <w:lang w:val="fr-CA"/>
        </w:rPr>
        <w:t xml:space="preserve">. </w:t>
      </w:r>
    </w:p>
    <w:p w:rsidR="00B250F9" w:rsidRPr="00080C00" w:rsidRDefault="00B250F9" w:rsidP="00B250F9">
      <w:pPr>
        <w:jc w:val="both"/>
        <w:rPr>
          <w:sz w:val="20"/>
          <w:lang w:val="fr-CA"/>
        </w:rPr>
      </w:pPr>
    </w:p>
    <w:p w:rsidR="00B250F9" w:rsidRPr="00080C00" w:rsidRDefault="00B250F9" w:rsidP="00B250F9">
      <w:pPr>
        <w:jc w:val="both"/>
        <w:rPr>
          <w:sz w:val="20"/>
        </w:rPr>
      </w:pPr>
      <w:r w:rsidRPr="00080C00">
        <w:rPr>
          <w:sz w:val="20"/>
          <w:lang w:val="fr-CA"/>
        </w:rPr>
        <w:t>L’appel interjeté contre l’arrêt de la Cour d’appel fédérale, numéro A-113-10, 2011 CAF 64, en date du 28 février 2011, entendu le 17 avril 2012, est accueilli avec d</w:t>
      </w:r>
      <w:r w:rsidRPr="00080C00">
        <w:rPr>
          <w:rFonts w:cs="Times New Roman"/>
          <w:sz w:val="20"/>
          <w:lang w:val="fr-CA"/>
        </w:rPr>
        <w:t>é</w:t>
      </w:r>
      <w:r w:rsidRPr="00080C00">
        <w:rPr>
          <w:sz w:val="20"/>
          <w:lang w:val="fr-CA"/>
        </w:rPr>
        <w:t xml:space="preserve">pens devant toutes les cours.  </w:t>
      </w:r>
      <w:r w:rsidRPr="00080C00">
        <w:rPr>
          <w:sz w:val="20"/>
          <w:lang w:val="en-US"/>
        </w:rPr>
        <w:t xml:space="preserve">Les </w:t>
      </w:r>
      <w:proofErr w:type="spellStart"/>
      <w:r w:rsidRPr="00080C00">
        <w:rPr>
          <w:sz w:val="20"/>
          <w:lang w:val="en-US"/>
        </w:rPr>
        <w:t>juges</w:t>
      </w:r>
      <w:proofErr w:type="spellEnd"/>
      <w:r w:rsidRPr="00080C00">
        <w:rPr>
          <w:sz w:val="20"/>
          <w:lang w:val="en-US"/>
        </w:rPr>
        <w:t xml:space="preserve"> </w:t>
      </w:r>
      <w:proofErr w:type="spellStart"/>
      <w:r w:rsidRPr="00080C00">
        <w:rPr>
          <w:sz w:val="20"/>
          <w:lang w:val="en-US"/>
        </w:rPr>
        <w:t>Deschamps</w:t>
      </w:r>
      <w:proofErr w:type="spellEnd"/>
      <w:r w:rsidRPr="00080C00">
        <w:rPr>
          <w:sz w:val="20"/>
          <w:lang w:val="en-US"/>
        </w:rPr>
        <w:t xml:space="preserve">, </w:t>
      </w:r>
      <w:proofErr w:type="spellStart"/>
      <w:r w:rsidRPr="00080C00">
        <w:rPr>
          <w:sz w:val="20"/>
          <w:lang w:val="en-US"/>
        </w:rPr>
        <w:t>Abella</w:t>
      </w:r>
      <w:proofErr w:type="spellEnd"/>
      <w:r w:rsidRPr="00080C00">
        <w:rPr>
          <w:sz w:val="20"/>
          <w:lang w:val="en-US"/>
        </w:rPr>
        <w:t xml:space="preserve">, Cromwell </w:t>
      </w:r>
      <w:proofErr w:type="gramStart"/>
      <w:r w:rsidRPr="00080C00">
        <w:rPr>
          <w:sz w:val="20"/>
          <w:lang w:val="en-US"/>
        </w:rPr>
        <w:t>et</w:t>
      </w:r>
      <w:proofErr w:type="gramEnd"/>
      <w:r w:rsidRPr="00080C00">
        <w:rPr>
          <w:sz w:val="20"/>
          <w:lang w:val="en-US"/>
        </w:rPr>
        <w:t xml:space="preserve"> </w:t>
      </w:r>
      <w:proofErr w:type="spellStart"/>
      <w:r w:rsidRPr="00080C00">
        <w:rPr>
          <w:sz w:val="20"/>
          <w:lang w:val="en-US"/>
        </w:rPr>
        <w:t>Karakatsanis</w:t>
      </w:r>
      <w:proofErr w:type="spellEnd"/>
      <w:r w:rsidRPr="00080C00">
        <w:rPr>
          <w:sz w:val="20"/>
          <w:lang w:val="en-US"/>
        </w:rPr>
        <w:t xml:space="preserve"> </w:t>
      </w:r>
      <w:proofErr w:type="spellStart"/>
      <w:r w:rsidRPr="00080C00">
        <w:rPr>
          <w:sz w:val="20"/>
          <w:lang w:val="en-US"/>
        </w:rPr>
        <w:t>sont</w:t>
      </w:r>
      <w:proofErr w:type="spellEnd"/>
      <w:r w:rsidRPr="00080C00">
        <w:rPr>
          <w:sz w:val="20"/>
          <w:lang w:val="en-US"/>
        </w:rPr>
        <w:t xml:space="preserve"> dissidents. </w:t>
      </w:r>
    </w:p>
    <w:p w:rsidR="00B250F9" w:rsidRPr="003B3977" w:rsidRDefault="00B250F9" w:rsidP="00B250F9">
      <w:pPr>
        <w:rPr>
          <w:sz w:val="20"/>
          <w:szCs w:val="20"/>
          <w:lang w:val="fr-CA"/>
        </w:rPr>
      </w:pPr>
    </w:p>
    <w:p w:rsidR="00B250F9" w:rsidRPr="003B3977" w:rsidRDefault="00D32E73" w:rsidP="00B250F9">
      <w:pPr>
        <w:spacing w:line="0" w:lineRule="atLeast"/>
        <w:rPr>
          <w:sz w:val="20"/>
          <w:szCs w:val="20"/>
        </w:rPr>
      </w:pPr>
      <w:r w:rsidRPr="00D32E73">
        <w:rPr>
          <w:b/>
          <w:sz w:val="20"/>
          <w:szCs w:val="20"/>
        </w:rPr>
        <w:pict>
          <v:rect id="_x0000_i1069" style="width:144.3pt;height:1pt" o:hrpct="300" o:hralign="center" o:hrstd="t" o:hrnoshade="t" o:hr="t" fillcolor="black [3213]" stroked="f"/>
        </w:pict>
      </w:r>
    </w:p>
    <w:p w:rsidR="00B250F9" w:rsidRPr="003B3977" w:rsidRDefault="00B250F9" w:rsidP="00B250F9">
      <w:pPr>
        <w:spacing w:line="0" w:lineRule="atLeast"/>
        <w:rPr>
          <w:sz w:val="20"/>
          <w:szCs w:val="20"/>
        </w:rPr>
      </w:pPr>
    </w:p>
    <w:p w:rsidR="00B250F9" w:rsidRPr="00C079B7" w:rsidRDefault="00B250F9" w:rsidP="00B250F9">
      <w:pPr>
        <w:rPr>
          <w:b/>
          <w:sz w:val="20"/>
          <w:szCs w:val="20"/>
          <w:lang w:val="fr-CA"/>
        </w:rPr>
      </w:pPr>
      <w:r w:rsidRPr="00C079B7">
        <w:rPr>
          <w:b/>
          <w:sz w:val="20"/>
          <w:szCs w:val="20"/>
          <w:lang w:val="fr-CA"/>
        </w:rPr>
        <w:t>DECEMBER 14, 2012 / LE 14 DÉCEMBRE 2012</w:t>
      </w:r>
    </w:p>
    <w:p w:rsidR="00B250F9" w:rsidRPr="00C079B7" w:rsidRDefault="00B250F9" w:rsidP="00B250F9">
      <w:pPr>
        <w:spacing w:line="0" w:lineRule="atLeast"/>
        <w:rPr>
          <w:rFonts w:cs="Times New Roman"/>
          <w:b/>
          <w:sz w:val="20"/>
          <w:szCs w:val="20"/>
          <w:lang w:val="fr-CA"/>
        </w:rPr>
      </w:pPr>
    </w:p>
    <w:p w:rsidR="00B250F9" w:rsidRPr="00C079B7" w:rsidRDefault="00D32E73"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lang w:val="fr-CA"/>
        </w:rPr>
      </w:pPr>
      <w:r w:rsidRPr="00CF1F7A">
        <w:rPr>
          <w:rFonts w:cs="Times New Roman"/>
          <w:b/>
          <w:sz w:val="20"/>
          <w:szCs w:val="20"/>
        </w:rPr>
        <w:fldChar w:fldCharType="begin"/>
      </w:r>
      <w:r w:rsidR="00B250F9" w:rsidRPr="00C079B7">
        <w:rPr>
          <w:rFonts w:cs="Times New Roman"/>
          <w:b/>
          <w:sz w:val="20"/>
          <w:szCs w:val="20"/>
          <w:lang w:val="fr-CA"/>
        </w:rPr>
        <w:instrText xml:space="preserve"> SEQ CHAPTER \h \r 1</w:instrText>
      </w:r>
      <w:r w:rsidRPr="00CF1F7A">
        <w:rPr>
          <w:rFonts w:cs="Times New Roman"/>
          <w:b/>
          <w:sz w:val="20"/>
          <w:szCs w:val="20"/>
        </w:rPr>
        <w:fldChar w:fldCharType="end"/>
      </w:r>
      <w:r w:rsidR="00B250F9" w:rsidRPr="00C079B7">
        <w:rPr>
          <w:rFonts w:cs="Times New Roman"/>
          <w:b/>
          <w:sz w:val="20"/>
          <w:szCs w:val="20"/>
          <w:lang w:val="fr-CA"/>
        </w:rPr>
        <w:t>34103</w:t>
      </w:r>
      <w:r w:rsidR="00B250F9" w:rsidRPr="00C079B7">
        <w:rPr>
          <w:rFonts w:cs="Times New Roman"/>
          <w:color w:val="FF0000"/>
          <w:sz w:val="20"/>
          <w:szCs w:val="20"/>
          <w:lang w:val="fr-CA"/>
        </w:rPr>
        <w:tab/>
      </w:r>
      <w:r w:rsidR="00B250F9" w:rsidRPr="00C079B7">
        <w:rPr>
          <w:rFonts w:cs="Times New Roman"/>
          <w:color w:val="FF0000"/>
          <w:sz w:val="20"/>
          <w:szCs w:val="20"/>
          <w:lang w:val="fr-CA"/>
        </w:rPr>
        <w:tab/>
      </w:r>
      <w:r w:rsidR="00B250F9" w:rsidRPr="00C079B7">
        <w:rPr>
          <w:rFonts w:cs="Times New Roman"/>
          <w:b/>
          <w:sz w:val="20"/>
          <w:szCs w:val="20"/>
          <w:u w:val="single"/>
          <w:lang w:val="fr-CA"/>
        </w:rPr>
        <w:t xml:space="preserve">Mohammad </w:t>
      </w:r>
      <w:proofErr w:type="spellStart"/>
      <w:r w:rsidR="00B250F9" w:rsidRPr="00C079B7">
        <w:rPr>
          <w:rFonts w:cs="Times New Roman"/>
          <w:b/>
          <w:sz w:val="20"/>
          <w:szCs w:val="20"/>
          <w:u w:val="single"/>
          <w:lang w:val="fr-CA"/>
        </w:rPr>
        <w:t>Momin</w:t>
      </w:r>
      <w:proofErr w:type="spellEnd"/>
      <w:r w:rsidR="00B250F9" w:rsidRPr="00C079B7">
        <w:rPr>
          <w:rFonts w:cs="Times New Roman"/>
          <w:b/>
          <w:sz w:val="20"/>
          <w:szCs w:val="20"/>
          <w:u w:val="single"/>
          <w:lang w:val="fr-CA"/>
        </w:rPr>
        <w:t xml:space="preserve"> </w:t>
      </w:r>
      <w:proofErr w:type="spellStart"/>
      <w:r w:rsidR="00B250F9" w:rsidRPr="00C079B7">
        <w:rPr>
          <w:rFonts w:cs="Times New Roman"/>
          <w:b/>
          <w:sz w:val="20"/>
          <w:szCs w:val="20"/>
          <w:u w:val="single"/>
          <w:lang w:val="fr-CA"/>
        </w:rPr>
        <w:t>Khawaja</w:t>
      </w:r>
      <w:proofErr w:type="spellEnd"/>
      <w:r w:rsidR="00B250F9" w:rsidRPr="00C079B7">
        <w:rPr>
          <w:rFonts w:cs="Times New Roman"/>
          <w:b/>
          <w:sz w:val="20"/>
          <w:szCs w:val="20"/>
          <w:u w:val="single"/>
          <w:lang w:val="fr-CA"/>
        </w:rPr>
        <w:t xml:space="preserve"> </w:t>
      </w:r>
      <w:r w:rsidRPr="00CF1F7A">
        <w:rPr>
          <w:rFonts w:cs="Times New Roman"/>
          <w:b/>
          <w:sz w:val="20"/>
          <w:szCs w:val="20"/>
          <w:u w:val="single"/>
        </w:rPr>
        <w:fldChar w:fldCharType="begin"/>
      </w:r>
      <w:r w:rsidR="00B250F9" w:rsidRPr="00C079B7">
        <w:rPr>
          <w:rFonts w:cs="Times New Roman"/>
          <w:b/>
          <w:sz w:val="20"/>
          <w:szCs w:val="20"/>
          <w:u w:val="single"/>
          <w:lang w:val="fr-CA"/>
        </w:rPr>
        <w:instrText xml:space="preserve"> SEQ CHAPTER \h \r 1</w:instrText>
      </w:r>
      <w:r w:rsidRPr="00CF1F7A">
        <w:rPr>
          <w:rFonts w:cs="Times New Roman"/>
          <w:b/>
          <w:sz w:val="20"/>
          <w:szCs w:val="20"/>
          <w:u w:val="single"/>
        </w:rPr>
        <w:fldChar w:fldCharType="end"/>
      </w:r>
      <w:r w:rsidRPr="00CF1F7A">
        <w:rPr>
          <w:rFonts w:cs="Times New Roman"/>
          <w:b/>
          <w:sz w:val="20"/>
          <w:szCs w:val="20"/>
          <w:u w:val="single"/>
        </w:rPr>
        <w:fldChar w:fldCharType="begin"/>
      </w:r>
      <w:r w:rsidR="00B250F9" w:rsidRPr="00C079B7">
        <w:rPr>
          <w:rFonts w:cs="Times New Roman"/>
          <w:b/>
          <w:sz w:val="20"/>
          <w:szCs w:val="20"/>
          <w:u w:val="single"/>
          <w:lang w:val="fr-CA"/>
        </w:rPr>
        <w:instrText xml:space="preserve"> SEQ CHAPTER \h \r 1</w:instrText>
      </w:r>
      <w:r w:rsidRPr="00CF1F7A">
        <w:rPr>
          <w:rFonts w:cs="Times New Roman"/>
          <w:b/>
          <w:sz w:val="20"/>
          <w:szCs w:val="20"/>
          <w:u w:val="single"/>
        </w:rPr>
        <w:fldChar w:fldCharType="end"/>
      </w:r>
      <w:r w:rsidR="00B250F9" w:rsidRPr="00C079B7">
        <w:rPr>
          <w:rFonts w:cs="Times New Roman"/>
          <w:b/>
          <w:iCs/>
          <w:sz w:val="20"/>
          <w:szCs w:val="20"/>
          <w:u w:val="single"/>
          <w:lang w:val="fr-CA"/>
        </w:rPr>
        <w:t xml:space="preserve">v. </w:t>
      </w:r>
      <w:proofErr w:type="spellStart"/>
      <w:r w:rsidR="00B250F9" w:rsidRPr="00C079B7">
        <w:rPr>
          <w:rFonts w:cs="Times New Roman"/>
          <w:b/>
          <w:iCs/>
          <w:sz w:val="20"/>
          <w:szCs w:val="20"/>
          <w:u w:val="single"/>
          <w:lang w:val="fr-CA"/>
        </w:rPr>
        <w:t>Her</w:t>
      </w:r>
      <w:proofErr w:type="spellEnd"/>
      <w:r w:rsidR="00B250F9" w:rsidRPr="00C079B7">
        <w:rPr>
          <w:rFonts w:cs="Times New Roman"/>
          <w:b/>
          <w:iCs/>
          <w:sz w:val="20"/>
          <w:szCs w:val="20"/>
          <w:u w:val="single"/>
          <w:lang w:val="fr-CA"/>
        </w:rPr>
        <w:t xml:space="preserve"> </w:t>
      </w:r>
      <w:proofErr w:type="spellStart"/>
      <w:r w:rsidR="00B250F9" w:rsidRPr="00C079B7">
        <w:rPr>
          <w:rFonts w:cs="Times New Roman"/>
          <w:b/>
          <w:iCs/>
          <w:sz w:val="20"/>
          <w:szCs w:val="20"/>
          <w:u w:val="single"/>
          <w:lang w:val="fr-CA"/>
        </w:rPr>
        <w:t>Majesty</w:t>
      </w:r>
      <w:proofErr w:type="spellEnd"/>
      <w:r w:rsidR="00B250F9" w:rsidRPr="00C079B7">
        <w:rPr>
          <w:rFonts w:cs="Times New Roman"/>
          <w:b/>
          <w:iCs/>
          <w:sz w:val="20"/>
          <w:szCs w:val="20"/>
          <w:u w:val="single"/>
          <w:lang w:val="fr-CA"/>
        </w:rPr>
        <w:t xml:space="preserve"> the </w:t>
      </w:r>
      <w:proofErr w:type="spellStart"/>
      <w:r w:rsidR="00B250F9" w:rsidRPr="00C079B7">
        <w:rPr>
          <w:rFonts w:cs="Times New Roman"/>
          <w:b/>
          <w:iCs/>
          <w:sz w:val="20"/>
          <w:szCs w:val="20"/>
          <w:u w:val="single"/>
          <w:lang w:val="fr-CA"/>
        </w:rPr>
        <w:t>Queen</w:t>
      </w:r>
      <w:proofErr w:type="spellEnd"/>
      <w:r w:rsidR="00B250F9" w:rsidRPr="00C079B7">
        <w:rPr>
          <w:rFonts w:cs="Times New Roman"/>
          <w:b/>
          <w:iCs/>
          <w:sz w:val="20"/>
          <w:szCs w:val="20"/>
          <w:u w:val="single"/>
          <w:lang w:val="fr-CA"/>
        </w:rPr>
        <w:t xml:space="preserve"> – and – Attorney General of Ontario, Groupe d’étude en droits et libertés de la Faculté de droit de l’Université Laval, Canadian Civil </w:t>
      </w:r>
      <w:proofErr w:type="spellStart"/>
      <w:r w:rsidR="00B250F9" w:rsidRPr="00C079B7">
        <w:rPr>
          <w:rFonts w:cs="Times New Roman"/>
          <w:b/>
          <w:iCs/>
          <w:sz w:val="20"/>
          <w:szCs w:val="20"/>
          <w:u w:val="single"/>
          <w:lang w:val="fr-CA"/>
        </w:rPr>
        <w:t>Liberties</w:t>
      </w:r>
      <w:proofErr w:type="spellEnd"/>
      <w:r w:rsidR="00B250F9" w:rsidRPr="00C079B7">
        <w:rPr>
          <w:rFonts w:cs="Times New Roman"/>
          <w:b/>
          <w:iCs/>
          <w:sz w:val="20"/>
          <w:szCs w:val="20"/>
          <w:u w:val="single"/>
          <w:lang w:val="fr-CA"/>
        </w:rPr>
        <w:t xml:space="preserve"> Association, British Columbia Civil </w:t>
      </w:r>
      <w:proofErr w:type="spellStart"/>
      <w:r w:rsidR="00B250F9" w:rsidRPr="00C079B7">
        <w:rPr>
          <w:rFonts w:cs="Times New Roman"/>
          <w:b/>
          <w:iCs/>
          <w:sz w:val="20"/>
          <w:szCs w:val="20"/>
          <w:u w:val="single"/>
          <w:lang w:val="fr-CA"/>
        </w:rPr>
        <w:t>Liberties</w:t>
      </w:r>
      <w:proofErr w:type="spellEnd"/>
      <w:r w:rsidR="00B250F9" w:rsidRPr="00C079B7">
        <w:rPr>
          <w:rFonts w:cs="Times New Roman"/>
          <w:b/>
          <w:iCs/>
          <w:sz w:val="20"/>
          <w:szCs w:val="20"/>
          <w:u w:val="single"/>
          <w:lang w:val="fr-CA"/>
        </w:rPr>
        <w:t xml:space="preserve"> Association</w:t>
      </w:r>
      <w:r w:rsidR="00B250F9" w:rsidRPr="00C079B7">
        <w:rPr>
          <w:rFonts w:cs="Times New Roman"/>
          <w:b/>
          <w:iCs/>
          <w:sz w:val="20"/>
          <w:szCs w:val="20"/>
          <w:lang w:val="fr-CA"/>
        </w:rPr>
        <w:t xml:space="preserve"> </w:t>
      </w:r>
      <w:r w:rsidR="00B250F9" w:rsidRPr="00C079B7">
        <w:rPr>
          <w:rFonts w:cs="Times New Roman"/>
          <w:iCs/>
          <w:sz w:val="20"/>
          <w:szCs w:val="20"/>
          <w:lang w:val="fr-CA"/>
        </w:rPr>
        <w:t>(Ont.)</w:t>
      </w:r>
    </w:p>
    <w:p w:rsidR="00B250F9" w:rsidRPr="00CF1F7A" w:rsidRDefault="00B250F9" w:rsidP="00B250F9">
      <w:pPr>
        <w:ind w:left="1440"/>
        <w:jc w:val="both"/>
        <w:rPr>
          <w:sz w:val="20"/>
          <w:szCs w:val="20"/>
        </w:rPr>
      </w:pPr>
      <w:r w:rsidRPr="00CF1F7A">
        <w:rPr>
          <w:b/>
          <w:sz w:val="20"/>
          <w:szCs w:val="20"/>
        </w:rPr>
        <w:t>2012 SCC 68 / 2012 CSC 68</w:t>
      </w:r>
    </w:p>
    <w:p w:rsidR="00B250F9" w:rsidRPr="00CF1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B250F9" w:rsidRPr="00CF1F7A" w:rsidRDefault="00B250F9" w:rsidP="00B250F9">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CF1F7A">
        <w:rPr>
          <w:rFonts w:cs="Times New Roman"/>
          <w:sz w:val="20"/>
          <w:szCs w:val="20"/>
        </w:rPr>
        <w:t>Coram:</w:t>
      </w:r>
      <w:r w:rsidRPr="00CF1F7A">
        <w:rPr>
          <w:rFonts w:cs="Times New Roman"/>
          <w:sz w:val="20"/>
          <w:szCs w:val="20"/>
        </w:rPr>
        <w:tab/>
      </w:r>
      <w:r w:rsidRPr="00CF1F7A">
        <w:rPr>
          <w:rFonts w:cs="Times New Roman"/>
          <w:sz w:val="20"/>
          <w:szCs w:val="20"/>
        </w:rPr>
        <w:tab/>
      </w:r>
      <w:proofErr w:type="spellStart"/>
      <w:r w:rsidRPr="00CF1F7A">
        <w:rPr>
          <w:rFonts w:cs="Times New Roman"/>
          <w:sz w:val="20"/>
          <w:szCs w:val="20"/>
          <w:u w:val="single"/>
        </w:rPr>
        <w:t>McLachlin</w:t>
      </w:r>
      <w:proofErr w:type="spellEnd"/>
      <w:r w:rsidRPr="00CF1F7A">
        <w:rPr>
          <w:rFonts w:cs="Times New Roman"/>
          <w:sz w:val="20"/>
          <w:szCs w:val="20"/>
          <w:u w:val="single"/>
        </w:rPr>
        <w:t xml:space="preserve"> C.J. and </w:t>
      </w:r>
      <w:proofErr w:type="spellStart"/>
      <w:r w:rsidRPr="00CF1F7A">
        <w:rPr>
          <w:rFonts w:cs="Times New Roman"/>
          <w:sz w:val="20"/>
          <w:szCs w:val="20"/>
          <w:u w:val="single"/>
        </w:rPr>
        <w:t>LeBel</w:t>
      </w:r>
      <w:proofErr w:type="spellEnd"/>
      <w:r w:rsidRPr="00CF1F7A">
        <w:rPr>
          <w:rFonts w:cs="Times New Roman"/>
          <w:sz w:val="20"/>
          <w:szCs w:val="20"/>
          <w:u w:val="single"/>
        </w:rPr>
        <w:t xml:space="preserve">, Fish, </w:t>
      </w:r>
      <w:proofErr w:type="spellStart"/>
      <w:r w:rsidRPr="00CF1F7A">
        <w:rPr>
          <w:rFonts w:cs="Times New Roman"/>
          <w:sz w:val="20"/>
          <w:szCs w:val="20"/>
          <w:u w:val="single"/>
        </w:rPr>
        <w:t>Abella</w:t>
      </w:r>
      <w:proofErr w:type="spellEnd"/>
      <w:r w:rsidRPr="00CF1F7A">
        <w:rPr>
          <w:rFonts w:cs="Times New Roman"/>
          <w:sz w:val="20"/>
          <w:szCs w:val="20"/>
          <w:u w:val="single"/>
        </w:rPr>
        <w:t xml:space="preserve">, Rothstein, Cromwell and </w:t>
      </w:r>
      <w:proofErr w:type="spellStart"/>
      <w:r w:rsidRPr="00CF1F7A">
        <w:rPr>
          <w:rFonts w:cs="Times New Roman"/>
          <w:sz w:val="20"/>
          <w:szCs w:val="20"/>
          <w:u w:val="single"/>
        </w:rPr>
        <w:t>Karakatsanis</w:t>
      </w:r>
      <w:proofErr w:type="spellEnd"/>
      <w:r w:rsidRPr="00CF1F7A">
        <w:rPr>
          <w:rFonts w:cs="Times New Roman"/>
          <w:sz w:val="20"/>
          <w:szCs w:val="20"/>
          <w:u w:val="single"/>
        </w:rPr>
        <w:t xml:space="preserve"> JJ. </w:t>
      </w:r>
      <w:r w:rsidR="00D32E73" w:rsidRPr="00CF1F7A">
        <w:rPr>
          <w:rFonts w:cs="Times New Roman"/>
          <w:sz w:val="20"/>
          <w:szCs w:val="20"/>
          <w:u w:val="single"/>
        </w:rPr>
        <w:fldChar w:fldCharType="begin"/>
      </w:r>
      <w:r w:rsidRPr="00CF1F7A">
        <w:rPr>
          <w:rFonts w:cs="Times New Roman"/>
          <w:sz w:val="20"/>
          <w:szCs w:val="20"/>
          <w:u w:val="single"/>
        </w:rPr>
        <w:instrText xml:space="preserve"> SEQ CHAPTER \h \r 1</w:instrText>
      </w:r>
      <w:r w:rsidR="00D32E73" w:rsidRPr="00CF1F7A">
        <w:rPr>
          <w:rFonts w:cs="Times New Roman"/>
          <w:sz w:val="20"/>
          <w:szCs w:val="20"/>
          <w:u w:val="single"/>
        </w:rPr>
        <w:fldChar w:fldCharType="end"/>
      </w:r>
    </w:p>
    <w:p w:rsidR="00B250F9" w:rsidRPr="00CF1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B250F9" w:rsidRDefault="00B250F9" w:rsidP="00B250F9">
      <w:pPr>
        <w:jc w:val="both"/>
        <w:rPr>
          <w:sz w:val="20"/>
        </w:rPr>
      </w:pPr>
      <w:r w:rsidRPr="00CF1F7A">
        <w:rPr>
          <w:sz w:val="20"/>
        </w:rPr>
        <w:t xml:space="preserve">The appeal from the judgment of the Court of Appeal for Ontario, Numbers C50298 and C50299, 2010 ONCA 862, dated December 17, 2010, heard on June 11, 2012, is dismissed.  The convictions and the sentence imposed by the Court of Appeal are affirmed. </w:t>
      </w:r>
    </w:p>
    <w:p w:rsidR="00B250F9" w:rsidRPr="00CF1F7A" w:rsidRDefault="00B250F9" w:rsidP="00B250F9">
      <w:pPr>
        <w:jc w:val="both"/>
        <w:rPr>
          <w:sz w:val="20"/>
        </w:rPr>
      </w:pPr>
    </w:p>
    <w:p w:rsidR="00B250F9" w:rsidRPr="00CF1F7A" w:rsidRDefault="00B250F9" w:rsidP="00B250F9">
      <w:pPr>
        <w:jc w:val="both"/>
        <w:rPr>
          <w:sz w:val="20"/>
          <w:lang w:val="fr-CA"/>
        </w:rPr>
      </w:pPr>
      <w:r w:rsidRPr="00CF1F7A">
        <w:rPr>
          <w:sz w:val="20"/>
          <w:lang w:val="fr-CA"/>
        </w:rPr>
        <w:t>L’appel interjeté contre l’arrêt de la Cour d’appel de l’Ontario, numéros C50298 et C50299, 2010 ONCA 862, en date du 17 décembre 2010, entendu le 11 juin 2012, est rejeté.  Les déclarations de culpabilité de même que la peine imposée en Cour d’appel sont confirmées.</w:t>
      </w:r>
      <w:r w:rsidRPr="00A052F4">
        <w:rPr>
          <w:lang w:val="fr-CA"/>
        </w:rPr>
        <w:t xml:space="preserve"> </w:t>
      </w:r>
    </w:p>
    <w:p w:rsidR="00B250F9" w:rsidRPr="006C5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B250F9" w:rsidRPr="006C5F7A" w:rsidRDefault="00D32E73" w:rsidP="00B250F9">
      <w:pPr>
        <w:spacing w:line="0" w:lineRule="atLeast"/>
        <w:rPr>
          <w:rFonts w:cs="Times New Roman"/>
          <w:b/>
          <w:sz w:val="20"/>
          <w:szCs w:val="20"/>
        </w:rPr>
      </w:pPr>
      <w:r w:rsidRPr="00D32E73">
        <w:rPr>
          <w:rFonts w:cs="Times New Roman"/>
          <w:b/>
          <w:sz w:val="20"/>
          <w:szCs w:val="20"/>
        </w:rPr>
        <w:pict>
          <v:rect id="_x0000_i1070" style="width:144.3pt;height:1pt" o:hrpct="300" o:hralign="center" o:hrstd="t" o:hrnoshade="t" o:hr="t" fillcolor="black [3213]" stroked="f"/>
        </w:pict>
      </w:r>
    </w:p>
    <w:p w:rsidR="00B250F9" w:rsidRPr="006C5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B250F9" w:rsidRPr="00CF1F7A" w:rsidRDefault="00D32E73"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CF1F7A">
        <w:rPr>
          <w:rFonts w:cs="Times New Roman"/>
          <w:b/>
          <w:sz w:val="20"/>
          <w:szCs w:val="20"/>
        </w:rPr>
        <w:fldChar w:fldCharType="begin"/>
      </w:r>
      <w:r w:rsidR="00B250F9" w:rsidRPr="00CF1F7A">
        <w:rPr>
          <w:rFonts w:cs="Times New Roman"/>
          <w:b/>
          <w:sz w:val="20"/>
          <w:szCs w:val="20"/>
        </w:rPr>
        <w:instrText xml:space="preserve"> SEQ CHAPTER \h \r 1</w:instrText>
      </w:r>
      <w:r w:rsidRPr="00CF1F7A">
        <w:rPr>
          <w:rFonts w:cs="Times New Roman"/>
          <w:b/>
          <w:sz w:val="20"/>
          <w:szCs w:val="20"/>
        </w:rPr>
        <w:fldChar w:fldCharType="end"/>
      </w:r>
      <w:r w:rsidR="00B250F9" w:rsidRPr="00CF1F7A">
        <w:rPr>
          <w:rFonts w:cs="Times New Roman"/>
          <w:b/>
          <w:sz w:val="20"/>
          <w:szCs w:val="20"/>
        </w:rPr>
        <w:t>34</w:t>
      </w:r>
      <w:r w:rsidR="00B250F9">
        <w:rPr>
          <w:rFonts w:cs="Times New Roman"/>
          <w:b/>
          <w:sz w:val="20"/>
          <w:szCs w:val="20"/>
        </w:rPr>
        <w:t>0</w:t>
      </w:r>
      <w:r w:rsidR="00B250F9" w:rsidRPr="00CF1F7A">
        <w:rPr>
          <w:rFonts w:cs="Times New Roman"/>
          <w:b/>
          <w:sz w:val="20"/>
          <w:szCs w:val="20"/>
        </w:rPr>
        <w:t>0</w:t>
      </w:r>
      <w:r w:rsidR="00B250F9">
        <w:rPr>
          <w:rFonts w:cs="Times New Roman"/>
          <w:b/>
          <w:sz w:val="20"/>
          <w:szCs w:val="20"/>
        </w:rPr>
        <w:t>9</w:t>
      </w:r>
      <w:r w:rsidR="00B250F9" w:rsidRPr="00A8389E">
        <w:rPr>
          <w:rFonts w:cs="Times New Roman"/>
          <w:color w:val="FF0000"/>
          <w:sz w:val="20"/>
          <w:szCs w:val="20"/>
        </w:rPr>
        <w:tab/>
      </w:r>
      <w:r w:rsidR="00B250F9" w:rsidRPr="00A8389E">
        <w:rPr>
          <w:rFonts w:cs="Times New Roman"/>
          <w:color w:val="FF0000"/>
          <w:sz w:val="20"/>
          <w:szCs w:val="20"/>
        </w:rPr>
        <w:tab/>
      </w:r>
      <w:r w:rsidR="00B250F9" w:rsidRPr="00A052F4">
        <w:rPr>
          <w:rFonts w:cs="Times New Roman"/>
          <w:b/>
          <w:sz w:val="20"/>
          <w:szCs w:val="20"/>
          <w:u w:val="single"/>
        </w:rPr>
        <w:t xml:space="preserve">Suresh </w:t>
      </w:r>
      <w:proofErr w:type="spellStart"/>
      <w:r w:rsidR="00B250F9" w:rsidRPr="00A052F4">
        <w:rPr>
          <w:rFonts w:cs="Times New Roman"/>
          <w:b/>
          <w:sz w:val="20"/>
          <w:szCs w:val="20"/>
          <w:u w:val="single"/>
        </w:rPr>
        <w:t>Sriskandarajah</w:t>
      </w:r>
      <w:proofErr w:type="spellEnd"/>
      <w:r w:rsidR="00B250F9" w:rsidRPr="00A052F4">
        <w:rPr>
          <w:rFonts w:cs="Times New Roman"/>
          <w:b/>
          <w:sz w:val="20"/>
          <w:szCs w:val="20"/>
          <w:u w:val="single"/>
        </w:rPr>
        <w:t xml:space="preserve"> </w:t>
      </w:r>
      <w:r w:rsidR="00B250F9">
        <w:rPr>
          <w:rFonts w:cs="Times New Roman"/>
          <w:b/>
          <w:sz w:val="20"/>
          <w:szCs w:val="20"/>
          <w:u w:val="single"/>
        </w:rPr>
        <w:t xml:space="preserve">v. </w:t>
      </w:r>
      <w:r w:rsidR="00B250F9" w:rsidRPr="00A052F4">
        <w:rPr>
          <w:rFonts w:cs="Times New Roman"/>
          <w:b/>
          <w:sz w:val="20"/>
          <w:szCs w:val="20"/>
          <w:u w:val="single"/>
        </w:rPr>
        <w:t>United States of America, Minister of Justice and Attorney General of Canada</w:t>
      </w:r>
      <w:r w:rsidR="00B250F9">
        <w:rPr>
          <w:rFonts w:cs="Times New Roman"/>
          <w:b/>
          <w:sz w:val="20"/>
          <w:szCs w:val="20"/>
          <w:u w:val="single"/>
        </w:rPr>
        <w:t xml:space="preserve"> – and – </w:t>
      </w:r>
      <w:r w:rsidR="00B250F9" w:rsidRPr="00A052F4">
        <w:rPr>
          <w:rFonts w:cs="Times New Roman"/>
          <w:b/>
          <w:sz w:val="20"/>
          <w:szCs w:val="20"/>
          <w:u w:val="single"/>
        </w:rPr>
        <w:t>Attorney General of Ontario, Canadian Civil Liberties Association and British Columbia Civil Liberties Association</w:t>
      </w:r>
      <w:r w:rsidR="00B250F9" w:rsidRPr="00A052F4">
        <w:rPr>
          <w:rFonts w:cs="Times New Roman"/>
          <w:b/>
          <w:sz w:val="20"/>
          <w:szCs w:val="20"/>
        </w:rPr>
        <w:t xml:space="preserve"> </w:t>
      </w:r>
      <w:r w:rsidR="00B250F9" w:rsidRPr="00CF1F7A">
        <w:rPr>
          <w:rFonts w:cs="Times New Roman"/>
          <w:iCs/>
          <w:sz w:val="20"/>
          <w:szCs w:val="20"/>
        </w:rPr>
        <w:t>(Ont.)</w:t>
      </w:r>
    </w:p>
    <w:p w:rsidR="00B250F9" w:rsidRPr="00CF1F7A" w:rsidRDefault="00B250F9" w:rsidP="00B250F9">
      <w:pPr>
        <w:ind w:left="1440"/>
        <w:jc w:val="both"/>
        <w:rPr>
          <w:sz w:val="20"/>
          <w:szCs w:val="20"/>
        </w:rPr>
      </w:pPr>
      <w:r>
        <w:rPr>
          <w:b/>
          <w:sz w:val="20"/>
          <w:szCs w:val="20"/>
        </w:rPr>
        <w:t>2012 SCC 69</w:t>
      </w:r>
      <w:r w:rsidRPr="00CF1F7A">
        <w:rPr>
          <w:b/>
          <w:sz w:val="20"/>
          <w:szCs w:val="20"/>
        </w:rPr>
        <w:t xml:space="preserve"> / 2012 CSC 6</w:t>
      </w:r>
      <w:r>
        <w:rPr>
          <w:b/>
          <w:sz w:val="20"/>
          <w:szCs w:val="20"/>
        </w:rPr>
        <w:t>9</w:t>
      </w:r>
    </w:p>
    <w:p w:rsidR="00B250F9" w:rsidRPr="00CF1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B250F9" w:rsidRPr="00CF1F7A" w:rsidRDefault="00B250F9" w:rsidP="00B250F9">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CF1F7A">
        <w:rPr>
          <w:rFonts w:cs="Times New Roman"/>
          <w:sz w:val="20"/>
          <w:szCs w:val="20"/>
        </w:rPr>
        <w:t>Coram:</w:t>
      </w:r>
      <w:r w:rsidRPr="00CF1F7A">
        <w:rPr>
          <w:rFonts w:cs="Times New Roman"/>
          <w:sz w:val="20"/>
          <w:szCs w:val="20"/>
        </w:rPr>
        <w:tab/>
      </w:r>
      <w:r w:rsidRPr="00CF1F7A">
        <w:rPr>
          <w:rFonts w:cs="Times New Roman"/>
          <w:sz w:val="20"/>
          <w:szCs w:val="20"/>
        </w:rPr>
        <w:tab/>
      </w:r>
      <w:proofErr w:type="spellStart"/>
      <w:r w:rsidRPr="001F18C4">
        <w:rPr>
          <w:rFonts w:cs="Times New Roman"/>
          <w:sz w:val="20"/>
          <w:szCs w:val="20"/>
          <w:u w:val="single"/>
        </w:rPr>
        <w:t>McLachlin</w:t>
      </w:r>
      <w:proofErr w:type="spellEnd"/>
      <w:r w:rsidRPr="001F18C4">
        <w:rPr>
          <w:rFonts w:cs="Times New Roman"/>
          <w:sz w:val="20"/>
          <w:szCs w:val="20"/>
          <w:u w:val="single"/>
        </w:rPr>
        <w:t xml:space="preserve"> C.J. and </w:t>
      </w:r>
      <w:proofErr w:type="spellStart"/>
      <w:r w:rsidRPr="001F18C4">
        <w:rPr>
          <w:rFonts w:cs="Times New Roman"/>
          <w:sz w:val="20"/>
          <w:szCs w:val="20"/>
          <w:u w:val="single"/>
        </w:rPr>
        <w:t>LeBel</w:t>
      </w:r>
      <w:proofErr w:type="spellEnd"/>
      <w:r w:rsidRPr="001F18C4">
        <w:rPr>
          <w:rFonts w:cs="Times New Roman"/>
          <w:sz w:val="20"/>
          <w:szCs w:val="20"/>
          <w:u w:val="single"/>
        </w:rPr>
        <w:t xml:space="preserve">, Fish, </w:t>
      </w:r>
      <w:proofErr w:type="spellStart"/>
      <w:r w:rsidRPr="001F18C4">
        <w:rPr>
          <w:rFonts w:cs="Times New Roman"/>
          <w:sz w:val="20"/>
          <w:szCs w:val="20"/>
          <w:u w:val="single"/>
        </w:rPr>
        <w:t>Abella</w:t>
      </w:r>
      <w:proofErr w:type="spellEnd"/>
      <w:r w:rsidRPr="001F18C4">
        <w:rPr>
          <w:rFonts w:cs="Times New Roman"/>
          <w:sz w:val="20"/>
          <w:szCs w:val="20"/>
          <w:u w:val="single"/>
        </w:rPr>
        <w:t xml:space="preserve">, Rothstein, Cromwell and </w:t>
      </w:r>
      <w:proofErr w:type="spellStart"/>
      <w:r w:rsidRPr="001F18C4">
        <w:rPr>
          <w:rFonts w:cs="Times New Roman"/>
          <w:sz w:val="20"/>
          <w:szCs w:val="20"/>
          <w:u w:val="single"/>
        </w:rPr>
        <w:t>Karakatsanis</w:t>
      </w:r>
      <w:proofErr w:type="spellEnd"/>
      <w:r w:rsidRPr="001F18C4">
        <w:rPr>
          <w:rFonts w:cs="Times New Roman"/>
          <w:sz w:val="20"/>
          <w:szCs w:val="20"/>
          <w:u w:val="single"/>
        </w:rPr>
        <w:t xml:space="preserve"> JJ.</w:t>
      </w:r>
      <w:r w:rsidRPr="00CF1F7A">
        <w:rPr>
          <w:rFonts w:cs="Times New Roman"/>
          <w:sz w:val="20"/>
          <w:szCs w:val="20"/>
          <w:u w:val="single"/>
        </w:rPr>
        <w:t xml:space="preserve"> </w:t>
      </w:r>
      <w:r w:rsidR="00D32E73" w:rsidRPr="00CF1F7A">
        <w:rPr>
          <w:rFonts w:cs="Times New Roman"/>
          <w:sz w:val="20"/>
          <w:szCs w:val="20"/>
          <w:u w:val="single"/>
        </w:rPr>
        <w:fldChar w:fldCharType="begin"/>
      </w:r>
      <w:r w:rsidRPr="00CF1F7A">
        <w:rPr>
          <w:rFonts w:cs="Times New Roman"/>
          <w:sz w:val="20"/>
          <w:szCs w:val="20"/>
          <w:u w:val="single"/>
        </w:rPr>
        <w:instrText xml:space="preserve"> SEQ CHAPTER \h \r 1</w:instrText>
      </w:r>
      <w:r w:rsidR="00D32E73" w:rsidRPr="00CF1F7A">
        <w:rPr>
          <w:rFonts w:cs="Times New Roman"/>
          <w:sz w:val="20"/>
          <w:szCs w:val="20"/>
          <w:u w:val="single"/>
        </w:rPr>
        <w:fldChar w:fldCharType="end"/>
      </w:r>
    </w:p>
    <w:p w:rsidR="00B250F9" w:rsidRPr="00CF1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B250F9" w:rsidRDefault="00B250F9" w:rsidP="00B250F9">
      <w:pPr>
        <w:jc w:val="both"/>
        <w:rPr>
          <w:sz w:val="20"/>
        </w:rPr>
      </w:pPr>
      <w:r w:rsidRPr="00A052F4">
        <w:rPr>
          <w:sz w:val="20"/>
        </w:rPr>
        <w:t>The appeal from the judgment of the Court of Appeal for Ontario, Numbers C50140 and C51419, 2010 ONCA 857, dated December 17, 2010, heard on June 11, 2012, is dismissed and the order of surrender confirmed.</w:t>
      </w:r>
    </w:p>
    <w:p w:rsidR="00B250F9" w:rsidRPr="00A052F4" w:rsidRDefault="00B250F9" w:rsidP="00B250F9">
      <w:pPr>
        <w:jc w:val="both"/>
        <w:rPr>
          <w:sz w:val="20"/>
        </w:rPr>
      </w:pPr>
    </w:p>
    <w:p w:rsidR="00B250F9" w:rsidRPr="002C0D63" w:rsidRDefault="00B250F9" w:rsidP="00B250F9">
      <w:pPr>
        <w:jc w:val="both"/>
        <w:rPr>
          <w:sz w:val="20"/>
          <w:lang w:val="en-US"/>
        </w:rPr>
      </w:pPr>
    </w:p>
    <w:p w:rsidR="00B250F9" w:rsidRPr="00A052F4" w:rsidRDefault="00B250F9" w:rsidP="00B250F9">
      <w:pPr>
        <w:jc w:val="both"/>
        <w:rPr>
          <w:sz w:val="20"/>
          <w:lang w:val="fr-CA"/>
        </w:rPr>
      </w:pPr>
      <w:r w:rsidRPr="00A052F4">
        <w:rPr>
          <w:sz w:val="20"/>
          <w:lang w:val="fr-CA"/>
        </w:rPr>
        <w:lastRenderedPageBreak/>
        <w:t>L’appel interjeté contre l’arrêt de la Cour d’appel de l’Ontario, numéros C50140 et C51419, 2010 ONCA 857, en date du 17 décembre 2010, entendu le 11 juin 2012, est rejeté et l’arrêt d’extradition est confirmé.</w:t>
      </w:r>
    </w:p>
    <w:p w:rsidR="00B250F9" w:rsidRPr="006C5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B250F9" w:rsidRDefault="00D32E73"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D32E73">
        <w:rPr>
          <w:rFonts w:cs="Times New Roman"/>
          <w:b/>
          <w:sz w:val="20"/>
          <w:szCs w:val="20"/>
        </w:rPr>
        <w:pict>
          <v:rect id="_x0000_i1071" style="width:144.3pt;height:1pt" o:hrpct="300" o:hralign="center" o:hrstd="t" o:hrnoshade="t" o:hr="t" fillcolor="black [3213]" stroked="f"/>
        </w:pict>
      </w:r>
    </w:p>
    <w:p w:rsidR="00B250F9" w:rsidRPr="006C5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B250F9" w:rsidRPr="00CF1F7A" w:rsidRDefault="00D32E73"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CF1F7A">
        <w:rPr>
          <w:rFonts w:cs="Times New Roman"/>
          <w:b/>
          <w:sz w:val="20"/>
          <w:szCs w:val="20"/>
        </w:rPr>
        <w:fldChar w:fldCharType="begin"/>
      </w:r>
      <w:r w:rsidR="00B250F9" w:rsidRPr="00CF1F7A">
        <w:rPr>
          <w:rFonts w:cs="Times New Roman"/>
          <w:b/>
          <w:sz w:val="20"/>
          <w:szCs w:val="20"/>
        </w:rPr>
        <w:instrText xml:space="preserve"> SEQ CHAPTER \h \r 1</w:instrText>
      </w:r>
      <w:r w:rsidRPr="00CF1F7A">
        <w:rPr>
          <w:rFonts w:cs="Times New Roman"/>
          <w:b/>
          <w:sz w:val="20"/>
          <w:szCs w:val="20"/>
        </w:rPr>
        <w:fldChar w:fldCharType="end"/>
      </w:r>
      <w:r w:rsidR="00B250F9" w:rsidRPr="00CF1F7A">
        <w:rPr>
          <w:rFonts w:cs="Times New Roman"/>
          <w:b/>
          <w:sz w:val="20"/>
          <w:szCs w:val="20"/>
        </w:rPr>
        <w:t>34</w:t>
      </w:r>
      <w:r w:rsidR="00B250F9">
        <w:rPr>
          <w:rFonts w:cs="Times New Roman"/>
          <w:b/>
          <w:sz w:val="20"/>
          <w:szCs w:val="20"/>
        </w:rPr>
        <w:t>013</w:t>
      </w:r>
      <w:r w:rsidR="00B250F9" w:rsidRPr="00A8389E">
        <w:rPr>
          <w:rFonts w:cs="Times New Roman"/>
          <w:color w:val="FF0000"/>
          <w:sz w:val="20"/>
          <w:szCs w:val="20"/>
        </w:rPr>
        <w:tab/>
      </w:r>
      <w:r w:rsidR="00B250F9" w:rsidRPr="00A8389E">
        <w:rPr>
          <w:rFonts w:cs="Times New Roman"/>
          <w:color w:val="FF0000"/>
          <w:sz w:val="20"/>
          <w:szCs w:val="20"/>
        </w:rPr>
        <w:tab/>
      </w:r>
      <w:proofErr w:type="spellStart"/>
      <w:r w:rsidR="00B250F9" w:rsidRPr="00D4356A">
        <w:rPr>
          <w:rFonts w:cs="Times New Roman"/>
          <w:b/>
          <w:sz w:val="20"/>
          <w:szCs w:val="20"/>
          <w:u w:val="single"/>
        </w:rPr>
        <w:t>Piratheepan</w:t>
      </w:r>
      <w:proofErr w:type="spellEnd"/>
      <w:r w:rsidR="00B250F9" w:rsidRPr="00D4356A">
        <w:rPr>
          <w:rFonts w:cs="Times New Roman"/>
          <w:b/>
          <w:sz w:val="20"/>
          <w:szCs w:val="20"/>
          <w:u w:val="single"/>
        </w:rPr>
        <w:t xml:space="preserve"> </w:t>
      </w:r>
      <w:proofErr w:type="spellStart"/>
      <w:r w:rsidR="00B250F9" w:rsidRPr="00D4356A">
        <w:rPr>
          <w:rFonts w:cs="Times New Roman"/>
          <w:b/>
          <w:sz w:val="20"/>
          <w:szCs w:val="20"/>
          <w:u w:val="single"/>
        </w:rPr>
        <w:t>Nadarajah</w:t>
      </w:r>
      <w:proofErr w:type="spellEnd"/>
      <w:r w:rsidR="00B250F9" w:rsidRPr="00D4356A">
        <w:rPr>
          <w:rFonts w:cs="Times New Roman"/>
          <w:b/>
          <w:sz w:val="20"/>
          <w:szCs w:val="20"/>
          <w:u w:val="single"/>
        </w:rPr>
        <w:t xml:space="preserve"> </w:t>
      </w:r>
      <w:r w:rsidR="00B250F9">
        <w:rPr>
          <w:rFonts w:cs="Times New Roman"/>
          <w:b/>
          <w:sz w:val="20"/>
          <w:szCs w:val="20"/>
          <w:u w:val="single"/>
        </w:rPr>
        <w:t xml:space="preserve">v. </w:t>
      </w:r>
      <w:r w:rsidR="00B250F9" w:rsidRPr="00D4356A">
        <w:rPr>
          <w:rFonts w:cs="Times New Roman"/>
          <w:b/>
          <w:sz w:val="20"/>
          <w:szCs w:val="20"/>
          <w:u w:val="single"/>
        </w:rPr>
        <w:t xml:space="preserve">United States of America, Minister of Justice and Attorney General of Canada </w:t>
      </w:r>
      <w:r w:rsidR="00B250F9">
        <w:rPr>
          <w:rFonts w:cs="Times New Roman"/>
          <w:b/>
          <w:sz w:val="20"/>
          <w:szCs w:val="20"/>
          <w:u w:val="single"/>
        </w:rPr>
        <w:t xml:space="preserve">– and – </w:t>
      </w:r>
      <w:r w:rsidR="00B250F9" w:rsidRPr="00D4356A">
        <w:rPr>
          <w:rFonts w:cs="Times New Roman"/>
          <w:b/>
          <w:sz w:val="20"/>
          <w:szCs w:val="20"/>
          <w:u w:val="single"/>
        </w:rPr>
        <w:t>Attorney General of Ontario, Canadian Civil Liberties Association and British Columbia Civil Liberties Association</w:t>
      </w:r>
      <w:r w:rsidR="00B250F9" w:rsidRPr="00D4356A">
        <w:rPr>
          <w:rFonts w:cs="Times New Roman"/>
          <w:b/>
          <w:sz w:val="20"/>
          <w:szCs w:val="20"/>
        </w:rPr>
        <w:t xml:space="preserve"> </w:t>
      </w:r>
      <w:r w:rsidR="00B250F9" w:rsidRPr="00CF1F7A">
        <w:rPr>
          <w:rFonts w:cs="Times New Roman"/>
          <w:iCs/>
          <w:sz w:val="20"/>
          <w:szCs w:val="20"/>
        </w:rPr>
        <w:t>(Ont.)</w:t>
      </w:r>
    </w:p>
    <w:p w:rsidR="00B250F9" w:rsidRPr="00CF1F7A" w:rsidRDefault="00B250F9" w:rsidP="00B250F9">
      <w:pPr>
        <w:ind w:left="1440"/>
        <w:jc w:val="both"/>
        <w:rPr>
          <w:sz w:val="20"/>
          <w:szCs w:val="20"/>
        </w:rPr>
      </w:pPr>
      <w:r>
        <w:rPr>
          <w:b/>
          <w:sz w:val="20"/>
          <w:szCs w:val="20"/>
        </w:rPr>
        <w:t>2012 SCC 69</w:t>
      </w:r>
      <w:r w:rsidRPr="00CF1F7A">
        <w:rPr>
          <w:b/>
          <w:sz w:val="20"/>
          <w:szCs w:val="20"/>
        </w:rPr>
        <w:t xml:space="preserve"> / 2012 CSC 6</w:t>
      </w:r>
      <w:r>
        <w:rPr>
          <w:b/>
          <w:sz w:val="20"/>
          <w:szCs w:val="20"/>
        </w:rPr>
        <w:t>9</w:t>
      </w:r>
    </w:p>
    <w:p w:rsidR="00B250F9" w:rsidRPr="00CF1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B250F9" w:rsidRPr="00CF1F7A" w:rsidRDefault="00B250F9" w:rsidP="00B250F9">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CF1F7A">
        <w:rPr>
          <w:rFonts w:cs="Times New Roman"/>
          <w:sz w:val="20"/>
          <w:szCs w:val="20"/>
        </w:rPr>
        <w:t>Coram:</w:t>
      </w:r>
      <w:r w:rsidRPr="00CF1F7A">
        <w:rPr>
          <w:rFonts w:cs="Times New Roman"/>
          <w:sz w:val="20"/>
          <w:szCs w:val="20"/>
        </w:rPr>
        <w:tab/>
      </w:r>
      <w:r w:rsidRPr="00CF1F7A">
        <w:rPr>
          <w:rFonts w:cs="Times New Roman"/>
          <w:sz w:val="20"/>
          <w:szCs w:val="20"/>
        </w:rPr>
        <w:tab/>
      </w:r>
      <w:proofErr w:type="spellStart"/>
      <w:r w:rsidRPr="00D4356A">
        <w:rPr>
          <w:rFonts w:cs="Times New Roman"/>
          <w:sz w:val="20"/>
          <w:szCs w:val="20"/>
          <w:u w:val="single"/>
        </w:rPr>
        <w:t>McLachlin</w:t>
      </w:r>
      <w:proofErr w:type="spellEnd"/>
      <w:r w:rsidRPr="00D4356A">
        <w:rPr>
          <w:rFonts w:cs="Times New Roman"/>
          <w:sz w:val="20"/>
          <w:szCs w:val="20"/>
          <w:u w:val="single"/>
        </w:rPr>
        <w:t xml:space="preserve"> C.J. and </w:t>
      </w:r>
      <w:proofErr w:type="spellStart"/>
      <w:r w:rsidRPr="00D4356A">
        <w:rPr>
          <w:rFonts w:cs="Times New Roman"/>
          <w:sz w:val="20"/>
          <w:szCs w:val="20"/>
          <w:u w:val="single"/>
        </w:rPr>
        <w:t>LeBel</w:t>
      </w:r>
      <w:proofErr w:type="spellEnd"/>
      <w:r w:rsidRPr="00D4356A">
        <w:rPr>
          <w:rFonts w:cs="Times New Roman"/>
          <w:sz w:val="20"/>
          <w:szCs w:val="20"/>
          <w:u w:val="single"/>
        </w:rPr>
        <w:t xml:space="preserve">, Fish, </w:t>
      </w:r>
      <w:proofErr w:type="spellStart"/>
      <w:r w:rsidRPr="00D4356A">
        <w:rPr>
          <w:rFonts w:cs="Times New Roman"/>
          <w:sz w:val="20"/>
          <w:szCs w:val="20"/>
          <w:u w:val="single"/>
        </w:rPr>
        <w:t>Abella</w:t>
      </w:r>
      <w:proofErr w:type="spellEnd"/>
      <w:r w:rsidRPr="00D4356A">
        <w:rPr>
          <w:rFonts w:cs="Times New Roman"/>
          <w:sz w:val="20"/>
          <w:szCs w:val="20"/>
          <w:u w:val="single"/>
        </w:rPr>
        <w:t xml:space="preserve">, Rothstein, Cromwell and </w:t>
      </w:r>
      <w:proofErr w:type="spellStart"/>
      <w:r w:rsidRPr="00D4356A">
        <w:rPr>
          <w:rFonts w:cs="Times New Roman"/>
          <w:sz w:val="20"/>
          <w:szCs w:val="20"/>
          <w:u w:val="single"/>
        </w:rPr>
        <w:t>Karakatsanis</w:t>
      </w:r>
      <w:proofErr w:type="spellEnd"/>
      <w:r w:rsidRPr="00D4356A">
        <w:rPr>
          <w:rFonts w:cs="Times New Roman"/>
          <w:sz w:val="20"/>
          <w:szCs w:val="20"/>
          <w:u w:val="single"/>
        </w:rPr>
        <w:t xml:space="preserve"> JJ.</w:t>
      </w:r>
      <w:r w:rsidR="00D32E73" w:rsidRPr="00CF1F7A">
        <w:rPr>
          <w:rFonts w:cs="Times New Roman"/>
          <w:sz w:val="20"/>
          <w:szCs w:val="20"/>
          <w:u w:val="single"/>
        </w:rPr>
        <w:fldChar w:fldCharType="begin"/>
      </w:r>
      <w:r w:rsidRPr="00CF1F7A">
        <w:rPr>
          <w:rFonts w:cs="Times New Roman"/>
          <w:sz w:val="20"/>
          <w:szCs w:val="20"/>
          <w:u w:val="single"/>
        </w:rPr>
        <w:instrText xml:space="preserve"> SEQ CHAPTER \h \r 1</w:instrText>
      </w:r>
      <w:r w:rsidR="00D32E73" w:rsidRPr="00CF1F7A">
        <w:rPr>
          <w:rFonts w:cs="Times New Roman"/>
          <w:sz w:val="20"/>
          <w:szCs w:val="20"/>
          <w:u w:val="single"/>
        </w:rPr>
        <w:fldChar w:fldCharType="end"/>
      </w:r>
    </w:p>
    <w:p w:rsidR="00B250F9" w:rsidRPr="00CF1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B250F9" w:rsidRDefault="00B250F9" w:rsidP="00B250F9">
      <w:pPr>
        <w:jc w:val="both"/>
        <w:rPr>
          <w:sz w:val="20"/>
        </w:rPr>
      </w:pPr>
      <w:r w:rsidRPr="00D4356A">
        <w:rPr>
          <w:sz w:val="20"/>
        </w:rPr>
        <w:t>The appeal from the judgment of the Court of Appeal for Ontario, Numbers C50139 and C51418, 2010 ONCA 859, dated December 17, 2010, heard on June 11, 2012, is dismissed and the order of surrender confirmed.</w:t>
      </w:r>
    </w:p>
    <w:p w:rsidR="00B250F9" w:rsidRPr="00D4356A" w:rsidRDefault="00B250F9" w:rsidP="00B250F9">
      <w:pPr>
        <w:jc w:val="both"/>
        <w:rPr>
          <w:sz w:val="20"/>
        </w:rPr>
      </w:pPr>
    </w:p>
    <w:p w:rsidR="00B250F9" w:rsidRPr="00D4356A" w:rsidRDefault="00B250F9" w:rsidP="00B250F9">
      <w:pPr>
        <w:jc w:val="both"/>
        <w:rPr>
          <w:sz w:val="20"/>
          <w:lang w:val="fr-CA"/>
        </w:rPr>
      </w:pPr>
      <w:r w:rsidRPr="00D4356A">
        <w:rPr>
          <w:sz w:val="20"/>
          <w:lang w:val="fr-CA"/>
        </w:rPr>
        <w:t>L’appel interjeté contre l’arrêt de la Cour d’appel de l’Ontario, numéros C50139 et C51418, 2010 ONCA 859, en date du 17 décembre 2010, entendu le 11 juin 2012, est rejeté et l’arrêt d’extradition est confirmé.</w:t>
      </w:r>
    </w:p>
    <w:p w:rsidR="00B250F9" w:rsidRPr="006C5F7A" w:rsidRDefault="00B250F9" w:rsidP="00B250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B250F9" w:rsidRPr="003B3977" w:rsidRDefault="00D32E73" w:rsidP="00B250F9">
      <w:pPr>
        <w:spacing w:line="0" w:lineRule="atLeast"/>
        <w:rPr>
          <w:sz w:val="20"/>
          <w:szCs w:val="20"/>
        </w:rPr>
      </w:pPr>
      <w:r w:rsidRPr="00D32E73">
        <w:rPr>
          <w:b/>
          <w:sz w:val="20"/>
          <w:szCs w:val="20"/>
        </w:rPr>
        <w:pict>
          <v:rect id="_x0000_i1072" style="width:144.3pt;height:1pt" o:hrpct="300" o:hralign="center" o:hrstd="t" o:hrnoshade="t" o:hr="t" fillcolor="black [3213]" stroked="f"/>
        </w:pict>
      </w:r>
    </w:p>
    <w:p w:rsidR="00B250F9" w:rsidRPr="003B3977" w:rsidRDefault="00B250F9" w:rsidP="00B250F9">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3B3977" w:rsidRDefault="00D4101F" w:rsidP="005C6840">
      <w:pPr>
        <w:rPr>
          <w:rFonts w:cs="Times New Roman"/>
          <w:sz w:val="20"/>
          <w:szCs w:val="20"/>
        </w:rPr>
      </w:pPr>
      <w:proofErr w:type="spellStart"/>
      <w:r>
        <w:rPr>
          <w:rFonts w:cs="Times New Roman"/>
          <w:i/>
          <w:sz w:val="20"/>
          <w:szCs w:val="20"/>
        </w:rPr>
        <w:t>Cogeco</w:t>
      </w:r>
      <w:proofErr w:type="spellEnd"/>
      <w:r>
        <w:rPr>
          <w:rFonts w:cs="Times New Roman"/>
          <w:i/>
          <w:sz w:val="20"/>
          <w:szCs w:val="20"/>
        </w:rPr>
        <w:t xml:space="preserve"> Cable Inc. et al. v. Bell Media Inc. et al. </w:t>
      </w:r>
      <w:r w:rsidR="005C6840" w:rsidRPr="003B3977">
        <w:rPr>
          <w:rFonts w:cs="Times New Roman"/>
          <w:sz w:val="20"/>
          <w:szCs w:val="20"/>
        </w:rPr>
        <w:t>(</w:t>
      </w:r>
      <w:r>
        <w:rPr>
          <w:rFonts w:cs="Times New Roman"/>
          <w:sz w:val="20"/>
          <w:szCs w:val="20"/>
        </w:rPr>
        <w:t>F.C.</w:t>
      </w:r>
      <w:r w:rsidR="005C6840" w:rsidRPr="003B3977">
        <w:rPr>
          <w:rFonts w:cs="Times New Roman"/>
          <w:sz w:val="20"/>
          <w:szCs w:val="20"/>
        </w:rPr>
        <w:t>) (3</w:t>
      </w:r>
      <w:r>
        <w:rPr>
          <w:rFonts w:cs="Times New Roman"/>
          <w:sz w:val="20"/>
          <w:szCs w:val="20"/>
        </w:rPr>
        <w:t>42</w:t>
      </w:r>
      <w:r w:rsidR="005C6840" w:rsidRPr="003B3977">
        <w:rPr>
          <w:rFonts w:cs="Times New Roman"/>
          <w:sz w:val="20"/>
          <w:szCs w:val="20"/>
        </w:rPr>
        <w:t>3</w:t>
      </w:r>
      <w:r>
        <w:rPr>
          <w:rFonts w:cs="Times New Roman"/>
          <w:sz w:val="20"/>
          <w:szCs w:val="20"/>
        </w:rPr>
        <w:t>1</w:t>
      </w:r>
      <w:r w:rsidR="005C6840" w:rsidRPr="003B3977">
        <w:rPr>
          <w:rFonts w:cs="Times New Roman"/>
          <w:sz w:val="20"/>
          <w:szCs w:val="20"/>
        </w:rPr>
        <w:t>)</w:t>
      </w:r>
    </w:p>
    <w:p w:rsidR="00EB01AF" w:rsidRPr="00B71236" w:rsidRDefault="00EB01AF" w:rsidP="00EB01AF">
      <w:pPr>
        <w:ind w:right="-11"/>
        <w:jc w:val="both"/>
        <w:rPr>
          <w:rStyle w:val="SCCRespondentForIndexChar"/>
          <w:rFonts w:eastAsiaTheme="minorHAnsi"/>
          <w:sz w:val="20"/>
          <w:lang w:val="en-US"/>
        </w:rPr>
      </w:pPr>
      <w:r w:rsidRPr="00B71236">
        <w:rPr>
          <w:rFonts w:cs="Times New Roman"/>
          <w:b/>
          <w:sz w:val="20"/>
          <w:szCs w:val="20"/>
          <w:lang w:val="en-US"/>
        </w:rPr>
        <w:t>Indexed as:  Reference re Broadcasting Regulatory Policy CRTC 2010 167 and Broadcasting Order CRTC 2010 168</w:t>
      </w:r>
      <w:r w:rsidRPr="00B71236">
        <w:rPr>
          <w:rStyle w:val="SCCRespondentForIndexChar"/>
          <w:rFonts w:eastAsiaTheme="minorHAnsi"/>
          <w:sz w:val="20"/>
          <w:lang w:val="en-US"/>
        </w:rPr>
        <w:t xml:space="preserve"> / </w:t>
      </w:r>
    </w:p>
    <w:p w:rsidR="00EB01AF" w:rsidRPr="00C7489A" w:rsidRDefault="00EB01AF" w:rsidP="00EB01AF">
      <w:pPr>
        <w:ind w:right="-11"/>
        <w:jc w:val="both"/>
        <w:rPr>
          <w:rFonts w:cs="Times New Roman"/>
          <w:b/>
          <w:sz w:val="20"/>
          <w:szCs w:val="20"/>
          <w:lang w:val="fr-CA"/>
        </w:rPr>
      </w:pPr>
      <w:r w:rsidRPr="009B4A8B">
        <w:rPr>
          <w:b/>
          <w:spacing w:val="3"/>
          <w:sz w:val="20"/>
          <w:szCs w:val="20"/>
          <w:lang w:val="fr-CA"/>
        </w:rPr>
        <w:t xml:space="preserve">Répertorié : </w:t>
      </w:r>
      <w:r w:rsidRPr="00C7489A">
        <w:rPr>
          <w:rFonts w:cs="Times New Roman"/>
          <w:b/>
          <w:sz w:val="20"/>
          <w:szCs w:val="20"/>
          <w:lang w:val="fr-CA"/>
        </w:rPr>
        <w:t>Renvoi relatif à la Politique réglementaire de radiodiffusion CRTC 2010 167 et l’ordonnance de radiodiffusion CRTC 2010 168</w:t>
      </w:r>
    </w:p>
    <w:p w:rsidR="005C6840" w:rsidRPr="00B95D9D" w:rsidRDefault="005C6840" w:rsidP="005C6840">
      <w:pPr>
        <w:pStyle w:val="SCCSystemYear"/>
        <w:jc w:val="both"/>
        <w:rPr>
          <w:sz w:val="20"/>
        </w:rPr>
      </w:pPr>
      <w:proofErr w:type="spellStart"/>
      <w:r w:rsidRPr="00B95D9D">
        <w:rPr>
          <w:sz w:val="20"/>
        </w:rPr>
        <w:t>Neutral</w:t>
      </w:r>
      <w:proofErr w:type="spellEnd"/>
      <w:r w:rsidRPr="00B95D9D">
        <w:rPr>
          <w:sz w:val="20"/>
        </w:rPr>
        <w:t xml:space="preserve"> citation</w:t>
      </w:r>
      <w:proofErr w:type="gramStart"/>
      <w:r w:rsidRPr="00B95D9D">
        <w:rPr>
          <w:sz w:val="20"/>
        </w:rPr>
        <w:t>:  201</w:t>
      </w:r>
      <w:r w:rsidR="004E1E0A" w:rsidRPr="00B95D9D">
        <w:rPr>
          <w:sz w:val="20"/>
        </w:rPr>
        <w:t>2</w:t>
      </w:r>
      <w:proofErr w:type="gramEnd"/>
      <w:r w:rsidRPr="00B95D9D">
        <w:rPr>
          <w:sz w:val="20"/>
        </w:rPr>
        <w:t xml:space="preserve"> SCC </w:t>
      </w:r>
      <w:r w:rsidR="00B95D9D" w:rsidRPr="00B95D9D">
        <w:rPr>
          <w:sz w:val="20"/>
        </w:rPr>
        <w:t>68</w:t>
      </w:r>
      <w:r w:rsidRPr="00B95D9D">
        <w:rPr>
          <w:sz w:val="20"/>
        </w:rPr>
        <w:t xml:space="preserve"> / Référence neutre : 201</w:t>
      </w:r>
      <w:r w:rsidR="004E1E0A" w:rsidRPr="00B95D9D">
        <w:rPr>
          <w:sz w:val="20"/>
        </w:rPr>
        <w:t>2</w:t>
      </w:r>
      <w:r w:rsidRPr="00B95D9D">
        <w:rPr>
          <w:sz w:val="20"/>
        </w:rPr>
        <w:t xml:space="preserve"> CSC </w:t>
      </w:r>
      <w:r w:rsidR="00B95D9D">
        <w:rPr>
          <w:sz w:val="20"/>
        </w:rPr>
        <w:t>68</w:t>
      </w:r>
    </w:p>
    <w:p w:rsidR="005C6840" w:rsidRPr="003B3977" w:rsidRDefault="005C6840" w:rsidP="005C6840">
      <w:pPr>
        <w:rPr>
          <w:rFonts w:cs="Times New Roman"/>
          <w:sz w:val="20"/>
          <w:szCs w:val="20"/>
          <w:lang w:val="fr-CA"/>
        </w:rPr>
      </w:pPr>
      <w:proofErr w:type="spellStart"/>
      <w:r w:rsidRPr="00B95D9D">
        <w:rPr>
          <w:rFonts w:cs="Times New Roman"/>
          <w:sz w:val="20"/>
          <w:szCs w:val="20"/>
          <w:lang w:val="fr-CA"/>
        </w:rPr>
        <w:t>Hearing</w:t>
      </w:r>
      <w:proofErr w:type="spellEnd"/>
      <w:proofErr w:type="gramStart"/>
      <w:r w:rsidRPr="00B95D9D">
        <w:rPr>
          <w:rFonts w:cs="Times New Roman"/>
          <w:sz w:val="20"/>
          <w:szCs w:val="20"/>
          <w:lang w:val="fr-CA"/>
        </w:rPr>
        <w:t xml:space="preserve">:  </w:t>
      </w:r>
      <w:r w:rsidR="00B95D9D" w:rsidRPr="00B95D9D">
        <w:rPr>
          <w:rFonts w:cs="Times New Roman"/>
          <w:sz w:val="20"/>
          <w:szCs w:val="20"/>
          <w:lang w:val="fr-CA"/>
        </w:rPr>
        <w:t>April</w:t>
      </w:r>
      <w:proofErr w:type="gramEnd"/>
      <w:r w:rsidR="00B95D9D" w:rsidRPr="00B95D9D">
        <w:rPr>
          <w:rFonts w:cs="Times New Roman"/>
          <w:sz w:val="20"/>
          <w:szCs w:val="20"/>
          <w:lang w:val="fr-CA"/>
        </w:rPr>
        <w:t xml:space="preserve"> 17</w:t>
      </w:r>
      <w:r w:rsidRPr="003B3977">
        <w:rPr>
          <w:rFonts w:cs="Times New Roman"/>
          <w:sz w:val="20"/>
          <w:szCs w:val="20"/>
          <w:lang w:val="fr-CA"/>
        </w:rPr>
        <w:t>, 201</w:t>
      </w:r>
      <w:r w:rsidR="00B95D9D">
        <w:rPr>
          <w:rFonts w:cs="Times New Roman"/>
          <w:sz w:val="20"/>
          <w:szCs w:val="20"/>
          <w:lang w:val="fr-CA"/>
        </w:rPr>
        <w:t>2</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B95D9D">
        <w:rPr>
          <w:rFonts w:cs="Times New Roman"/>
          <w:sz w:val="20"/>
          <w:szCs w:val="20"/>
          <w:lang w:val="fr-CA"/>
        </w:rPr>
        <w:t>December</w:t>
      </w:r>
      <w:proofErr w:type="spellEnd"/>
      <w:r w:rsidRPr="003B3977">
        <w:rPr>
          <w:rFonts w:cs="Times New Roman"/>
          <w:sz w:val="20"/>
          <w:szCs w:val="20"/>
          <w:lang w:val="fr-CA"/>
        </w:rPr>
        <w:t xml:space="preserve"> </w:t>
      </w:r>
      <w:r w:rsidR="00B95D9D">
        <w:rPr>
          <w:rFonts w:cs="Times New Roman"/>
          <w:sz w:val="20"/>
          <w:szCs w:val="20"/>
          <w:lang w:val="fr-CA"/>
        </w:rPr>
        <w:t>13</w:t>
      </w:r>
      <w:r w:rsidRPr="003B3977">
        <w:rPr>
          <w:rFonts w:cs="Times New Roman"/>
          <w:sz w:val="20"/>
          <w:szCs w:val="20"/>
          <w:lang w:val="fr-CA"/>
        </w:rPr>
        <w:t>, 201</w:t>
      </w:r>
      <w:r w:rsidR="004E1E0A">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B95D9D">
        <w:rPr>
          <w:rFonts w:cs="Times New Roman"/>
          <w:sz w:val="20"/>
          <w:szCs w:val="20"/>
          <w:lang w:val="fr-CA"/>
        </w:rPr>
        <w:t xml:space="preserve">17 avril </w:t>
      </w:r>
      <w:r w:rsidRPr="003B3977">
        <w:rPr>
          <w:rFonts w:cs="Times New Roman"/>
          <w:sz w:val="20"/>
          <w:szCs w:val="20"/>
          <w:lang w:val="fr-CA"/>
        </w:rPr>
        <w:t>201</w:t>
      </w:r>
      <w:r w:rsidR="00B95D9D">
        <w:rPr>
          <w:rFonts w:cs="Times New Roman"/>
          <w:sz w:val="20"/>
          <w:szCs w:val="20"/>
          <w:lang w:val="fr-CA"/>
        </w:rPr>
        <w:t>2</w:t>
      </w:r>
      <w:r w:rsidRPr="003B3977">
        <w:rPr>
          <w:rFonts w:cs="Times New Roman"/>
          <w:sz w:val="20"/>
          <w:szCs w:val="20"/>
          <w:lang w:val="fr-CA"/>
        </w:rPr>
        <w:t xml:space="preserve"> / Jugement : Le </w:t>
      </w:r>
      <w:r w:rsidR="00B95D9D">
        <w:rPr>
          <w:rFonts w:cs="Times New Roman"/>
          <w:sz w:val="20"/>
          <w:szCs w:val="20"/>
          <w:lang w:val="fr-CA"/>
        </w:rPr>
        <w:t>13 décem</w:t>
      </w:r>
      <w:r w:rsidRPr="003B3977">
        <w:rPr>
          <w:rFonts w:cs="Times New Roman"/>
          <w:sz w:val="20"/>
          <w:szCs w:val="20"/>
          <w:lang w:val="fr-CA"/>
        </w:rPr>
        <w:t>bre 201</w:t>
      </w:r>
      <w:r w:rsidR="004E1E0A">
        <w:rPr>
          <w:rFonts w:cs="Times New Roman"/>
          <w:sz w:val="20"/>
          <w:szCs w:val="20"/>
          <w:lang w:val="fr-CA"/>
        </w:rPr>
        <w:t>2</w:t>
      </w:r>
    </w:p>
    <w:p w:rsidR="005C6840" w:rsidRPr="003B3977" w:rsidRDefault="00D32E73" w:rsidP="005C6840">
      <w:pPr>
        <w:rPr>
          <w:rFonts w:cs="Times New Roman"/>
          <w:sz w:val="20"/>
          <w:szCs w:val="20"/>
          <w:lang w:val="fr-CA"/>
        </w:rPr>
      </w:pPr>
      <w:r w:rsidRPr="00D32E73">
        <w:rPr>
          <w:rFonts w:cs="Times New Roman"/>
          <w:i/>
          <w:sz w:val="20"/>
          <w:szCs w:val="20"/>
        </w:rPr>
        <w:pict>
          <v:rect id="_x0000_i107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364C5" w:rsidRPr="002F5D1D" w:rsidRDefault="00C364C5" w:rsidP="00C364C5">
      <w:pPr>
        <w:jc w:val="both"/>
        <w:rPr>
          <w:sz w:val="20"/>
          <w:szCs w:val="20"/>
        </w:rPr>
      </w:pPr>
      <w:r w:rsidRPr="002F5D1D">
        <w:rPr>
          <w:sz w:val="20"/>
          <w:szCs w:val="20"/>
        </w:rPr>
        <w:t xml:space="preserve">Present:  </w:t>
      </w:r>
      <w:proofErr w:type="spellStart"/>
      <w:r w:rsidRPr="002F5D1D">
        <w:rPr>
          <w:sz w:val="20"/>
          <w:szCs w:val="20"/>
        </w:rPr>
        <w:t>McLachlin</w:t>
      </w:r>
      <w:proofErr w:type="spellEnd"/>
      <w:r w:rsidRPr="002F5D1D">
        <w:rPr>
          <w:sz w:val="20"/>
          <w:szCs w:val="20"/>
        </w:rPr>
        <w:t xml:space="preserve"> C.J. and </w:t>
      </w:r>
      <w:proofErr w:type="spellStart"/>
      <w:r w:rsidRPr="002F5D1D">
        <w:rPr>
          <w:sz w:val="20"/>
          <w:szCs w:val="20"/>
        </w:rPr>
        <w:t>LeBel</w:t>
      </w:r>
      <w:proofErr w:type="spellEnd"/>
      <w:r w:rsidRPr="002F5D1D">
        <w:rPr>
          <w:sz w:val="20"/>
          <w:szCs w:val="20"/>
        </w:rPr>
        <w:t xml:space="preserve">, </w:t>
      </w:r>
      <w:proofErr w:type="spellStart"/>
      <w:r w:rsidRPr="002F5D1D">
        <w:rPr>
          <w:sz w:val="20"/>
          <w:szCs w:val="20"/>
        </w:rPr>
        <w:t>Deschamps</w:t>
      </w:r>
      <w:proofErr w:type="spellEnd"/>
      <w:r w:rsidRPr="002F5D1D">
        <w:rPr>
          <w:sz w:val="20"/>
          <w:szCs w:val="20"/>
        </w:rPr>
        <w:t xml:space="preserve">, Fish, </w:t>
      </w:r>
      <w:proofErr w:type="spellStart"/>
      <w:r w:rsidRPr="002F5D1D">
        <w:rPr>
          <w:sz w:val="20"/>
          <w:szCs w:val="20"/>
        </w:rPr>
        <w:t>Abella</w:t>
      </w:r>
      <w:proofErr w:type="spellEnd"/>
      <w:r w:rsidRPr="002F5D1D">
        <w:rPr>
          <w:sz w:val="20"/>
          <w:szCs w:val="20"/>
        </w:rPr>
        <w:t xml:space="preserve">, Rothstein, Cromwell, </w:t>
      </w:r>
      <w:proofErr w:type="spellStart"/>
      <w:r w:rsidRPr="002F5D1D">
        <w:rPr>
          <w:sz w:val="20"/>
          <w:szCs w:val="20"/>
        </w:rPr>
        <w:t>Moldaver</w:t>
      </w:r>
      <w:proofErr w:type="spellEnd"/>
      <w:r w:rsidRPr="002F5D1D">
        <w:rPr>
          <w:sz w:val="20"/>
          <w:szCs w:val="20"/>
        </w:rPr>
        <w:t xml:space="preserve"> and </w:t>
      </w:r>
      <w:proofErr w:type="spellStart"/>
      <w:r w:rsidRPr="002F5D1D">
        <w:rPr>
          <w:sz w:val="20"/>
          <w:szCs w:val="20"/>
        </w:rPr>
        <w:t>Karakatsanis</w:t>
      </w:r>
      <w:proofErr w:type="spellEnd"/>
      <w:r w:rsidRPr="002F5D1D">
        <w:rPr>
          <w:sz w:val="20"/>
          <w:szCs w:val="20"/>
        </w:rPr>
        <w:t> JJ.</w:t>
      </w:r>
    </w:p>
    <w:p w:rsidR="00C364C5" w:rsidRDefault="00C364C5" w:rsidP="00C364C5">
      <w:pPr>
        <w:pStyle w:val="SCCLowerCourtNameLowercase"/>
        <w:spacing w:line="240" w:lineRule="auto"/>
        <w:rPr>
          <w:sz w:val="20"/>
        </w:rPr>
      </w:pPr>
    </w:p>
    <w:p w:rsidR="00C364C5" w:rsidRPr="002F5D1D" w:rsidRDefault="00C364C5" w:rsidP="00C364C5">
      <w:pPr>
        <w:pStyle w:val="SCCNormalDoubleSpacing"/>
        <w:spacing w:line="240" w:lineRule="auto"/>
        <w:rPr>
          <w:i/>
          <w:sz w:val="20"/>
        </w:rPr>
      </w:pPr>
      <w:r w:rsidRPr="002F5D1D">
        <w:rPr>
          <w:sz w:val="20"/>
        </w:rPr>
        <w:tab/>
      </w:r>
      <w:r w:rsidRPr="002F5D1D">
        <w:rPr>
          <w:i/>
          <w:sz w:val="20"/>
        </w:rPr>
        <w:t>Communications law — Broadcasting — Canadian Radio</w:t>
      </w:r>
      <w:r w:rsidRPr="002F5D1D">
        <w:rPr>
          <w:i/>
          <w:sz w:val="20"/>
        </w:rPr>
        <w:noBreakHyphen/>
      </w:r>
      <w:proofErr w:type="spellStart"/>
      <w:r w:rsidRPr="002F5D1D">
        <w:rPr>
          <w:i/>
          <w:sz w:val="20"/>
        </w:rPr>
        <w:t>television</w:t>
      </w:r>
      <w:proofErr w:type="spellEnd"/>
      <w:r w:rsidRPr="002F5D1D">
        <w:rPr>
          <w:i/>
          <w:sz w:val="20"/>
        </w:rPr>
        <w:t xml:space="preserve"> and Telecommunications Commission (“CRTC”) adopting policy establishing market</w:t>
      </w:r>
      <w:r w:rsidRPr="002F5D1D">
        <w:rPr>
          <w:i/>
          <w:sz w:val="20"/>
        </w:rPr>
        <w:noBreakHyphen/>
      </w:r>
      <w:proofErr w:type="spellStart"/>
      <w:r w:rsidRPr="002F5D1D">
        <w:rPr>
          <w:i/>
          <w:sz w:val="20"/>
        </w:rPr>
        <w:t>based</w:t>
      </w:r>
      <w:proofErr w:type="spellEnd"/>
      <w:r w:rsidRPr="002F5D1D">
        <w:rPr>
          <w:i/>
          <w:sz w:val="20"/>
        </w:rPr>
        <w:t>, value for signal regulatory regime — Policy empowering private local television stations (“broadcasters”) to negotiate direct compensation for retransmission of signals by cable and satellite companies (“broadcasting distribution undertakings” or “BDUs”), as well as right to prohibit BDUs from retransmitting those signals if negotiations unsuccessful — Whether CRTC having jurisdiction under Broadcasting Act, to implement proposed regime — Broadcasting Act, S.C. 1991, c. 11, ss. 2, 3, 5, 9, 10.</w:t>
      </w:r>
    </w:p>
    <w:p w:rsidR="00C364C5" w:rsidRDefault="00C364C5" w:rsidP="00C364C5">
      <w:pPr>
        <w:pStyle w:val="SCCNormalDoubleSpacing"/>
        <w:spacing w:line="240" w:lineRule="auto"/>
        <w:rPr>
          <w:i/>
          <w:sz w:val="20"/>
        </w:rPr>
      </w:pPr>
    </w:p>
    <w:p w:rsidR="00C364C5" w:rsidRPr="002F5D1D" w:rsidRDefault="00C364C5" w:rsidP="00C364C5">
      <w:pPr>
        <w:pStyle w:val="SCCNormalDoubleSpacing"/>
        <w:spacing w:line="240" w:lineRule="auto"/>
        <w:rPr>
          <w:sz w:val="20"/>
        </w:rPr>
      </w:pPr>
      <w:r w:rsidRPr="002F5D1D">
        <w:rPr>
          <w:i/>
          <w:sz w:val="20"/>
        </w:rPr>
        <w:tab/>
        <w:t>Legislation — Conflicting legislation — CRTC adopting policy establishing market</w:t>
      </w:r>
      <w:r w:rsidRPr="002F5D1D">
        <w:rPr>
          <w:i/>
          <w:sz w:val="20"/>
        </w:rPr>
        <w:noBreakHyphen/>
      </w:r>
      <w:proofErr w:type="spellStart"/>
      <w:r w:rsidRPr="002F5D1D">
        <w:rPr>
          <w:i/>
          <w:sz w:val="20"/>
        </w:rPr>
        <w:t>based</w:t>
      </w:r>
      <w:proofErr w:type="spellEnd"/>
      <w:r w:rsidRPr="002F5D1D">
        <w:rPr>
          <w:i/>
          <w:sz w:val="20"/>
        </w:rPr>
        <w:t>, value for signal regulatory regime — Policy empowering broadcasters to negotiate direct compensation for retransmission of signals by BDUs, as well as right to prohibit BDUs from retransmitting those signals if negotiations unsuccessful — Whether proposed regime conflicting with Copyright Act — Whether Copyright Act limiting discretion of CRTC in exercising regulatory and licensing powers under Broadcasting Act — Broadcasting Act, S.C. 1991, c. 11, ss. 2, 3, 5, 9, 10 — Copyright Act, R.S.C. 1985, c. C</w:t>
      </w:r>
      <w:r w:rsidRPr="002F5D1D">
        <w:rPr>
          <w:i/>
          <w:sz w:val="20"/>
        </w:rPr>
        <w:noBreakHyphen/>
        <w:t>42, ss. 2, 21, 31, 89.</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Responding to recent changes to the broadcasting business environment, in 2010 the CRTC sought to introduce a market</w:t>
      </w:r>
      <w:r w:rsidRPr="002F5D1D">
        <w:rPr>
          <w:sz w:val="20"/>
        </w:rPr>
        <w:noBreakHyphen/>
      </w:r>
      <w:proofErr w:type="spellStart"/>
      <w:r w:rsidRPr="002F5D1D">
        <w:rPr>
          <w:sz w:val="20"/>
        </w:rPr>
        <w:t>based</w:t>
      </w:r>
      <w:proofErr w:type="spellEnd"/>
      <w:r w:rsidRPr="002F5D1D">
        <w:rPr>
          <w:sz w:val="20"/>
        </w:rPr>
        <w:t xml:space="preserve"> value for signal regulatory regime, whereby private local television stations could choose to negotiate direct compensation for the retransmission of their signals by BDUs, such as cable and satellite companies.  The new regime would empower broadcasters to authorize or prohibit BDUs from retransmitting their programming services.  The BDUs disputed the jurisdiction of the CRTC to implement such a regime on the basis that it conflicts with specific provisions in the </w:t>
      </w:r>
      <w:r w:rsidRPr="002F5D1D">
        <w:rPr>
          <w:i/>
          <w:sz w:val="20"/>
        </w:rPr>
        <w:t>Copyright Act</w:t>
      </w:r>
      <w:r w:rsidRPr="002F5D1D">
        <w:rPr>
          <w:sz w:val="20"/>
        </w:rPr>
        <w:t xml:space="preserve">.  As a result, the CRTC referred the question of its jurisdiction to the Federal Court of Appeal, which held the proposed regime was within the statutory authority of the CRTC pursuant to its broad mandate under the </w:t>
      </w:r>
      <w:r w:rsidRPr="002F5D1D">
        <w:rPr>
          <w:i/>
          <w:sz w:val="20"/>
        </w:rPr>
        <w:t>Broadcasting Act</w:t>
      </w:r>
      <w:r w:rsidRPr="002F5D1D">
        <w:rPr>
          <w:sz w:val="20"/>
        </w:rPr>
        <w:t xml:space="preserve"> to regulate and supervise all aspects of the Canadian broadcasting system, and that no conflict existed between the regime and the </w:t>
      </w:r>
      <w:r w:rsidRPr="002F5D1D">
        <w:rPr>
          <w:i/>
          <w:sz w:val="20"/>
        </w:rPr>
        <w:t>Copyright Act</w:t>
      </w:r>
      <w:r w:rsidRPr="002F5D1D">
        <w:rPr>
          <w:sz w:val="20"/>
        </w:rPr>
        <w:t>.</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r>
      <w:r w:rsidRPr="002F5D1D">
        <w:rPr>
          <w:i/>
          <w:sz w:val="20"/>
        </w:rPr>
        <w:t xml:space="preserve">Held </w:t>
      </w:r>
      <w:r w:rsidRPr="002F5D1D">
        <w:rPr>
          <w:sz w:val="20"/>
        </w:rPr>
        <w:t>(</w:t>
      </w:r>
      <w:proofErr w:type="spellStart"/>
      <w:r w:rsidRPr="002F5D1D">
        <w:rPr>
          <w:sz w:val="20"/>
        </w:rPr>
        <w:t>Abella</w:t>
      </w:r>
      <w:proofErr w:type="spellEnd"/>
      <w:r w:rsidRPr="002F5D1D">
        <w:rPr>
          <w:sz w:val="20"/>
        </w:rPr>
        <w:t xml:space="preserve">, </w:t>
      </w:r>
      <w:proofErr w:type="spellStart"/>
      <w:r w:rsidRPr="002F5D1D">
        <w:rPr>
          <w:sz w:val="20"/>
        </w:rPr>
        <w:t>Deschamps</w:t>
      </w:r>
      <w:proofErr w:type="spellEnd"/>
      <w:r w:rsidRPr="002F5D1D">
        <w:rPr>
          <w:sz w:val="20"/>
        </w:rPr>
        <w:t xml:space="preserve">, Cromwell and </w:t>
      </w:r>
      <w:proofErr w:type="spellStart"/>
      <w:r w:rsidRPr="002F5D1D">
        <w:rPr>
          <w:sz w:val="20"/>
        </w:rPr>
        <w:t>Karakatsanis</w:t>
      </w:r>
      <w:proofErr w:type="spellEnd"/>
      <w:r w:rsidRPr="002F5D1D">
        <w:rPr>
          <w:sz w:val="20"/>
        </w:rPr>
        <w:t xml:space="preserve"> JJ. </w:t>
      </w:r>
      <w:proofErr w:type="gramStart"/>
      <w:r w:rsidRPr="002F5D1D">
        <w:rPr>
          <w:sz w:val="20"/>
        </w:rPr>
        <w:t>dissenting)</w:t>
      </w:r>
      <w:proofErr w:type="gramEnd"/>
      <w:r w:rsidRPr="002F5D1D">
        <w:rPr>
          <w:sz w:val="20"/>
        </w:rPr>
        <w:t xml:space="preserve">:  The appeal should be allowed.  The proposed regulatory regime is </w:t>
      </w:r>
      <w:r w:rsidRPr="002F5D1D">
        <w:rPr>
          <w:i/>
          <w:sz w:val="20"/>
        </w:rPr>
        <w:t xml:space="preserve">ultra </w:t>
      </w:r>
      <w:proofErr w:type="spellStart"/>
      <w:r w:rsidRPr="002F5D1D">
        <w:rPr>
          <w:i/>
          <w:sz w:val="20"/>
        </w:rPr>
        <w:t>vires</w:t>
      </w:r>
      <w:proofErr w:type="spellEnd"/>
      <w:r w:rsidRPr="002F5D1D">
        <w:rPr>
          <w:i/>
          <w:sz w:val="20"/>
        </w:rPr>
        <w:t xml:space="preserve"> </w:t>
      </w:r>
      <w:r w:rsidRPr="002F5D1D">
        <w:rPr>
          <w:sz w:val="20"/>
        </w:rPr>
        <w:t>the CRTC.</w:t>
      </w:r>
    </w:p>
    <w:p w:rsidR="00C364C5" w:rsidRDefault="00C364C5" w:rsidP="00C364C5">
      <w:pPr>
        <w:pStyle w:val="SCCNormalDoubleSpacing"/>
        <w:spacing w:line="240" w:lineRule="auto"/>
        <w:rPr>
          <w:i/>
          <w:sz w:val="20"/>
        </w:rPr>
      </w:pPr>
    </w:p>
    <w:p w:rsidR="00C364C5" w:rsidRPr="002F5D1D" w:rsidRDefault="00C364C5" w:rsidP="00C364C5">
      <w:pPr>
        <w:pStyle w:val="SCCNormalDoubleSpacing"/>
        <w:spacing w:line="240" w:lineRule="auto"/>
        <w:rPr>
          <w:sz w:val="20"/>
        </w:rPr>
      </w:pPr>
      <w:r w:rsidRPr="002F5D1D">
        <w:rPr>
          <w:i/>
          <w:sz w:val="20"/>
        </w:rPr>
        <w:tab/>
        <w:t>Per</w:t>
      </w:r>
      <w:r w:rsidRPr="002F5D1D">
        <w:rPr>
          <w:sz w:val="20"/>
        </w:rPr>
        <w:t xml:space="preserve"> </w:t>
      </w:r>
      <w:proofErr w:type="spellStart"/>
      <w:r w:rsidRPr="002F5D1D">
        <w:rPr>
          <w:sz w:val="20"/>
        </w:rPr>
        <w:t>McLachlin</w:t>
      </w:r>
      <w:proofErr w:type="spellEnd"/>
      <w:r w:rsidRPr="002F5D1D">
        <w:rPr>
          <w:sz w:val="20"/>
        </w:rPr>
        <w:t xml:space="preserve"> C.J. and </w:t>
      </w:r>
      <w:proofErr w:type="spellStart"/>
      <w:r w:rsidRPr="002F5D1D">
        <w:rPr>
          <w:sz w:val="20"/>
        </w:rPr>
        <w:t>LeBel</w:t>
      </w:r>
      <w:proofErr w:type="spellEnd"/>
      <w:r w:rsidRPr="002F5D1D">
        <w:rPr>
          <w:sz w:val="20"/>
        </w:rPr>
        <w:t xml:space="preserve">, Fish, </w:t>
      </w:r>
      <w:r w:rsidRPr="002F5D1D">
        <w:rPr>
          <w:b/>
          <w:sz w:val="20"/>
        </w:rPr>
        <w:t>Rothstein</w:t>
      </w:r>
      <w:r w:rsidRPr="002F5D1D">
        <w:rPr>
          <w:sz w:val="20"/>
        </w:rPr>
        <w:t xml:space="preserve"> and </w:t>
      </w:r>
      <w:proofErr w:type="spellStart"/>
      <w:r w:rsidRPr="002F5D1D">
        <w:rPr>
          <w:sz w:val="20"/>
        </w:rPr>
        <w:t>Moldaver</w:t>
      </w:r>
      <w:proofErr w:type="spellEnd"/>
      <w:r w:rsidRPr="002F5D1D">
        <w:rPr>
          <w:sz w:val="20"/>
        </w:rPr>
        <w:t xml:space="preserve"> JJ.:  The provisions of the </w:t>
      </w:r>
      <w:r w:rsidRPr="002F5D1D">
        <w:rPr>
          <w:i/>
          <w:sz w:val="20"/>
        </w:rPr>
        <w:t>Broadcasting Act</w:t>
      </w:r>
      <w:r w:rsidRPr="002F5D1D">
        <w:rPr>
          <w:sz w:val="20"/>
        </w:rPr>
        <w:t xml:space="preserve">, considered in their entire context, may not be interpreted as authorizing the CRTC to implement the proposed value for signal regime.  </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 xml:space="preserve">No provision of the </w:t>
      </w:r>
      <w:r w:rsidRPr="002F5D1D">
        <w:rPr>
          <w:i/>
          <w:sz w:val="20"/>
        </w:rPr>
        <w:t>Broadcasting Act</w:t>
      </w:r>
      <w:r w:rsidRPr="002F5D1D">
        <w:rPr>
          <w:sz w:val="20"/>
        </w:rPr>
        <w:t xml:space="preserve"> expressly grants jurisdiction to the CRTC to implement the proposed regime, and it was not sufficient for the CRTC to find jurisdiction by referring in isolation to policy objectives in s. 3 and deem that the proposed value for signal regime would be beneficial for the achievement of those objectives.  Establishing any link, however tenuous, between a proposed regulation and a policy objective in s. 3 of the Act cannot be a sufficient test for conferring jurisdiction on the CRTC.  Policy statements are not jurisdiction</w:t>
      </w:r>
      <w:r w:rsidRPr="002F5D1D">
        <w:rPr>
          <w:sz w:val="20"/>
        </w:rPr>
        <w:noBreakHyphen/>
      </w:r>
      <w:proofErr w:type="spellStart"/>
      <w:r w:rsidRPr="002F5D1D">
        <w:rPr>
          <w:sz w:val="20"/>
        </w:rPr>
        <w:t>conferring</w:t>
      </w:r>
      <w:proofErr w:type="spellEnd"/>
      <w:r w:rsidRPr="002F5D1D">
        <w:rPr>
          <w:sz w:val="20"/>
        </w:rPr>
        <w:t xml:space="preserve"> provisions and cannot serve to extend the powers of the subordinate body to spheres not granted by Parliament.  Similarly, a broadly drafted basket clause in respect of regulation making authority (s. 10(1</w:t>
      </w:r>
      <w:proofErr w:type="gramStart"/>
      <w:r w:rsidRPr="002F5D1D">
        <w:rPr>
          <w:sz w:val="20"/>
        </w:rPr>
        <w:t>)(</w:t>
      </w:r>
      <w:proofErr w:type="gramEnd"/>
      <w:r w:rsidRPr="002F5D1D">
        <w:rPr>
          <w:i/>
          <w:sz w:val="20"/>
        </w:rPr>
        <w:t>k</w:t>
      </w:r>
      <w:r w:rsidRPr="002F5D1D">
        <w:rPr>
          <w:sz w:val="20"/>
        </w:rPr>
        <w:t>)), or an open</w:t>
      </w:r>
      <w:r w:rsidRPr="002F5D1D">
        <w:rPr>
          <w:sz w:val="20"/>
        </w:rPr>
        <w:noBreakHyphen/>
        <w:t>ended power to insert “such terms and conditions as the regulatory body deems appropriate” when issuing licences (s. 9(1)(</w:t>
      </w:r>
      <w:r w:rsidRPr="002F5D1D">
        <w:rPr>
          <w:i/>
          <w:sz w:val="20"/>
        </w:rPr>
        <w:t>h</w:t>
      </w:r>
      <w:r w:rsidRPr="002F5D1D">
        <w:rPr>
          <w:sz w:val="20"/>
        </w:rPr>
        <w:t xml:space="preserve">)) cannot be read in isolation, but rather must be taken in context with the rest of the section in which it is found.  Here, none of the specific fields for regulation set out in s. 10(1) pertain to the creation of exclusive rights for broadcasters to authorize or </w:t>
      </w:r>
      <w:r w:rsidRPr="002F5D1D">
        <w:rPr>
          <w:sz w:val="20"/>
        </w:rPr>
        <w:lastRenderedPageBreak/>
        <w:t xml:space="preserve">prohibit the distribution of signals or programs or the direct economic relationship between BDUs and broadcasters.  Reading the </w:t>
      </w:r>
      <w:r w:rsidRPr="002F5D1D">
        <w:rPr>
          <w:i/>
          <w:sz w:val="20"/>
        </w:rPr>
        <w:t>Broadcasting Act</w:t>
      </w:r>
      <w:r w:rsidRPr="002F5D1D">
        <w:rPr>
          <w:sz w:val="20"/>
        </w:rPr>
        <w:t xml:space="preserve"> in its entire context reveals that the creation of such rights is too far removed from the core purposes intended by Parliament and from the powers granted to the CRTC under that Act.</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 xml:space="preserve">Even if jurisdiction for the proposed value for signal regime could be found within the text of the </w:t>
      </w:r>
      <w:r w:rsidRPr="002F5D1D">
        <w:rPr>
          <w:i/>
          <w:sz w:val="20"/>
        </w:rPr>
        <w:t>Broadcasting Act</w:t>
      </w:r>
      <w:r w:rsidRPr="002F5D1D">
        <w:rPr>
          <w:sz w:val="20"/>
        </w:rPr>
        <w:t xml:space="preserve">, the proposed regime would conflict with specific provisions enacted by Parliament in the </w:t>
      </w:r>
      <w:r w:rsidRPr="002F5D1D">
        <w:rPr>
          <w:i/>
          <w:sz w:val="20"/>
        </w:rPr>
        <w:t>Copyright Act</w:t>
      </w:r>
      <w:r w:rsidRPr="002F5D1D">
        <w:rPr>
          <w:sz w:val="20"/>
        </w:rPr>
        <w:t xml:space="preserve">.  First, the value for signal regime conflicts with s. 21(1) because it would grant broadcasters a retransmission authorization right against BDUs that was withheld by the scheme of the </w:t>
      </w:r>
      <w:r w:rsidRPr="002F5D1D">
        <w:rPr>
          <w:i/>
          <w:sz w:val="20"/>
        </w:rPr>
        <w:t>Copyright Act</w:t>
      </w:r>
      <w:r w:rsidRPr="002F5D1D">
        <w:rPr>
          <w:sz w:val="20"/>
        </w:rPr>
        <w:t>.  A broadcaster’s s. 21(1</w:t>
      </w:r>
      <w:proofErr w:type="gramStart"/>
      <w:r w:rsidRPr="002F5D1D">
        <w:rPr>
          <w:sz w:val="20"/>
        </w:rPr>
        <w:t>)(</w:t>
      </w:r>
      <w:proofErr w:type="gramEnd"/>
      <w:r w:rsidRPr="002F5D1D">
        <w:rPr>
          <w:i/>
          <w:sz w:val="20"/>
        </w:rPr>
        <w:t>c</w:t>
      </w:r>
      <w:r w:rsidRPr="002F5D1D">
        <w:rPr>
          <w:sz w:val="20"/>
        </w:rPr>
        <w:t xml:space="preserve">) exclusive right to authorize, or not authorize, another broadcaster to simultaneously retransmit its signals does not include a right to authorize or prohibit a BDU from retransmitting those communication signals.  It would be incoherent for Parliament to set up a carefully tailored signals retransmission right in s. 21(1), specifically excluding BDUs from the scope of the broadcasters’ exclusive rights over the simultaneous retransmission of their signals, only to enable a subordinate legislative body to enact a functionally equivalent right through a related regime.  The value for signal regime would upset the aim of the </w:t>
      </w:r>
      <w:r w:rsidRPr="002F5D1D">
        <w:rPr>
          <w:i/>
          <w:sz w:val="20"/>
        </w:rPr>
        <w:t>Copyright Act</w:t>
      </w:r>
      <w:r w:rsidRPr="002F5D1D">
        <w:rPr>
          <w:sz w:val="20"/>
        </w:rPr>
        <w:t xml:space="preserve"> to effect an appropriate balance between authors’ and users’ rights as expressed by Parliament in s. 21(1). </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Second, further conflict arises between the value for signal regime and the retransmission rights in s. 31</w:t>
      </w:r>
      <w:r w:rsidRPr="002F5D1D">
        <w:rPr>
          <w:i/>
          <w:sz w:val="20"/>
        </w:rPr>
        <w:t xml:space="preserve">, </w:t>
      </w:r>
      <w:r w:rsidRPr="002F5D1D">
        <w:rPr>
          <w:sz w:val="20"/>
        </w:rPr>
        <w:t xml:space="preserve">which creates an exception to copyright infringement for the simultaneous retransmission by a BDU of a “work” carried in local signals.  The value for signal regime envisions giving broadcasters deletion rights, whereby the broadcaster unable to agree with a BDU about the compensation for the distribution of its programming services would be entitled to require any program to which it has exclusive exhibition rights to be deleted from the signals of any broadcaster distributed by the BDU.  The value for signal regime would effectively overturn the s. 31 exception, entitling broadcasters to control the simultaneous retransmission of works while the </w:t>
      </w:r>
      <w:r w:rsidRPr="002F5D1D">
        <w:rPr>
          <w:i/>
          <w:sz w:val="20"/>
        </w:rPr>
        <w:t>Copyright Act</w:t>
      </w:r>
      <w:r w:rsidRPr="002F5D1D">
        <w:rPr>
          <w:sz w:val="20"/>
        </w:rPr>
        <w:t xml:space="preserve"> specifically excludes retransmission from the control of copyright owners, including broadcasters.  In doing so, it would rewrite the balance between the owners’ and users’ interests as set out by Parliament in the </w:t>
      </w:r>
      <w:r w:rsidRPr="002F5D1D">
        <w:rPr>
          <w:i/>
          <w:sz w:val="20"/>
        </w:rPr>
        <w:t>Copyright Act</w:t>
      </w:r>
      <w:r w:rsidRPr="002F5D1D">
        <w:rPr>
          <w:sz w:val="20"/>
        </w:rPr>
        <w:t xml:space="preserve">.  Because the CRTC’s value for signal regime is inconsistent with the purpose of the </w:t>
      </w:r>
      <w:r w:rsidRPr="002F5D1D">
        <w:rPr>
          <w:i/>
          <w:sz w:val="20"/>
        </w:rPr>
        <w:t>Copyright Act</w:t>
      </w:r>
      <w:r w:rsidRPr="002F5D1D">
        <w:rPr>
          <w:sz w:val="20"/>
        </w:rPr>
        <w:t xml:space="preserve">, it falls outside of the scope of the CRTC’s licensing and regulatory jurisdiction under the </w:t>
      </w:r>
      <w:r w:rsidRPr="002F5D1D">
        <w:rPr>
          <w:i/>
          <w:sz w:val="20"/>
        </w:rPr>
        <w:t>Broadcasting Act</w:t>
      </w:r>
      <w:r w:rsidRPr="002F5D1D">
        <w:rPr>
          <w:sz w:val="20"/>
        </w:rPr>
        <w:t xml:space="preserve">. </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Section 31(2)(</w:t>
      </w:r>
      <w:r w:rsidRPr="002F5D1D">
        <w:rPr>
          <w:i/>
          <w:sz w:val="20"/>
        </w:rPr>
        <w:t>b</w:t>
      </w:r>
      <w:r w:rsidRPr="002F5D1D">
        <w:rPr>
          <w:sz w:val="20"/>
        </w:rPr>
        <w:t xml:space="preserve">), which provides that in order for the exception to copyright to apply the retransmission must be “lawful under the </w:t>
      </w:r>
      <w:r w:rsidRPr="002F5D1D">
        <w:rPr>
          <w:i/>
          <w:sz w:val="20"/>
        </w:rPr>
        <w:t>Broadcasting Act</w:t>
      </w:r>
      <w:r w:rsidRPr="002F5D1D">
        <w:rPr>
          <w:sz w:val="20"/>
        </w:rPr>
        <w:t xml:space="preserve">”, is also not sufficient to ground the CRTC’s jurisdiction to implement the value for signal regulatory regime.  A general reference to “lawful under the </w:t>
      </w:r>
      <w:r w:rsidRPr="002F5D1D">
        <w:rPr>
          <w:i/>
          <w:sz w:val="20"/>
        </w:rPr>
        <w:t>Broadcasting Act</w:t>
      </w:r>
      <w:r w:rsidRPr="002F5D1D">
        <w:rPr>
          <w:sz w:val="20"/>
        </w:rPr>
        <w:t>” cannot authorize the CRTC, acting under open</w:t>
      </w:r>
      <w:r w:rsidRPr="002F5D1D">
        <w:rPr>
          <w:sz w:val="20"/>
        </w:rPr>
        <w:noBreakHyphen/>
        <w:t>ended jurisdiction</w:t>
      </w:r>
      <w:r w:rsidRPr="002F5D1D">
        <w:rPr>
          <w:sz w:val="20"/>
        </w:rPr>
        <w:noBreakHyphen/>
      </w:r>
      <w:proofErr w:type="spellStart"/>
      <w:r w:rsidRPr="002F5D1D">
        <w:rPr>
          <w:sz w:val="20"/>
        </w:rPr>
        <w:t>conferring</w:t>
      </w:r>
      <w:proofErr w:type="spellEnd"/>
      <w:r w:rsidRPr="002F5D1D">
        <w:rPr>
          <w:sz w:val="20"/>
        </w:rPr>
        <w:t xml:space="preserve"> provisions, to displace the specific direction of Parliament in the </w:t>
      </w:r>
      <w:r w:rsidRPr="002F5D1D">
        <w:rPr>
          <w:i/>
          <w:sz w:val="20"/>
        </w:rPr>
        <w:t>Copyright Act</w:t>
      </w:r>
      <w:r w:rsidRPr="002F5D1D">
        <w:rPr>
          <w:sz w:val="20"/>
        </w:rPr>
        <w:t>.  Finally, the value for signal regime would create a new right to authorize and prevent retransmission, in effect, amending the copyright conferred by s. 21.  Thus the value for signal regime would create a new type of copyright and would do so without the required Act of Parliament, contrary to s. 89.</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r>
      <w:proofErr w:type="gramStart"/>
      <w:r w:rsidRPr="002F5D1D">
        <w:rPr>
          <w:i/>
          <w:sz w:val="20"/>
        </w:rPr>
        <w:t xml:space="preserve">Per </w:t>
      </w:r>
      <w:proofErr w:type="spellStart"/>
      <w:r w:rsidRPr="002F5D1D">
        <w:rPr>
          <w:b/>
          <w:sz w:val="20"/>
        </w:rPr>
        <w:t>Abella</w:t>
      </w:r>
      <w:proofErr w:type="spellEnd"/>
      <w:r w:rsidRPr="002F5D1D">
        <w:rPr>
          <w:sz w:val="20"/>
        </w:rPr>
        <w:t xml:space="preserve">, </w:t>
      </w:r>
      <w:proofErr w:type="spellStart"/>
      <w:r w:rsidRPr="002F5D1D">
        <w:rPr>
          <w:sz w:val="20"/>
        </w:rPr>
        <w:t>Deschamps</w:t>
      </w:r>
      <w:proofErr w:type="spellEnd"/>
      <w:r w:rsidRPr="002F5D1D">
        <w:rPr>
          <w:sz w:val="20"/>
        </w:rPr>
        <w:t xml:space="preserve">, </w:t>
      </w:r>
      <w:r w:rsidRPr="002F5D1D">
        <w:rPr>
          <w:b/>
          <w:sz w:val="20"/>
        </w:rPr>
        <w:t>Cromwell</w:t>
      </w:r>
      <w:r w:rsidRPr="002F5D1D">
        <w:rPr>
          <w:sz w:val="20"/>
        </w:rPr>
        <w:t xml:space="preserve"> and </w:t>
      </w:r>
      <w:proofErr w:type="spellStart"/>
      <w:r w:rsidRPr="002F5D1D">
        <w:rPr>
          <w:sz w:val="20"/>
        </w:rPr>
        <w:t>Karakatsanis</w:t>
      </w:r>
      <w:proofErr w:type="spellEnd"/>
      <w:r w:rsidRPr="002F5D1D">
        <w:rPr>
          <w:sz w:val="20"/>
        </w:rPr>
        <w:t> JJ.</w:t>
      </w:r>
      <w:proofErr w:type="gramEnd"/>
      <w:r w:rsidRPr="002F5D1D">
        <w:rPr>
          <w:sz w:val="20"/>
        </w:rPr>
        <w:t xml:space="preserve"> (</w:t>
      </w:r>
      <w:proofErr w:type="gramStart"/>
      <w:r w:rsidRPr="002F5D1D">
        <w:rPr>
          <w:sz w:val="20"/>
        </w:rPr>
        <w:t>dissenting</w:t>
      </w:r>
      <w:proofErr w:type="gramEnd"/>
      <w:r w:rsidRPr="002F5D1D">
        <w:rPr>
          <w:sz w:val="20"/>
        </w:rPr>
        <w:t>):  The CRTC determined that the proposed regime was necessary to preserve the viability of local television stations and ensure the fulfillment of the broadcasting policy objectives set out in s. 3(1) of the</w:t>
      </w:r>
      <w:r w:rsidRPr="002F5D1D">
        <w:rPr>
          <w:i/>
          <w:sz w:val="20"/>
        </w:rPr>
        <w:t xml:space="preserve"> Broadcasting Act.  </w:t>
      </w:r>
      <w:r w:rsidRPr="002F5D1D">
        <w:rPr>
          <w:sz w:val="20"/>
        </w:rPr>
        <w:t xml:space="preserve">Courts have consistently determined the validity of the CRTC’s exercises of power under the </w:t>
      </w:r>
      <w:r w:rsidRPr="002F5D1D">
        <w:rPr>
          <w:i/>
          <w:sz w:val="20"/>
        </w:rPr>
        <w:t xml:space="preserve">Broadcasting Act </w:t>
      </w:r>
      <w:r w:rsidRPr="002F5D1D">
        <w:rPr>
          <w:sz w:val="20"/>
        </w:rPr>
        <w:t>by asking whether the power was exercised in connection with a policy objective in s. 3(1).  This broad jurisdiction flows from the fact that the Act</w:t>
      </w:r>
      <w:r w:rsidRPr="002F5D1D">
        <w:rPr>
          <w:i/>
          <w:sz w:val="20"/>
        </w:rPr>
        <w:t xml:space="preserve"> </w:t>
      </w:r>
      <w:r w:rsidRPr="002F5D1D">
        <w:rPr>
          <w:sz w:val="20"/>
        </w:rPr>
        <w:t>contains generally</w:t>
      </w:r>
      <w:r w:rsidRPr="002F5D1D">
        <w:rPr>
          <w:sz w:val="20"/>
        </w:rPr>
        <w:noBreakHyphen/>
      </w:r>
      <w:proofErr w:type="spellStart"/>
      <w:r w:rsidRPr="002F5D1D">
        <w:rPr>
          <w:sz w:val="20"/>
        </w:rPr>
        <w:t>worded</w:t>
      </w:r>
      <w:proofErr w:type="spellEnd"/>
      <w:r w:rsidRPr="002F5D1D">
        <w:rPr>
          <w:sz w:val="20"/>
        </w:rPr>
        <w:t xml:space="preserve"> powers for the CRTC to regulate and supervise all aspects of the Canadian broadcasting system, to impose licensing conditions, and to make regulations as the CRTC deems appropriate to implement the objects set out in s. 3(1). </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 xml:space="preserve">The proposed regime is within the CRTC’s regulatory jurisdiction since it is demonstrably linked to several of the basic operative broadcasting policies in s. 3.  </w:t>
      </w:r>
      <w:r w:rsidRPr="002F5D1D">
        <w:rPr>
          <w:i/>
          <w:sz w:val="20"/>
        </w:rPr>
        <w:t>T</w:t>
      </w:r>
      <w:r w:rsidRPr="002F5D1D">
        <w:rPr>
          <w:sz w:val="20"/>
        </w:rPr>
        <w:t xml:space="preserve">he regime is merely an extension of the current regime, which places conditions, including financial ones, on BDUs for the licence to retransmit local stations’ signals.  This broad mandate to set licensing conditions in furtherance of Canada’s broadcasting policy is analogous to the CRTC’s broad mandate to set rates, recently upheld by this Court in </w:t>
      </w:r>
      <w:r w:rsidRPr="002F5D1D">
        <w:rPr>
          <w:i/>
          <w:sz w:val="20"/>
        </w:rPr>
        <w:t xml:space="preserve">Bell Canada v. Bell </w:t>
      </w:r>
      <w:proofErr w:type="spellStart"/>
      <w:r w:rsidRPr="002F5D1D">
        <w:rPr>
          <w:i/>
          <w:sz w:val="20"/>
        </w:rPr>
        <w:t>Aliant</w:t>
      </w:r>
      <w:proofErr w:type="spellEnd"/>
      <w:r w:rsidRPr="002F5D1D">
        <w:rPr>
          <w:i/>
          <w:sz w:val="20"/>
        </w:rPr>
        <w:t xml:space="preserve"> Regional Communications</w:t>
      </w:r>
      <w:r w:rsidRPr="002F5D1D">
        <w:rPr>
          <w:sz w:val="20"/>
        </w:rPr>
        <w:t>, 2009 SCC 40, [2009] 2 S.C.R. 764.</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 xml:space="preserve">The proposed regime does not create a conflict with the </w:t>
      </w:r>
      <w:r w:rsidRPr="002F5D1D">
        <w:rPr>
          <w:i/>
          <w:sz w:val="20"/>
        </w:rPr>
        <w:t>Copyright Act</w:t>
      </w:r>
      <w:r w:rsidRPr="002F5D1D">
        <w:rPr>
          <w:sz w:val="20"/>
        </w:rPr>
        <w:t xml:space="preserve">. It does not give local stations a copyright in the retransmission of their television signals.  BDUs derive their right to retransmit signals only from licences granted pursuant to s. 9 of the </w:t>
      </w:r>
      <w:r w:rsidRPr="002F5D1D">
        <w:rPr>
          <w:i/>
          <w:sz w:val="20"/>
        </w:rPr>
        <w:t>Broadcasting Act</w:t>
      </w:r>
      <w:r w:rsidRPr="002F5D1D">
        <w:rPr>
          <w:sz w:val="20"/>
        </w:rPr>
        <w:t xml:space="preserve">, and must meet the conditions imposed by the CRTC on their </w:t>
      </w:r>
      <w:r w:rsidRPr="002F5D1D">
        <w:rPr>
          <w:sz w:val="20"/>
        </w:rPr>
        <w:lastRenderedPageBreak/>
        <w:t>retransmission licences, including those set out in the proposed regime.  Nothing in either the definition of “broadcaster” or in s. 21(1</w:t>
      </w:r>
      <w:proofErr w:type="gramStart"/>
      <w:r w:rsidRPr="002F5D1D">
        <w:rPr>
          <w:sz w:val="20"/>
        </w:rPr>
        <w:t>)(</w:t>
      </w:r>
      <w:proofErr w:type="gramEnd"/>
      <w:r w:rsidRPr="002F5D1D">
        <w:rPr>
          <w:i/>
          <w:sz w:val="20"/>
        </w:rPr>
        <w:t>c</w:t>
      </w:r>
      <w:r w:rsidRPr="002F5D1D">
        <w:rPr>
          <w:sz w:val="20"/>
        </w:rPr>
        <w:t xml:space="preserve">) of the </w:t>
      </w:r>
      <w:r w:rsidRPr="002F5D1D">
        <w:rPr>
          <w:i/>
          <w:sz w:val="20"/>
        </w:rPr>
        <w:t>Copyright Act</w:t>
      </w:r>
      <w:r w:rsidRPr="002F5D1D">
        <w:rPr>
          <w:sz w:val="20"/>
        </w:rPr>
        <w:t xml:space="preserve"> immunizes BDUs from licensing requirements put in place by the CRTC in accordance with its broadcasting mandate.</w:t>
      </w:r>
    </w:p>
    <w:p w:rsidR="00C364C5" w:rsidRDefault="00C364C5" w:rsidP="00C364C5">
      <w:pPr>
        <w:pStyle w:val="SCCNormalDoubleSpacing"/>
        <w:spacing w:line="240" w:lineRule="auto"/>
        <w:rPr>
          <w:sz w:val="20"/>
        </w:rPr>
      </w:pPr>
    </w:p>
    <w:p w:rsidR="00C364C5" w:rsidRDefault="00C364C5" w:rsidP="00C364C5">
      <w:pPr>
        <w:pStyle w:val="SCCNormalDoubleSpacing"/>
        <w:spacing w:line="240" w:lineRule="auto"/>
        <w:rPr>
          <w:sz w:val="20"/>
        </w:rPr>
      </w:pPr>
      <w:r w:rsidRPr="002F5D1D">
        <w:rPr>
          <w:sz w:val="20"/>
        </w:rPr>
        <w:tab/>
        <w:t>The BDUs’ argument that the proposed regime creates royalties for local signals contrary to s. 31(2</w:t>
      </w:r>
      <w:proofErr w:type="gramStart"/>
      <w:r w:rsidRPr="002F5D1D">
        <w:rPr>
          <w:sz w:val="20"/>
        </w:rPr>
        <w:t>)(</w:t>
      </w:r>
      <w:proofErr w:type="gramEnd"/>
      <w:r w:rsidRPr="002F5D1D">
        <w:rPr>
          <w:i/>
          <w:sz w:val="20"/>
        </w:rPr>
        <w:t>d</w:t>
      </w:r>
      <w:r w:rsidRPr="002F5D1D">
        <w:rPr>
          <w:sz w:val="20"/>
        </w:rPr>
        <w:t xml:space="preserve">) of the </w:t>
      </w:r>
      <w:r w:rsidRPr="002F5D1D">
        <w:rPr>
          <w:i/>
          <w:sz w:val="20"/>
        </w:rPr>
        <w:t>Copyright Act</w:t>
      </w:r>
      <w:r w:rsidRPr="002F5D1D">
        <w:rPr>
          <w:sz w:val="20"/>
        </w:rPr>
        <w:t>, turns s. 31(2)(</w:t>
      </w:r>
      <w:r w:rsidRPr="002F5D1D">
        <w:rPr>
          <w:i/>
          <w:sz w:val="20"/>
        </w:rPr>
        <w:t>d</w:t>
      </w:r>
      <w:r w:rsidRPr="002F5D1D">
        <w:rPr>
          <w:sz w:val="20"/>
        </w:rPr>
        <w:t>) on its head.  Section 31(2</w:t>
      </w:r>
      <w:proofErr w:type="gramStart"/>
      <w:r w:rsidRPr="002F5D1D">
        <w:rPr>
          <w:sz w:val="20"/>
        </w:rPr>
        <w:t>)(</w:t>
      </w:r>
      <w:proofErr w:type="gramEnd"/>
      <w:r w:rsidRPr="002F5D1D">
        <w:rPr>
          <w:i/>
          <w:sz w:val="20"/>
        </w:rPr>
        <w:t>d</w:t>
      </w:r>
      <w:r w:rsidRPr="002F5D1D">
        <w:rPr>
          <w:sz w:val="20"/>
        </w:rPr>
        <w:t xml:space="preserve">) simply requires that BDUs pay a royalty to copyright owners for retransmitting “distant signals”.  This provision has nothing to do with whether the BDUs can be required to compensate local stations for a different purpose, namely, to fulfill the conditions of their retransmission license under the </w:t>
      </w:r>
      <w:r w:rsidRPr="002F5D1D">
        <w:rPr>
          <w:i/>
          <w:sz w:val="20"/>
        </w:rPr>
        <w:t>Broadcasting Act</w:t>
      </w:r>
      <w:r w:rsidRPr="002F5D1D">
        <w:rPr>
          <w:sz w:val="20"/>
        </w:rPr>
        <w:t>.</w:t>
      </w:r>
    </w:p>
    <w:p w:rsidR="00C364C5" w:rsidRDefault="00C364C5" w:rsidP="00C364C5">
      <w:pPr>
        <w:pStyle w:val="SCCNormalDoubleSpacing"/>
        <w:spacing w:line="240" w:lineRule="auto"/>
        <w:rPr>
          <w:sz w:val="20"/>
        </w:rPr>
      </w:pPr>
    </w:p>
    <w:p w:rsidR="00C364C5" w:rsidRPr="002F5D1D" w:rsidRDefault="00C364C5" w:rsidP="00C364C5">
      <w:pPr>
        <w:pStyle w:val="SCCNormalDoubleSpacing"/>
        <w:widowControl w:val="0"/>
        <w:spacing w:line="240" w:lineRule="auto"/>
        <w:rPr>
          <w:sz w:val="20"/>
        </w:rPr>
      </w:pPr>
      <w:r w:rsidRPr="002F5D1D">
        <w:rPr>
          <w:sz w:val="20"/>
        </w:rPr>
        <w:tab/>
        <w:t>APPEAL from a judgment of the Federal Court of Appeal (</w:t>
      </w:r>
      <w:proofErr w:type="spellStart"/>
      <w:r w:rsidRPr="002F5D1D">
        <w:rPr>
          <w:sz w:val="20"/>
        </w:rPr>
        <w:t>Nadon</w:t>
      </w:r>
      <w:proofErr w:type="spellEnd"/>
      <w:r w:rsidRPr="002F5D1D">
        <w:rPr>
          <w:sz w:val="20"/>
        </w:rPr>
        <w:t xml:space="preserve">, </w:t>
      </w:r>
      <w:proofErr w:type="spellStart"/>
      <w:r w:rsidRPr="002F5D1D">
        <w:rPr>
          <w:sz w:val="20"/>
        </w:rPr>
        <w:t>Sharlow</w:t>
      </w:r>
      <w:proofErr w:type="spellEnd"/>
      <w:r w:rsidRPr="002F5D1D">
        <w:rPr>
          <w:sz w:val="20"/>
        </w:rPr>
        <w:t xml:space="preserve"> and </w:t>
      </w:r>
      <w:proofErr w:type="spellStart"/>
      <w:r w:rsidRPr="002F5D1D">
        <w:rPr>
          <w:sz w:val="20"/>
        </w:rPr>
        <w:t>Layden</w:t>
      </w:r>
      <w:r w:rsidRPr="002F5D1D">
        <w:rPr>
          <w:sz w:val="20"/>
        </w:rPr>
        <w:noBreakHyphen/>
        <w:t>Stevenson</w:t>
      </w:r>
      <w:proofErr w:type="spellEnd"/>
      <w:r w:rsidRPr="002F5D1D">
        <w:rPr>
          <w:sz w:val="20"/>
        </w:rPr>
        <w:t xml:space="preserve"> JJ.A.), </w:t>
      </w:r>
      <w:r w:rsidR="00D32E73" w:rsidRPr="002F5D1D">
        <w:rPr>
          <w:sz w:val="20"/>
        </w:rPr>
        <w:fldChar w:fldCharType="begin"/>
      </w:r>
      <w:r w:rsidRPr="002F5D1D">
        <w:rPr>
          <w:sz w:val="20"/>
        </w:rPr>
        <w:instrText xml:space="preserve"> SEQ CHAPTER \h \r 1</w:instrText>
      </w:r>
      <w:r w:rsidR="00D32E73" w:rsidRPr="002F5D1D">
        <w:rPr>
          <w:sz w:val="20"/>
        </w:rPr>
        <w:fldChar w:fldCharType="end"/>
      </w:r>
      <w:r w:rsidRPr="002F5D1D">
        <w:rPr>
          <w:sz w:val="20"/>
        </w:rPr>
        <w:t xml:space="preserve">2011 FCA 64, 413 N.R. 312, 91 C.P.R. (4th) 389, [2011] F.C.J. No. 197 (QL), 2011 </w:t>
      </w:r>
      <w:proofErr w:type="spellStart"/>
      <w:r w:rsidRPr="002F5D1D">
        <w:rPr>
          <w:sz w:val="20"/>
        </w:rPr>
        <w:t>CarswellNat</w:t>
      </w:r>
      <w:proofErr w:type="spellEnd"/>
      <w:r w:rsidRPr="002F5D1D">
        <w:rPr>
          <w:sz w:val="20"/>
        </w:rPr>
        <w:t xml:space="preserve"> 398.  Appeal allowed, </w:t>
      </w:r>
      <w:proofErr w:type="spellStart"/>
      <w:r w:rsidRPr="002F5D1D">
        <w:rPr>
          <w:sz w:val="20"/>
        </w:rPr>
        <w:t>Deschamps</w:t>
      </w:r>
      <w:proofErr w:type="spellEnd"/>
      <w:r w:rsidRPr="002F5D1D">
        <w:rPr>
          <w:sz w:val="20"/>
        </w:rPr>
        <w:t xml:space="preserve">, </w:t>
      </w:r>
      <w:proofErr w:type="spellStart"/>
      <w:r w:rsidRPr="002F5D1D">
        <w:rPr>
          <w:sz w:val="20"/>
        </w:rPr>
        <w:t>Abella</w:t>
      </w:r>
      <w:proofErr w:type="spellEnd"/>
      <w:r w:rsidRPr="002F5D1D">
        <w:rPr>
          <w:sz w:val="20"/>
        </w:rPr>
        <w:t xml:space="preserve">, Cromwell and </w:t>
      </w:r>
      <w:proofErr w:type="spellStart"/>
      <w:r w:rsidRPr="002F5D1D">
        <w:rPr>
          <w:sz w:val="20"/>
        </w:rPr>
        <w:t>Karakatsanis</w:t>
      </w:r>
      <w:proofErr w:type="spellEnd"/>
      <w:r w:rsidRPr="002F5D1D">
        <w:rPr>
          <w:sz w:val="20"/>
        </w:rPr>
        <w:t xml:space="preserve"> dissenting.</w:t>
      </w:r>
    </w:p>
    <w:p w:rsidR="00C364C5" w:rsidRDefault="00C364C5" w:rsidP="00C364C5">
      <w:pPr>
        <w:pStyle w:val="SCCNormalDoubleSpacing"/>
        <w:spacing w:line="240" w:lineRule="auto"/>
        <w:rPr>
          <w:i/>
          <w:sz w:val="20"/>
        </w:rPr>
      </w:pPr>
    </w:p>
    <w:p w:rsidR="00C364C5" w:rsidRPr="002F5D1D" w:rsidRDefault="00C364C5" w:rsidP="00C364C5">
      <w:pPr>
        <w:pStyle w:val="SCCNormalDoubleSpacing"/>
        <w:spacing w:line="240" w:lineRule="auto"/>
        <w:rPr>
          <w:sz w:val="20"/>
        </w:rPr>
      </w:pPr>
      <w:r w:rsidRPr="002F5D1D">
        <w:rPr>
          <w:i/>
          <w:sz w:val="20"/>
        </w:rPr>
        <w:tab/>
      </w:r>
      <w:proofErr w:type="gramStart"/>
      <w:r w:rsidRPr="002F5D1D">
        <w:rPr>
          <w:i/>
          <w:sz w:val="20"/>
        </w:rPr>
        <w:t>Neil Finkelstein</w:t>
      </w:r>
      <w:r w:rsidRPr="002F5D1D">
        <w:rPr>
          <w:sz w:val="20"/>
        </w:rPr>
        <w:t xml:space="preserve">, </w:t>
      </w:r>
      <w:r w:rsidRPr="002F5D1D">
        <w:rPr>
          <w:i/>
          <w:sz w:val="20"/>
        </w:rPr>
        <w:t>Steven G. Mason</w:t>
      </w:r>
      <w:r w:rsidRPr="002F5D1D">
        <w:rPr>
          <w:sz w:val="20"/>
        </w:rPr>
        <w:t xml:space="preserve"> and </w:t>
      </w:r>
      <w:r w:rsidRPr="002F5D1D">
        <w:rPr>
          <w:i/>
          <w:sz w:val="20"/>
        </w:rPr>
        <w:t>Daniel G. C. Glover</w:t>
      </w:r>
      <w:r w:rsidRPr="002F5D1D">
        <w:rPr>
          <w:sz w:val="20"/>
        </w:rPr>
        <w:t xml:space="preserve">, for the appellant </w:t>
      </w:r>
      <w:proofErr w:type="spellStart"/>
      <w:r w:rsidRPr="002F5D1D">
        <w:rPr>
          <w:sz w:val="20"/>
        </w:rPr>
        <w:t>Cogeco</w:t>
      </w:r>
      <w:proofErr w:type="spellEnd"/>
      <w:r w:rsidRPr="002F5D1D">
        <w:rPr>
          <w:sz w:val="20"/>
        </w:rPr>
        <w:t xml:space="preserve"> Cable Inc.</w:t>
      </w:r>
      <w:proofErr w:type="gramEnd"/>
    </w:p>
    <w:p w:rsidR="00C364C5" w:rsidRDefault="00C364C5" w:rsidP="00C364C5">
      <w:pPr>
        <w:pStyle w:val="SCCNormalDoubleSpacing"/>
        <w:spacing w:line="240" w:lineRule="auto"/>
        <w:rPr>
          <w:i/>
          <w:sz w:val="20"/>
        </w:rPr>
      </w:pPr>
    </w:p>
    <w:p w:rsidR="00C364C5" w:rsidRPr="002F5D1D" w:rsidRDefault="00C364C5" w:rsidP="00C364C5">
      <w:pPr>
        <w:pStyle w:val="SCCNormalDoubleSpacing"/>
        <w:spacing w:line="240" w:lineRule="auto"/>
        <w:rPr>
          <w:sz w:val="20"/>
        </w:rPr>
      </w:pPr>
      <w:r w:rsidRPr="002F5D1D">
        <w:rPr>
          <w:i/>
          <w:sz w:val="20"/>
        </w:rPr>
        <w:tab/>
      </w:r>
      <w:proofErr w:type="gramStart"/>
      <w:r w:rsidRPr="002F5D1D">
        <w:rPr>
          <w:i/>
          <w:sz w:val="20"/>
        </w:rPr>
        <w:t>Gerald L. Kerr</w:t>
      </w:r>
      <w:r w:rsidRPr="002F5D1D">
        <w:rPr>
          <w:i/>
          <w:sz w:val="20"/>
        </w:rPr>
        <w:noBreakHyphen/>
      </w:r>
      <w:proofErr w:type="spellStart"/>
      <w:r w:rsidRPr="002F5D1D">
        <w:rPr>
          <w:i/>
          <w:sz w:val="20"/>
        </w:rPr>
        <w:t>Wilson</w:t>
      </w:r>
      <w:proofErr w:type="spellEnd"/>
      <w:r w:rsidRPr="002F5D1D">
        <w:rPr>
          <w:sz w:val="20"/>
        </w:rPr>
        <w:t xml:space="preserve"> and </w:t>
      </w:r>
      <w:r w:rsidRPr="002F5D1D">
        <w:rPr>
          <w:i/>
          <w:sz w:val="20"/>
        </w:rPr>
        <w:t>Ariel Thomas</w:t>
      </w:r>
      <w:r w:rsidRPr="002F5D1D">
        <w:rPr>
          <w:sz w:val="20"/>
        </w:rPr>
        <w:t>, for the appellants Rogers Communications Inc. and TELUS Communications Company.</w:t>
      </w:r>
      <w:proofErr w:type="gramEnd"/>
    </w:p>
    <w:p w:rsidR="00C364C5" w:rsidRDefault="00C364C5" w:rsidP="00C364C5">
      <w:pPr>
        <w:pStyle w:val="SCCNormalDoubleSpacing"/>
        <w:spacing w:line="240" w:lineRule="auto"/>
        <w:rPr>
          <w:i/>
          <w:sz w:val="20"/>
        </w:rPr>
      </w:pPr>
    </w:p>
    <w:p w:rsidR="00C364C5" w:rsidRPr="002F5D1D" w:rsidRDefault="00C364C5" w:rsidP="00C364C5">
      <w:pPr>
        <w:pStyle w:val="SCCNormalDoubleSpacing"/>
        <w:spacing w:line="240" w:lineRule="auto"/>
        <w:rPr>
          <w:sz w:val="20"/>
        </w:rPr>
      </w:pPr>
      <w:r w:rsidRPr="002F5D1D">
        <w:rPr>
          <w:i/>
          <w:sz w:val="20"/>
        </w:rPr>
        <w:tab/>
      </w:r>
      <w:proofErr w:type="gramStart"/>
      <w:r w:rsidRPr="002F5D1D">
        <w:rPr>
          <w:i/>
          <w:sz w:val="20"/>
        </w:rPr>
        <w:t>Kent E. Thomson</w:t>
      </w:r>
      <w:r w:rsidRPr="002F5D1D">
        <w:rPr>
          <w:sz w:val="20"/>
        </w:rPr>
        <w:t xml:space="preserve">, </w:t>
      </w:r>
      <w:r w:rsidRPr="002F5D1D">
        <w:rPr>
          <w:i/>
          <w:sz w:val="20"/>
        </w:rPr>
        <w:t>James Doris</w:t>
      </w:r>
      <w:r w:rsidRPr="002F5D1D">
        <w:rPr>
          <w:sz w:val="20"/>
        </w:rPr>
        <w:t xml:space="preserve"> and </w:t>
      </w:r>
      <w:r w:rsidRPr="002F5D1D">
        <w:rPr>
          <w:i/>
          <w:sz w:val="20"/>
        </w:rPr>
        <w:t>Sarah Weingarten</w:t>
      </w:r>
      <w:r w:rsidRPr="002F5D1D">
        <w:rPr>
          <w:sz w:val="20"/>
        </w:rPr>
        <w:t>, for the appellant Shaw Communications Inc.</w:t>
      </w:r>
      <w:proofErr w:type="gramEnd"/>
    </w:p>
    <w:p w:rsidR="00C364C5" w:rsidRDefault="00C364C5" w:rsidP="00C364C5">
      <w:pPr>
        <w:pStyle w:val="SCCNormalDoubleSpacing"/>
        <w:spacing w:line="240" w:lineRule="auto"/>
        <w:rPr>
          <w:i/>
          <w:sz w:val="20"/>
        </w:rPr>
      </w:pPr>
    </w:p>
    <w:p w:rsidR="00C364C5" w:rsidRPr="002F5D1D" w:rsidRDefault="00C364C5" w:rsidP="00C364C5">
      <w:pPr>
        <w:pStyle w:val="SCCNormalDoubleSpacing"/>
        <w:spacing w:line="240" w:lineRule="auto"/>
        <w:rPr>
          <w:sz w:val="20"/>
        </w:rPr>
      </w:pPr>
      <w:r w:rsidRPr="002F5D1D">
        <w:rPr>
          <w:i/>
          <w:sz w:val="20"/>
        </w:rPr>
        <w:tab/>
        <w:t xml:space="preserve">Benjamin </w:t>
      </w:r>
      <w:proofErr w:type="spellStart"/>
      <w:r w:rsidRPr="002F5D1D">
        <w:rPr>
          <w:i/>
          <w:sz w:val="20"/>
        </w:rPr>
        <w:t>Zarnett</w:t>
      </w:r>
      <w:proofErr w:type="spellEnd"/>
      <w:r w:rsidRPr="002F5D1D">
        <w:rPr>
          <w:sz w:val="20"/>
        </w:rPr>
        <w:t xml:space="preserve">, </w:t>
      </w:r>
      <w:r w:rsidRPr="002F5D1D">
        <w:rPr>
          <w:i/>
          <w:sz w:val="20"/>
        </w:rPr>
        <w:t xml:space="preserve">Robert </w:t>
      </w:r>
      <w:proofErr w:type="spellStart"/>
      <w:r w:rsidRPr="002F5D1D">
        <w:rPr>
          <w:i/>
          <w:sz w:val="20"/>
        </w:rPr>
        <w:t>Malcomson</w:t>
      </w:r>
      <w:proofErr w:type="spellEnd"/>
      <w:r w:rsidRPr="002F5D1D">
        <w:rPr>
          <w:i/>
          <w:sz w:val="20"/>
        </w:rPr>
        <w:t>, Peter Ruby</w:t>
      </w:r>
      <w:r w:rsidRPr="002F5D1D">
        <w:rPr>
          <w:sz w:val="20"/>
        </w:rPr>
        <w:t xml:space="preserve"> and </w:t>
      </w:r>
      <w:r w:rsidRPr="002F5D1D">
        <w:rPr>
          <w:i/>
          <w:sz w:val="20"/>
        </w:rPr>
        <w:t>Julie Rosenthal</w:t>
      </w:r>
      <w:r w:rsidRPr="002F5D1D">
        <w:rPr>
          <w:sz w:val="20"/>
        </w:rPr>
        <w:t xml:space="preserve">, for the respondents Bell Media Inc. (formerly CTV </w:t>
      </w:r>
      <w:proofErr w:type="spellStart"/>
      <w:r w:rsidRPr="002F5D1D">
        <w:rPr>
          <w:sz w:val="20"/>
        </w:rPr>
        <w:t>Globemedia</w:t>
      </w:r>
      <w:proofErr w:type="spellEnd"/>
      <w:r w:rsidRPr="002F5D1D">
        <w:rPr>
          <w:sz w:val="20"/>
        </w:rPr>
        <w:t xml:space="preserve"> Inc.), Newfoundland Broadcasting Co. Ltd. and V Interactions Inc.</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 xml:space="preserve">No one appeared for the respondent </w:t>
      </w:r>
      <w:proofErr w:type="spellStart"/>
      <w:r w:rsidRPr="002F5D1D">
        <w:rPr>
          <w:sz w:val="20"/>
        </w:rPr>
        <w:t>Canwest</w:t>
      </w:r>
      <w:proofErr w:type="spellEnd"/>
      <w:r w:rsidRPr="002F5D1D">
        <w:rPr>
          <w:sz w:val="20"/>
        </w:rPr>
        <w:t xml:space="preserve"> Television Limited Partnership.</w:t>
      </w:r>
    </w:p>
    <w:p w:rsidR="00C364C5" w:rsidRDefault="00C364C5" w:rsidP="00C364C5">
      <w:pPr>
        <w:pStyle w:val="SCCNormalDoubleSpacing"/>
        <w:spacing w:line="240" w:lineRule="auto"/>
        <w:rPr>
          <w:sz w:val="20"/>
        </w:rPr>
      </w:pPr>
    </w:p>
    <w:p w:rsidR="00C364C5" w:rsidRPr="002F5D1D" w:rsidRDefault="00C364C5" w:rsidP="00C364C5">
      <w:pPr>
        <w:pStyle w:val="SCCNormalDoubleSpacing"/>
        <w:spacing w:line="240" w:lineRule="auto"/>
        <w:rPr>
          <w:sz w:val="20"/>
        </w:rPr>
      </w:pPr>
      <w:r w:rsidRPr="002F5D1D">
        <w:rPr>
          <w:sz w:val="20"/>
        </w:rPr>
        <w:tab/>
        <w:t>No one appeared for the intervener.</w:t>
      </w:r>
    </w:p>
    <w:p w:rsidR="00C364C5" w:rsidRDefault="00C364C5" w:rsidP="00C364C5">
      <w:pPr>
        <w:pStyle w:val="SCCLawFirm"/>
        <w:spacing w:line="240" w:lineRule="auto"/>
        <w:rPr>
          <w:sz w:val="20"/>
        </w:rPr>
      </w:pPr>
    </w:p>
    <w:p w:rsidR="00C364C5" w:rsidRPr="002F5D1D" w:rsidRDefault="00C364C5" w:rsidP="00C364C5">
      <w:pPr>
        <w:pStyle w:val="SCCLawFirm"/>
        <w:spacing w:line="240" w:lineRule="auto"/>
        <w:rPr>
          <w:sz w:val="20"/>
        </w:rPr>
      </w:pPr>
      <w:r w:rsidRPr="002F5D1D">
        <w:rPr>
          <w:sz w:val="20"/>
        </w:rPr>
        <w:tab/>
        <w:t xml:space="preserve">Solicitors for the appellant </w:t>
      </w:r>
      <w:proofErr w:type="spellStart"/>
      <w:r w:rsidRPr="002F5D1D">
        <w:rPr>
          <w:sz w:val="20"/>
        </w:rPr>
        <w:t>Cogeco</w:t>
      </w:r>
      <w:proofErr w:type="spellEnd"/>
      <w:r w:rsidRPr="002F5D1D">
        <w:rPr>
          <w:sz w:val="20"/>
        </w:rPr>
        <w:t xml:space="preserve"> Cable Inc.</w:t>
      </w:r>
      <w:r w:rsidRPr="002F5D1D">
        <w:rPr>
          <w:i w:val="0"/>
          <w:sz w:val="20"/>
        </w:rPr>
        <w:t>:</w:t>
      </w:r>
      <w:r w:rsidRPr="002F5D1D">
        <w:rPr>
          <w:sz w:val="20"/>
        </w:rPr>
        <w:t xml:space="preserve">  McCarthy </w:t>
      </w:r>
      <w:proofErr w:type="spellStart"/>
      <w:r w:rsidRPr="002F5D1D">
        <w:rPr>
          <w:sz w:val="20"/>
        </w:rPr>
        <w:t>Tétrault</w:t>
      </w:r>
      <w:proofErr w:type="spellEnd"/>
      <w:r w:rsidRPr="002F5D1D">
        <w:rPr>
          <w:sz w:val="20"/>
        </w:rPr>
        <w:t>, Toronto.</w:t>
      </w:r>
    </w:p>
    <w:p w:rsidR="00C364C5" w:rsidRDefault="00C364C5" w:rsidP="00C364C5">
      <w:pPr>
        <w:pStyle w:val="SCCLawFirm"/>
        <w:spacing w:line="240" w:lineRule="auto"/>
        <w:rPr>
          <w:sz w:val="20"/>
        </w:rPr>
      </w:pPr>
    </w:p>
    <w:p w:rsidR="00C364C5" w:rsidRPr="002F5D1D" w:rsidRDefault="00C364C5" w:rsidP="00C364C5">
      <w:pPr>
        <w:pStyle w:val="SCCLawFirm"/>
        <w:spacing w:line="240" w:lineRule="auto"/>
        <w:rPr>
          <w:sz w:val="20"/>
        </w:rPr>
      </w:pPr>
      <w:r w:rsidRPr="002F5D1D">
        <w:rPr>
          <w:sz w:val="20"/>
        </w:rPr>
        <w:tab/>
        <w:t>Solicitors for the</w:t>
      </w:r>
      <w:r w:rsidRPr="002F5D1D">
        <w:rPr>
          <w:i w:val="0"/>
          <w:sz w:val="20"/>
        </w:rPr>
        <w:t xml:space="preserve"> </w:t>
      </w:r>
      <w:r w:rsidRPr="002F5D1D">
        <w:rPr>
          <w:sz w:val="20"/>
        </w:rPr>
        <w:t>appellants</w:t>
      </w:r>
      <w:r w:rsidRPr="002F5D1D">
        <w:rPr>
          <w:i w:val="0"/>
          <w:sz w:val="20"/>
        </w:rPr>
        <w:t xml:space="preserve"> </w:t>
      </w:r>
      <w:r w:rsidRPr="002F5D1D">
        <w:rPr>
          <w:sz w:val="20"/>
        </w:rPr>
        <w:t>Rogers Communications Inc. and TELUS Communications Company</w:t>
      </w:r>
      <w:r w:rsidRPr="002F5D1D">
        <w:rPr>
          <w:i w:val="0"/>
          <w:sz w:val="20"/>
        </w:rPr>
        <w:t>:  </w:t>
      </w:r>
      <w:proofErr w:type="spellStart"/>
      <w:r w:rsidRPr="002F5D1D">
        <w:rPr>
          <w:sz w:val="20"/>
        </w:rPr>
        <w:t>Fasken</w:t>
      </w:r>
      <w:proofErr w:type="spellEnd"/>
      <w:r w:rsidRPr="002F5D1D">
        <w:rPr>
          <w:sz w:val="20"/>
        </w:rPr>
        <w:t xml:space="preserve"> Martineau </w:t>
      </w:r>
      <w:proofErr w:type="spellStart"/>
      <w:r w:rsidRPr="002F5D1D">
        <w:rPr>
          <w:sz w:val="20"/>
        </w:rPr>
        <w:t>DuMoulin</w:t>
      </w:r>
      <w:proofErr w:type="spellEnd"/>
      <w:r w:rsidRPr="002F5D1D">
        <w:rPr>
          <w:sz w:val="20"/>
        </w:rPr>
        <w:t>, Ottawa.</w:t>
      </w:r>
    </w:p>
    <w:p w:rsidR="00C364C5" w:rsidRDefault="00C364C5" w:rsidP="00C364C5">
      <w:pPr>
        <w:pStyle w:val="SCCLawFirm"/>
        <w:spacing w:line="240" w:lineRule="auto"/>
        <w:rPr>
          <w:sz w:val="20"/>
        </w:rPr>
      </w:pPr>
    </w:p>
    <w:p w:rsidR="00C364C5" w:rsidRPr="002F5D1D" w:rsidRDefault="00C364C5" w:rsidP="00C364C5">
      <w:pPr>
        <w:pStyle w:val="SCCLawFirm"/>
        <w:spacing w:line="240" w:lineRule="auto"/>
        <w:rPr>
          <w:sz w:val="20"/>
        </w:rPr>
      </w:pPr>
      <w:r w:rsidRPr="002F5D1D">
        <w:rPr>
          <w:sz w:val="20"/>
        </w:rPr>
        <w:tab/>
        <w:t>Solicitors for the appellant Shaw Communications Inc.:  Davies Ward Phillips &amp; Vineberg, Toronto.</w:t>
      </w:r>
    </w:p>
    <w:p w:rsidR="00C364C5" w:rsidRDefault="00C364C5" w:rsidP="00C364C5">
      <w:pPr>
        <w:pStyle w:val="SCCLawFirm"/>
        <w:spacing w:line="240" w:lineRule="auto"/>
        <w:rPr>
          <w:sz w:val="20"/>
        </w:rPr>
      </w:pPr>
    </w:p>
    <w:p w:rsidR="00C364C5" w:rsidRPr="002F5D1D" w:rsidRDefault="00C364C5" w:rsidP="00C364C5">
      <w:pPr>
        <w:pStyle w:val="SCCLawFirm"/>
        <w:spacing w:line="240" w:lineRule="auto"/>
        <w:rPr>
          <w:sz w:val="20"/>
        </w:rPr>
      </w:pPr>
      <w:r w:rsidRPr="002F5D1D">
        <w:rPr>
          <w:sz w:val="20"/>
        </w:rPr>
        <w:tab/>
        <w:t xml:space="preserve">Solicitors for the respondents Bell Media Inc. (formerly CTV </w:t>
      </w:r>
      <w:proofErr w:type="spellStart"/>
      <w:r w:rsidRPr="002F5D1D">
        <w:rPr>
          <w:sz w:val="20"/>
        </w:rPr>
        <w:t>Globemedia</w:t>
      </w:r>
      <w:proofErr w:type="spellEnd"/>
      <w:r w:rsidRPr="002F5D1D">
        <w:rPr>
          <w:sz w:val="20"/>
        </w:rPr>
        <w:t xml:space="preserve"> Inc.), Newfoundland Broadcasting Co. Ltd. and V Interactions Inc.:  </w:t>
      </w:r>
      <w:proofErr w:type="spellStart"/>
      <w:r w:rsidRPr="002F5D1D">
        <w:rPr>
          <w:sz w:val="20"/>
        </w:rPr>
        <w:t>Goodmans</w:t>
      </w:r>
      <w:proofErr w:type="spellEnd"/>
      <w:r w:rsidRPr="002F5D1D">
        <w:rPr>
          <w:sz w:val="20"/>
        </w:rPr>
        <w:t>, Toronto.</w:t>
      </w:r>
    </w:p>
    <w:p w:rsidR="00C364C5" w:rsidRDefault="00C364C5" w:rsidP="00C364C5">
      <w:pPr>
        <w:pStyle w:val="SCCLawFirm"/>
        <w:spacing w:line="240" w:lineRule="auto"/>
        <w:rPr>
          <w:sz w:val="20"/>
        </w:rPr>
      </w:pPr>
    </w:p>
    <w:p w:rsidR="00C364C5" w:rsidRPr="002F5D1D" w:rsidRDefault="00C364C5" w:rsidP="00C364C5">
      <w:pPr>
        <w:pStyle w:val="SCCLawFirm"/>
        <w:spacing w:line="240" w:lineRule="auto"/>
        <w:rPr>
          <w:sz w:val="20"/>
        </w:rPr>
      </w:pPr>
      <w:r w:rsidRPr="002F5D1D">
        <w:rPr>
          <w:sz w:val="20"/>
        </w:rPr>
        <w:tab/>
        <w:t xml:space="preserve">Solicitors for the respondent </w:t>
      </w:r>
      <w:proofErr w:type="spellStart"/>
      <w:r w:rsidRPr="002F5D1D">
        <w:rPr>
          <w:sz w:val="20"/>
        </w:rPr>
        <w:t>Canwest</w:t>
      </w:r>
      <w:proofErr w:type="spellEnd"/>
      <w:r w:rsidRPr="002F5D1D">
        <w:rPr>
          <w:sz w:val="20"/>
        </w:rPr>
        <w:t xml:space="preserve"> Television Limited Partnership:  </w:t>
      </w:r>
      <w:proofErr w:type="spellStart"/>
      <w:r w:rsidRPr="002F5D1D">
        <w:rPr>
          <w:sz w:val="20"/>
        </w:rPr>
        <w:t>Paliare</w:t>
      </w:r>
      <w:proofErr w:type="spellEnd"/>
      <w:r w:rsidRPr="002F5D1D">
        <w:rPr>
          <w:sz w:val="20"/>
        </w:rPr>
        <w:t>, Roland, Rosenberg, Rothstein, Toronto.</w:t>
      </w:r>
    </w:p>
    <w:p w:rsidR="00C364C5" w:rsidRDefault="00C364C5" w:rsidP="00C364C5">
      <w:pPr>
        <w:pStyle w:val="SCCLawFirm"/>
        <w:spacing w:line="240" w:lineRule="auto"/>
        <w:rPr>
          <w:sz w:val="20"/>
        </w:rPr>
      </w:pPr>
    </w:p>
    <w:p w:rsidR="00C364C5" w:rsidRDefault="00C364C5" w:rsidP="00C364C5">
      <w:pPr>
        <w:pStyle w:val="SCCLawFirm"/>
        <w:spacing w:line="240" w:lineRule="auto"/>
        <w:rPr>
          <w:sz w:val="20"/>
        </w:rPr>
      </w:pPr>
      <w:r w:rsidRPr="002F5D1D">
        <w:rPr>
          <w:sz w:val="20"/>
        </w:rPr>
        <w:tab/>
        <w:t>Solicitors for the intervener:  Canadian Radio</w:t>
      </w:r>
      <w:r w:rsidRPr="002F5D1D">
        <w:rPr>
          <w:sz w:val="20"/>
        </w:rPr>
        <w:noBreakHyphen/>
      </w:r>
      <w:proofErr w:type="spellStart"/>
      <w:r w:rsidRPr="002F5D1D">
        <w:rPr>
          <w:sz w:val="20"/>
        </w:rPr>
        <w:t>television</w:t>
      </w:r>
      <w:proofErr w:type="spellEnd"/>
      <w:r w:rsidRPr="002F5D1D">
        <w:rPr>
          <w:sz w:val="20"/>
        </w:rPr>
        <w:t xml:space="preserve"> and Telecommunications Commission, Gatineau.</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C364C5" w:rsidRPr="00C26A02" w:rsidRDefault="00C364C5" w:rsidP="00C364C5">
      <w:pPr>
        <w:jc w:val="both"/>
        <w:rPr>
          <w:sz w:val="20"/>
          <w:szCs w:val="20"/>
          <w:lang w:val="fr-CA"/>
        </w:rPr>
      </w:pPr>
      <w:r w:rsidRPr="00C26A02">
        <w:rPr>
          <w:sz w:val="20"/>
          <w:szCs w:val="20"/>
          <w:lang w:val="fr-CA"/>
        </w:rPr>
        <w:t xml:space="preserve">Présents : La juge en chef </w:t>
      </w:r>
      <w:proofErr w:type="spellStart"/>
      <w:r w:rsidRPr="00C26A02">
        <w:rPr>
          <w:sz w:val="20"/>
          <w:szCs w:val="20"/>
          <w:lang w:val="fr-CA"/>
        </w:rPr>
        <w:t>McLachlin</w:t>
      </w:r>
      <w:proofErr w:type="spellEnd"/>
      <w:r w:rsidRPr="00C26A02">
        <w:rPr>
          <w:sz w:val="20"/>
          <w:szCs w:val="20"/>
          <w:lang w:val="fr-CA"/>
        </w:rPr>
        <w:t xml:space="preserve"> et les juges </w:t>
      </w:r>
      <w:proofErr w:type="spellStart"/>
      <w:r w:rsidRPr="00C26A02">
        <w:rPr>
          <w:sz w:val="20"/>
          <w:szCs w:val="20"/>
          <w:lang w:val="fr-CA"/>
        </w:rPr>
        <w:t>LeBel</w:t>
      </w:r>
      <w:proofErr w:type="spellEnd"/>
      <w:r w:rsidRPr="00C26A02">
        <w:rPr>
          <w:sz w:val="20"/>
          <w:szCs w:val="20"/>
          <w:lang w:val="fr-CA"/>
        </w:rPr>
        <w:t xml:space="preserve">, Deschamps, Fish, Abella, </w:t>
      </w:r>
      <w:proofErr w:type="spellStart"/>
      <w:r w:rsidRPr="00C26A02">
        <w:rPr>
          <w:sz w:val="20"/>
          <w:szCs w:val="20"/>
          <w:lang w:val="fr-CA"/>
        </w:rPr>
        <w:t>Rothstein</w:t>
      </w:r>
      <w:proofErr w:type="spellEnd"/>
      <w:r w:rsidRPr="00C26A02">
        <w:rPr>
          <w:sz w:val="20"/>
          <w:szCs w:val="20"/>
          <w:lang w:val="fr-CA"/>
        </w:rPr>
        <w:t xml:space="preserve">, Cromwell, </w:t>
      </w:r>
      <w:proofErr w:type="spellStart"/>
      <w:r w:rsidRPr="00C26A02">
        <w:rPr>
          <w:sz w:val="20"/>
          <w:szCs w:val="20"/>
          <w:lang w:val="fr-CA"/>
        </w:rPr>
        <w:t>Moldaver</w:t>
      </w:r>
      <w:proofErr w:type="spellEnd"/>
      <w:r w:rsidRPr="00C26A02">
        <w:rPr>
          <w:sz w:val="20"/>
          <w:szCs w:val="20"/>
          <w:lang w:val="fr-CA"/>
        </w:rPr>
        <w:t xml:space="preserve"> et </w:t>
      </w:r>
      <w:proofErr w:type="spellStart"/>
      <w:r w:rsidRPr="00C26A02">
        <w:rPr>
          <w:sz w:val="20"/>
          <w:szCs w:val="20"/>
          <w:lang w:val="fr-CA"/>
        </w:rPr>
        <w:t>Karakatsanis</w:t>
      </w:r>
      <w:proofErr w:type="spellEnd"/>
      <w:r w:rsidRPr="00C26A02">
        <w:rPr>
          <w:sz w:val="20"/>
          <w:szCs w:val="20"/>
          <w:lang w:val="fr-CA"/>
        </w:rPr>
        <w:t>.</w:t>
      </w:r>
    </w:p>
    <w:p w:rsidR="00C364C5" w:rsidRPr="00C26A02" w:rsidRDefault="00C364C5" w:rsidP="00C364C5">
      <w:pPr>
        <w:jc w:val="both"/>
        <w:rPr>
          <w:smallCaps/>
          <w:sz w:val="20"/>
          <w:szCs w:val="20"/>
          <w:lang w:val="fr-CA"/>
        </w:rPr>
      </w:pPr>
    </w:p>
    <w:p w:rsidR="00C364C5" w:rsidRPr="00C26A02" w:rsidRDefault="00C364C5" w:rsidP="00C364C5">
      <w:pPr>
        <w:pStyle w:val="SCCNormalDoubleSpacing"/>
        <w:spacing w:line="240" w:lineRule="auto"/>
        <w:rPr>
          <w:i/>
          <w:sz w:val="20"/>
          <w:lang w:val="fr-CA"/>
        </w:rPr>
      </w:pPr>
      <w:r w:rsidRPr="00C26A02">
        <w:rPr>
          <w:sz w:val="20"/>
          <w:lang w:val="fr-CA"/>
        </w:rPr>
        <w:tab/>
      </w:r>
      <w:r w:rsidRPr="00C26A02">
        <w:rPr>
          <w:i/>
          <w:sz w:val="20"/>
          <w:lang w:val="fr-CA"/>
        </w:rPr>
        <w:t xml:space="preserve">Droit des communications </w:t>
      </w:r>
      <w:r w:rsidRPr="00C26A02">
        <w:rPr>
          <w:i/>
          <w:smallCaps/>
          <w:sz w:val="20"/>
          <w:lang w:val="fr-CA"/>
        </w:rPr>
        <w:t>—</w:t>
      </w:r>
      <w:r w:rsidRPr="00C26A02">
        <w:rPr>
          <w:i/>
          <w:sz w:val="20"/>
          <w:lang w:val="fr-CA"/>
        </w:rPr>
        <w:t xml:space="preserve"> Radiodiffusion </w:t>
      </w:r>
      <w:r w:rsidRPr="00C26A02">
        <w:rPr>
          <w:i/>
          <w:smallCaps/>
          <w:sz w:val="20"/>
          <w:lang w:val="fr-CA"/>
        </w:rPr>
        <w:t>—</w:t>
      </w:r>
      <w:r w:rsidRPr="00C26A02">
        <w:rPr>
          <w:i/>
          <w:sz w:val="20"/>
          <w:lang w:val="fr-CA"/>
        </w:rPr>
        <w:t xml:space="preserve"> Adoption par le CRTC d’une politique établissant un régime réglementaire de compensation pour la valeur des signaux basé sur les forces du marché </w:t>
      </w:r>
      <w:r w:rsidRPr="00C26A02">
        <w:rPr>
          <w:i/>
          <w:smallCaps/>
          <w:sz w:val="20"/>
          <w:lang w:val="fr-CA"/>
        </w:rPr>
        <w:t>—</w:t>
      </w:r>
      <w:r w:rsidRPr="00C26A02">
        <w:rPr>
          <w:i/>
          <w:sz w:val="20"/>
          <w:lang w:val="fr-CA"/>
        </w:rPr>
        <w:t xml:space="preserve"> Politique habilitant les s</w:t>
      </w:r>
      <w:r w:rsidRPr="00C364C5">
        <w:rPr>
          <w:rStyle w:val="reference1"/>
          <w:i/>
          <w:sz w:val="20"/>
          <w:lang w:val="fr-CA"/>
        </w:rPr>
        <w:t>tations privées de télévision locale (« radiodiffuseurs ») à négocier une compensation directe pour la retransmission de leurs signaux par les entreprises de câblodistribution et de communications par satellite (« entreprises de distribution de radiodiffusion » ou « EDR »), et leur conférant le droit d’interdire aux EDR de retransmettre ces signaux en cas d’échec des négociations</w:t>
      </w:r>
      <w:r w:rsidRPr="00C26A02">
        <w:rPr>
          <w:i/>
          <w:sz w:val="20"/>
          <w:lang w:val="fr-CA"/>
        </w:rPr>
        <w:t xml:space="preserve"> </w:t>
      </w:r>
      <w:r w:rsidRPr="00C26A02">
        <w:rPr>
          <w:i/>
          <w:smallCaps/>
          <w:sz w:val="20"/>
          <w:lang w:val="fr-CA"/>
        </w:rPr>
        <w:t>—</w:t>
      </w:r>
      <w:r w:rsidRPr="00C26A02">
        <w:rPr>
          <w:i/>
          <w:sz w:val="20"/>
          <w:lang w:val="fr-CA"/>
        </w:rPr>
        <w:t xml:space="preserve"> Le CRTC </w:t>
      </w:r>
      <w:proofErr w:type="spellStart"/>
      <w:r w:rsidRPr="00C26A02">
        <w:rPr>
          <w:i/>
          <w:sz w:val="20"/>
          <w:lang w:val="fr-CA"/>
        </w:rPr>
        <w:t>a</w:t>
      </w:r>
      <w:r w:rsidRPr="00C26A02">
        <w:rPr>
          <w:i/>
          <w:sz w:val="20"/>
          <w:lang w:val="fr-CA"/>
        </w:rPr>
        <w:noBreakHyphen/>
        <w:t>t</w:t>
      </w:r>
      <w:r w:rsidRPr="00C26A02">
        <w:rPr>
          <w:i/>
          <w:sz w:val="20"/>
          <w:lang w:val="fr-CA"/>
        </w:rPr>
        <w:noBreakHyphen/>
        <w:t>il</w:t>
      </w:r>
      <w:proofErr w:type="spellEnd"/>
      <w:r w:rsidRPr="00C26A02">
        <w:rPr>
          <w:i/>
          <w:sz w:val="20"/>
          <w:lang w:val="fr-CA"/>
        </w:rPr>
        <w:t xml:space="preserve"> compétence en vertu de la Loi sur la radiodiffusion pour mettre en œuvre le régime proposé? </w:t>
      </w:r>
      <w:r w:rsidRPr="00C26A02">
        <w:rPr>
          <w:i/>
          <w:smallCaps/>
          <w:sz w:val="20"/>
          <w:lang w:val="fr-CA"/>
        </w:rPr>
        <w:t>—</w:t>
      </w:r>
      <w:r w:rsidRPr="00C26A02">
        <w:rPr>
          <w:i/>
          <w:sz w:val="20"/>
          <w:lang w:val="fr-CA"/>
        </w:rPr>
        <w:t xml:space="preserve"> Loi sur la radiodiffusion, L.C. 1991, ch. 11, art. 2, 3, 5, 9, 10.</w:t>
      </w:r>
    </w:p>
    <w:p w:rsidR="00C364C5" w:rsidRPr="00C26A02" w:rsidRDefault="00C364C5" w:rsidP="00C364C5">
      <w:pPr>
        <w:pStyle w:val="SCCNormalDoubleSpacing"/>
        <w:spacing w:line="240" w:lineRule="auto"/>
        <w:rPr>
          <w:i/>
          <w:sz w:val="20"/>
          <w:lang w:val="fr-CA"/>
        </w:rPr>
      </w:pPr>
    </w:p>
    <w:p w:rsidR="00C364C5" w:rsidRPr="00C26A02" w:rsidRDefault="00C364C5" w:rsidP="00C364C5">
      <w:pPr>
        <w:pStyle w:val="SCCNormalDoubleSpacing"/>
        <w:spacing w:line="240" w:lineRule="auto"/>
        <w:rPr>
          <w:sz w:val="20"/>
          <w:lang w:val="fr-CA"/>
        </w:rPr>
      </w:pPr>
      <w:r w:rsidRPr="00C26A02">
        <w:rPr>
          <w:i/>
          <w:sz w:val="20"/>
          <w:lang w:val="fr-CA"/>
        </w:rPr>
        <w:lastRenderedPageBreak/>
        <w:tab/>
        <w:t xml:space="preserve">Législation </w:t>
      </w:r>
      <w:r w:rsidRPr="00C26A02">
        <w:rPr>
          <w:i/>
          <w:smallCaps/>
          <w:sz w:val="20"/>
          <w:lang w:val="fr-CA"/>
        </w:rPr>
        <w:t>—</w:t>
      </w:r>
      <w:r w:rsidRPr="00C26A02">
        <w:rPr>
          <w:i/>
          <w:sz w:val="20"/>
          <w:lang w:val="fr-CA"/>
        </w:rPr>
        <w:t xml:space="preserve"> Conflit de lois </w:t>
      </w:r>
      <w:r w:rsidRPr="00C26A02">
        <w:rPr>
          <w:i/>
          <w:smallCaps/>
          <w:sz w:val="20"/>
          <w:lang w:val="fr-CA"/>
        </w:rPr>
        <w:t>—</w:t>
      </w:r>
      <w:r w:rsidRPr="00C26A02">
        <w:rPr>
          <w:i/>
          <w:sz w:val="20"/>
          <w:lang w:val="fr-CA"/>
        </w:rPr>
        <w:t xml:space="preserve"> Adoption par le CRTC d’une politique établissant un régime réglementaire de compensation pour la valeur des signaux basé sur les forces du marché </w:t>
      </w:r>
      <w:r w:rsidRPr="00C26A02">
        <w:rPr>
          <w:i/>
          <w:smallCaps/>
          <w:sz w:val="20"/>
          <w:lang w:val="fr-CA"/>
        </w:rPr>
        <w:t>—</w:t>
      </w:r>
      <w:r w:rsidRPr="00C26A02">
        <w:rPr>
          <w:i/>
          <w:sz w:val="20"/>
          <w:lang w:val="fr-CA"/>
        </w:rPr>
        <w:t xml:space="preserve"> Politique habilitant les </w:t>
      </w:r>
      <w:r w:rsidRPr="00C364C5">
        <w:rPr>
          <w:rStyle w:val="reference1"/>
          <w:i/>
          <w:sz w:val="20"/>
          <w:lang w:val="fr-CA"/>
        </w:rPr>
        <w:t>radiodiffuseurs à négocier une compensation directe pour la retransmission de leurs signaux par les EDR, et leur conférant le droit d’interdire aux EDR de retransmettre ces signaux en cas d’échec des négociations</w:t>
      </w:r>
      <w:r w:rsidRPr="00C26A02">
        <w:rPr>
          <w:i/>
          <w:sz w:val="20"/>
          <w:lang w:val="fr-CA"/>
        </w:rPr>
        <w:t xml:space="preserve"> </w:t>
      </w:r>
      <w:r w:rsidRPr="00C26A02">
        <w:rPr>
          <w:i/>
          <w:smallCaps/>
          <w:sz w:val="20"/>
          <w:lang w:val="fr-CA"/>
        </w:rPr>
        <w:t>—</w:t>
      </w:r>
      <w:r w:rsidRPr="00C26A02">
        <w:rPr>
          <w:i/>
          <w:sz w:val="20"/>
          <w:lang w:val="fr-CA"/>
        </w:rPr>
        <w:t xml:space="preserve"> Le régime proposé </w:t>
      </w:r>
      <w:proofErr w:type="spellStart"/>
      <w:r w:rsidRPr="00C26A02">
        <w:rPr>
          <w:i/>
          <w:sz w:val="20"/>
          <w:lang w:val="fr-CA"/>
        </w:rPr>
        <w:t>entre</w:t>
      </w:r>
      <w:r w:rsidRPr="00C26A02">
        <w:rPr>
          <w:i/>
          <w:sz w:val="20"/>
          <w:lang w:val="fr-CA"/>
        </w:rPr>
        <w:noBreakHyphen/>
        <w:t>t</w:t>
      </w:r>
      <w:r w:rsidRPr="00C26A02">
        <w:rPr>
          <w:i/>
          <w:sz w:val="20"/>
          <w:lang w:val="fr-CA"/>
        </w:rPr>
        <w:noBreakHyphen/>
        <w:t>il</w:t>
      </w:r>
      <w:proofErr w:type="spellEnd"/>
      <w:r w:rsidRPr="00C26A02">
        <w:rPr>
          <w:i/>
          <w:sz w:val="20"/>
          <w:lang w:val="fr-CA"/>
        </w:rPr>
        <w:t xml:space="preserve"> en conflit avec la Loi sur le droit d’auteur </w:t>
      </w:r>
      <w:r w:rsidRPr="00C26A02">
        <w:rPr>
          <w:i/>
          <w:smallCaps/>
          <w:sz w:val="20"/>
          <w:lang w:val="fr-CA"/>
        </w:rPr>
        <w:t>—</w:t>
      </w:r>
      <w:r w:rsidRPr="00C26A02">
        <w:rPr>
          <w:i/>
          <w:sz w:val="20"/>
          <w:lang w:val="fr-CA"/>
        </w:rPr>
        <w:t xml:space="preserve"> Cette loi </w:t>
      </w:r>
      <w:proofErr w:type="spellStart"/>
      <w:r w:rsidRPr="00C26A02">
        <w:rPr>
          <w:i/>
          <w:sz w:val="20"/>
          <w:lang w:val="fr-CA"/>
        </w:rPr>
        <w:t>limite</w:t>
      </w:r>
      <w:r w:rsidRPr="00C26A02">
        <w:rPr>
          <w:i/>
          <w:sz w:val="20"/>
          <w:lang w:val="fr-CA"/>
        </w:rPr>
        <w:noBreakHyphen/>
        <w:t>t</w:t>
      </w:r>
      <w:r w:rsidRPr="00C26A02">
        <w:rPr>
          <w:i/>
          <w:sz w:val="20"/>
          <w:lang w:val="fr-CA"/>
        </w:rPr>
        <w:noBreakHyphen/>
        <w:t>elle</w:t>
      </w:r>
      <w:proofErr w:type="spellEnd"/>
      <w:r w:rsidRPr="00C26A02">
        <w:rPr>
          <w:i/>
          <w:sz w:val="20"/>
          <w:lang w:val="fr-CA"/>
        </w:rPr>
        <w:t xml:space="preserve"> la discrétion du CRTC lorsqu’il exerce les pouvoirs de prise de règlements et d’attribution de licences que lui confère la Loi sur la radiodiffusion </w:t>
      </w:r>
      <w:r w:rsidRPr="00C26A02">
        <w:rPr>
          <w:i/>
          <w:smallCaps/>
          <w:sz w:val="20"/>
          <w:lang w:val="fr-CA"/>
        </w:rPr>
        <w:t>—</w:t>
      </w:r>
      <w:r w:rsidRPr="00C26A02">
        <w:rPr>
          <w:i/>
          <w:sz w:val="20"/>
          <w:lang w:val="fr-CA"/>
        </w:rPr>
        <w:t xml:space="preserve"> Loi sur la radiodiffusion, L.C. 1991, ch. 11, art. 2, 3, 5, 9, 10 </w:t>
      </w:r>
      <w:r w:rsidRPr="00C26A02">
        <w:rPr>
          <w:i/>
          <w:smallCaps/>
          <w:sz w:val="20"/>
          <w:lang w:val="fr-CA"/>
        </w:rPr>
        <w:t>—</w:t>
      </w:r>
      <w:r w:rsidRPr="00C26A02">
        <w:rPr>
          <w:i/>
          <w:sz w:val="20"/>
          <w:lang w:val="fr-CA"/>
        </w:rPr>
        <w:t xml:space="preserve"> Loi sur le droit d’auteur, L.R.C. 1985, ch. C</w:t>
      </w:r>
      <w:r w:rsidRPr="00C26A02">
        <w:rPr>
          <w:i/>
          <w:sz w:val="20"/>
          <w:lang w:val="fr-CA"/>
        </w:rPr>
        <w:noBreakHyphen/>
        <w:t>42, art. 2, 21, 31, 89.</w:t>
      </w:r>
      <w:r w:rsidRPr="00C26A02">
        <w:rPr>
          <w:sz w:val="20"/>
          <w:lang w:val="fr-CA"/>
        </w:rPr>
        <w:t xml:space="preserve"> </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 xml:space="preserve">Réagissant à des changements récents survenus dans l’industrie de la radiodiffusion, </w:t>
      </w:r>
      <w:r w:rsidRPr="00C364C5">
        <w:rPr>
          <w:rStyle w:val="reference1"/>
          <w:sz w:val="20"/>
          <w:lang w:val="fr-CA"/>
        </w:rPr>
        <w:t xml:space="preserve">le CRTC a proposé </w:t>
      </w:r>
      <w:r w:rsidRPr="00C26A02">
        <w:rPr>
          <w:sz w:val="20"/>
          <w:lang w:val="fr-CA"/>
        </w:rPr>
        <w:t>e</w:t>
      </w:r>
      <w:r w:rsidRPr="00C364C5">
        <w:rPr>
          <w:rStyle w:val="reference1"/>
          <w:sz w:val="20"/>
          <w:lang w:val="fr-CA"/>
        </w:rPr>
        <w:t>n 2010 d’établir un régime réglementaire de compensation pour la valeur des signaux basé sur les forces du marché.  Suivant ce régime, les stations privées de télévision locale auraient la faculté de négocier une compensation directe pour la retransmission de leurs signaux par des EDR telles les entreprises de câblodistribution et les sociétés de communications par satellite.  En vertu de ce nouveau régime, les radiodiffuseurs auraient la possibilité de permettre ou d’interdire aux EDR de retransmettre leurs services de programmation.</w:t>
      </w:r>
      <w:r w:rsidRPr="00C26A02">
        <w:rPr>
          <w:sz w:val="20"/>
          <w:lang w:val="fr-CA"/>
        </w:rPr>
        <w:t xml:space="preserve">  Les EDR ont contesté la compétence du CRTC pour mettre en œuvre un tel régime, au motif qu’il entre en conflit avec certaines dispositions de la </w:t>
      </w:r>
      <w:r w:rsidRPr="00C26A02">
        <w:rPr>
          <w:i/>
          <w:iCs/>
          <w:sz w:val="20"/>
          <w:lang w:val="fr-CA"/>
        </w:rPr>
        <w:t>Loi sur le droit d’auteur</w:t>
      </w:r>
      <w:r w:rsidRPr="00C26A02">
        <w:rPr>
          <w:iCs/>
          <w:sz w:val="20"/>
          <w:lang w:val="fr-CA"/>
        </w:rPr>
        <w:t>.</w:t>
      </w:r>
      <w:r w:rsidRPr="00C26A02">
        <w:rPr>
          <w:sz w:val="20"/>
          <w:lang w:val="fr-CA"/>
        </w:rPr>
        <w:t xml:space="preserve">  En conséquence, le CRTC a renvoyé une question touchant sa propre compétence devant la Cour d’appel fédérale.  Cette dernière a conclu que le régime proposé relevait de la compétence reconnue par la loi au CRTC, conformément au vaste mandat que lui confère la </w:t>
      </w:r>
      <w:r w:rsidRPr="00C26A02">
        <w:rPr>
          <w:i/>
          <w:iCs/>
          <w:sz w:val="20"/>
          <w:lang w:val="fr-CA"/>
        </w:rPr>
        <w:t>Loi sur la radiodiffusion</w:t>
      </w:r>
      <w:r w:rsidRPr="00C26A02">
        <w:rPr>
          <w:iCs/>
          <w:sz w:val="20"/>
          <w:lang w:val="fr-CA"/>
        </w:rPr>
        <w:t xml:space="preserve"> e</w:t>
      </w:r>
      <w:r w:rsidRPr="00C26A02">
        <w:rPr>
          <w:sz w:val="20"/>
          <w:lang w:val="fr-CA"/>
        </w:rPr>
        <w:t xml:space="preserve">n matière de réglementation et de surveillance de tous les aspects du système de radiodiffusion canadien, et qu’il n’existait aucun conflit entre le régime proposé et la </w:t>
      </w:r>
      <w:r w:rsidRPr="00C26A02">
        <w:rPr>
          <w:i/>
          <w:sz w:val="20"/>
          <w:lang w:val="fr-CA"/>
        </w:rPr>
        <w:t>Loi sur le droit d’auteur</w:t>
      </w:r>
      <w:r w:rsidRPr="00C26A02">
        <w:rPr>
          <w:sz w:val="20"/>
          <w:lang w:val="fr-CA"/>
        </w:rPr>
        <w:t>.</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r>
      <w:r w:rsidRPr="00C26A02">
        <w:rPr>
          <w:i/>
          <w:sz w:val="20"/>
          <w:lang w:val="fr-CA"/>
        </w:rPr>
        <w:t xml:space="preserve">Arrêt </w:t>
      </w:r>
      <w:r w:rsidRPr="00C26A02">
        <w:rPr>
          <w:sz w:val="20"/>
          <w:lang w:val="fr-CA"/>
        </w:rPr>
        <w:t xml:space="preserve">(Les juges Abella, Deschamps, Cromwell et </w:t>
      </w:r>
      <w:proofErr w:type="spellStart"/>
      <w:r w:rsidRPr="00C26A02">
        <w:rPr>
          <w:sz w:val="20"/>
          <w:lang w:val="fr-CA"/>
        </w:rPr>
        <w:t>Karakatsanis</w:t>
      </w:r>
      <w:proofErr w:type="spellEnd"/>
      <w:r w:rsidRPr="00C26A02">
        <w:rPr>
          <w:sz w:val="20"/>
          <w:lang w:val="fr-CA"/>
        </w:rPr>
        <w:t xml:space="preserve"> sont dissidents) : Le pourvoi est accueilli.  Le régime de réglementation proposé excède les pouvoirs du CRTC.</w:t>
      </w:r>
    </w:p>
    <w:p w:rsidR="00C364C5" w:rsidRPr="00C26A02" w:rsidRDefault="00C364C5" w:rsidP="00C364C5">
      <w:pPr>
        <w:pStyle w:val="SCCNormalDoubleSpacing"/>
        <w:spacing w:line="240" w:lineRule="auto"/>
        <w:rPr>
          <w:i/>
          <w:sz w:val="20"/>
          <w:lang w:val="fr-CA"/>
        </w:rPr>
      </w:pPr>
    </w:p>
    <w:p w:rsidR="00C364C5" w:rsidRPr="00C26A02" w:rsidRDefault="00C364C5" w:rsidP="00C364C5">
      <w:pPr>
        <w:pStyle w:val="SCCNormalDoubleSpacing"/>
        <w:spacing w:line="240" w:lineRule="auto"/>
        <w:rPr>
          <w:sz w:val="20"/>
          <w:lang w:val="fr-CA"/>
        </w:rPr>
      </w:pPr>
      <w:r w:rsidRPr="00C26A02">
        <w:rPr>
          <w:i/>
          <w:sz w:val="20"/>
          <w:lang w:val="fr-CA"/>
        </w:rPr>
        <w:tab/>
        <w:t>La</w:t>
      </w:r>
      <w:r w:rsidRPr="00C26A02">
        <w:rPr>
          <w:sz w:val="20"/>
          <w:lang w:val="fr-CA"/>
        </w:rPr>
        <w:t xml:space="preserve"> juge en chef </w:t>
      </w:r>
      <w:proofErr w:type="spellStart"/>
      <w:r w:rsidRPr="00C26A02">
        <w:rPr>
          <w:sz w:val="20"/>
          <w:lang w:val="fr-CA"/>
        </w:rPr>
        <w:t>McLachlin</w:t>
      </w:r>
      <w:proofErr w:type="spellEnd"/>
      <w:r w:rsidRPr="00C26A02">
        <w:rPr>
          <w:sz w:val="20"/>
          <w:lang w:val="fr-CA"/>
        </w:rPr>
        <w:t xml:space="preserve"> et les juges </w:t>
      </w:r>
      <w:proofErr w:type="spellStart"/>
      <w:r w:rsidRPr="00C26A02">
        <w:rPr>
          <w:sz w:val="20"/>
          <w:lang w:val="fr-CA"/>
        </w:rPr>
        <w:t>LeBel</w:t>
      </w:r>
      <w:proofErr w:type="spellEnd"/>
      <w:r w:rsidRPr="00C26A02">
        <w:rPr>
          <w:sz w:val="20"/>
          <w:lang w:val="fr-CA"/>
        </w:rPr>
        <w:t xml:space="preserve">, Fish, </w:t>
      </w:r>
      <w:proofErr w:type="spellStart"/>
      <w:r w:rsidRPr="00C26A02">
        <w:rPr>
          <w:b/>
          <w:sz w:val="20"/>
          <w:lang w:val="fr-CA"/>
        </w:rPr>
        <w:t>Rothstein</w:t>
      </w:r>
      <w:proofErr w:type="spellEnd"/>
      <w:r w:rsidRPr="00C26A02">
        <w:rPr>
          <w:sz w:val="20"/>
          <w:lang w:val="fr-CA"/>
        </w:rPr>
        <w:t xml:space="preserve"> et </w:t>
      </w:r>
      <w:proofErr w:type="spellStart"/>
      <w:r w:rsidRPr="00C26A02">
        <w:rPr>
          <w:sz w:val="20"/>
          <w:lang w:val="fr-CA"/>
        </w:rPr>
        <w:t>Moldaver</w:t>
      </w:r>
      <w:proofErr w:type="spellEnd"/>
      <w:r w:rsidRPr="00C26A02">
        <w:rPr>
          <w:sz w:val="20"/>
          <w:lang w:val="fr-CA"/>
        </w:rPr>
        <w:t xml:space="preserve"> : Lorsqu’on les interprète à la lumière de leur contexte global, on ne peut considérer que les dispositions de la </w:t>
      </w:r>
      <w:r w:rsidRPr="00C26A02">
        <w:rPr>
          <w:i/>
          <w:sz w:val="20"/>
          <w:lang w:val="fr-CA"/>
        </w:rPr>
        <w:t>Loi sur la radiodiffusion</w:t>
      </w:r>
      <w:r w:rsidRPr="00C26A02">
        <w:rPr>
          <w:sz w:val="20"/>
          <w:lang w:val="fr-CA"/>
        </w:rPr>
        <w:t xml:space="preserve"> ont pour effet d’autoriser le CRTC à mettre en œuvre le régime proposé de compensation pour la valeur des signaux.  </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 xml:space="preserve">Aucune disposition de la </w:t>
      </w:r>
      <w:r w:rsidRPr="00C26A02">
        <w:rPr>
          <w:i/>
          <w:sz w:val="20"/>
          <w:lang w:val="fr-CA"/>
        </w:rPr>
        <w:t>Loi sur la radiodiffusion</w:t>
      </w:r>
      <w:r w:rsidRPr="00C26A02">
        <w:rPr>
          <w:sz w:val="20"/>
          <w:lang w:val="fr-CA"/>
        </w:rPr>
        <w:t xml:space="preserve"> ne confère expressément au CRTC le pouvoir de mettre en œuvre le régime proposé, et il ne suffisait pas à ce dernier de se référer isolément à certains des objectifs de politique énoncés à l’art. 3 et de postuler que le régime proposé de compensation pour la valeur des signaux contribuerait à la réalisation de ces objectifs.  La possibilité d’établir l’existence d’un lien — aussi ténu </w:t>
      </w:r>
      <w:proofErr w:type="spellStart"/>
      <w:r w:rsidRPr="00C26A02">
        <w:rPr>
          <w:sz w:val="20"/>
          <w:lang w:val="fr-CA"/>
        </w:rPr>
        <w:t>soit</w:t>
      </w:r>
      <w:r w:rsidRPr="00C26A02">
        <w:rPr>
          <w:sz w:val="20"/>
          <w:lang w:val="fr-CA"/>
        </w:rPr>
        <w:noBreakHyphen/>
        <w:t>il</w:t>
      </w:r>
      <w:proofErr w:type="spellEnd"/>
      <w:r w:rsidRPr="00C26A02">
        <w:rPr>
          <w:sz w:val="20"/>
          <w:lang w:val="fr-CA"/>
        </w:rPr>
        <w:t xml:space="preserve"> — entre un règlement projeté et un objectif de politique énuméré à l’art. 3 de la Loi ne saurait constituer un critère </w:t>
      </w:r>
      <w:r w:rsidRPr="00C26A02">
        <w:rPr>
          <w:iCs/>
          <w:sz w:val="20"/>
          <w:lang w:val="fr-CA"/>
        </w:rPr>
        <w:t>suffisant</w:t>
      </w:r>
      <w:r w:rsidRPr="00C26A02">
        <w:rPr>
          <w:i/>
          <w:iCs/>
          <w:sz w:val="20"/>
          <w:lang w:val="fr-CA"/>
        </w:rPr>
        <w:t xml:space="preserve"> </w:t>
      </w:r>
      <w:r w:rsidRPr="00C26A02">
        <w:rPr>
          <w:sz w:val="20"/>
          <w:lang w:val="fr-CA"/>
        </w:rPr>
        <w:t>pour donner compétence au CRTC.  Des énoncés de politique ne sont pas des dispositions attributives de compétence et ne peuvent pas servir à élargir les pouvoirs de cet organisme à des domaines non précisés par le législateur.  De même, une clause générale rédigée en termes larges accordant un pouvoir général de prendre des règlements (al. 10(1)</w:t>
      </w:r>
      <w:r w:rsidRPr="00C26A02">
        <w:rPr>
          <w:i/>
          <w:sz w:val="20"/>
          <w:lang w:val="fr-CA"/>
        </w:rPr>
        <w:t>k</w:t>
      </w:r>
      <w:r w:rsidRPr="00C26A02">
        <w:rPr>
          <w:sz w:val="20"/>
          <w:lang w:val="fr-CA"/>
        </w:rPr>
        <w:t>) ou une disposition conférant à l’organisme de réglementation un pouvoir non défini l’autorisant à délivrer des licences « selon les modalités qu’il précise » (al. 9(1)</w:t>
      </w:r>
      <w:r w:rsidRPr="00C26A02">
        <w:rPr>
          <w:i/>
          <w:sz w:val="20"/>
          <w:lang w:val="fr-CA"/>
        </w:rPr>
        <w:t>h</w:t>
      </w:r>
      <w:r w:rsidRPr="00C26A02">
        <w:rPr>
          <w:sz w:val="20"/>
          <w:lang w:val="fr-CA"/>
        </w:rPr>
        <w:t xml:space="preserve">)) ne peut être interprétée isolément, mais doit être considérée dans le contexte du reste de l’article dans lequel elle se trouve.  En l’espèce, aucun des sujets précis et susceptibles d’être réglementés qui sont énumérés au par. 10(1) ne se rapporte à la création de droits exclusifs qui permettraient aux radiodiffuseurs d’autoriser ou d’interdire la distribution de signaux ou d’émissions, ou de contrôler les rapports économiques directs entre les EDR et les radiodiffuseurs.  Il ressort d’une interprétation de la </w:t>
      </w:r>
      <w:r w:rsidRPr="00C26A02">
        <w:rPr>
          <w:i/>
          <w:sz w:val="20"/>
          <w:lang w:val="fr-CA"/>
        </w:rPr>
        <w:t>Loi sur la radiodiffusion</w:t>
      </w:r>
      <w:r w:rsidRPr="00C26A02">
        <w:rPr>
          <w:sz w:val="20"/>
          <w:lang w:val="fr-CA"/>
        </w:rPr>
        <w:t xml:space="preserve"> qui tient compte du contexte global de </w:t>
      </w:r>
      <w:proofErr w:type="spellStart"/>
      <w:r w:rsidRPr="00C26A02">
        <w:rPr>
          <w:sz w:val="20"/>
          <w:lang w:val="fr-CA"/>
        </w:rPr>
        <w:t>celle</w:t>
      </w:r>
      <w:r w:rsidRPr="00C26A02">
        <w:rPr>
          <w:sz w:val="20"/>
          <w:lang w:val="fr-CA"/>
        </w:rPr>
        <w:noBreakHyphen/>
        <w:t>ci</w:t>
      </w:r>
      <w:proofErr w:type="spellEnd"/>
      <w:r w:rsidRPr="00C26A02">
        <w:rPr>
          <w:sz w:val="20"/>
          <w:lang w:val="fr-CA"/>
        </w:rPr>
        <w:t xml:space="preserve"> que la création de tels droits constitue une mesure beaucoup trop éloignée des objectifs fondamentaux visés par le législateur ainsi que des pouvoirs conférés au CRTC par cette loi.</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 xml:space="preserve">Même si l’on pouvait trouver dans le texte de la </w:t>
      </w:r>
      <w:r w:rsidRPr="00C26A02">
        <w:rPr>
          <w:i/>
          <w:iCs/>
          <w:sz w:val="20"/>
          <w:lang w:val="fr-CA"/>
        </w:rPr>
        <w:t xml:space="preserve">Loi sur la radiodiffusion </w:t>
      </w:r>
      <w:r w:rsidRPr="00C26A02">
        <w:rPr>
          <w:sz w:val="20"/>
          <w:lang w:val="fr-CA"/>
        </w:rPr>
        <w:t xml:space="preserve">la compétence nécessaire pour mettre en œuvre le régime proposé de compensation pour la valeur des signaux, le régime proposé entrerait en conflit avec certaines dispositions précises édictées par le Parlement dans la </w:t>
      </w:r>
      <w:r w:rsidRPr="00C26A02">
        <w:rPr>
          <w:i/>
          <w:iCs/>
          <w:sz w:val="20"/>
          <w:lang w:val="fr-CA"/>
        </w:rPr>
        <w:t>Loi sur le droit d’auteur.</w:t>
      </w:r>
      <w:r w:rsidRPr="00C26A02">
        <w:rPr>
          <w:sz w:val="20"/>
          <w:lang w:val="fr-CA"/>
        </w:rPr>
        <w:t xml:space="preserve"> Premièrement, le régime de compensation pour la valeur des signaux entre en conflit avec le par. 21(1) de cette dernière loi, en ce qu’il </w:t>
      </w:r>
      <w:r w:rsidRPr="00C26A02">
        <w:rPr>
          <w:iCs/>
          <w:sz w:val="20"/>
          <w:lang w:val="fr-CA"/>
        </w:rPr>
        <w:t>accorderait</w:t>
      </w:r>
      <w:r w:rsidRPr="00C26A02">
        <w:rPr>
          <w:i/>
          <w:iCs/>
          <w:sz w:val="20"/>
          <w:lang w:val="fr-CA"/>
        </w:rPr>
        <w:t xml:space="preserve"> </w:t>
      </w:r>
      <w:r w:rsidRPr="00C26A02">
        <w:rPr>
          <w:sz w:val="20"/>
          <w:lang w:val="fr-CA"/>
        </w:rPr>
        <w:t>aux radiodiffuseurs le droit d’autoriser ou non la retransmission de signaux par les EDR, droit qui a été refusé aux radiodiffuseurs</w:t>
      </w:r>
      <w:r w:rsidRPr="00C26A02">
        <w:rPr>
          <w:i/>
          <w:sz w:val="20"/>
          <w:lang w:val="fr-CA"/>
        </w:rPr>
        <w:t xml:space="preserve"> </w:t>
      </w:r>
      <w:r w:rsidRPr="00C26A02">
        <w:rPr>
          <w:sz w:val="20"/>
          <w:lang w:val="fr-CA"/>
        </w:rPr>
        <w:t xml:space="preserve">par le régime établi par la </w:t>
      </w:r>
      <w:r w:rsidRPr="00C26A02">
        <w:rPr>
          <w:i/>
          <w:sz w:val="20"/>
          <w:lang w:val="fr-CA"/>
        </w:rPr>
        <w:t>Loi sur le droit d’auteur</w:t>
      </w:r>
      <w:r w:rsidRPr="00C26A02">
        <w:rPr>
          <w:sz w:val="20"/>
          <w:lang w:val="fr-CA"/>
        </w:rPr>
        <w:t>.  Le droit exclusif conféré aux radiodiffuseurs par l’al. 21(1)</w:t>
      </w:r>
      <w:r w:rsidRPr="00C26A02">
        <w:rPr>
          <w:i/>
          <w:sz w:val="20"/>
          <w:lang w:val="fr-CA"/>
        </w:rPr>
        <w:t>c</w:t>
      </w:r>
      <w:r w:rsidRPr="00C26A02">
        <w:rPr>
          <w:sz w:val="20"/>
          <w:lang w:val="fr-CA"/>
        </w:rPr>
        <w:t xml:space="preserve">) — à savoir autoriser, ou refuser d’autoriser, un autre radiodiffuseur à retransmettre simultanément ses signaux — n’emporte pas celui de permettre ou d’interdire à une EDR de retransmettre ces signaux de communication.  Il ne serait pas logique de la part du législateur fédéral d’instaurer au par. 21(1) un droit de retransmission soigneusement élaboré, qui soustrait explicitement les EDR du champ d’application du droit exclusif des </w:t>
      </w:r>
      <w:r w:rsidRPr="00C26A02">
        <w:rPr>
          <w:sz w:val="20"/>
          <w:lang w:val="fr-CA"/>
        </w:rPr>
        <w:lastRenderedPageBreak/>
        <w:t xml:space="preserve">radiodiffuseurs sur la retransmission simultanée de leurs signaux, mais d’habiliter par ailleurs un organisme de réglementation subalterne à créer un droit fonctionnellement équivalent par l’entremise d’un régime connexe.  Le régime de compensation pour la valeur des signaux nuirait à la réalisation de l’objectif de la </w:t>
      </w:r>
      <w:r w:rsidRPr="00C26A02">
        <w:rPr>
          <w:i/>
          <w:sz w:val="20"/>
          <w:lang w:val="fr-CA"/>
        </w:rPr>
        <w:t>Loi sur le droit d’auteur</w:t>
      </w:r>
      <w:r w:rsidRPr="00C26A02">
        <w:rPr>
          <w:sz w:val="20"/>
          <w:lang w:val="fr-CA"/>
        </w:rPr>
        <w:t xml:space="preserve"> qui consiste à établir un équilibre adéquat entre les droits des créateurs et ceux des utilisateurs, tel qu’il a été exprimé par le législateur au par. 21(1).</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 xml:space="preserve">Deuxièmement, le régime de compensation pour la valeur des signaux entre également en conflit avec le droit de retransmission énoncé à l’art. 31, lequel crée une exception écartant la violation du droit d’auteur dans le cas de la retransmission simultanée par une EDR d’une « </w:t>
      </w:r>
      <w:r w:rsidRPr="00C26A02">
        <w:rPr>
          <w:iCs/>
          <w:sz w:val="20"/>
          <w:lang w:val="fr-CA"/>
        </w:rPr>
        <w:t xml:space="preserve">œuvre » </w:t>
      </w:r>
      <w:r w:rsidRPr="00C26A02">
        <w:rPr>
          <w:sz w:val="20"/>
          <w:lang w:val="fr-CA"/>
        </w:rPr>
        <w:t xml:space="preserve">portée par des signaux locaux.  Toutefois, suivant le régime de compensation pour la valeur des signaux, les radiodiffuseurs jouiraient du droit d’exiger le retrait de certaines émissions.  Ainsi, un radiodiffuseur qui n’arriverait pas à s’entendre avec une EDR sur la compensation payable pour la distribution de ses services de programmation aurait le droit d’exiger de cette </w:t>
      </w:r>
      <w:r w:rsidRPr="00C26A02">
        <w:rPr>
          <w:sz w:val="20"/>
          <w:lang w:val="fr-FR"/>
        </w:rPr>
        <w:t>EDR qu’elle retire de tous les signaux qu’elle distribue toute émission à l’égard de laquelle le radiodiffuseur aurait acquis les droits exclusifs de diffusion.</w:t>
      </w:r>
      <w:r w:rsidRPr="00C26A02">
        <w:rPr>
          <w:sz w:val="20"/>
          <w:lang w:val="fr-CA"/>
        </w:rPr>
        <w:t xml:space="preserve">  Le régime de compensation pour la valeur des signaux aurait concrètement pour effet de réduire à néant l’exception prévue par l’art. 31, en accordant aux radiodiffuseurs le droit de contrôler la retransmission simultanée des œuvres, alors que la </w:t>
      </w:r>
      <w:r w:rsidRPr="00C26A02">
        <w:rPr>
          <w:i/>
          <w:iCs/>
          <w:sz w:val="20"/>
          <w:lang w:val="fr-CA"/>
        </w:rPr>
        <w:t>Loi sur le droit d’auteur</w:t>
      </w:r>
      <w:r w:rsidRPr="00C26A02">
        <w:rPr>
          <w:sz w:val="20"/>
          <w:lang w:val="fr-CA"/>
        </w:rPr>
        <w:t xml:space="preserve"> exclut expressément cette activité du droit de contrôle des titulaires du droit d’auteur, y compris les radiodiffuseurs.  Ce faisant, le régime redéfinirait l’équilibre qu’a établi le législateur, dans la </w:t>
      </w:r>
      <w:r w:rsidRPr="00C26A02">
        <w:rPr>
          <w:i/>
          <w:sz w:val="20"/>
          <w:lang w:val="fr-CA"/>
        </w:rPr>
        <w:t>Loi sur le droit d’auteur</w:t>
      </w:r>
      <w:r w:rsidRPr="00C26A02">
        <w:rPr>
          <w:sz w:val="20"/>
          <w:lang w:val="fr-CA"/>
        </w:rPr>
        <w:t xml:space="preserve">, entre les intérêts respectifs des titulaires du droit d’auteur et des utilisateurs.  Comme ce régime est incompatible avec l’objet visé par la </w:t>
      </w:r>
      <w:r w:rsidRPr="00C26A02">
        <w:rPr>
          <w:i/>
          <w:sz w:val="20"/>
          <w:lang w:val="fr-CA"/>
        </w:rPr>
        <w:t>Loi sur le droit d’auteur</w:t>
      </w:r>
      <w:r w:rsidRPr="00C26A02">
        <w:rPr>
          <w:sz w:val="20"/>
          <w:lang w:val="fr-CA"/>
        </w:rPr>
        <w:t xml:space="preserve">, il échappe à la compétence </w:t>
      </w:r>
      <w:r w:rsidRPr="00C26A02">
        <w:rPr>
          <w:iCs/>
          <w:sz w:val="20"/>
          <w:lang w:val="fr-CA"/>
        </w:rPr>
        <w:t xml:space="preserve">conférée au CRTC </w:t>
      </w:r>
      <w:r w:rsidRPr="00C26A02">
        <w:rPr>
          <w:sz w:val="20"/>
          <w:lang w:val="fr-CA"/>
        </w:rPr>
        <w:t xml:space="preserve">par la </w:t>
      </w:r>
      <w:r w:rsidRPr="00C26A02">
        <w:rPr>
          <w:i/>
          <w:sz w:val="20"/>
          <w:lang w:val="fr-CA"/>
        </w:rPr>
        <w:t xml:space="preserve">Loi sur la radiodiffusion </w:t>
      </w:r>
      <w:r w:rsidRPr="00C26A02">
        <w:rPr>
          <w:iCs/>
          <w:sz w:val="20"/>
          <w:lang w:val="fr-CA"/>
        </w:rPr>
        <w:t>en matière de délivrance de licences et de réglementation.</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L’alinéa 31(2)</w:t>
      </w:r>
      <w:r w:rsidRPr="00C26A02">
        <w:rPr>
          <w:i/>
          <w:sz w:val="20"/>
          <w:lang w:val="fr-CA"/>
        </w:rPr>
        <w:t>b</w:t>
      </w:r>
      <w:r w:rsidRPr="00C26A02">
        <w:rPr>
          <w:sz w:val="20"/>
          <w:lang w:val="fr-CA"/>
        </w:rPr>
        <w:t xml:space="preserve">) </w:t>
      </w:r>
      <w:r w:rsidRPr="00C26A02">
        <w:rPr>
          <w:smallCaps/>
          <w:sz w:val="20"/>
          <w:lang w:val="fr-CA"/>
        </w:rPr>
        <w:t>—</w:t>
      </w:r>
      <w:r w:rsidRPr="00C26A02">
        <w:rPr>
          <w:sz w:val="20"/>
          <w:lang w:val="fr-CA"/>
        </w:rPr>
        <w:t xml:space="preserve"> qui précise que, pour que s’applique l’exception écartant la violation du droit d’auteur, la retransmission doit être « licite en vertu de la </w:t>
      </w:r>
      <w:r w:rsidRPr="00C26A02">
        <w:rPr>
          <w:i/>
          <w:sz w:val="20"/>
          <w:lang w:val="fr-CA"/>
        </w:rPr>
        <w:t>Loi sur la radiodiffusion </w:t>
      </w:r>
      <w:r w:rsidRPr="00C26A02">
        <w:rPr>
          <w:iCs/>
          <w:sz w:val="20"/>
          <w:lang w:val="fr-CA"/>
        </w:rPr>
        <w:t>»</w:t>
      </w:r>
      <w:r w:rsidRPr="00C26A02">
        <w:rPr>
          <w:sz w:val="20"/>
          <w:lang w:val="fr-CA"/>
        </w:rPr>
        <w:t xml:space="preserve"> </w:t>
      </w:r>
      <w:r w:rsidRPr="00C26A02">
        <w:rPr>
          <w:smallCaps/>
          <w:sz w:val="20"/>
          <w:lang w:val="fr-CA"/>
        </w:rPr>
        <w:t>—</w:t>
      </w:r>
      <w:r w:rsidRPr="00C26A02">
        <w:rPr>
          <w:sz w:val="20"/>
          <w:lang w:val="fr-CA"/>
        </w:rPr>
        <w:t xml:space="preserve"> n’est pas non plus une assise suffisante afin de donner au CRTC compétence pour mettre en œuvre le régime réglementaire de compensation pour la valeur des signaux.  L’expression générale « licite en vertu de la </w:t>
      </w:r>
      <w:r w:rsidRPr="00C26A02">
        <w:rPr>
          <w:i/>
          <w:sz w:val="20"/>
          <w:lang w:val="fr-CA"/>
        </w:rPr>
        <w:t>Loi sur la radiodiffusion </w:t>
      </w:r>
      <w:r w:rsidRPr="00C26A02">
        <w:rPr>
          <w:iCs/>
          <w:sz w:val="20"/>
          <w:lang w:val="fr-CA"/>
        </w:rPr>
        <w:t>»</w:t>
      </w:r>
      <w:r w:rsidRPr="00C26A02">
        <w:rPr>
          <w:sz w:val="20"/>
          <w:lang w:val="fr-CA"/>
        </w:rPr>
        <w:t xml:space="preserve"> ne saurait autoriser le CRTC, </w:t>
      </w:r>
      <w:r w:rsidRPr="00C26A02">
        <w:rPr>
          <w:iCs/>
          <w:sz w:val="20"/>
          <w:lang w:val="fr-CA"/>
        </w:rPr>
        <w:t>lorsqu’il agit en vertu de dispositions attributives de compétence générales,</w:t>
      </w:r>
      <w:r w:rsidRPr="00C26A02">
        <w:rPr>
          <w:sz w:val="20"/>
          <w:lang w:val="fr-CA"/>
        </w:rPr>
        <w:t xml:space="preserve"> à écarter une prescription précise du législateur dans la </w:t>
      </w:r>
      <w:r w:rsidRPr="00C26A02">
        <w:rPr>
          <w:i/>
          <w:iCs/>
          <w:sz w:val="20"/>
          <w:lang w:val="fr-CA"/>
        </w:rPr>
        <w:t xml:space="preserve">Loi sur le </w:t>
      </w:r>
      <w:r w:rsidRPr="00C26A02">
        <w:rPr>
          <w:i/>
          <w:sz w:val="20"/>
          <w:lang w:val="fr-CA"/>
        </w:rPr>
        <w:t>droit d’auteur</w:t>
      </w:r>
      <w:r w:rsidRPr="00C26A02">
        <w:rPr>
          <w:iCs/>
          <w:sz w:val="20"/>
          <w:lang w:val="fr-CA"/>
        </w:rPr>
        <w:t>.</w:t>
      </w:r>
      <w:r w:rsidRPr="00C26A02">
        <w:rPr>
          <w:sz w:val="20"/>
          <w:lang w:val="fr-CA"/>
        </w:rPr>
        <w:t xml:space="preserve">  Enfin, le régime de compensation pour la valeur des signaux créerait un nouveau droit permettant à son titulaire d’autoriser et d’interdire la retransmission de signaux, modifiant ainsi concrètement le droit d’auteur conféré par l’art. 21.  Ce régime créerait donc un nouveau type de droit d’auteur, sans la loi fédérale requise par l’art. 89.</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r>
      <w:r w:rsidRPr="00C26A02">
        <w:rPr>
          <w:i/>
          <w:sz w:val="20"/>
          <w:lang w:val="fr-CA"/>
        </w:rPr>
        <w:t>Les</w:t>
      </w:r>
      <w:r w:rsidRPr="00C26A02">
        <w:rPr>
          <w:sz w:val="20"/>
          <w:lang w:val="fr-CA"/>
        </w:rPr>
        <w:t xml:space="preserve"> juges </w:t>
      </w:r>
      <w:r w:rsidRPr="00C26A02">
        <w:rPr>
          <w:b/>
          <w:sz w:val="20"/>
          <w:lang w:val="fr-CA"/>
        </w:rPr>
        <w:t>Abella</w:t>
      </w:r>
      <w:r w:rsidRPr="00C26A02">
        <w:rPr>
          <w:sz w:val="20"/>
          <w:lang w:val="fr-CA"/>
        </w:rPr>
        <w:t xml:space="preserve">, Deschamps, </w:t>
      </w:r>
      <w:r w:rsidRPr="00C26A02">
        <w:rPr>
          <w:b/>
          <w:sz w:val="20"/>
          <w:lang w:val="fr-CA"/>
        </w:rPr>
        <w:t>Cromwell</w:t>
      </w:r>
      <w:r w:rsidRPr="00C26A02">
        <w:rPr>
          <w:sz w:val="20"/>
          <w:lang w:val="fr-CA"/>
        </w:rPr>
        <w:t xml:space="preserve"> et </w:t>
      </w:r>
      <w:proofErr w:type="spellStart"/>
      <w:r w:rsidRPr="00C26A02">
        <w:rPr>
          <w:sz w:val="20"/>
          <w:lang w:val="fr-CA"/>
        </w:rPr>
        <w:t>Karakatsanis</w:t>
      </w:r>
      <w:proofErr w:type="spellEnd"/>
      <w:r w:rsidRPr="00C26A02">
        <w:rPr>
          <w:sz w:val="20"/>
          <w:lang w:val="fr-CA"/>
        </w:rPr>
        <w:t xml:space="preserve"> (dissidents) : Le CRTC a</w:t>
      </w:r>
      <w:r w:rsidRPr="00C26A02">
        <w:rPr>
          <w:i/>
          <w:sz w:val="20"/>
          <w:lang w:val="fr-CA"/>
        </w:rPr>
        <w:t xml:space="preserve"> </w:t>
      </w:r>
      <w:r w:rsidRPr="00C26A02">
        <w:rPr>
          <w:sz w:val="20"/>
          <w:lang w:val="fr-CA"/>
        </w:rPr>
        <w:t xml:space="preserve">jugé que le nouveau régime était nécessaire pour assurer la survie des stations locales et la réalisation des objectifs de la politique de radiodiffusion énoncée au par. 3(1) de la </w:t>
      </w:r>
      <w:r w:rsidRPr="00C26A02">
        <w:rPr>
          <w:i/>
          <w:sz w:val="20"/>
          <w:lang w:val="fr-CA"/>
        </w:rPr>
        <w:t>Loi sur la radiodiffusion</w:t>
      </w:r>
      <w:r w:rsidRPr="00C26A02">
        <w:rPr>
          <w:sz w:val="20"/>
          <w:lang w:val="fr-CA"/>
        </w:rPr>
        <w:t>.</w:t>
      </w:r>
      <w:r w:rsidRPr="00C26A02">
        <w:rPr>
          <w:i/>
          <w:sz w:val="20"/>
          <w:lang w:val="fr-CA"/>
        </w:rPr>
        <w:t xml:space="preserve"> </w:t>
      </w:r>
      <w:r w:rsidRPr="00C26A02">
        <w:rPr>
          <w:sz w:val="20"/>
          <w:lang w:val="fr-CA"/>
        </w:rPr>
        <w:t xml:space="preserve">Les tribunaux ont systématiquement statué sur la validité de l’exercice par le CRTC des pouvoirs que lui accorde la </w:t>
      </w:r>
      <w:r w:rsidRPr="00C26A02">
        <w:rPr>
          <w:i/>
          <w:sz w:val="20"/>
          <w:lang w:val="fr-CA"/>
        </w:rPr>
        <w:t>Loi sur la radiodiffusion</w:t>
      </w:r>
      <w:r w:rsidRPr="00C26A02">
        <w:rPr>
          <w:sz w:val="20"/>
          <w:lang w:val="fr-CA"/>
        </w:rPr>
        <w:t xml:space="preserve"> en se demandant s’il était possible de rattacher l’exercice du pouvoir en cause à l’un des objectifs de politique énumérés au par. 3(1).  La vaste compétence reconnue au CRTC découle des pouvoirs que la Loi lui confère en termes généraux pour réglementer et surveiller tous les aspects du système de radiodiffusion canadien, assortir de certaines conditions les licences qu’il délivre et prendre des règlements, de la manière qu’il estime indiquée pour la mise en œuvre des objectifs énoncés au par. 3(1). </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 xml:space="preserve">Le régime proposé respecte la compétence du CRTC en matière de réglementation, étant donné qu’il se rattache manifestement à plusieurs des principes directeurs fondamentaux en matière de radiodiffusion énoncés à l’art. 3.  Le nouveau régime n’est simplement que le prolongement du régime actuel, lequel impose plusieurs conditions — y compris de nature financière — aux EDR en vue de l’obtention d’une licence de retransmission des signaux des stations locales. Ce large mandat d’assortir les licences de certaines conditions pour favoriser la mise en œuvre de la politique canadienne de radiodiffusion est analogue au large mandat du CRTC en matière d’établissement de tarifs, lequel a été confirmé récemment par notre Cour dans l’arrêt </w:t>
      </w:r>
      <w:r w:rsidRPr="00C26A02">
        <w:rPr>
          <w:i/>
          <w:sz w:val="20"/>
          <w:lang w:val="fr-CA"/>
        </w:rPr>
        <w:t xml:space="preserve">Bell Canada c. Bell </w:t>
      </w:r>
      <w:proofErr w:type="spellStart"/>
      <w:r w:rsidRPr="00C26A02">
        <w:rPr>
          <w:i/>
          <w:sz w:val="20"/>
          <w:lang w:val="fr-CA"/>
        </w:rPr>
        <w:t>Aliant</w:t>
      </w:r>
      <w:proofErr w:type="spellEnd"/>
      <w:r w:rsidRPr="00C26A02">
        <w:rPr>
          <w:i/>
          <w:sz w:val="20"/>
          <w:lang w:val="fr-CA"/>
        </w:rPr>
        <w:t xml:space="preserve"> Communications régionales</w:t>
      </w:r>
      <w:r w:rsidRPr="00C26A02">
        <w:rPr>
          <w:sz w:val="20"/>
          <w:lang w:val="fr-CA"/>
        </w:rPr>
        <w:t>, 2009 CSC 40, [2009] 2 R.C.S. 764.</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 xml:space="preserve">Le régime proposé ne crée pas de conflit avec la </w:t>
      </w:r>
      <w:r w:rsidRPr="00C26A02">
        <w:rPr>
          <w:i/>
          <w:sz w:val="20"/>
          <w:lang w:val="fr-CA"/>
        </w:rPr>
        <w:t>Loi sur le droit d’auteur</w:t>
      </w:r>
      <w:r w:rsidRPr="00C26A02">
        <w:rPr>
          <w:sz w:val="20"/>
          <w:lang w:val="fr-CA"/>
        </w:rPr>
        <w:t xml:space="preserve">. Il ne confère pas aux stations locales un droit d’auteur à l’égard de la retransmission de leurs signaux de télévision.  Les EDR tiennent leur droit de retransmettre des signaux uniquement des licences qui leur sont attribuées en vertu de l’art. 9 de la </w:t>
      </w:r>
      <w:r w:rsidRPr="00C26A02">
        <w:rPr>
          <w:i/>
          <w:sz w:val="20"/>
          <w:lang w:val="fr-CA"/>
        </w:rPr>
        <w:t>Loi sur la radiodiffusion</w:t>
      </w:r>
      <w:r w:rsidRPr="00C26A02">
        <w:rPr>
          <w:sz w:val="20"/>
          <w:lang w:val="fr-CA"/>
        </w:rPr>
        <w:t xml:space="preserve">, et elles doivent satisfaire aux conditions dont le CRTC a assorti leur licence, y compris celles prévues dans le régime proposé.  Rien dans cette disposition de la </w:t>
      </w:r>
      <w:r w:rsidRPr="00C26A02">
        <w:rPr>
          <w:i/>
          <w:sz w:val="20"/>
          <w:lang w:val="fr-CA"/>
        </w:rPr>
        <w:t>Loi sur le droit d’auteur</w:t>
      </w:r>
      <w:r w:rsidRPr="00C26A02">
        <w:rPr>
          <w:sz w:val="20"/>
          <w:lang w:val="fr-CA"/>
        </w:rPr>
        <w:t xml:space="preserve"> ou dans la définition de </w:t>
      </w:r>
      <w:r w:rsidRPr="00C26A02">
        <w:rPr>
          <w:sz w:val="20"/>
          <w:lang w:val="fr-CA"/>
        </w:rPr>
        <w:lastRenderedPageBreak/>
        <w:t>« radiodiffuseur » n’a pour effet de soustraire les EDR aux exigences établies par le CRTC en matière d’attribution de licences dans le cadre de son mandat relatif à la radiodiffusion.</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L’argument des EDR selon lequel le régime proposé exige le paiement de redevances pour la retransmission de signaux locaux fait dire à l’al. 31(2)</w:t>
      </w:r>
      <w:r w:rsidRPr="00C26A02">
        <w:rPr>
          <w:i/>
          <w:sz w:val="20"/>
          <w:lang w:val="fr-CA"/>
        </w:rPr>
        <w:t>d</w:t>
      </w:r>
      <w:r w:rsidRPr="00C26A02">
        <w:rPr>
          <w:sz w:val="20"/>
          <w:lang w:val="fr-CA"/>
        </w:rPr>
        <w:t xml:space="preserve">) quelque chose qu’il ne dit pas.  Cet alinéa requiert simplement que les EDR qui retransmettent des « signaux éloignés » versent des redevances aux titulaires des droits d’auteur sur ces signaux.  Cette disposition n’a aucun lien avec la question de savoir si les EDR peuvent être requises de verser une compensation aux stations locales pour une autre fin, à savoir pour satisfaire aux conditions assortissant leurs licences de retransmission en vertu de la </w:t>
      </w:r>
      <w:r w:rsidRPr="00C26A02">
        <w:rPr>
          <w:i/>
          <w:sz w:val="20"/>
          <w:lang w:val="fr-CA"/>
        </w:rPr>
        <w:t>Loi sur la radiodiffusion</w:t>
      </w:r>
      <w:r w:rsidRPr="00C26A02">
        <w:rPr>
          <w:sz w:val="20"/>
          <w:lang w:val="fr-CA"/>
        </w:rPr>
        <w:t xml:space="preserve">. </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 xml:space="preserve">POURVOI contre un arrêt de la Cour d’appel fédérale (les juges Nadon, </w:t>
      </w:r>
      <w:proofErr w:type="spellStart"/>
      <w:r w:rsidRPr="00C26A02">
        <w:rPr>
          <w:sz w:val="20"/>
          <w:lang w:val="fr-CA"/>
        </w:rPr>
        <w:t>Sharlow</w:t>
      </w:r>
      <w:proofErr w:type="spellEnd"/>
      <w:r w:rsidRPr="00C26A02">
        <w:rPr>
          <w:sz w:val="20"/>
          <w:lang w:val="fr-CA"/>
        </w:rPr>
        <w:t xml:space="preserve"> et </w:t>
      </w:r>
      <w:proofErr w:type="spellStart"/>
      <w:r w:rsidRPr="00C26A02">
        <w:rPr>
          <w:sz w:val="20"/>
          <w:lang w:val="fr-CA"/>
        </w:rPr>
        <w:t>Layden</w:t>
      </w:r>
      <w:r w:rsidRPr="00C26A02">
        <w:rPr>
          <w:sz w:val="20"/>
          <w:lang w:val="fr-CA"/>
        </w:rPr>
        <w:noBreakHyphen/>
        <w:t>Stevenson</w:t>
      </w:r>
      <w:proofErr w:type="spellEnd"/>
      <w:r w:rsidRPr="00C26A02">
        <w:rPr>
          <w:sz w:val="20"/>
          <w:lang w:val="fr-CA"/>
        </w:rPr>
        <w:t xml:space="preserve">), </w:t>
      </w:r>
      <w:r w:rsidR="00D32E73" w:rsidRPr="00C26A02">
        <w:rPr>
          <w:sz w:val="20"/>
        </w:rPr>
        <w:fldChar w:fldCharType="begin"/>
      </w:r>
      <w:r w:rsidRPr="00C26A02">
        <w:rPr>
          <w:sz w:val="20"/>
          <w:lang w:val="fr-CA"/>
        </w:rPr>
        <w:instrText xml:space="preserve"> SEQ CHAPTER \h \r 1</w:instrText>
      </w:r>
      <w:r w:rsidR="00D32E73" w:rsidRPr="00C26A02">
        <w:rPr>
          <w:sz w:val="20"/>
        </w:rPr>
        <w:fldChar w:fldCharType="end"/>
      </w:r>
      <w:r w:rsidRPr="00C26A02">
        <w:rPr>
          <w:sz w:val="20"/>
          <w:lang w:val="fr-CA"/>
        </w:rPr>
        <w:t>2011 CAF 64 (</w:t>
      </w:r>
      <w:proofErr w:type="spellStart"/>
      <w:r w:rsidRPr="00C26A02">
        <w:rPr>
          <w:sz w:val="20"/>
          <w:lang w:val="fr-CA"/>
        </w:rPr>
        <w:t>CanLII</w:t>
      </w:r>
      <w:proofErr w:type="spellEnd"/>
      <w:r w:rsidRPr="00C26A02">
        <w:rPr>
          <w:sz w:val="20"/>
          <w:lang w:val="fr-CA"/>
        </w:rPr>
        <w:t>), 413 N.R. 312, 91 C.P.R. (4th) 389, [2011] A.C.F. n</w:t>
      </w:r>
      <w:r w:rsidRPr="00C26A02">
        <w:rPr>
          <w:sz w:val="20"/>
          <w:vertAlign w:val="superscript"/>
          <w:lang w:val="fr-CA"/>
        </w:rPr>
        <w:t>o</w:t>
      </w:r>
      <w:r w:rsidRPr="00C26A02">
        <w:rPr>
          <w:sz w:val="20"/>
          <w:lang w:val="fr-CA"/>
        </w:rPr>
        <w:t xml:space="preserve"> 197 (QL), 2011 </w:t>
      </w:r>
      <w:proofErr w:type="spellStart"/>
      <w:r w:rsidRPr="00C26A02">
        <w:rPr>
          <w:sz w:val="20"/>
          <w:lang w:val="fr-CA"/>
        </w:rPr>
        <w:t>CarswellNat</w:t>
      </w:r>
      <w:proofErr w:type="spellEnd"/>
      <w:r w:rsidRPr="00C26A02">
        <w:rPr>
          <w:sz w:val="20"/>
          <w:lang w:val="fr-CA"/>
        </w:rPr>
        <w:t xml:space="preserve"> 398.  Pourvoi accueilli, les juges Deschamps, Abella, Cromwell et </w:t>
      </w:r>
      <w:proofErr w:type="spellStart"/>
      <w:r w:rsidRPr="00C26A02">
        <w:rPr>
          <w:sz w:val="20"/>
          <w:lang w:val="fr-CA"/>
        </w:rPr>
        <w:t>Karakatsanis</w:t>
      </w:r>
      <w:proofErr w:type="spellEnd"/>
      <w:r w:rsidRPr="00C26A02">
        <w:rPr>
          <w:sz w:val="20"/>
          <w:lang w:val="fr-CA"/>
        </w:rPr>
        <w:t xml:space="preserve"> sont dissidents.</w:t>
      </w:r>
    </w:p>
    <w:p w:rsidR="00C364C5" w:rsidRPr="00C26A02" w:rsidRDefault="00C364C5" w:rsidP="00C364C5">
      <w:pPr>
        <w:pStyle w:val="SCCNormalDoubleSpacing"/>
        <w:spacing w:line="240" w:lineRule="auto"/>
        <w:rPr>
          <w:i/>
          <w:sz w:val="20"/>
          <w:lang w:val="fr-CA"/>
        </w:rPr>
      </w:pPr>
    </w:p>
    <w:p w:rsidR="00C364C5" w:rsidRPr="00C26A02" w:rsidRDefault="00C364C5" w:rsidP="00C364C5">
      <w:pPr>
        <w:pStyle w:val="SCCNormalDoubleSpacing"/>
        <w:spacing w:line="240" w:lineRule="auto"/>
        <w:rPr>
          <w:sz w:val="20"/>
          <w:lang w:val="fr-CA"/>
        </w:rPr>
      </w:pPr>
      <w:r w:rsidRPr="00C26A02">
        <w:rPr>
          <w:i/>
          <w:sz w:val="20"/>
          <w:lang w:val="fr-CA"/>
        </w:rPr>
        <w:tab/>
        <w:t xml:space="preserve">Neil </w:t>
      </w:r>
      <w:proofErr w:type="spellStart"/>
      <w:r w:rsidRPr="00C26A02">
        <w:rPr>
          <w:i/>
          <w:sz w:val="20"/>
          <w:lang w:val="fr-CA"/>
        </w:rPr>
        <w:t>Finkelstein</w:t>
      </w:r>
      <w:proofErr w:type="spellEnd"/>
      <w:r w:rsidRPr="00C26A02">
        <w:rPr>
          <w:sz w:val="20"/>
          <w:lang w:val="fr-CA"/>
        </w:rPr>
        <w:t xml:space="preserve">, </w:t>
      </w:r>
      <w:r w:rsidRPr="00C26A02">
        <w:rPr>
          <w:i/>
          <w:sz w:val="20"/>
          <w:lang w:val="fr-CA"/>
        </w:rPr>
        <w:t>Steven G. Mason</w:t>
      </w:r>
      <w:r w:rsidRPr="00C26A02">
        <w:rPr>
          <w:sz w:val="20"/>
          <w:lang w:val="fr-CA"/>
        </w:rPr>
        <w:t xml:space="preserve"> et </w:t>
      </w:r>
      <w:r w:rsidRPr="00C26A02">
        <w:rPr>
          <w:i/>
          <w:sz w:val="20"/>
          <w:lang w:val="fr-CA"/>
        </w:rPr>
        <w:t>Daniel G. C. Glover</w:t>
      </w:r>
      <w:r w:rsidRPr="00C26A02">
        <w:rPr>
          <w:sz w:val="20"/>
          <w:lang w:val="fr-CA"/>
        </w:rPr>
        <w:t xml:space="preserve">, pour l’appelante </w:t>
      </w:r>
      <w:proofErr w:type="spellStart"/>
      <w:r w:rsidRPr="00C26A02">
        <w:rPr>
          <w:sz w:val="20"/>
          <w:lang w:val="fr-CA"/>
        </w:rPr>
        <w:t>Cogeco</w:t>
      </w:r>
      <w:proofErr w:type="spellEnd"/>
      <w:r w:rsidRPr="00C26A02">
        <w:rPr>
          <w:sz w:val="20"/>
          <w:lang w:val="fr-CA"/>
        </w:rPr>
        <w:t xml:space="preserve"> Câble Inc.</w:t>
      </w:r>
    </w:p>
    <w:p w:rsidR="00C364C5" w:rsidRPr="00C26A02" w:rsidRDefault="00C364C5" w:rsidP="00C364C5">
      <w:pPr>
        <w:pStyle w:val="SCCNormalDoubleSpacing"/>
        <w:spacing w:line="240" w:lineRule="auto"/>
        <w:rPr>
          <w:i/>
          <w:sz w:val="20"/>
          <w:lang w:val="fr-CA"/>
        </w:rPr>
      </w:pPr>
    </w:p>
    <w:p w:rsidR="00C364C5" w:rsidRPr="00C26A02" w:rsidRDefault="00C364C5" w:rsidP="00C364C5">
      <w:pPr>
        <w:pStyle w:val="SCCNormalDoubleSpacing"/>
        <w:spacing w:line="240" w:lineRule="auto"/>
        <w:rPr>
          <w:sz w:val="20"/>
          <w:lang w:val="fr-CA"/>
        </w:rPr>
      </w:pPr>
      <w:r w:rsidRPr="00C26A02">
        <w:rPr>
          <w:i/>
          <w:sz w:val="20"/>
          <w:lang w:val="fr-CA"/>
        </w:rPr>
        <w:tab/>
        <w:t xml:space="preserve">Gerald L. </w:t>
      </w:r>
      <w:proofErr w:type="spellStart"/>
      <w:r w:rsidRPr="00C26A02">
        <w:rPr>
          <w:i/>
          <w:sz w:val="20"/>
          <w:lang w:val="fr-CA"/>
        </w:rPr>
        <w:t>Kerr</w:t>
      </w:r>
      <w:r w:rsidRPr="00C26A02">
        <w:rPr>
          <w:i/>
          <w:sz w:val="20"/>
          <w:lang w:val="fr-CA"/>
        </w:rPr>
        <w:noBreakHyphen/>
        <w:t>Wilson</w:t>
      </w:r>
      <w:proofErr w:type="spellEnd"/>
      <w:r w:rsidRPr="00C26A02">
        <w:rPr>
          <w:sz w:val="20"/>
          <w:lang w:val="fr-CA"/>
        </w:rPr>
        <w:t xml:space="preserve">, </w:t>
      </w:r>
      <w:r w:rsidRPr="00C26A02">
        <w:rPr>
          <w:i/>
          <w:sz w:val="20"/>
          <w:lang w:val="fr-CA"/>
        </w:rPr>
        <w:t>Julia Kennedy</w:t>
      </w:r>
      <w:r w:rsidRPr="00C26A02">
        <w:rPr>
          <w:sz w:val="20"/>
          <w:lang w:val="fr-CA"/>
        </w:rPr>
        <w:t xml:space="preserve"> et </w:t>
      </w:r>
      <w:r w:rsidRPr="00C26A02">
        <w:rPr>
          <w:i/>
          <w:sz w:val="20"/>
          <w:lang w:val="fr-CA"/>
        </w:rPr>
        <w:t>Ariel Thomas</w:t>
      </w:r>
      <w:r w:rsidRPr="00C26A02">
        <w:rPr>
          <w:sz w:val="20"/>
          <w:lang w:val="fr-CA"/>
        </w:rPr>
        <w:t xml:space="preserve">, pour les appelantes Rogers Communications Inc. et TELUS Communications </w:t>
      </w:r>
      <w:proofErr w:type="spellStart"/>
      <w:r w:rsidRPr="00C26A02">
        <w:rPr>
          <w:sz w:val="20"/>
          <w:lang w:val="fr-CA"/>
        </w:rPr>
        <w:t>Company</w:t>
      </w:r>
      <w:proofErr w:type="spellEnd"/>
      <w:r w:rsidRPr="00C26A02">
        <w:rPr>
          <w:sz w:val="20"/>
          <w:lang w:val="fr-CA"/>
        </w:rPr>
        <w:t>.</w:t>
      </w:r>
    </w:p>
    <w:p w:rsidR="00C364C5" w:rsidRPr="00C26A02" w:rsidRDefault="00C364C5" w:rsidP="00C364C5">
      <w:pPr>
        <w:pStyle w:val="SCCNormalDoubleSpacing"/>
        <w:spacing w:line="240" w:lineRule="auto"/>
        <w:rPr>
          <w:i/>
          <w:sz w:val="20"/>
          <w:lang w:val="fr-CA"/>
        </w:rPr>
      </w:pPr>
    </w:p>
    <w:p w:rsidR="00C364C5" w:rsidRPr="00C26A02" w:rsidRDefault="00C364C5" w:rsidP="00C364C5">
      <w:pPr>
        <w:pStyle w:val="SCCNormalDoubleSpacing"/>
        <w:spacing w:line="240" w:lineRule="auto"/>
        <w:rPr>
          <w:sz w:val="20"/>
          <w:lang w:val="fr-CA"/>
        </w:rPr>
      </w:pPr>
      <w:r w:rsidRPr="00C26A02">
        <w:rPr>
          <w:i/>
          <w:sz w:val="20"/>
          <w:lang w:val="fr-CA"/>
        </w:rPr>
        <w:tab/>
        <w:t>Kent E. Thomson</w:t>
      </w:r>
      <w:r w:rsidRPr="00C26A02">
        <w:rPr>
          <w:sz w:val="20"/>
          <w:lang w:val="fr-CA"/>
        </w:rPr>
        <w:t xml:space="preserve">, </w:t>
      </w:r>
      <w:r w:rsidRPr="00C26A02">
        <w:rPr>
          <w:i/>
          <w:sz w:val="20"/>
          <w:lang w:val="fr-CA"/>
        </w:rPr>
        <w:t>James Doris</w:t>
      </w:r>
      <w:r w:rsidRPr="00C26A02">
        <w:rPr>
          <w:sz w:val="20"/>
          <w:lang w:val="fr-CA"/>
        </w:rPr>
        <w:t xml:space="preserve"> et </w:t>
      </w:r>
      <w:r w:rsidRPr="00C26A02">
        <w:rPr>
          <w:i/>
          <w:sz w:val="20"/>
          <w:lang w:val="fr-CA"/>
        </w:rPr>
        <w:t>Sarah Weingarten</w:t>
      </w:r>
      <w:r w:rsidRPr="00C26A02">
        <w:rPr>
          <w:sz w:val="20"/>
          <w:lang w:val="fr-CA"/>
        </w:rPr>
        <w:t>, pour l’appelante Shaw Communications Inc.</w:t>
      </w:r>
    </w:p>
    <w:p w:rsidR="00C364C5" w:rsidRPr="00C26A02" w:rsidRDefault="00C364C5" w:rsidP="00C364C5">
      <w:pPr>
        <w:pStyle w:val="SCCNormalDoubleSpacing"/>
        <w:spacing w:line="240" w:lineRule="auto"/>
        <w:rPr>
          <w:i/>
          <w:sz w:val="20"/>
          <w:lang w:val="fr-CA"/>
        </w:rPr>
      </w:pPr>
    </w:p>
    <w:p w:rsidR="00C364C5" w:rsidRPr="00C26A02" w:rsidRDefault="00C364C5" w:rsidP="00C364C5">
      <w:pPr>
        <w:pStyle w:val="SCCNormalDoubleSpacing"/>
        <w:spacing w:line="240" w:lineRule="auto"/>
        <w:rPr>
          <w:sz w:val="20"/>
          <w:lang w:val="en-US"/>
        </w:rPr>
      </w:pPr>
      <w:r w:rsidRPr="00C26A02">
        <w:rPr>
          <w:i/>
          <w:sz w:val="20"/>
          <w:lang w:val="fr-CA"/>
        </w:rPr>
        <w:tab/>
        <w:t xml:space="preserve">Benjamin </w:t>
      </w:r>
      <w:proofErr w:type="spellStart"/>
      <w:r w:rsidRPr="00C26A02">
        <w:rPr>
          <w:i/>
          <w:sz w:val="20"/>
          <w:lang w:val="fr-CA"/>
        </w:rPr>
        <w:t>Zarnett</w:t>
      </w:r>
      <w:proofErr w:type="spellEnd"/>
      <w:r w:rsidRPr="00C26A02">
        <w:rPr>
          <w:sz w:val="20"/>
          <w:lang w:val="fr-CA"/>
        </w:rPr>
        <w:t xml:space="preserve">, </w:t>
      </w:r>
      <w:r w:rsidRPr="00C26A02">
        <w:rPr>
          <w:i/>
          <w:sz w:val="20"/>
          <w:lang w:val="fr-CA"/>
        </w:rPr>
        <w:t xml:space="preserve">Robert </w:t>
      </w:r>
      <w:proofErr w:type="spellStart"/>
      <w:r w:rsidRPr="00C26A02">
        <w:rPr>
          <w:i/>
          <w:sz w:val="20"/>
          <w:lang w:val="fr-CA"/>
        </w:rPr>
        <w:t>Malcomson</w:t>
      </w:r>
      <w:proofErr w:type="spellEnd"/>
      <w:r w:rsidRPr="00C26A02">
        <w:rPr>
          <w:i/>
          <w:sz w:val="20"/>
          <w:lang w:val="fr-CA"/>
        </w:rPr>
        <w:t>, Peter Ruby</w:t>
      </w:r>
      <w:r w:rsidRPr="00C26A02">
        <w:rPr>
          <w:sz w:val="20"/>
          <w:lang w:val="fr-CA"/>
        </w:rPr>
        <w:t xml:space="preserve"> et </w:t>
      </w:r>
      <w:r w:rsidRPr="00C26A02">
        <w:rPr>
          <w:i/>
          <w:sz w:val="20"/>
          <w:lang w:val="fr-CA"/>
        </w:rPr>
        <w:t xml:space="preserve">Julie </w:t>
      </w:r>
      <w:proofErr w:type="spellStart"/>
      <w:r w:rsidRPr="00C26A02">
        <w:rPr>
          <w:i/>
          <w:sz w:val="20"/>
          <w:lang w:val="fr-CA"/>
        </w:rPr>
        <w:t>Rosenthal</w:t>
      </w:r>
      <w:proofErr w:type="spellEnd"/>
      <w:r w:rsidRPr="00C26A02">
        <w:rPr>
          <w:sz w:val="20"/>
          <w:lang w:val="fr-CA"/>
        </w:rPr>
        <w:t xml:space="preserve">, pour les intimées Bell Media Inc. </w:t>
      </w:r>
      <w:r w:rsidRPr="00C26A02">
        <w:rPr>
          <w:sz w:val="20"/>
          <w:lang w:val="en-US"/>
        </w:rPr>
        <w:t>(</w:t>
      </w:r>
      <w:proofErr w:type="spellStart"/>
      <w:r w:rsidRPr="00C26A02">
        <w:rPr>
          <w:sz w:val="20"/>
          <w:lang w:val="en-US"/>
        </w:rPr>
        <w:t>auparavant</w:t>
      </w:r>
      <w:proofErr w:type="spellEnd"/>
      <w:r w:rsidRPr="00C26A02">
        <w:rPr>
          <w:sz w:val="20"/>
          <w:lang w:val="en-US"/>
        </w:rPr>
        <w:t xml:space="preserve"> CTV </w:t>
      </w:r>
      <w:proofErr w:type="spellStart"/>
      <w:r w:rsidRPr="00C26A02">
        <w:rPr>
          <w:sz w:val="20"/>
          <w:lang w:val="en-US"/>
        </w:rPr>
        <w:t>Globemedia</w:t>
      </w:r>
      <w:proofErr w:type="spellEnd"/>
      <w:r w:rsidRPr="00C26A02">
        <w:rPr>
          <w:sz w:val="20"/>
          <w:lang w:val="en-US"/>
        </w:rPr>
        <w:t xml:space="preserve"> Inc.), Newfoundland Broadcasting Co. Ltd. et V Interactions Inc.</w:t>
      </w:r>
    </w:p>
    <w:p w:rsidR="00C364C5" w:rsidRPr="00C26A02" w:rsidRDefault="00C364C5" w:rsidP="00C364C5">
      <w:pPr>
        <w:pStyle w:val="SCCNormalDoubleSpacing"/>
        <w:spacing w:line="240" w:lineRule="auto"/>
        <w:rPr>
          <w:sz w:val="20"/>
          <w:lang w:val="en-US"/>
        </w:rPr>
      </w:pPr>
    </w:p>
    <w:p w:rsidR="00C364C5" w:rsidRPr="00C26A02" w:rsidRDefault="00C364C5" w:rsidP="00C364C5">
      <w:pPr>
        <w:pStyle w:val="SCCNormalDoubleSpacing"/>
        <w:spacing w:line="240" w:lineRule="auto"/>
        <w:rPr>
          <w:sz w:val="20"/>
          <w:lang w:val="fr-CA"/>
        </w:rPr>
      </w:pPr>
      <w:r w:rsidRPr="00C26A02">
        <w:rPr>
          <w:sz w:val="20"/>
          <w:lang w:val="en-US"/>
        </w:rPr>
        <w:tab/>
      </w:r>
      <w:r w:rsidRPr="00C26A02">
        <w:rPr>
          <w:sz w:val="20"/>
          <w:lang w:val="fr-CA"/>
        </w:rPr>
        <w:t xml:space="preserve">Personne n’a comparu pour l’intimée </w:t>
      </w:r>
      <w:proofErr w:type="spellStart"/>
      <w:r w:rsidRPr="00C26A02">
        <w:rPr>
          <w:sz w:val="20"/>
          <w:lang w:val="fr-CA"/>
        </w:rPr>
        <w:t>Canwest</w:t>
      </w:r>
      <w:proofErr w:type="spellEnd"/>
      <w:r w:rsidRPr="00C26A02">
        <w:rPr>
          <w:sz w:val="20"/>
          <w:lang w:val="fr-CA"/>
        </w:rPr>
        <w:t xml:space="preserve"> </w:t>
      </w:r>
      <w:proofErr w:type="spellStart"/>
      <w:r w:rsidRPr="00C26A02">
        <w:rPr>
          <w:sz w:val="20"/>
          <w:lang w:val="fr-CA"/>
        </w:rPr>
        <w:t>Television</w:t>
      </w:r>
      <w:proofErr w:type="spellEnd"/>
      <w:r w:rsidRPr="00C26A02">
        <w:rPr>
          <w:sz w:val="20"/>
          <w:lang w:val="fr-CA"/>
        </w:rPr>
        <w:t xml:space="preserve"> Limited </w:t>
      </w:r>
      <w:proofErr w:type="spellStart"/>
      <w:r w:rsidRPr="00C26A02">
        <w:rPr>
          <w:sz w:val="20"/>
          <w:lang w:val="fr-CA"/>
        </w:rPr>
        <w:t>Partnership</w:t>
      </w:r>
      <w:proofErr w:type="spellEnd"/>
      <w:r w:rsidRPr="00C26A02">
        <w:rPr>
          <w:sz w:val="20"/>
          <w:lang w:val="fr-CA"/>
        </w:rPr>
        <w:t>.</w:t>
      </w:r>
    </w:p>
    <w:p w:rsidR="00C364C5" w:rsidRPr="00C26A02" w:rsidRDefault="00C364C5" w:rsidP="00C364C5">
      <w:pPr>
        <w:pStyle w:val="SCCNormalDoubleSpacing"/>
        <w:spacing w:line="240" w:lineRule="auto"/>
        <w:rPr>
          <w:sz w:val="20"/>
          <w:lang w:val="fr-CA"/>
        </w:rPr>
      </w:pPr>
    </w:p>
    <w:p w:rsidR="00C364C5" w:rsidRPr="00C26A02" w:rsidRDefault="00C364C5" w:rsidP="00C364C5">
      <w:pPr>
        <w:pStyle w:val="SCCNormalDoubleSpacing"/>
        <w:spacing w:line="240" w:lineRule="auto"/>
        <w:rPr>
          <w:sz w:val="20"/>
          <w:lang w:val="fr-CA"/>
        </w:rPr>
      </w:pPr>
      <w:r w:rsidRPr="00C26A02">
        <w:rPr>
          <w:sz w:val="20"/>
          <w:lang w:val="fr-CA"/>
        </w:rPr>
        <w:tab/>
        <w:t>Personne n’a comparu pour l’intervenant.</w:t>
      </w:r>
    </w:p>
    <w:p w:rsidR="00C364C5" w:rsidRPr="00C26A02" w:rsidRDefault="00C364C5" w:rsidP="00C364C5">
      <w:pPr>
        <w:pStyle w:val="SCCLawFirm"/>
        <w:spacing w:line="240" w:lineRule="auto"/>
        <w:rPr>
          <w:sz w:val="20"/>
          <w:lang w:val="fr-CA"/>
        </w:rPr>
      </w:pPr>
    </w:p>
    <w:p w:rsidR="00C364C5" w:rsidRPr="00C26A02" w:rsidRDefault="00C364C5" w:rsidP="00C364C5">
      <w:pPr>
        <w:pStyle w:val="SCCLawFirm"/>
        <w:spacing w:line="240" w:lineRule="auto"/>
        <w:rPr>
          <w:sz w:val="20"/>
          <w:lang w:val="fr-CA"/>
        </w:rPr>
      </w:pPr>
      <w:r w:rsidRPr="00C26A02">
        <w:rPr>
          <w:sz w:val="20"/>
          <w:lang w:val="fr-CA"/>
        </w:rPr>
        <w:tab/>
        <w:t xml:space="preserve">Procureurs de l’appelante </w:t>
      </w:r>
      <w:proofErr w:type="spellStart"/>
      <w:r w:rsidRPr="00C26A02">
        <w:rPr>
          <w:sz w:val="20"/>
          <w:lang w:val="fr-CA"/>
        </w:rPr>
        <w:t>Cogeco</w:t>
      </w:r>
      <w:proofErr w:type="spellEnd"/>
      <w:r w:rsidRPr="00C26A02">
        <w:rPr>
          <w:sz w:val="20"/>
          <w:lang w:val="fr-CA"/>
        </w:rPr>
        <w:t xml:space="preserve"> Câble Inc. : McCarthy </w:t>
      </w:r>
      <w:proofErr w:type="spellStart"/>
      <w:r w:rsidRPr="00C26A02">
        <w:rPr>
          <w:sz w:val="20"/>
          <w:lang w:val="fr-CA"/>
        </w:rPr>
        <w:t>Tétrault</w:t>
      </w:r>
      <w:proofErr w:type="spellEnd"/>
      <w:r w:rsidRPr="00C26A02">
        <w:rPr>
          <w:sz w:val="20"/>
          <w:lang w:val="fr-CA"/>
        </w:rPr>
        <w:t>, Toronto.</w:t>
      </w:r>
    </w:p>
    <w:p w:rsidR="00C364C5" w:rsidRPr="00C26A02" w:rsidRDefault="00C364C5" w:rsidP="00C364C5">
      <w:pPr>
        <w:pStyle w:val="SCCLawFirm"/>
        <w:spacing w:line="240" w:lineRule="auto"/>
        <w:rPr>
          <w:sz w:val="20"/>
          <w:lang w:val="fr-CA"/>
        </w:rPr>
      </w:pPr>
    </w:p>
    <w:p w:rsidR="00C364C5" w:rsidRPr="00C26A02" w:rsidRDefault="00C364C5" w:rsidP="00C364C5">
      <w:pPr>
        <w:pStyle w:val="SCCLawFirm"/>
        <w:spacing w:line="240" w:lineRule="auto"/>
        <w:rPr>
          <w:sz w:val="20"/>
          <w:lang w:val="fr-CA"/>
        </w:rPr>
      </w:pPr>
      <w:r w:rsidRPr="00C26A02">
        <w:rPr>
          <w:sz w:val="20"/>
          <w:lang w:val="fr-CA"/>
        </w:rPr>
        <w:tab/>
        <w:t xml:space="preserve">Procureurs des appelantes Rogers Communications Inc. et TELUS Communications </w:t>
      </w:r>
      <w:proofErr w:type="spellStart"/>
      <w:r w:rsidRPr="00C26A02">
        <w:rPr>
          <w:sz w:val="20"/>
          <w:lang w:val="fr-CA"/>
        </w:rPr>
        <w:t>Company</w:t>
      </w:r>
      <w:proofErr w:type="spellEnd"/>
      <w:r w:rsidRPr="00C26A02">
        <w:rPr>
          <w:sz w:val="20"/>
          <w:lang w:val="fr-CA"/>
        </w:rPr>
        <w:t> : </w:t>
      </w:r>
      <w:proofErr w:type="spellStart"/>
      <w:r w:rsidRPr="00C26A02">
        <w:rPr>
          <w:sz w:val="20"/>
          <w:lang w:val="fr-CA"/>
        </w:rPr>
        <w:t>Fasken</w:t>
      </w:r>
      <w:proofErr w:type="spellEnd"/>
      <w:r w:rsidRPr="00C26A02">
        <w:rPr>
          <w:sz w:val="20"/>
          <w:lang w:val="fr-CA"/>
        </w:rPr>
        <w:t xml:space="preserve"> Martineau </w:t>
      </w:r>
      <w:proofErr w:type="spellStart"/>
      <w:r w:rsidRPr="00C26A02">
        <w:rPr>
          <w:sz w:val="20"/>
          <w:lang w:val="fr-CA"/>
        </w:rPr>
        <w:t>DuMoulin</w:t>
      </w:r>
      <w:proofErr w:type="spellEnd"/>
      <w:r w:rsidRPr="00C26A02">
        <w:rPr>
          <w:sz w:val="20"/>
          <w:lang w:val="fr-CA"/>
        </w:rPr>
        <w:t>, Ottawa.</w:t>
      </w:r>
    </w:p>
    <w:p w:rsidR="00C364C5" w:rsidRPr="00C26A02" w:rsidRDefault="00C364C5" w:rsidP="00C364C5">
      <w:pPr>
        <w:pStyle w:val="SCCLawFirm"/>
        <w:spacing w:line="240" w:lineRule="auto"/>
        <w:rPr>
          <w:sz w:val="20"/>
          <w:lang w:val="fr-CA"/>
        </w:rPr>
      </w:pPr>
    </w:p>
    <w:p w:rsidR="00C364C5" w:rsidRPr="00C26A02" w:rsidRDefault="00C364C5" w:rsidP="00C364C5">
      <w:pPr>
        <w:pStyle w:val="SCCLawFirm"/>
        <w:spacing w:line="240" w:lineRule="auto"/>
        <w:rPr>
          <w:sz w:val="20"/>
          <w:lang w:val="fr-CA"/>
        </w:rPr>
      </w:pPr>
      <w:r w:rsidRPr="00C26A02">
        <w:rPr>
          <w:sz w:val="20"/>
          <w:lang w:val="fr-CA"/>
        </w:rPr>
        <w:tab/>
        <w:t xml:space="preserve">Procureurs de l’appelante Shaw Communications Inc. : Davies Ward Phillips &amp; </w:t>
      </w:r>
      <w:proofErr w:type="spellStart"/>
      <w:r w:rsidRPr="00C26A02">
        <w:rPr>
          <w:sz w:val="20"/>
          <w:lang w:val="fr-CA"/>
        </w:rPr>
        <w:t>Vineberg</w:t>
      </w:r>
      <w:proofErr w:type="spellEnd"/>
      <w:r w:rsidRPr="00C26A02">
        <w:rPr>
          <w:sz w:val="20"/>
          <w:lang w:val="fr-CA"/>
        </w:rPr>
        <w:t>, Toronto.</w:t>
      </w:r>
    </w:p>
    <w:p w:rsidR="00C364C5" w:rsidRPr="00C26A02" w:rsidRDefault="00C364C5" w:rsidP="00C364C5">
      <w:pPr>
        <w:pStyle w:val="SCCNormalDoubleSpacing"/>
        <w:spacing w:line="240" w:lineRule="auto"/>
        <w:rPr>
          <w:i/>
          <w:sz w:val="20"/>
          <w:lang w:val="fr-CA"/>
        </w:rPr>
      </w:pPr>
    </w:p>
    <w:p w:rsidR="00C364C5" w:rsidRPr="00C26A02" w:rsidRDefault="00C364C5" w:rsidP="00C364C5">
      <w:pPr>
        <w:pStyle w:val="SCCNormalDoubleSpacing"/>
        <w:spacing w:line="240" w:lineRule="auto"/>
        <w:rPr>
          <w:i/>
          <w:sz w:val="20"/>
          <w:lang w:val="en-US"/>
        </w:rPr>
      </w:pPr>
      <w:r w:rsidRPr="00C26A02">
        <w:rPr>
          <w:i/>
          <w:sz w:val="20"/>
          <w:lang w:val="fr-CA"/>
        </w:rPr>
        <w:tab/>
        <w:t xml:space="preserve">Procureurs des intimées Bell Media Inc. </w:t>
      </w:r>
      <w:r w:rsidRPr="00C26A02">
        <w:rPr>
          <w:i/>
          <w:sz w:val="20"/>
          <w:lang w:val="en-US"/>
        </w:rPr>
        <w:t>(</w:t>
      </w:r>
      <w:proofErr w:type="spellStart"/>
      <w:r w:rsidRPr="00C26A02">
        <w:rPr>
          <w:i/>
          <w:sz w:val="20"/>
          <w:lang w:val="en-US"/>
        </w:rPr>
        <w:t>auparavant</w:t>
      </w:r>
      <w:proofErr w:type="spellEnd"/>
      <w:r w:rsidRPr="00C26A02">
        <w:rPr>
          <w:i/>
          <w:sz w:val="20"/>
          <w:lang w:val="en-US"/>
        </w:rPr>
        <w:t xml:space="preserve"> CTV </w:t>
      </w:r>
      <w:proofErr w:type="spellStart"/>
      <w:r w:rsidRPr="00C26A02">
        <w:rPr>
          <w:i/>
          <w:sz w:val="20"/>
          <w:lang w:val="en-US"/>
        </w:rPr>
        <w:t>Globemedia</w:t>
      </w:r>
      <w:proofErr w:type="spellEnd"/>
      <w:r w:rsidRPr="00C26A02">
        <w:rPr>
          <w:i/>
          <w:sz w:val="20"/>
          <w:lang w:val="en-US"/>
        </w:rPr>
        <w:t xml:space="preserve"> Inc.), Newfoundland Broadcasting Co. Ltd. et V Interactions Inc. : </w:t>
      </w:r>
      <w:proofErr w:type="spellStart"/>
      <w:r w:rsidRPr="00C26A02">
        <w:rPr>
          <w:i/>
          <w:sz w:val="20"/>
          <w:lang w:val="en-US"/>
        </w:rPr>
        <w:t>Goodmans</w:t>
      </w:r>
      <w:proofErr w:type="spellEnd"/>
      <w:r w:rsidRPr="00C26A02">
        <w:rPr>
          <w:i/>
          <w:sz w:val="20"/>
          <w:lang w:val="en-US"/>
        </w:rPr>
        <w:t>, Toronto.</w:t>
      </w:r>
    </w:p>
    <w:p w:rsidR="00C364C5" w:rsidRPr="00C26A02" w:rsidRDefault="00C364C5" w:rsidP="00C364C5">
      <w:pPr>
        <w:pStyle w:val="SCCNormalDoubleSpacing"/>
        <w:spacing w:line="240" w:lineRule="auto"/>
        <w:rPr>
          <w:i/>
          <w:sz w:val="20"/>
        </w:rPr>
      </w:pPr>
    </w:p>
    <w:p w:rsidR="00C364C5" w:rsidRPr="00C26A02" w:rsidRDefault="00C364C5" w:rsidP="00C364C5">
      <w:pPr>
        <w:pStyle w:val="SCCNormalDoubleSpacing"/>
        <w:spacing w:line="240" w:lineRule="auto"/>
        <w:rPr>
          <w:i/>
          <w:sz w:val="20"/>
        </w:rPr>
      </w:pPr>
      <w:r w:rsidRPr="00C26A02">
        <w:rPr>
          <w:i/>
          <w:sz w:val="20"/>
        </w:rPr>
        <w:tab/>
      </w:r>
      <w:proofErr w:type="spellStart"/>
      <w:r w:rsidRPr="00C26A02">
        <w:rPr>
          <w:i/>
          <w:sz w:val="20"/>
        </w:rPr>
        <w:t>Procureurs</w:t>
      </w:r>
      <w:proofErr w:type="spellEnd"/>
      <w:r w:rsidRPr="00C26A02">
        <w:rPr>
          <w:i/>
          <w:sz w:val="20"/>
        </w:rPr>
        <w:t xml:space="preserve"> de </w:t>
      </w:r>
      <w:proofErr w:type="spellStart"/>
      <w:r w:rsidRPr="00C26A02">
        <w:rPr>
          <w:i/>
          <w:sz w:val="20"/>
        </w:rPr>
        <w:t>l’intimée</w:t>
      </w:r>
      <w:proofErr w:type="spellEnd"/>
      <w:r w:rsidRPr="00C26A02">
        <w:rPr>
          <w:i/>
          <w:sz w:val="20"/>
        </w:rPr>
        <w:t xml:space="preserve"> </w:t>
      </w:r>
      <w:proofErr w:type="spellStart"/>
      <w:r w:rsidRPr="00C26A02">
        <w:rPr>
          <w:i/>
          <w:sz w:val="20"/>
        </w:rPr>
        <w:t>Canwest</w:t>
      </w:r>
      <w:proofErr w:type="spellEnd"/>
      <w:r w:rsidRPr="00C26A02">
        <w:rPr>
          <w:i/>
          <w:sz w:val="20"/>
        </w:rPr>
        <w:t xml:space="preserve"> Television Limited </w:t>
      </w:r>
      <w:proofErr w:type="gramStart"/>
      <w:r w:rsidRPr="00C26A02">
        <w:rPr>
          <w:i/>
          <w:sz w:val="20"/>
        </w:rPr>
        <w:t>Partnership :</w:t>
      </w:r>
      <w:proofErr w:type="gramEnd"/>
      <w:r w:rsidRPr="00C26A02">
        <w:rPr>
          <w:i/>
          <w:sz w:val="20"/>
        </w:rPr>
        <w:t> </w:t>
      </w:r>
      <w:proofErr w:type="spellStart"/>
      <w:r w:rsidRPr="00C26A02">
        <w:rPr>
          <w:i/>
          <w:sz w:val="20"/>
        </w:rPr>
        <w:t>Paliare</w:t>
      </w:r>
      <w:proofErr w:type="spellEnd"/>
      <w:r w:rsidRPr="00C26A02">
        <w:rPr>
          <w:i/>
          <w:sz w:val="20"/>
        </w:rPr>
        <w:t>, Roland, Rosenberg, Rothstein, Toronto.</w:t>
      </w:r>
    </w:p>
    <w:p w:rsidR="00C364C5" w:rsidRPr="00C26A02" w:rsidRDefault="00C364C5" w:rsidP="00C364C5">
      <w:pPr>
        <w:pStyle w:val="SCCNormalDoubleSpacing"/>
        <w:spacing w:line="240" w:lineRule="auto"/>
        <w:rPr>
          <w:i/>
          <w:sz w:val="20"/>
        </w:rPr>
      </w:pPr>
    </w:p>
    <w:p w:rsidR="00C364C5" w:rsidRPr="00C26A02" w:rsidRDefault="00C364C5" w:rsidP="00C364C5">
      <w:pPr>
        <w:pStyle w:val="SCCNormalDoubleSpacing"/>
        <w:spacing w:line="240" w:lineRule="auto"/>
        <w:rPr>
          <w:i/>
          <w:sz w:val="20"/>
          <w:lang w:val="fr-CA"/>
        </w:rPr>
      </w:pPr>
      <w:r w:rsidRPr="00C26A02">
        <w:rPr>
          <w:i/>
          <w:sz w:val="20"/>
        </w:rPr>
        <w:tab/>
      </w:r>
      <w:r w:rsidRPr="00C26A02">
        <w:rPr>
          <w:i/>
          <w:sz w:val="20"/>
          <w:lang w:val="fr-CA"/>
        </w:rPr>
        <w:t>Procureurs de l’intervenant : Conseil de la radiodiffusion et des télécommunications canadiennes, Gatineau.</w:t>
      </w:r>
    </w:p>
    <w:p w:rsidR="003B3977" w:rsidRDefault="003B3977" w:rsidP="005C6840">
      <w:pPr>
        <w:rPr>
          <w:rFonts w:cs="Times New Roman"/>
          <w:sz w:val="20"/>
          <w:szCs w:val="20"/>
          <w:lang w:val="fr-CA"/>
        </w:rPr>
      </w:pPr>
    </w:p>
    <w:p w:rsidR="005C6840" w:rsidRDefault="00D32E73" w:rsidP="005C6840">
      <w:pPr>
        <w:rPr>
          <w:lang w:val="fr-CA"/>
        </w:rPr>
      </w:pPr>
      <w:r w:rsidRPr="00D32E73">
        <w:rPr>
          <w:rFonts w:cs="Times New Roman"/>
          <w:sz w:val="20"/>
          <w:szCs w:val="20"/>
          <w:lang w:val="fr-CA"/>
        </w:rPr>
        <w:pict>
          <v:rect id="_x0000_i1076" style="width:144.3pt;height:1pt" o:hrpct="300" o:hralign="center" o:hrstd="t" o:hrnoshade="t" o:hr="t" fillcolor="black [3213]" stroked="f"/>
        </w:pict>
      </w:r>
      <w:r w:rsidR="005C6840">
        <w:rPr>
          <w:lang w:val="fr-CA"/>
        </w:rPr>
        <w:br w:type="page"/>
      </w:r>
    </w:p>
    <w:p w:rsidR="005C6840" w:rsidRPr="003B3977" w:rsidRDefault="004C4064" w:rsidP="005C6840">
      <w:pPr>
        <w:tabs>
          <w:tab w:val="left" w:pos="-1440"/>
        </w:tabs>
        <w:ind w:left="720" w:hanging="720"/>
        <w:jc w:val="both"/>
        <w:rPr>
          <w:sz w:val="20"/>
          <w:szCs w:val="20"/>
          <w:lang w:val="en-GB"/>
        </w:rPr>
      </w:pPr>
      <w:r>
        <w:rPr>
          <w:i/>
          <w:sz w:val="20"/>
          <w:szCs w:val="20"/>
          <w:lang w:val="en-GB"/>
        </w:rPr>
        <w:lastRenderedPageBreak/>
        <w:t>M</w:t>
      </w:r>
      <w:r w:rsidR="005C6840" w:rsidRPr="003B3977">
        <w:rPr>
          <w:i/>
          <w:sz w:val="20"/>
          <w:szCs w:val="20"/>
          <w:lang w:val="en-GB"/>
        </w:rPr>
        <w:t>o</w:t>
      </w:r>
      <w:r>
        <w:rPr>
          <w:i/>
          <w:sz w:val="20"/>
          <w:szCs w:val="20"/>
          <w:lang w:val="en-GB"/>
        </w:rPr>
        <w:t xml:space="preserve">hammad </w:t>
      </w:r>
      <w:proofErr w:type="spellStart"/>
      <w:r>
        <w:rPr>
          <w:i/>
          <w:sz w:val="20"/>
          <w:szCs w:val="20"/>
          <w:lang w:val="en-GB"/>
        </w:rPr>
        <w:t>Momin</w:t>
      </w:r>
      <w:proofErr w:type="spellEnd"/>
      <w:r>
        <w:rPr>
          <w:i/>
          <w:sz w:val="20"/>
          <w:szCs w:val="20"/>
          <w:lang w:val="en-GB"/>
        </w:rPr>
        <w:t xml:space="preserve"> </w:t>
      </w:r>
      <w:proofErr w:type="spellStart"/>
      <w:r>
        <w:rPr>
          <w:i/>
          <w:sz w:val="20"/>
          <w:szCs w:val="20"/>
          <w:lang w:val="en-GB"/>
        </w:rPr>
        <w:t>Khawaja</w:t>
      </w:r>
      <w:proofErr w:type="spellEnd"/>
      <w:r w:rsidR="005C6840" w:rsidRPr="003B3977">
        <w:rPr>
          <w:i/>
          <w:sz w:val="20"/>
          <w:szCs w:val="20"/>
          <w:lang w:val="en-GB"/>
        </w:rPr>
        <w:t xml:space="preserve"> v. </w:t>
      </w:r>
      <w:r>
        <w:rPr>
          <w:i/>
          <w:sz w:val="20"/>
          <w:szCs w:val="20"/>
          <w:lang w:val="en-GB"/>
        </w:rPr>
        <w:t>He</w:t>
      </w:r>
      <w:r w:rsidR="005C6840" w:rsidRPr="003B3977">
        <w:rPr>
          <w:i/>
          <w:sz w:val="20"/>
          <w:szCs w:val="20"/>
          <w:lang w:val="en-GB"/>
        </w:rPr>
        <w:t>r</w:t>
      </w:r>
      <w:r>
        <w:rPr>
          <w:i/>
          <w:sz w:val="20"/>
          <w:szCs w:val="20"/>
          <w:lang w:val="en-GB"/>
        </w:rPr>
        <w:t xml:space="preserve"> Maj</w:t>
      </w:r>
      <w:r w:rsidR="005C6840" w:rsidRPr="003B3977">
        <w:rPr>
          <w:i/>
          <w:sz w:val="20"/>
          <w:szCs w:val="20"/>
          <w:lang w:val="en-GB"/>
        </w:rPr>
        <w:t>e</w:t>
      </w:r>
      <w:r>
        <w:rPr>
          <w:i/>
          <w:sz w:val="20"/>
          <w:szCs w:val="20"/>
          <w:lang w:val="en-GB"/>
        </w:rPr>
        <w:t>sty the Quee</w:t>
      </w:r>
      <w:r w:rsidR="005C6840" w:rsidRPr="003B3977">
        <w:rPr>
          <w:i/>
          <w:sz w:val="20"/>
          <w:szCs w:val="20"/>
          <w:lang w:val="en-GB"/>
        </w:rPr>
        <w:t>n</w:t>
      </w:r>
      <w:r w:rsidR="005C6840" w:rsidRPr="003B3977">
        <w:rPr>
          <w:sz w:val="20"/>
          <w:szCs w:val="20"/>
          <w:lang w:val="en-GB"/>
        </w:rPr>
        <w:t xml:space="preserve"> (</w:t>
      </w:r>
      <w:r>
        <w:rPr>
          <w:sz w:val="20"/>
          <w:szCs w:val="20"/>
          <w:lang w:val="en-GB"/>
        </w:rPr>
        <w:t>Ont.</w:t>
      </w:r>
      <w:r w:rsidR="005C6840" w:rsidRPr="003B3977">
        <w:rPr>
          <w:sz w:val="20"/>
          <w:szCs w:val="20"/>
          <w:lang w:val="en-GB"/>
        </w:rPr>
        <w:t>) (3</w:t>
      </w:r>
      <w:r>
        <w:rPr>
          <w:sz w:val="20"/>
          <w:szCs w:val="20"/>
          <w:lang w:val="en-GB"/>
        </w:rPr>
        <w:t>410</w:t>
      </w:r>
      <w:r w:rsidR="005C6840" w:rsidRPr="003B3977">
        <w:rPr>
          <w:sz w:val="20"/>
          <w:szCs w:val="20"/>
          <w:lang w:val="en-GB"/>
        </w:rPr>
        <w:t>3)</w:t>
      </w:r>
    </w:p>
    <w:p w:rsidR="004C4064" w:rsidRPr="004C4064" w:rsidRDefault="004C4064" w:rsidP="004C4064">
      <w:pPr>
        <w:jc w:val="both"/>
        <w:rPr>
          <w:b/>
          <w:sz w:val="20"/>
          <w:szCs w:val="20"/>
        </w:rPr>
      </w:pPr>
      <w:r w:rsidRPr="00386B35">
        <w:rPr>
          <w:b/>
          <w:sz w:val="20"/>
          <w:szCs w:val="20"/>
        </w:rPr>
        <w:t xml:space="preserve">Indexed as:  R. </w:t>
      </w:r>
      <w:r w:rsidRPr="00386B35">
        <w:rPr>
          <w:b/>
          <w:i/>
          <w:sz w:val="20"/>
          <w:szCs w:val="20"/>
        </w:rPr>
        <w:t xml:space="preserve">v. </w:t>
      </w:r>
      <w:proofErr w:type="spellStart"/>
      <w:r w:rsidRPr="00386B35">
        <w:rPr>
          <w:b/>
          <w:sz w:val="20"/>
          <w:szCs w:val="20"/>
        </w:rPr>
        <w:t>Khawaja</w:t>
      </w:r>
      <w:proofErr w:type="spellEnd"/>
      <w:r>
        <w:rPr>
          <w:b/>
          <w:sz w:val="20"/>
          <w:szCs w:val="20"/>
        </w:rPr>
        <w:t xml:space="preserve"> / </w:t>
      </w:r>
      <w:proofErr w:type="spellStart"/>
      <w:proofErr w:type="gramStart"/>
      <w:r w:rsidRPr="004C4064">
        <w:rPr>
          <w:b/>
          <w:sz w:val="20"/>
          <w:szCs w:val="20"/>
        </w:rPr>
        <w:t>Répertorié</w:t>
      </w:r>
      <w:proofErr w:type="spellEnd"/>
      <w:r w:rsidRPr="004C4064">
        <w:rPr>
          <w:b/>
          <w:sz w:val="20"/>
          <w:szCs w:val="20"/>
        </w:rPr>
        <w:t> :</w:t>
      </w:r>
      <w:proofErr w:type="gramEnd"/>
      <w:r w:rsidRPr="004C4064">
        <w:rPr>
          <w:b/>
          <w:sz w:val="20"/>
          <w:szCs w:val="20"/>
        </w:rPr>
        <w:t xml:space="preserve"> R. </w:t>
      </w:r>
      <w:r w:rsidRPr="004C4064">
        <w:rPr>
          <w:b/>
          <w:i/>
          <w:sz w:val="20"/>
          <w:szCs w:val="20"/>
        </w:rPr>
        <w:t xml:space="preserve">c. </w:t>
      </w:r>
      <w:proofErr w:type="spellStart"/>
      <w:r w:rsidRPr="004C4064">
        <w:rPr>
          <w:b/>
          <w:sz w:val="20"/>
          <w:szCs w:val="20"/>
        </w:rPr>
        <w:t>Khawaja</w:t>
      </w:r>
      <w:proofErr w:type="spellEnd"/>
    </w:p>
    <w:p w:rsidR="005C6840" w:rsidRPr="00B95D9D" w:rsidRDefault="005C6840" w:rsidP="005C6840">
      <w:pPr>
        <w:pStyle w:val="SCCSystemYear"/>
        <w:jc w:val="both"/>
        <w:rPr>
          <w:sz w:val="20"/>
        </w:rPr>
      </w:pPr>
      <w:proofErr w:type="spellStart"/>
      <w:r w:rsidRPr="00B95D9D">
        <w:rPr>
          <w:sz w:val="20"/>
        </w:rPr>
        <w:t>Neutral</w:t>
      </w:r>
      <w:proofErr w:type="spellEnd"/>
      <w:r w:rsidRPr="00B95D9D">
        <w:rPr>
          <w:sz w:val="20"/>
        </w:rPr>
        <w:t xml:space="preserve"> citation</w:t>
      </w:r>
      <w:proofErr w:type="gramStart"/>
      <w:r w:rsidRPr="00B95D9D">
        <w:rPr>
          <w:sz w:val="20"/>
        </w:rPr>
        <w:t>:  201</w:t>
      </w:r>
      <w:r w:rsidR="004E1E0A" w:rsidRPr="00B95D9D">
        <w:rPr>
          <w:sz w:val="20"/>
        </w:rPr>
        <w:t>2</w:t>
      </w:r>
      <w:proofErr w:type="gramEnd"/>
      <w:r w:rsidRPr="00B95D9D">
        <w:rPr>
          <w:sz w:val="20"/>
        </w:rPr>
        <w:t xml:space="preserve"> SCC </w:t>
      </w:r>
      <w:r w:rsidR="00B95D9D" w:rsidRPr="00B95D9D">
        <w:rPr>
          <w:sz w:val="20"/>
        </w:rPr>
        <w:t>69</w:t>
      </w:r>
      <w:r w:rsidRPr="00B95D9D">
        <w:rPr>
          <w:sz w:val="20"/>
        </w:rPr>
        <w:t xml:space="preserve"> / Référence neutre : 201</w:t>
      </w:r>
      <w:r w:rsidR="004E1E0A" w:rsidRPr="00B95D9D">
        <w:rPr>
          <w:sz w:val="20"/>
        </w:rPr>
        <w:t>2</w:t>
      </w:r>
      <w:r w:rsidRPr="00B95D9D">
        <w:rPr>
          <w:sz w:val="20"/>
        </w:rPr>
        <w:t xml:space="preserve"> CSC </w:t>
      </w:r>
      <w:r w:rsidR="00B95D9D">
        <w:rPr>
          <w:sz w:val="20"/>
        </w:rPr>
        <w:t>69</w:t>
      </w:r>
    </w:p>
    <w:p w:rsidR="005C6840" w:rsidRPr="00B95D9D" w:rsidRDefault="005C6840" w:rsidP="005C6840">
      <w:pPr>
        <w:rPr>
          <w:sz w:val="20"/>
          <w:szCs w:val="20"/>
          <w:lang w:val="fr-CA"/>
        </w:rPr>
      </w:pPr>
      <w:proofErr w:type="spellStart"/>
      <w:r w:rsidRPr="00B95D9D">
        <w:rPr>
          <w:sz w:val="20"/>
          <w:szCs w:val="20"/>
          <w:lang w:val="fr-CA"/>
        </w:rPr>
        <w:t>Hearing</w:t>
      </w:r>
      <w:proofErr w:type="spellEnd"/>
      <w:proofErr w:type="gramStart"/>
      <w:r w:rsidRPr="00B95D9D">
        <w:rPr>
          <w:sz w:val="20"/>
          <w:szCs w:val="20"/>
          <w:lang w:val="fr-CA"/>
        </w:rPr>
        <w:t xml:space="preserve">:  </w:t>
      </w:r>
      <w:proofErr w:type="spellStart"/>
      <w:r w:rsidR="00B95D9D">
        <w:rPr>
          <w:sz w:val="20"/>
          <w:szCs w:val="20"/>
          <w:lang w:val="fr-CA"/>
        </w:rPr>
        <w:t>June</w:t>
      </w:r>
      <w:proofErr w:type="spellEnd"/>
      <w:proofErr w:type="gramEnd"/>
      <w:r w:rsidR="00B95D9D">
        <w:rPr>
          <w:sz w:val="20"/>
          <w:szCs w:val="20"/>
          <w:lang w:val="fr-CA"/>
        </w:rPr>
        <w:t xml:space="preserve"> 1</w:t>
      </w:r>
      <w:r w:rsidRPr="00B95D9D">
        <w:rPr>
          <w:sz w:val="20"/>
          <w:szCs w:val="20"/>
          <w:lang w:val="fr-CA"/>
        </w:rPr>
        <w:t>1, 201</w:t>
      </w:r>
      <w:r w:rsidR="00B95D9D">
        <w:rPr>
          <w:sz w:val="20"/>
          <w:szCs w:val="20"/>
          <w:lang w:val="fr-CA"/>
        </w:rPr>
        <w:t>2</w:t>
      </w:r>
      <w:r w:rsidRPr="00B95D9D">
        <w:rPr>
          <w:sz w:val="20"/>
          <w:szCs w:val="20"/>
          <w:lang w:val="fr-CA"/>
        </w:rPr>
        <w:t xml:space="preserve"> / </w:t>
      </w:r>
      <w:proofErr w:type="spellStart"/>
      <w:r w:rsidRPr="00B95D9D">
        <w:rPr>
          <w:sz w:val="20"/>
          <w:szCs w:val="20"/>
          <w:lang w:val="fr-CA"/>
        </w:rPr>
        <w:t>Judgment</w:t>
      </w:r>
      <w:proofErr w:type="spellEnd"/>
      <w:r w:rsidRPr="00B95D9D">
        <w:rPr>
          <w:sz w:val="20"/>
          <w:szCs w:val="20"/>
          <w:lang w:val="fr-CA"/>
        </w:rPr>
        <w:t xml:space="preserve">:  </w:t>
      </w:r>
      <w:proofErr w:type="spellStart"/>
      <w:r w:rsidR="00B95D9D" w:rsidRPr="00B95D9D">
        <w:rPr>
          <w:sz w:val="20"/>
          <w:szCs w:val="20"/>
          <w:lang w:val="fr-CA"/>
        </w:rPr>
        <w:t>Decem</w:t>
      </w:r>
      <w:r w:rsidRPr="00B95D9D">
        <w:rPr>
          <w:sz w:val="20"/>
          <w:szCs w:val="20"/>
          <w:lang w:val="fr-CA"/>
        </w:rPr>
        <w:t>ber</w:t>
      </w:r>
      <w:proofErr w:type="spellEnd"/>
      <w:r w:rsidRPr="00B95D9D">
        <w:rPr>
          <w:sz w:val="20"/>
          <w:szCs w:val="20"/>
          <w:lang w:val="fr-CA"/>
        </w:rPr>
        <w:t xml:space="preserve"> </w:t>
      </w:r>
      <w:r w:rsidR="00B95D9D" w:rsidRPr="00B95D9D">
        <w:rPr>
          <w:sz w:val="20"/>
          <w:szCs w:val="20"/>
          <w:lang w:val="fr-CA"/>
        </w:rPr>
        <w:t>14</w:t>
      </w:r>
      <w:r w:rsidRPr="00B95D9D">
        <w:rPr>
          <w:sz w:val="20"/>
          <w:szCs w:val="20"/>
          <w:lang w:val="fr-CA"/>
        </w:rPr>
        <w:t>, 201</w:t>
      </w:r>
      <w:r w:rsidR="004E1E0A" w:rsidRPr="00B95D9D">
        <w:rPr>
          <w:sz w:val="20"/>
          <w:szCs w:val="20"/>
          <w:lang w:val="fr-CA"/>
        </w:rPr>
        <w:t>2</w:t>
      </w:r>
    </w:p>
    <w:p w:rsidR="005C6840" w:rsidRPr="003B3977" w:rsidRDefault="005C6840" w:rsidP="005C6840">
      <w:pPr>
        <w:rPr>
          <w:sz w:val="20"/>
          <w:szCs w:val="20"/>
          <w:lang w:val="fr-CA"/>
        </w:rPr>
      </w:pPr>
      <w:r w:rsidRPr="003B3977">
        <w:rPr>
          <w:sz w:val="20"/>
          <w:szCs w:val="20"/>
          <w:lang w:val="fr-CA"/>
        </w:rPr>
        <w:t xml:space="preserve">Audition : Le </w:t>
      </w:r>
      <w:r w:rsidR="00B95D9D">
        <w:rPr>
          <w:sz w:val="20"/>
          <w:szCs w:val="20"/>
          <w:lang w:val="fr-CA"/>
        </w:rPr>
        <w:t>1</w:t>
      </w:r>
      <w:r w:rsidRPr="003B3977">
        <w:rPr>
          <w:sz w:val="20"/>
          <w:szCs w:val="20"/>
          <w:lang w:val="fr-CA"/>
        </w:rPr>
        <w:t xml:space="preserve">1 </w:t>
      </w:r>
      <w:r w:rsidR="00B95D9D">
        <w:rPr>
          <w:sz w:val="20"/>
          <w:szCs w:val="20"/>
          <w:lang w:val="fr-CA"/>
        </w:rPr>
        <w:t>ju</w:t>
      </w:r>
      <w:r w:rsidRPr="003B3977">
        <w:rPr>
          <w:sz w:val="20"/>
          <w:szCs w:val="20"/>
          <w:lang w:val="fr-CA"/>
        </w:rPr>
        <w:t>i</w:t>
      </w:r>
      <w:r w:rsidR="00B95D9D">
        <w:rPr>
          <w:sz w:val="20"/>
          <w:szCs w:val="20"/>
          <w:lang w:val="fr-CA"/>
        </w:rPr>
        <w:t>n</w:t>
      </w:r>
      <w:r w:rsidRPr="003B3977">
        <w:rPr>
          <w:sz w:val="20"/>
          <w:szCs w:val="20"/>
          <w:lang w:val="fr-CA"/>
        </w:rPr>
        <w:t xml:space="preserve"> 201</w:t>
      </w:r>
      <w:r w:rsidR="00B95D9D">
        <w:rPr>
          <w:sz w:val="20"/>
          <w:szCs w:val="20"/>
          <w:lang w:val="fr-CA"/>
        </w:rPr>
        <w:t>2</w:t>
      </w:r>
      <w:r w:rsidRPr="003B3977">
        <w:rPr>
          <w:sz w:val="20"/>
          <w:szCs w:val="20"/>
          <w:lang w:val="fr-CA"/>
        </w:rPr>
        <w:t xml:space="preserve"> / Jugement : Le </w:t>
      </w:r>
      <w:r w:rsidR="00B95D9D">
        <w:rPr>
          <w:sz w:val="20"/>
          <w:szCs w:val="20"/>
          <w:lang w:val="fr-CA"/>
        </w:rPr>
        <w:t>14</w:t>
      </w:r>
      <w:r w:rsidRPr="003B3977">
        <w:rPr>
          <w:sz w:val="20"/>
          <w:szCs w:val="20"/>
          <w:lang w:val="fr-CA"/>
        </w:rPr>
        <w:t xml:space="preserve"> </w:t>
      </w:r>
      <w:r w:rsidR="00B95D9D">
        <w:rPr>
          <w:sz w:val="20"/>
          <w:szCs w:val="20"/>
          <w:lang w:val="fr-CA"/>
        </w:rPr>
        <w:t>décem</w:t>
      </w:r>
      <w:r w:rsidRPr="003B3977">
        <w:rPr>
          <w:sz w:val="20"/>
          <w:szCs w:val="20"/>
          <w:lang w:val="fr-CA"/>
        </w:rPr>
        <w:t>bre 201</w:t>
      </w:r>
      <w:r w:rsidR="004E1E0A">
        <w:rPr>
          <w:sz w:val="20"/>
          <w:szCs w:val="20"/>
          <w:lang w:val="fr-CA"/>
        </w:rPr>
        <w:t>2</w:t>
      </w:r>
    </w:p>
    <w:p w:rsidR="005C6840" w:rsidRPr="003B3977" w:rsidRDefault="00D32E73" w:rsidP="005C6840">
      <w:pPr>
        <w:rPr>
          <w:sz w:val="20"/>
          <w:szCs w:val="20"/>
          <w:lang w:val="fr-CA"/>
        </w:rPr>
      </w:pPr>
      <w:r w:rsidRPr="00D32E73">
        <w:rPr>
          <w:i/>
          <w:sz w:val="20"/>
          <w:szCs w:val="20"/>
        </w:rPr>
        <w:pict>
          <v:rect id="_x0000_i107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4C4064" w:rsidRPr="00386B35" w:rsidRDefault="004C4064" w:rsidP="004C4064">
      <w:pPr>
        <w:jc w:val="both"/>
        <w:rPr>
          <w:sz w:val="20"/>
          <w:szCs w:val="20"/>
        </w:rPr>
      </w:pPr>
      <w:r w:rsidRPr="00386B35">
        <w:rPr>
          <w:sz w:val="20"/>
          <w:szCs w:val="20"/>
        </w:rPr>
        <w:t xml:space="preserve">Present:  </w:t>
      </w:r>
      <w:proofErr w:type="spellStart"/>
      <w:r w:rsidRPr="00386B35">
        <w:rPr>
          <w:sz w:val="20"/>
          <w:szCs w:val="20"/>
        </w:rPr>
        <w:t>McLachlin</w:t>
      </w:r>
      <w:proofErr w:type="spellEnd"/>
      <w:r w:rsidRPr="00386B35">
        <w:rPr>
          <w:sz w:val="20"/>
          <w:szCs w:val="20"/>
        </w:rPr>
        <w:t xml:space="preserve"> C.J. and </w:t>
      </w:r>
      <w:proofErr w:type="spellStart"/>
      <w:r w:rsidRPr="00386B35">
        <w:rPr>
          <w:sz w:val="20"/>
          <w:szCs w:val="20"/>
        </w:rPr>
        <w:t>LeBel</w:t>
      </w:r>
      <w:proofErr w:type="spellEnd"/>
      <w:r w:rsidRPr="00386B35">
        <w:rPr>
          <w:sz w:val="20"/>
          <w:szCs w:val="20"/>
        </w:rPr>
        <w:t xml:space="preserve">, Fish, </w:t>
      </w:r>
      <w:proofErr w:type="spellStart"/>
      <w:r w:rsidRPr="00386B35">
        <w:rPr>
          <w:sz w:val="20"/>
          <w:szCs w:val="20"/>
        </w:rPr>
        <w:t>Abella</w:t>
      </w:r>
      <w:proofErr w:type="spellEnd"/>
      <w:r w:rsidRPr="00386B35">
        <w:rPr>
          <w:sz w:val="20"/>
          <w:szCs w:val="20"/>
        </w:rPr>
        <w:t xml:space="preserve">, Rothstein, Cromwell and </w:t>
      </w:r>
      <w:proofErr w:type="spellStart"/>
      <w:r w:rsidRPr="00386B35">
        <w:rPr>
          <w:sz w:val="20"/>
          <w:szCs w:val="20"/>
        </w:rPr>
        <w:t>Karakatsanis</w:t>
      </w:r>
      <w:proofErr w:type="spellEnd"/>
      <w:r w:rsidRPr="00386B35">
        <w:rPr>
          <w:sz w:val="20"/>
          <w:szCs w:val="20"/>
        </w:rPr>
        <w:t> JJ.</w:t>
      </w:r>
    </w:p>
    <w:p w:rsidR="004C4064" w:rsidRDefault="004C4064" w:rsidP="004C4064">
      <w:pPr>
        <w:pStyle w:val="SCCLowerCourtNameLowercase"/>
        <w:spacing w:line="240" w:lineRule="auto"/>
        <w:rPr>
          <w:sz w:val="20"/>
        </w:rPr>
      </w:pPr>
    </w:p>
    <w:p w:rsidR="004C4064" w:rsidRPr="00386B35" w:rsidRDefault="004C4064" w:rsidP="004C4064">
      <w:pPr>
        <w:pStyle w:val="SCCNormalDoubleSpacing"/>
        <w:spacing w:line="240" w:lineRule="auto"/>
        <w:rPr>
          <w:i/>
          <w:sz w:val="20"/>
        </w:rPr>
      </w:pPr>
      <w:r w:rsidRPr="00386B35">
        <w:rPr>
          <w:i/>
          <w:sz w:val="20"/>
        </w:rPr>
        <w:tab/>
        <w:t>Constitutional law — Charter of Rights — Freedom of expression — Accused convicted of terrorism offences under Part II.1 of Criminal Code — Whether provisions, in purpose or effect, violate right to free expression — Canadian Charter of Rights and Freedoms, s. 2(b); Criminal Code, R.S.C. 1985, c. C</w:t>
      </w:r>
      <w:r w:rsidRPr="00386B35">
        <w:rPr>
          <w:i/>
          <w:sz w:val="20"/>
        </w:rPr>
        <w:noBreakHyphen/>
        <w:t>46, s. 83.01(1)(b)(</w:t>
      </w:r>
      <w:proofErr w:type="spellStart"/>
      <w:r w:rsidRPr="00386B35">
        <w:rPr>
          <w:i/>
          <w:sz w:val="20"/>
        </w:rPr>
        <w:t>i</w:t>
      </w:r>
      <w:proofErr w:type="spellEnd"/>
      <w:r w:rsidRPr="00386B35">
        <w:rPr>
          <w:i/>
          <w:sz w:val="20"/>
        </w:rPr>
        <w:t>)(A).</w:t>
      </w:r>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i/>
          <w:sz w:val="20"/>
        </w:rPr>
      </w:pPr>
      <w:r w:rsidRPr="00386B35">
        <w:rPr>
          <w:i/>
          <w:sz w:val="20"/>
        </w:rPr>
        <w:tab/>
        <w:t xml:space="preserve">Constitutional law — Charter of Rights — Fundamental justice — </w:t>
      </w:r>
      <w:proofErr w:type="spellStart"/>
      <w:r w:rsidRPr="00386B35">
        <w:rPr>
          <w:i/>
          <w:sz w:val="20"/>
        </w:rPr>
        <w:t>Overbreadth</w:t>
      </w:r>
      <w:proofErr w:type="spellEnd"/>
      <w:r w:rsidRPr="00386B35">
        <w:rPr>
          <w:i/>
          <w:sz w:val="20"/>
        </w:rPr>
        <w:t xml:space="preserve"> — Terrorism offences — Provision criminalizing participation in or contribution to activities of terrorist group — Whether provision broader than necessary to achieve purpose or whether provision’s impact disproportionate — Whether provision contrary to principles of fundamental justice — Canadian Charter of Rights and Freedoms, s. 7; Criminal Code, R.S.C. 1985, c. C</w:t>
      </w:r>
      <w:r w:rsidRPr="00386B35">
        <w:rPr>
          <w:i/>
          <w:sz w:val="20"/>
        </w:rPr>
        <w:noBreakHyphen/>
        <w:t>46, s. 83.18.</w:t>
      </w:r>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i/>
          <w:sz w:val="20"/>
        </w:rPr>
      </w:pPr>
      <w:r w:rsidRPr="00386B35">
        <w:rPr>
          <w:i/>
          <w:sz w:val="20"/>
        </w:rPr>
        <w:tab/>
        <w:t>Criminal law — Appeals — Terrorism offences — Trial fairness — Trial judge finding that clause defining terrorist activity as being for political, religious or ideological purpose unconstitutional — Court of Appeal overturning decision on constitutionality but upholding convictions — Whether Court of Appeal erred in applying curative proviso — Whether convictions unreasonable — Criminal Code, R.S.C. 1985, c. C</w:t>
      </w:r>
      <w:r w:rsidRPr="00386B35">
        <w:rPr>
          <w:i/>
          <w:sz w:val="20"/>
        </w:rPr>
        <w:noBreakHyphen/>
        <w:t>46, ss. 83.01(1</w:t>
      </w:r>
      <w:proofErr w:type="gramStart"/>
      <w:r w:rsidRPr="00386B35">
        <w:rPr>
          <w:i/>
          <w:sz w:val="20"/>
        </w:rPr>
        <w:t>)(</w:t>
      </w:r>
      <w:proofErr w:type="gramEnd"/>
      <w:r w:rsidRPr="00386B35">
        <w:rPr>
          <w:i/>
          <w:sz w:val="20"/>
        </w:rPr>
        <w:t>b)(</w:t>
      </w:r>
      <w:proofErr w:type="spellStart"/>
      <w:r w:rsidRPr="00386B35">
        <w:rPr>
          <w:i/>
          <w:sz w:val="20"/>
        </w:rPr>
        <w:t>i</w:t>
      </w:r>
      <w:proofErr w:type="spellEnd"/>
      <w:r w:rsidRPr="00386B35">
        <w:rPr>
          <w:i/>
          <w:sz w:val="20"/>
        </w:rPr>
        <w:t>)(A) and 686(1)(b)(iii).</w:t>
      </w:r>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i/>
          <w:sz w:val="20"/>
        </w:rPr>
      </w:pPr>
      <w:r w:rsidRPr="00386B35">
        <w:rPr>
          <w:i/>
          <w:sz w:val="20"/>
        </w:rPr>
        <w:tab/>
        <w:t>National security — Terrorism — Sentencing — Totality principle — Accused guilty of terrorism offences sentenced by trial judge to 10 and a half years of imprisonment, with parole eligibility set at 5 years — Court of Appeal substituting sentence of life imprisonment coupled with 24 years of consecutive sentences, with parole eligibility set at 10 years — Whether Court of Appeal erred in overturning sentence.</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t>After becoming obsessed with Osama Bin Laden and his cause, K communicated with an American who eventually pled guilty to providing material support or resources to Al Qaeda and with the leader of a terrorist cell based in London, England, who was convicted along with several co</w:t>
      </w:r>
      <w:r w:rsidRPr="00386B35">
        <w:rPr>
          <w:sz w:val="20"/>
        </w:rPr>
        <w:noBreakHyphen/>
        <w:t xml:space="preserve">conspirators of a plot to bomb targets in the U.K. and elsewhere in Europe.  K repeatedly offered them support, provided funds, designed a remote arming device and recruited a woman to facilitate transfers of money.  He travelled to Pakistan and attended a small arms training camp, and proposed that a supporter of the terrorist cell be sent to Israel on a suicide mission. </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t xml:space="preserve">K was charged with seven offences under the Terrorism section of the </w:t>
      </w:r>
      <w:r w:rsidRPr="00386B35">
        <w:rPr>
          <w:i/>
          <w:sz w:val="20"/>
        </w:rPr>
        <w:t>Criminal Code</w:t>
      </w:r>
      <w:r w:rsidRPr="00386B35">
        <w:rPr>
          <w:sz w:val="20"/>
        </w:rPr>
        <w:t xml:space="preserve"> (Part II.1).  He brought a preliminary motion seeking a declaration that several provisions are unconstitutional.  The motion judge held that s. 83.01(1)(</w:t>
      </w:r>
      <w:r w:rsidRPr="00386B35">
        <w:rPr>
          <w:i/>
          <w:sz w:val="20"/>
        </w:rPr>
        <w:t>b</w:t>
      </w:r>
      <w:r w:rsidRPr="00386B35">
        <w:rPr>
          <w:sz w:val="20"/>
        </w:rPr>
        <w:t>)(</w:t>
      </w:r>
      <w:proofErr w:type="spellStart"/>
      <w:r w:rsidRPr="00386B35">
        <w:rPr>
          <w:sz w:val="20"/>
        </w:rPr>
        <w:t>i</w:t>
      </w:r>
      <w:proofErr w:type="spellEnd"/>
      <w:r w:rsidRPr="00386B35">
        <w:rPr>
          <w:sz w:val="20"/>
        </w:rPr>
        <w:t xml:space="preserve">)(A), which provides that a terrorist activity must be an act or omission committed in whole or in part “for a political, religious or ideological purpose, objective or cause” (the “motive clause”), was a </w:t>
      </w:r>
      <w:r w:rsidRPr="00386B35">
        <w:rPr>
          <w:i/>
          <w:sz w:val="20"/>
        </w:rPr>
        <w:t>prima facie</w:t>
      </w:r>
      <w:r w:rsidRPr="00386B35">
        <w:rPr>
          <w:sz w:val="20"/>
        </w:rPr>
        <w:t xml:space="preserve"> infringement of ss. 2(</w:t>
      </w:r>
      <w:r w:rsidRPr="00386B35">
        <w:rPr>
          <w:i/>
          <w:sz w:val="20"/>
        </w:rPr>
        <w:t>a</w:t>
      </w:r>
      <w:r w:rsidRPr="00386B35">
        <w:rPr>
          <w:sz w:val="20"/>
        </w:rPr>
        <w:t>), (</w:t>
      </w:r>
      <w:r w:rsidRPr="00386B35">
        <w:rPr>
          <w:i/>
          <w:sz w:val="20"/>
        </w:rPr>
        <w:t>b</w:t>
      </w:r>
      <w:r w:rsidRPr="00386B35">
        <w:rPr>
          <w:sz w:val="20"/>
        </w:rPr>
        <w:t>) and (</w:t>
      </w:r>
      <w:r w:rsidRPr="00386B35">
        <w:rPr>
          <w:i/>
          <w:sz w:val="20"/>
        </w:rPr>
        <w:t>d</w:t>
      </w:r>
      <w:r w:rsidRPr="00386B35">
        <w:rPr>
          <w:sz w:val="20"/>
        </w:rPr>
        <w:t xml:space="preserve">) of the </w:t>
      </w:r>
      <w:r w:rsidRPr="00386B35">
        <w:rPr>
          <w:i/>
          <w:sz w:val="20"/>
        </w:rPr>
        <w:t>Charter</w:t>
      </w:r>
      <w:r w:rsidRPr="00386B35">
        <w:rPr>
          <w:sz w:val="20"/>
        </w:rPr>
        <w:t xml:space="preserve"> that could not be justified under s. 1, and accordingly severed the clause from s. 83.01(1).  At trial, since two of the offences —</w:t>
      </w:r>
      <w:r w:rsidRPr="00386B35">
        <w:rPr>
          <w:i/>
          <w:sz w:val="20"/>
        </w:rPr>
        <w:t xml:space="preserve"> </w:t>
      </w:r>
      <w:r w:rsidRPr="00386B35">
        <w:rPr>
          <w:sz w:val="20"/>
        </w:rPr>
        <w:t>wanting to cause an explosion with specified consequences at the behest of a terrorist group and possessing an explosive substance with the intent of enabling a terrorist group to endanger others —</w:t>
      </w:r>
      <w:r w:rsidRPr="00386B35">
        <w:rPr>
          <w:i/>
          <w:sz w:val="20"/>
        </w:rPr>
        <w:t xml:space="preserve"> </w:t>
      </w:r>
      <w:r w:rsidRPr="00386B35">
        <w:rPr>
          <w:sz w:val="20"/>
        </w:rPr>
        <w:t>required knowledge of the U.K. group’s bomb plot, which the Crown had failed to establish beyond a reasonable doubt, the trial judge found K guilty of lesser included offences (working on the development of a detonator and keeping an explosive substance).  He also convicted K on five counts which engage ss. 83.03 (providing or making available property or services for terrorist purposes), 83.18 (participating in or contributing to the activity of a terrorist group), 83.19 (facilitating a terrorist activity) and 83.21 (instructing people to carry out an activity for a terrorist group).  The judge sentenced K to 10 and a half years in a penitentiary, gave no credit for time served on the basis that that would be incompatible with a denunciatory sentence, and set parole eligibility at 5 years to reflect the absence of any evidence of remorse, willingness to make amends or commitment to future compliance with Canada’s laws and values.  The Court of Appeal held that the motive clause was not unconstitutional and should not have been severed, but dismissed the conviction appeal, applying the curative proviso in s. 686(1</w:t>
      </w:r>
      <w:proofErr w:type="gramStart"/>
      <w:r w:rsidRPr="00386B35">
        <w:rPr>
          <w:sz w:val="20"/>
        </w:rPr>
        <w:t>)(</w:t>
      </w:r>
      <w:proofErr w:type="gramEnd"/>
      <w:r w:rsidRPr="00386B35">
        <w:rPr>
          <w:i/>
          <w:sz w:val="20"/>
        </w:rPr>
        <w:t>b</w:t>
      </w:r>
      <w:r w:rsidRPr="00386B35">
        <w:rPr>
          <w:sz w:val="20"/>
        </w:rPr>
        <w:t xml:space="preserve">)(iii) of the </w:t>
      </w:r>
      <w:r w:rsidRPr="00386B35">
        <w:rPr>
          <w:i/>
          <w:sz w:val="20"/>
        </w:rPr>
        <w:t>Criminal Code</w:t>
      </w:r>
      <w:r w:rsidRPr="00386B35">
        <w:rPr>
          <w:sz w:val="20"/>
        </w:rPr>
        <w:t xml:space="preserve">.  It dismissed K’s appeal from the sentences, but allowed the Crown’s </w:t>
      </w:r>
      <w:r w:rsidRPr="00386B35">
        <w:rPr>
          <w:sz w:val="20"/>
        </w:rPr>
        <w:lastRenderedPageBreak/>
        <w:t>cross</w:t>
      </w:r>
      <w:r w:rsidRPr="00386B35">
        <w:rPr>
          <w:sz w:val="20"/>
        </w:rPr>
        <w:noBreakHyphen/>
      </w:r>
      <w:proofErr w:type="spellStart"/>
      <w:r w:rsidRPr="00386B35">
        <w:rPr>
          <w:sz w:val="20"/>
        </w:rPr>
        <w:t>appeal</w:t>
      </w:r>
      <w:proofErr w:type="spellEnd"/>
      <w:r w:rsidRPr="00386B35">
        <w:rPr>
          <w:sz w:val="20"/>
        </w:rPr>
        <w:t xml:space="preserve"> and substituted a sentence of life imprisonment on the conviction for building a detonator to cause a deadly explosion.  Emphasizing the seriousness of the conduct, it substituted a total of 24 years of consecutive sentences for the remaining counts, to be served concurrently with the life sentence, and set parole eligibility at 10 years instead of 5. </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r>
      <w:r w:rsidRPr="00386B35">
        <w:rPr>
          <w:i/>
          <w:sz w:val="20"/>
        </w:rPr>
        <w:t>Held:</w:t>
      </w:r>
      <w:r w:rsidRPr="00386B35">
        <w:rPr>
          <w:sz w:val="20"/>
        </w:rPr>
        <w:t xml:space="preserve">  The appeal should be dismissed.</w:t>
      </w:r>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i/>
          <w:sz w:val="20"/>
        </w:rPr>
      </w:pPr>
      <w:r w:rsidRPr="00386B35">
        <w:rPr>
          <w:i/>
          <w:sz w:val="20"/>
        </w:rPr>
        <w:t>Constitutionality of the Provisions</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t xml:space="preserve">K challenges the constitutionality of the legislation on the ground that the motive clause would produce a chilling effect on the expression of beliefs and opinions and thus violates s. 2 of the </w:t>
      </w:r>
      <w:r w:rsidRPr="00386B35">
        <w:rPr>
          <w:i/>
          <w:sz w:val="20"/>
        </w:rPr>
        <w:t>Charter</w:t>
      </w:r>
      <w:r w:rsidRPr="00386B35">
        <w:rPr>
          <w:sz w:val="20"/>
        </w:rPr>
        <w:t>.  In their companion appeals (</w:t>
      </w:r>
      <w:proofErr w:type="spellStart"/>
      <w:r w:rsidRPr="00386B35">
        <w:rPr>
          <w:i/>
          <w:sz w:val="20"/>
        </w:rPr>
        <w:t>Sriskandarajah</w:t>
      </w:r>
      <w:proofErr w:type="spellEnd"/>
      <w:r w:rsidRPr="00386B35">
        <w:rPr>
          <w:i/>
          <w:sz w:val="20"/>
        </w:rPr>
        <w:t xml:space="preserve"> v. United States of America</w:t>
      </w:r>
      <w:r w:rsidRPr="00386B35">
        <w:rPr>
          <w:sz w:val="20"/>
        </w:rPr>
        <w:t xml:space="preserve">, 2012 SCC 70), S and N also claim that the legislation’s purpose violates s. 2 of the </w:t>
      </w:r>
      <w:r w:rsidRPr="00386B35">
        <w:rPr>
          <w:i/>
          <w:sz w:val="20"/>
        </w:rPr>
        <w:t>Charter</w:t>
      </w:r>
      <w:r w:rsidRPr="00386B35">
        <w:rPr>
          <w:sz w:val="20"/>
        </w:rPr>
        <w:t xml:space="preserve">.  They also challenge the constitutionality of s. 83.18 for </w:t>
      </w:r>
      <w:proofErr w:type="spellStart"/>
      <w:r w:rsidRPr="00386B35">
        <w:rPr>
          <w:sz w:val="20"/>
        </w:rPr>
        <w:t>overbreadth</w:t>
      </w:r>
      <w:proofErr w:type="spellEnd"/>
      <w:r w:rsidRPr="00386B35">
        <w:rPr>
          <w:sz w:val="20"/>
        </w:rPr>
        <w:t xml:space="preserve">, under s. 7 of the </w:t>
      </w:r>
      <w:r w:rsidRPr="00386B35">
        <w:rPr>
          <w:i/>
          <w:sz w:val="20"/>
        </w:rPr>
        <w:t>Charter</w:t>
      </w:r>
      <w:r w:rsidRPr="00386B35">
        <w:rPr>
          <w:sz w:val="20"/>
        </w:rPr>
        <w:t>.  For convenience, all these constitutional claims are considered in this appeal.</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t xml:space="preserve">Section 83.18 does not violate s. 7 of the </w:t>
      </w:r>
      <w:r w:rsidRPr="00386B35">
        <w:rPr>
          <w:i/>
          <w:sz w:val="20"/>
        </w:rPr>
        <w:t>Charter</w:t>
      </w:r>
      <w:r w:rsidRPr="00386B35">
        <w:rPr>
          <w:sz w:val="20"/>
        </w:rPr>
        <w:t xml:space="preserve">.  A purposive interpretation of the </w:t>
      </w:r>
      <w:proofErr w:type="spellStart"/>
      <w:r w:rsidRPr="00386B35">
        <w:rPr>
          <w:i/>
          <w:sz w:val="20"/>
        </w:rPr>
        <w:t>actus</w:t>
      </w:r>
      <w:proofErr w:type="spellEnd"/>
      <w:r w:rsidRPr="00386B35">
        <w:rPr>
          <w:i/>
          <w:sz w:val="20"/>
        </w:rPr>
        <w:t xml:space="preserve"> </w:t>
      </w:r>
      <w:proofErr w:type="spellStart"/>
      <w:r w:rsidRPr="00386B35">
        <w:rPr>
          <w:i/>
          <w:sz w:val="20"/>
        </w:rPr>
        <w:t>reus</w:t>
      </w:r>
      <w:proofErr w:type="spellEnd"/>
      <w:r w:rsidRPr="00386B35">
        <w:rPr>
          <w:i/>
          <w:sz w:val="20"/>
        </w:rPr>
        <w:t xml:space="preserve"> </w:t>
      </w:r>
      <w:r w:rsidRPr="00386B35">
        <w:rPr>
          <w:sz w:val="20"/>
        </w:rPr>
        <w:t xml:space="preserve">and </w:t>
      </w:r>
      <w:proofErr w:type="spellStart"/>
      <w:r w:rsidRPr="00386B35">
        <w:rPr>
          <w:i/>
          <w:sz w:val="20"/>
        </w:rPr>
        <w:t>mens</w:t>
      </w:r>
      <w:proofErr w:type="spellEnd"/>
      <w:r w:rsidRPr="00386B35">
        <w:rPr>
          <w:i/>
          <w:sz w:val="20"/>
        </w:rPr>
        <w:t xml:space="preserve"> </w:t>
      </w:r>
      <w:proofErr w:type="spellStart"/>
      <w:r w:rsidRPr="00386B35">
        <w:rPr>
          <w:i/>
          <w:sz w:val="20"/>
        </w:rPr>
        <w:t>rea</w:t>
      </w:r>
      <w:proofErr w:type="spellEnd"/>
      <w:r w:rsidRPr="00386B35">
        <w:rPr>
          <w:i/>
          <w:sz w:val="20"/>
        </w:rPr>
        <w:t xml:space="preserve"> </w:t>
      </w:r>
      <w:r w:rsidRPr="00386B35">
        <w:rPr>
          <w:sz w:val="20"/>
        </w:rPr>
        <w:t>requirements of s. 83.18 excludes convictions (</w:t>
      </w:r>
      <w:proofErr w:type="spellStart"/>
      <w:r w:rsidRPr="00386B35">
        <w:rPr>
          <w:sz w:val="20"/>
        </w:rPr>
        <w:t>i</w:t>
      </w:r>
      <w:proofErr w:type="spellEnd"/>
      <w:r w:rsidRPr="00386B35">
        <w:rPr>
          <w:sz w:val="20"/>
        </w:rPr>
        <w:t xml:space="preserve">) for innocent or socially useful conduct that is undertaken absent any intent to enhance the abilities of a terrorist group to facilitate or carry out a terrorist activity, and (ii) conduct that a reasonable person would not view as capable of materially enhancing the abilities of a terrorist group to facilitate or carry out a terrorist activity.  The legitimate purpose of the Terrorism section of the </w:t>
      </w:r>
      <w:r w:rsidRPr="00386B35">
        <w:rPr>
          <w:i/>
          <w:sz w:val="20"/>
        </w:rPr>
        <w:t>Criminal Code</w:t>
      </w:r>
      <w:r w:rsidRPr="00386B35">
        <w:rPr>
          <w:sz w:val="20"/>
        </w:rPr>
        <w:t xml:space="preserve"> is to provide means by which terrorism may be prosecuted and prevented.  This purpose commands a high </w:t>
      </w:r>
      <w:proofErr w:type="spellStart"/>
      <w:r w:rsidRPr="00386B35">
        <w:rPr>
          <w:i/>
          <w:sz w:val="20"/>
        </w:rPr>
        <w:t>mens</w:t>
      </w:r>
      <w:proofErr w:type="spellEnd"/>
      <w:r w:rsidRPr="00386B35">
        <w:rPr>
          <w:i/>
          <w:sz w:val="20"/>
        </w:rPr>
        <w:t xml:space="preserve"> </w:t>
      </w:r>
      <w:proofErr w:type="spellStart"/>
      <w:r w:rsidRPr="00386B35">
        <w:rPr>
          <w:i/>
          <w:sz w:val="20"/>
        </w:rPr>
        <w:t>rea</w:t>
      </w:r>
      <w:proofErr w:type="spellEnd"/>
      <w:r w:rsidRPr="00386B35">
        <w:rPr>
          <w:sz w:val="20"/>
        </w:rPr>
        <w:t xml:space="preserve"> threshold.  To convict under s. 83.18, a judge must be satisfied beyond a reasonable doubt that the accused specifically intended to enhance the ability of a terrorist group to facilitate or carry out a terrorist activity.  There may be direct evidence of this intention.  Or the intention may be inferred from evidence of the knowledge of the accused and the nature of his actions.  The use of the words “for the purpose of” in s. 83.18 requires a subjective purpose of enhancing the ability of a terrorist group to facilitate or carry out a terrorist activity.  The accused must specifically intend his actions to have this general effect.  Further, the </w:t>
      </w:r>
      <w:proofErr w:type="spellStart"/>
      <w:r w:rsidRPr="00386B35">
        <w:rPr>
          <w:i/>
          <w:sz w:val="20"/>
        </w:rPr>
        <w:t>actus</w:t>
      </w:r>
      <w:proofErr w:type="spellEnd"/>
      <w:r w:rsidRPr="00386B35">
        <w:rPr>
          <w:i/>
          <w:sz w:val="20"/>
        </w:rPr>
        <w:t xml:space="preserve"> </w:t>
      </w:r>
      <w:proofErr w:type="spellStart"/>
      <w:proofErr w:type="gramStart"/>
      <w:r w:rsidRPr="00386B35">
        <w:rPr>
          <w:i/>
          <w:sz w:val="20"/>
        </w:rPr>
        <w:t>reus</w:t>
      </w:r>
      <w:proofErr w:type="spellEnd"/>
      <w:proofErr w:type="gramEnd"/>
      <w:r w:rsidRPr="00386B35">
        <w:rPr>
          <w:i/>
          <w:sz w:val="20"/>
        </w:rPr>
        <w:t xml:space="preserve"> </w:t>
      </w:r>
      <w:r w:rsidRPr="00386B35">
        <w:rPr>
          <w:sz w:val="20"/>
        </w:rPr>
        <w:t>of s. 83.18 does not capture conduct that discloses, at most, a negligible risk of enhancing the abilities of a terrorist group to facilitate or carry out a terrorist activity.  The scope of the provision excludes conduct that a reasonable person would not view as capable of materially enhancing the abilities of a terrorist group to facilitate or carry out a terrorist activity.  The determination of whether a reasonable person would view conduct as capable of materially enhancing the abilities of a terrorist group to</w:t>
      </w:r>
      <w:r w:rsidRPr="00386B35">
        <w:rPr>
          <w:i/>
          <w:sz w:val="20"/>
        </w:rPr>
        <w:t xml:space="preserve"> </w:t>
      </w:r>
      <w:r w:rsidRPr="00386B35">
        <w:rPr>
          <w:sz w:val="20"/>
        </w:rPr>
        <w:t>facilitate or carry out a</w:t>
      </w:r>
      <w:r w:rsidRPr="00386B35">
        <w:rPr>
          <w:i/>
          <w:sz w:val="20"/>
        </w:rPr>
        <w:t xml:space="preserve"> </w:t>
      </w:r>
      <w:r w:rsidRPr="00386B35">
        <w:rPr>
          <w:sz w:val="20"/>
        </w:rPr>
        <w:t>terrorist activity hinges on the nature of the conduct and the relevant circumstances.  When the tailored reach of s. 83.18 is weighed against the objective of the law, it cannot be said that the selected means are broader than necessary or that the impact of the section is disproportionate.</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t xml:space="preserve">The purpose of the law does not infringe freedom of expression.  While the activities targeted by the Terrorism section of the </w:t>
      </w:r>
      <w:r w:rsidRPr="00386B35">
        <w:rPr>
          <w:i/>
          <w:sz w:val="20"/>
        </w:rPr>
        <w:t>Criminal Code</w:t>
      </w:r>
      <w:r w:rsidRPr="00386B35">
        <w:rPr>
          <w:sz w:val="20"/>
        </w:rPr>
        <w:t xml:space="preserve"> are in a sense expressive activities, most of the conduct caught by the provisions concerns acts or threats of violence.  Threats of violence, like acts of violence, are excluded from the scope of the s. 2(</w:t>
      </w:r>
      <w:r w:rsidRPr="00386B35">
        <w:rPr>
          <w:i/>
          <w:sz w:val="20"/>
        </w:rPr>
        <w:t>b</w:t>
      </w:r>
      <w:r w:rsidRPr="00386B35">
        <w:rPr>
          <w:sz w:val="20"/>
        </w:rPr>
        <w:t>) guarantee.  Moreover, the particular nature of the conduct enumerated in ss. 83.01(1)(</w:t>
      </w:r>
      <w:r w:rsidRPr="00386B35">
        <w:rPr>
          <w:i/>
          <w:sz w:val="20"/>
        </w:rPr>
        <w:t>b</w:t>
      </w:r>
      <w:r w:rsidRPr="00386B35">
        <w:rPr>
          <w:sz w:val="20"/>
        </w:rPr>
        <w:t>)(ii)(A), (B), (C) and (D) justifies treating counselling, conspiracy or being an accessory after the fact to that conduct as being intimately connected to violence — and to the danger to Canadian society that such violence represents.  As such, the conduct falls outside the protection of s. 2(</w:t>
      </w:r>
      <w:r w:rsidRPr="00386B35">
        <w:rPr>
          <w:i/>
          <w:sz w:val="20"/>
        </w:rPr>
        <w:t>b</w:t>
      </w:r>
      <w:r w:rsidRPr="00386B35">
        <w:rPr>
          <w:sz w:val="20"/>
        </w:rPr>
        <w:t xml:space="preserve">) of the </w:t>
      </w:r>
      <w:r w:rsidRPr="00386B35">
        <w:rPr>
          <w:i/>
          <w:sz w:val="20"/>
        </w:rPr>
        <w:t>Charter</w:t>
      </w:r>
      <w:r w:rsidRPr="00386B35">
        <w:rPr>
          <w:sz w:val="20"/>
        </w:rPr>
        <w:t>.  However, it is not necessary to decide whether counselling, conspiracy or being an accessory after the fact fall outside the s. 2(</w:t>
      </w:r>
      <w:r w:rsidRPr="00386B35">
        <w:rPr>
          <w:i/>
          <w:sz w:val="20"/>
        </w:rPr>
        <w:t>b</w:t>
      </w:r>
      <w:r w:rsidRPr="00386B35">
        <w:rPr>
          <w:sz w:val="20"/>
        </w:rPr>
        <w:t>) guarantee as a general matter. Read as a whole and purposively, s. 83.01(1</w:t>
      </w:r>
      <w:proofErr w:type="gramStart"/>
      <w:r w:rsidRPr="00386B35">
        <w:rPr>
          <w:sz w:val="20"/>
        </w:rPr>
        <w:t>)(</w:t>
      </w:r>
      <w:proofErr w:type="gramEnd"/>
      <w:r w:rsidRPr="00386B35">
        <w:rPr>
          <w:i/>
          <w:sz w:val="20"/>
        </w:rPr>
        <w:t>b</w:t>
      </w:r>
      <w:r w:rsidRPr="00386B35">
        <w:rPr>
          <w:sz w:val="20"/>
        </w:rPr>
        <w:t>)(ii)(E), which is directed to acts that intentionally interfere with essential infrastructure without which life may be seriously disrupted and public health threatened, is also confined to the realm of acts and threats of violence. However, it cannot be ruled out that s. 83.01(1</w:t>
      </w:r>
      <w:proofErr w:type="gramStart"/>
      <w:r w:rsidRPr="00386B35">
        <w:rPr>
          <w:sz w:val="20"/>
        </w:rPr>
        <w:t>)(</w:t>
      </w:r>
      <w:proofErr w:type="gramEnd"/>
      <w:r w:rsidRPr="00386B35">
        <w:rPr>
          <w:i/>
          <w:sz w:val="20"/>
        </w:rPr>
        <w:t>b</w:t>
      </w:r>
      <w:r w:rsidRPr="00386B35">
        <w:rPr>
          <w:sz w:val="20"/>
        </w:rPr>
        <w:t xml:space="preserve">)(ii)(E) might in some future case be found to capture protected activity. In such a case, the issue would be whether the incursion on free expression is justified under s. 1 of the </w:t>
      </w:r>
      <w:r w:rsidRPr="00386B35">
        <w:rPr>
          <w:i/>
          <w:sz w:val="20"/>
        </w:rPr>
        <w:t>Charter</w:t>
      </w:r>
      <w:r w:rsidRPr="00386B35">
        <w:rPr>
          <w:sz w:val="20"/>
        </w:rPr>
        <w:t>.</w:t>
      </w:r>
    </w:p>
    <w:p w:rsidR="004C4064" w:rsidRDefault="004C4064" w:rsidP="004C4064">
      <w:pPr>
        <w:pStyle w:val="SCCNormalDoubleSpacing"/>
        <w:spacing w:line="240" w:lineRule="auto"/>
        <w:rPr>
          <w:sz w:val="20"/>
        </w:rPr>
      </w:pPr>
    </w:p>
    <w:p w:rsidR="004C4064" w:rsidRDefault="004C4064" w:rsidP="004C4064">
      <w:pPr>
        <w:pStyle w:val="SCCNormalDoubleSpacing"/>
        <w:spacing w:line="240" w:lineRule="auto"/>
        <w:rPr>
          <w:sz w:val="20"/>
        </w:rPr>
      </w:pPr>
      <w:r w:rsidRPr="00386B35">
        <w:rPr>
          <w:sz w:val="20"/>
        </w:rPr>
        <w:tab/>
        <w:t>In this case, it is impossible to infer, without evidence, that the motive clause (s. 83.01(1</w:t>
      </w:r>
      <w:proofErr w:type="gramStart"/>
      <w:r w:rsidRPr="00386B35">
        <w:rPr>
          <w:sz w:val="20"/>
        </w:rPr>
        <w:t>)(</w:t>
      </w:r>
      <w:proofErr w:type="gramEnd"/>
      <w:r w:rsidRPr="00386B35">
        <w:rPr>
          <w:i/>
          <w:sz w:val="20"/>
        </w:rPr>
        <w:t>b</w:t>
      </w:r>
      <w:r w:rsidRPr="00386B35">
        <w:rPr>
          <w:sz w:val="20"/>
        </w:rPr>
        <w:t>)(</w:t>
      </w:r>
      <w:proofErr w:type="spellStart"/>
      <w:r w:rsidRPr="00386B35">
        <w:rPr>
          <w:sz w:val="20"/>
        </w:rPr>
        <w:t>i</w:t>
      </w:r>
      <w:proofErr w:type="spellEnd"/>
      <w:r w:rsidRPr="00386B35">
        <w:rPr>
          <w:sz w:val="20"/>
        </w:rPr>
        <w:t>)(A)) will have a chilling effect on the exercise of s. 2 freedoms.  The impugned provision is clearly drafted in a manner respectful of diversity, as it allows for the non</w:t>
      </w:r>
      <w:r w:rsidRPr="00386B35">
        <w:rPr>
          <w:sz w:val="20"/>
        </w:rPr>
        <w:noBreakHyphen/>
        <w:t>violent expression of political, religious or ideological views (s. 83.01(1.1)).</w:t>
      </w:r>
    </w:p>
    <w:p w:rsidR="00122948" w:rsidRPr="00386B35" w:rsidRDefault="00122948" w:rsidP="004C4064">
      <w:pPr>
        <w:pStyle w:val="SCCNormalDoubleSpacing"/>
        <w:spacing w:line="240" w:lineRule="auto"/>
        <w:rPr>
          <w:sz w:val="20"/>
        </w:rPr>
      </w:pPr>
    </w:p>
    <w:p w:rsidR="004C4064" w:rsidRPr="00386B35" w:rsidRDefault="004C4064" w:rsidP="004C4064">
      <w:pPr>
        <w:pStyle w:val="SCCNormalDoubleSpacing"/>
        <w:spacing w:line="240" w:lineRule="auto"/>
        <w:rPr>
          <w:i/>
          <w:sz w:val="20"/>
        </w:rPr>
      </w:pPr>
      <w:r w:rsidRPr="00386B35">
        <w:rPr>
          <w:i/>
          <w:sz w:val="20"/>
        </w:rPr>
        <w:t>Application of the Provisions in this Appeal and Sentencing</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lastRenderedPageBreak/>
        <w:tab/>
        <w:t>The re</w:t>
      </w:r>
      <w:r w:rsidRPr="00386B35">
        <w:rPr>
          <w:sz w:val="20"/>
        </w:rPr>
        <w:noBreakHyphen/>
      </w:r>
      <w:proofErr w:type="spellStart"/>
      <w:r w:rsidRPr="00386B35">
        <w:rPr>
          <w:sz w:val="20"/>
        </w:rPr>
        <w:t>insertion</w:t>
      </w:r>
      <w:proofErr w:type="spellEnd"/>
      <w:r w:rsidRPr="00386B35">
        <w:rPr>
          <w:sz w:val="20"/>
        </w:rPr>
        <w:t xml:space="preserve"> of the motive clause by the Court of Appeal did not make K’s trial and convictions unfair.  The trial judge made a specific finding that the motive component of the definition of terrorist activity had been proved beyond a reasonable doubt, which suffices to fully support the motive requirement of the convictions.  Also, the evidence of motive, and K’s knowledge that the motive was shared by him and the terrorist cell, was overwhelming and essentially undisputed.  There is no air of reality to K’s statement that he could have, or would have, testified to raise a reasonable doubt on motive, had the clause not been struck.  In essence, no prejudice flowed from the reinsertion of an essential element of the offence on appeal. </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t xml:space="preserve">The </w:t>
      </w:r>
      <w:proofErr w:type="spellStart"/>
      <w:r w:rsidRPr="00386B35">
        <w:rPr>
          <w:sz w:val="20"/>
        </w:rPr>
        <w:t>uncontradicted</w:t>
      </w:r>
      <w:proofErr w:type="spellEnd"/>
      <w:r w:rsidRPr="00386B35">
        <w:rPr>
          <w:sz w:val="20"/>
        </w:rPr>
        <w:t xml:space="preserve"> evidence before the trial judge established beyond a reasonable doubt that K’s conduct did not fall within the armed conflict exception in s. 83.01(1</w:t>
      </w:r>
      <w:proofErr w:type="gramStart"/>
      <w:r w:rsidRPr="00386B35">
        <w:rPr>
          <w:sz w:val="20"/>
        </w:rPr>
        <w:t>)(</w:t>
      </w:r>
      <w:proofErr w:type="gramEnd"/>
      <w:r w:rsidRPr="00386B35">
        <w:rPr>
          <w:i/>
          <w:sz w:val="20"/>
        </w:rPr>
        <w:t>b</w:t>
      </w:r>
      <w:r w:rsidRPr="00386B35">
        <w:rPr>
          <w:sz w:val="20"/>
        </w:rPr>
        <w:t xml:space="preserve">), </w:t>
      </w:r>
      <w:r w:rsidRPr="00386B35">
        <w:rPr>
          <w:i/>
          <w:sz w:val="20"/>
        </w:rPr>
        <w:t>in fine</w:t>
      </w:r>
      <w:r w:rsidRPr="00386B35">
        <w:rPr>
          <w:sz w:val="20"/>
        </w:rPr>
        <w:t xml:space="preserve">, which provides that terrorist activity does not include acts or omissions committed during an armed conflict in accordance with international law.  The Crown bears the burden of proving beyond a reasonable doubt that the acts alleged against an accused fall within the definition of terrorist activity, and any reasonable doubt must be resolved in the </w:t>
      </w:r>
      <w:proofErr w:type="spellStart"/>
      <w:r w:rsidRPr="00386B35">
        <w:rPr>
          <w:sz w:val="20"/>
        </w:rPr>
        <w:t>accused’s</w:t>
      </w:r>
      <w:proofErr w:type="spellEnd"/>
      <w:r w:rsidRPr="00386B35">
        <w:rPr>
          <w:sz w:val="20"/>
        </w:rPr>
        <w:t xml:space="preserve"> favour.  However, since the armed conflict exception functions as a defence, the accused must raise it and make a </w:t>
      </w:r>
      <w:r w:rsidRPr="00386B35">
        <w:rPr>
          <w:i/>
          <w:sz w:val="20"/>
        </w:rPr>
        <w:t xml:space="preserve">prima facie </w:t>
      </w:r>
      <w:r w:rsidRPr="00386B35">
        <w:rPr>
          <w:sz w:val="20"/>
        </w:rPr>
        <w:t xml:space="preserve">case that it applies.  Here K could not do so, as there was no evidential foundation to support its applicability.  The trial judge expressly found that K knew that the terrorist group’s activities extended beyond the armed conflict in Afghanistan and that he supported the terrorist </w:t>
      </w:r>
      <w:proofErr w:type="gramStart"/>
      <w:r w:rsidRPr="00386B35">
        <w:rPr>
          <w:sz w:val="20"/>
        </w:rPr>
        <w:t>objectives,</w:t>
      </w:r>
      <w:proofErr w:type="gramEnd"/>
      <w:r w:rsidRPr="00386B35">
        <w:rPr>
          <w:sz w:val="20"/>
        </w:rPr>
        <w:t xml:space="preserve"> and the evidence is overwhelmingly contrary to the proposition that K’s acts were part of an armed conflict governed by international law.  There is no air of reality to the suggestion that K believed that the group intended to act in compliance with international law, or that he cared if it did. </w:t>
      </w:r>
    </w:p>
    <w:p w:rsidR="004C4064" w:rsidRDefault="004C4064" w:rsidP="004C4064">
      <w:pPr>
        <w:pStyle w:val="SCCNormalDoubleSpacing"/>
        <w:spacing w:line="240" w:lineRule="auto"/>
        <w:rPr>
          <w:sz w:val="20"/>
        </w:rPr>
      </w:pPr>
    </w:p>
    <w:p w:rsidR="004C4064" w:rsidRDefault="004C4064" w:rsidP="004C4064">
      <w:pPr>
        <w:pStyle w:val="SCCNormalDoubleSpacing"/>
        <w:spacing w:line="240" w:lineRule="auto"/>
        <w:rPr>
          <w:sz w:val="20"/>
        </w:rPr>
      </w:pPr>
      <w:r w:rsidRPr="00386B35">
        <w:rPr>
          <w:sz w:val="20"/>
        </w:rPr>
        <w:tab/>
        <w:t>There is no merit to K’s submissions that the convictions are unreasonable.  However, the trial judge made critical errors in sentencing.  He effectively devalued the seriousness of the appellant’s conduct in a way that was inconsistent with the evidence, and failed to give adequate weight to the ongoing danger K posed to society.  While the weight to be given to rehabilitation in a given case is best left to the reasoned discretion of trial judges on a case</w:t>
      </w:r>
      <w:r w:rsidRPr="00386B35">
        <w:rPr>
          <w:sz w:val="20"/>
        </w:rPr>
        <w:noBreakHyphen/>
      </w:r>
      <w:proofErr w:type="spellStart"/>
      <w:r w:rsidRPr="00386B35">
        <w:rPr>
          <w:sz w:val="20"/>
        </w:rPr>
        <w:t>by</w:t>
      </w:r>
      <w:proofErr w:type="spellEnd"/>
      <w:r w:rsidRPr="00386B35">
        <w:rPr>
          <w:sz w:val="20"/>
        </w:rPr>
        <w:noBreakHyphen/>
      </w:r>
      <w:proofErr w:type="spellStart"/>
      <w:r w:rsidRPr="00386B35">
        <w:rPr>
          <w:sz w:val="20"/>
        </w:rPr>
        <w:t>case</w:t>
      </w:r>
      <w:proofErr w:type="spellEnd"/>
      <w:r w:rsidRPr="00386B35">
        <w:rPr>
          <w:sz w:val="20"/>
        </w:rPr>
        <w:t xml:space="preserve"> basis, here the absence of evidence on rehabilitation prospects justified a stiffer sentence than otherwise might have been appropriate.  Finally, the heightened gravity of the terrorism offences at issue in this case was sufficient to justify imposition of consecutive sentences running over 20 years, without violating the totality principle.  The general principles of sentencing, including the totality principle, apply to terrorism offences.</w:t>
      </w:r>
    </w:p>
    <w:p w:rsidR="004C4064" w:rsidRDefault="004C4064" w:rsidP="004C4064">
      <w:pPr>
        <w:pStyle w:val="SCCNormalDoubleSpacing"/>
        <w:spacing w:line="240" w:lineRule="auto"/>
        <w:rPr>
          <w:sz w:val="20"/>
        </w:rPr>
      </w:pPr>
    </w:p>
    <w:p w:rsidR="004C4064" w:rsidRPr="00386B35" w:rsidRDefault="004C4064" w:rsidP="004C4064">
      <w:pPr>
        <w:pStyle w:val="SCCNormalDoubleSpacing"/>
        <w:spacing w:line="240" w:lineRule="auto"/>
        <w:rPr>
          <w:sz w:val="20"/>
        </w:rPr>
      </w:pPr>
      <w:r w:rsidRPr="00386B35">
        <w:rPr>
          <w:sz w:val="20"/>
        </w:rPr>
        <w:tab/>
        <w:t>APPEAL from a judgment of the Ontario Court of Appeal (</w:t>
      </w:r>
      <w:r w:rsidR="00D32E73" w:rsidRPr="00386B35">
        <w:rPr>
          <w:sz w:val="20"/>
        </w:rPr>
        <w:fldChar w:fldCharType="begin"/>
      </w:r>
      <w:r w:rsidRPr="00386B35">
        <w:rPr>
          <w:sz w:val="20"/>
        </w:rPr>
        <w:instrText xml:space="preserve"> SEQ CHAPTER \h \r 1</w:instrText>
      </w:r>
      <w:r w:rsidR="00D32E73" w:rsidRPr="00386B35">
        <w:rPr>
          <w:sz w:val="20"/>
        </w:rPr>
        <w:fldChar w:fldCharType="end"/>
      </w:r>
      <w:r w:rsidRPr="00386B35">
        <w:rPr>
          <w:sz w:val="20"/>
        </w:rPr>
        <w:t xml:space="preserve">Doherty, </w:t>
      </w:r>
      <w:proofErr w:type="spellStart"/>
      <w:r w:rsidRPr="00386B35">
        <w:rPr>
          <w:sz w:val="20"/>
        </w:rPr>
        <w:t>Moldaver</w:t>
      </w:r>
      <w:proofErr w:type="spellEnd"/>
      <w:r w:rsidRPr="00386B35">
        <w:rPr>
          <w:sz w:val="20"/>
        </w:rPr>
        <w:t xml:space="preserve"> and </w:t>
      </w:r>
      <w:proofErr w:type="spellStart"/>
      <w:r w:rsidRPr="00386B35">
        <w:rPr>
          <w:sz w:val="20"/>
        </w:rPr>
        <w:t>Cronk</w:t>
      </w:r>
      <w:proofErr w:type="spellEnd"/>
      <w:r w:rsidRPr="00386B35">
        <w:rPr>
          <w:sz w:val="20"/>
        </w:rPr>
        <w:t xml:space="preserve"> JJ.A.), 2010 ONCA 862, 103 O.R. (3d) 321, 271 O.A.C. 238, 82 C.R. (6th) 122, 273 C.C.C. (3d) 415, [2010] O.J. No. 5471 (QL), 2010 </w:t>
      </w:r>
      <w:proofErr w:type="spellStart"/>
      <w:r w:rsidRPr="00386B35">
        <w:rPr>
          <w:sz w:val="20"/>
        </w:rPr>
        <w:t>CarswellOnt</w:t>
      </w:r>
      <w:proofErr w:type="spellEnd"/>
      <w:r w:rsidRPr="00386B35">
        <w:rPr>
          <w:sz w:val="20"/>
        </w:rPr>
        <w:t xml:space="preserve"> 9672, overturning a constitutional ruling by Rutherford J. (2006), 214 C.C.C. (3d) 399, 42 C.R. (6th) 348, 147 C.R.R. (2d) 281, [2006] O.J. No. 4245 (QL), 2006 </w:t>
      </w:r>
      <w:proofErr w:type="spellStart"/>
      <w:r w:rsidRPr="00386B35">
        <w:rPr>
          <w:sz w:val="20"/>
        </w:rPr>
        <w:t>CarswellOnt</w:t>
      </w:r>
      <w:proofErr w:type="spellEnd"/>
      <w:r w:rsidRPr="00386B35">
        <w:rPr>
          <w:sz w:val="20"/>
        </w:rPr>
        <w:t xml:space="preserve"> 6551, affirming convictions entered by Rutherford J. (2008), 238 C.C.C. (3d) 114, [2008] O.J. No. 4244 (QL), 2008 </w:t>
      </w:r>
      <w:proofErr w:type="spellStart"/>
      <w:r w:rsidRPr="00386B35">
        <w:rPr>
          <w:sz w:val="20"/>
        </w:rPr>
        <w:t>CarswellOnt</w:t>
      </w:r>
      <w:proofErr w:type="spellEnd"/>
      <w:r w:rsidRPr="00386B35">
        <w:rPr>
          <w:sz w:val="20"/>
        </w:rPr>
        <w:t xml:space="preserve"> 6364, and varying sentences imposed by Rutherford J., (2009) 248 C.C.C. (3d) 233, [2009] O.J. No. 4279 (QL).  Appeal dismissed.</w:t>
      </w:r>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sz w:val="20"/>
        </w:rPr>
      </w:pPr>
      <w:r w:rsidRPr="00386B35">
        <w:rPr>
          <w:i/>
          <w:sz w:val="20"/>
        </w:rPr>
        <w:tab/>
      </w:r>
      <w:proofErr w:type="gramStart"/>
      <w:r w:rsidRPr="00386B35">
        <w:rPr>
          <w:i/>
          <w:sz w:val="20"/>
        </w:rPr>
        <w:t xml:space="preserve">Lawrence </w:t>
      </w:r>
      <w:proofErr w:type="spellStart"/>
      <w:r w:rsidRPr="00386B35">
        <w:rPr>
          <w:i/>
          <w:sz w:val="20"/>
        </w:rPr>
        <w:t>Greenspon</w:t>
      </w:r>
      <w:proofErr w:type="spellEnd"/>
      <w:r w:rsidRPr="00386B35">
        <w:rPr>
          <w:sz w:val="20"/>
        </w:rPr>
        <w:t xml:space="preserve"> and </w:t>
      </w:r>
      <w:r w:rsidRPr="00386B35">
        <w:rPr>
          <w:i/>
          <w:sz w:val="20"/>
        </w:rPr>
        <w:t>Eric Granger</w:t>
      </w:r>
      <w:r w:rsidRPr="00386B35">
        <w:rPr>
          <w:sz w:val="20"/>
        </w:rPr>
        <w:t>, for the appellant.</w:t>
      </w:r>
      <w:proofErr w:type="gramEnd"/>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sz w:val="20"/>
        </w:rPr>
      </w:pPr>
      <w:r w:rsidRPr="00386B35">
        <w:rPr>
          <w:i/>
          <w:sz w:val="20"/>
        </w:rPr>
        <w:tab/>
      </w:r>
      <w:proofErr w:type="gramStart"/>
      <w:r w:rsidRPr="00386B35">
        <w:rPr>
          <w:i/>
          <w:sz w:val="20"/>
        </w:rPr>
        <w:t xml:space="preserve">Croft </w:t>
      </w:r>
      <w:proofErr w:type="spellStart"/>
      <w:r w:rsidRPr="00386B35">
        <w:rPr>
          <w:i/>
          <w:sz w:val="20"/>
        </w:rPr>
        <w:t>Michaelson</w:t>
      </w:r>
      <w:proofErr w:type="spellEnd"/>
      <w:r w:rsidRPr="00386B35">
        <w:rPr>
          <w:sz w:val="20"/>
        </w:rPr>
        <w:t xml:space="preserve"> and </w:t>
      </w:r>
      <w:r w:rsidRPr="00386B35">
        <w:rPr>
          <w:i/>
          <w:sz w:val="20"/>
        </w:rPr>
        <w:t>Ian Bell</w:t>
      </w:r>
      <w:r w:rsidRPr="00386B35">
        <w:rPr>
          <w:sz w:val="20"/>
        </w:rPr>
        <w:t>, for the respondent.</w:t>
      </w:r>
      <w:proofErr w:type="gramEnd"/>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sz w:val="20"/>
        </w:rPr>
      </w:pPr>
      <w:r w:rsidRPr="00386B35">
        <w:rPr>
          <w:i/>
          <w:sz w:val="20"/>
        </w:rPr>
        <w:tab/>
      </w:r>
      <w:proofErr w:type="gramStart"/>
      <w:r w:rsidRPr="00386B35">
        <w:rPr>
          <w:i/>
          <w:sz w:val="20"/>
        </w:rPr>
        <w:t>Michael Bernstein</w:t>
      </w:r>
      <w:r w:rsidRPr="00386B35">
        <w:rPr>
          <w:sz w:val="20"/>
        </w:rPr>
        <w:t>, for the intervener the Attorney General of Ontario.</w:t>
      </w:r>
      <w:proofErr w:type="gramEnd"/>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sz w:val="20"/>
          <w:lang w:val="fr-CA"/>
        </w:rPr>
      </w:pPr>
      <w:r w:rsidRPr="00386B35">
        <w:rPr>
          <w:i/>
          <w:sz w:val="20"/>
        </w:rPr>
        <w:tab/>
      </w:r>
      <w:r w:rsidRPr="00386B35">
        <w:rPr>
          <w:i/>
          <w:sz w:val="20"/>
          <w:lang w:val="fr-CA"/>
        </w:rPr>
        <w:t xml:space="preserve">Yan Paquette </w:t>
      </w:r>
      <w:r w:rsidRPr="00386B35">
        <w:rPr>
          <w:sz w:val="20"/>
          <w:lang w:val="fr-CA"/>
        </w:rPr>
        <w:t>and</w:t>
      </w:r>
      <w:r w:rsidRPr="00386B35">
        <w:rPr>
          <w:i/>
          <w:sz w:val="20"/>
          <w:lang w:val="fr-CA"/>
        </w:rPr>
        <w:t xml:space="preserve"> </w:t>
      </w:r>
      <w:proofErr w:type="spellStart"/>
      <w:r w:rsidRPr="00386B35">
        <w:rPr>
          <w:i/>
          <w:sz w:val="20"/>
          <w:lang w:val="fr-CA"/>
        </w:rPr>
        <w:t>Louis</w:t>
      </w:r>
      <w:r w:rsidRPr="00386B35">
        <w:rPr>
          <w:i/>
          <w:sz w:val="20"/>
          <w:lang w:val="fr-CA"/>
        </w:rPr>
        <w:noBreakHyphen/>
        <w:t>Philippe</w:t>
      </w:r>
      <w:proofErr w:type="spellEnd"/>
      <w:r w:rsidRPr="00386B35">
        <w:rPr>
          <w:i/>
          <w:sz w:val="20"/>
          <w:lang w:val="fr-CA"/>
        </w:rPr>
        <w:t xml:space="preserve"> Lampron</w:t>
      </w:r>
      <w:r w:rsidRPr="00386B35">
        <w:rPr>
          <w:sz w:val="20"/>
          <w:lang w:val="fr-CA"/>
        </w:rPr>
        <w:t xml:space="preserve">, for the </w:t>
      </w:r>
      <w:proofErr w:type="spellStart"/>
      <w:r w:rsidRPr="00386B35">
        <w:rPr>
          <w:sz w:val="20"/>
          <w:lang w:val="fr-CA"/>
        </w:rPr>
        <w:t>intervener</w:t>
      </w:r>
      <w:proofErr w:type="spellEnd"/>
      <w:r w:rsidRPr="00386B35">
        <w:rPr>
          <w:sz w:val="20"/>
          <w:lang w:val="fr-CA"/>
        </w:rPr>
        <w:t xml:space="preserve"> Groupe d’étude en droits et libertés de la Faculté de droit de l’Université Laval.</w:t>
      </w:r>
    </w:p>
    <w:p w:rsidR="004C4064" w:rsidRDefault="004C4064" w:rsidP="004C4064">
      <w:pPr>
        <w:pStyle w:val="SCCNormalDoubleSpacing"/>
        <w:spacing w:line="240" w:lineRule="auto"/>
        <w:rPr>
          <w:i/>
          <w:sz w:val="20"/>
          <w:lang w:val="fr-CA"/>
        </w:rPr>
      </w:pPr>
    </w:p>
    <w:p w:rsidR="004C4064" w:rsidRPr="00386B35" w:rsidRDefault="004C4064" w:rsidP="004C4064">
      <w:pPr>
        <w:pStyle w:val="SCCNormalDoubleSpacing"/>
        <w:spacing w:line="240" w:lineRule="auto"/>
        <w:rPr>
          <w:sz w:val="20"/>
        </w:rPr>
      </w:pPr>
      <w:r w:rsidRPr="00386B35">
        <w:rPr>
          <w:i/>
          <w:sz w:val="20"/>
          <w:lang w:val="fr-CA"/>
        </w:rPr>
        <w:tab/>
      </w:r>
      <w:proofErr w:type="gramStart"/>
      <w:r w:rsidRPr="00386B35">
        <w:rPr>
          <w:i/>
          <w:sz w:val="20"/>
        </w:rPr>
        <w:t xml:space="preserve">Anil K. </w:t>
      </w:r>
      <w:proofErr w:type="spellStart"/>
      <w:r w:rsidRPr="00386B35">
        <w:rPr>
          <w:i/>
          <w:sz w:val="20"/>
        </w:rPr>
        <w:t>Kapoor</w:t>
      </w:r>
      <w:proofErr w:type="spellEnd"/>
      <w:r w:rsidRPr="00386B35">
        <w:rPr>
          <w:sz w:val="20"/>
        </w:rPr>
        <w:t xml:space="preserve"> and </w:t>
      </w:r>
      <w:r w:rsidRPr="00386B35">
        <w:rPr>
          <w:i/>
          <w:sz w:val="20"/>
        </w:rPr>
        <w:t xml:space="preserve">Lindsay L. </w:t>
      </w:r>
      <w:proofErr w:type="spellStart"/>
      <w:r w:rsidRPr="00386B35">
        <w:rPr>
          <w:i/>
          <w:sz w:val="20"/>
        </w:rPr>
        <w:t>Daviau</w:t>
      </w:r>
      <w:proofErr w:type="spellEnd"/>
      <w:r w:rsidRPr="00386B35">
        <w:rPr>
          <w:sz w:val="20"/>
        </w:rPr>
        <w:t>, for the intervener the Canadian Civil Liberties Association.</w:t>
      </w:r>
      <w:proofErr w:type="gramEnd"/>
    </w:p>
    <w:p w:rsidR="004C4064" w:rsidRDefault="004C4064" w:rsidP="004C4064">
      <w:pPr>
        <w:pStyle w:val="SCCNormalDoubleSpacing"/>
        <w:spacing w:line="240" w:lineRule="auto"/>
        <w:rPr>
          <w:i/>
          <w:sz w:val="20"/>
        </w:rPr>
      </w:pPr>
    </w:p>
    <w:p w:rsidR="004C4064" w:rsidRPr="00386B35" w:rsidRDefault="004C4064" w:rsidP="004C4064">
      <w:pPr>
        <w:pStyle w:val="SCCNormalDoubleSpacing"/>
        <w:spacing w:line="240" w:lineRule="auto"/>
        <w:rPr>
          <w:sz w:val="20"/>
        </w:rPr>
      </w:pPr>
      <w:r w:rsidRPr="00386B35">
        <w:rPr>
          <w:i/>
          <w:sz w:val="20"/>
        </w:rPr>
        <w:tab/>
      </w:r>
      <w:proofErr w:type="gramStart"/>
      <w:r w:rsidRPr="00386B35">
        <w:rPr>
          <w:i/>
          <w:sz w:val="20"/>
        </w:rPr>
        <w:t xml:space="preserve">Kent Roach </w:t>
      </w:r>
      <w:r w:rsidRPr="00386B35">
        <w:rPr>
          <w:sz w:val="20"/>
        </w:rPr>
        <w:t>and</w:t>
      </w:r>
      <w:r w:rsidRPr="00386B35">
        <w:rPr>
          <w:i/>
          <w:sz w:val="20"/>
        </w:rPr>
        <w:t xml:space="preserve"> Michael </w:t>
      </w:r>
      <w:proofErr w:type="spellStart"/>
      <w:r w:rsidRPr="00386B35">
        <w:rPr>
          <w:i/>
          <w:sz w:val="20"/>
        </w:rPr>
        <w:t>Fenrick</w:t>
      </w:r>
      <w:proofErr w:type="spellEnd"/>
      <w:r w:rsidRPr="00386B35">
        <w:rPr>
          <w:sz w:val="20"/>
        </w:rPr>
        <w:t>, for the intervener the British Columbia Civil Liberties Association.</w:t>
      </w:r>
      <w:proofErr w:type="gramEnd"/>
    </w:p>
    <w:p w:rsidR="004C4064" w:rsidRDefault="004C4064" w:rsidP="004C4064">
      <w:pPr>
        <w:pStyle w:val="SCCLawFirm"/>
        <w:spacing w:line="240" w:lineRule="auto"/>
        <w:rPr>
          <w:sz w:val="20"/>
        </w:rPr>
      </w:pPr>
    </w:p>
    <w:p w:rsidR="004C4064" w:rsidRPr="00386B35" w:rsidRDefault="004C4064" w:rsidP="004C4064">
      <w:pPr>
        <w:pStyle w:val="SCCLawFirm"/>
        <w:spacing w:line="240" w:lineRule="auto"/>
        <w:rPr>
          <w:sz w:val="20"/>
        </w:rPr>
      </w:pPr>
      <w:r w:rsidRPr="00386B35">
        <w:rPr>
          <w:sz w:val="20"/>
        </w:rPr>
        <w:tab/>
        <w:t>Solicitors for the appellant:  </w:t>
      </w:r>
      <w:proofErr w:type="spellStart"/>
      <w:r w:rsidRPr="00386B35">
        <w:rPr>
          <w:sz w:val="20"/>
        </w:rPr>
        <w:t>Greenspon</w:t>
      </w:r>
      <w:proofErr w:type="spellEnd"/>
      <w:r w:rsidRPr="00386B35">
        <w:rPr>
          <w:sz w:val="20"/>
        </w:rPr>
        <w:t>, Brown &amp; Associates, Ottawa.</w:t>
      </w:r>
    </w:p>
    <w:p w:rsidR="004C4064" w:rsidRDefault="004C4064" w:rsidP="004C4064">
      <w:pPr>
        <w:pStyle w:val="SCCLawFirm"/>
        <w:spacing w:line="240" w:lineRule="auto"/>
        <w:rPr>
          <w:sz w:val="20"/>
        </w:rPr>
      </w:pPr>
    </w:p>
    <w:p w:rsidR="004C4064" w:rsidRPr="00386B35" w:rsidRDefault="004C4064" w:rsidP="004C4064">
      <w:pPr>
        <w:pStyle w:val="SCCLawFirm"/>
        <w:spacing w:line="240" w:lineRule="auto"/>
        <w:rPr>
          <w:sz w:val="20"/>
        </w:rPr>
      </w:pPr>
      <w:r w:rsidRPr="00386B35">
        <w:rPr>
          <w:sz w:val="20"/>
        </w:rPr>
        <w:tab/>
        <w:t>Solicitor for the respondent:  Public Prosecution Service of Canada, Toronto.</w:t>
      </w:r>
    </w:p>
    <w:p w:rsidR="004C4064" w:rsidRDefault="004C4064" w:rsidP="004C4064">
      <w:pPr>
        <w:pStyle w:val="SCCLawFirm"/>
        <w:spacing w:line="240" w:lineRule="auto"/>
        <w:rPr>
          <w:sz w:val="20"/>
        </w:rPr>
      </w:pPr>
    </w:p>
    <w:p w:rsidR="004C4064" w:rsidRPr="00386B35" w:rsidRDefault="004C4064" w:rsidP="004C4064">
      <w:pPr>
        <w:pStyle w:val="SCCLawFirm"/>
        <w:spacing w:line="240" w:lineRule="auto"/>
        <w:rPr>
          <w:sz w:val="20"/>
        </w:rPr>
      </w:pPr>
      <w:r w:rsidRPr="00386B35">
        <w:rPr>
          <w:sz w:val="20"/>
        </w:rPr>
        <w:tab/>
        <w:t>Solicitor for the intervener the Attorney General of Ontario:  Attorney General of Ontario, Toronto.</w:t>
      </w:r>
    </w:p>
    <w:p w:rsidR="004C4064" w:rsidRDefault="004C4064" w:rsidP="004C4064">
      <w:pPr>
        <w:pStyle w:val="SCCLawFirm"/>
        <w:spacing w:line="240" w:lineRule="auto"/>
        <w:rPr>
          <w:sz w:val="20"/>
        </w:rPr>
      </w:pPr>
    </w:p>
    <w:p w:rsidR="004C4064" w:rsidRPr="00386B35" w:rsidRDefault="004C4064" w:rsidP="004C4064">
      <w:pPr>
        <w:pStyle w:val="SCCLawFirm"/>
        <w:spacing w:line="240" w:lineRule="auto"/>
        <w:rPr>
          <w:sz w:val="20"/>
          <w:lang w:val="fr-CA"/>
        </w:rPr>
      </w:pPr>
      <w:r w:rsidRPr="00386B35">
        <w:rPr>
          <w:sz w:val="20"/>
        </w:rPr>
        <w:lastRenderedPageBreak/>
        <w:tab/>
      </w:r>
      <w:r w:rsidRPr="00386B35">
        <w:rPr>
          <w:sz w:val="20"/>
          <w:lang w:val="fr-CA"/>
        </w:rPr>
        <w:t xml:space="preserve">Solicitors for the </w:t>
      </w:r>
      <w:proofErr w:type="spellStart"/>
      <w:r w:rsidRPr="00386B35">
        <w:rPr>
          <w:sz w:val="20"/>
          <w:lang w:val="fr-CA"/>
        </w:rPr>
        <w:t>intervener</w:t>
      </w:r>
      <w:proofErr w:type="spellEnd"/>
      <w:r w:rsidRPr="00386B35">
        <w:rPr>
          <w:sz w:val="20"/>
          <w:lang w:val="fr-CA"/>
        </w:rPr>
        <w:t xml:space="preserve"> Groupe d’étude en droits et libertés de la Faculté de droit de l’Université Laval:</w:t>
      </w:r>
      <w:proofErr w:type="gramStart"/>
      <w:r w:rsidRPr="00386B35">
        <w:rPr>
          <w:sz w:val="20"/>
          <w:lang w:val="fr-CA"/>
        </w:rPr>
        <w:t>  Langlois</w:t>
      </w:r>
      <w:proofErr w:type="gramEnd"/>
      <w:r w:rsidRPr="00386B35">
        <w:rPr>
          <w:sz w:val="20"/>
          <w:lang w:val="fr-CA"/>
        </w:rPr>
        <w:t xml:space="preserve"> </w:t>
      </w:r>
      <w:proofErr w:type="spellStart"/>
      <w:r w:rsidRPr="00386B35">
        <w:rPr>
          <w:sz w:val="20"/>
          <w:lang w:val="fr-CA"/>
        </w:rPr>
        <w:t>Kronström</w:t>
      </w:r>
      <w:proofErr w:type="spellEnd"/>
      <w:r w:rsidRPr="00386B35">
        <w:rPr>
          <w:sz w:val="20"/>
          <w:lang w:val="fr-CA"/>
        </w:rPr>
        <w:t xml:space="preserve"> Desjardins, Québec.</w:t>
      </w:r>
    </w:p>
    <w:p w:rsidR="004C4064" w:rsidRDefault="004C4064" w:rsidP="004C4064">
      <w:pPr>
        <w:pStyle w:val="SCCLawFirm"/>
        <w:spacing w:line="240" w:lineRule="auto"/>
        <w:rPr>
          <w:sz w:val="20"/>
          <w:lang w:val="fr-CA"/>
        </w:rPr>
      </w:pPr>
    </w:p>
    <w:p w:rsidR="004C4064" w:rsidRPr="00386B35" w:rsidRDefault="004C4064" w:rsidP="004C4064">
      <w:pPr>
        <w:pStyle w:val="SCCLawFirm"/>
        <w:spacing w:line="240" w:lineRule="auto"/>
        <w:rPr>
          <w:sz w:val="20"/>
        </w:rPr>
      </w:pPr>
      <w:r w:rsidRPr="00386B35">
        <w:rPr>
          <w:sz w:val="20"/>
          <w:lang w:val="fr-CA"/>
        </w:rPr>
        <w:tab/>
      </w:r>
      <w:r w:rsidRPr="00386B35">
        <w:rPr>
          <w:sz w:val="20"/>
        </w:rPr>
        <w:t>Solicitors for the intervener the Canadian Civil Liberties Association:  </w:t>
      </w:r>
      <w:proofErr w:type="spellStart"/>
      <w:r w:rsidRPr="00386B35">
        <w:rPr>
          <w:sz w:val="20"/>
        </w:rPr>
        <w:t>Kapoor</w:t>
      </w:r>
      <w:proofErr w:type="spellEnd"/>
      <w:r w:rsidRPr="00386B35">
        <w:rPr>
          <w:sz w:val="20"/>
        </w:rPr>
        <w:t xml:space="preserve"> Barristers, Toronto.</w:t>
      </w:r>
    </w:p>
    <w:p w:rsidR="004C4064" w:rsidRDefault="004C4064" w:rsidP="004C4064">
      <w:pPr>
        <w:pStyle w:val="SCCLawFirm"/>
        <w:spacing w:line="240" w:lineRule="auto"/>
        <w:rPr>
          <w:sz w:val="20"/>
        </w:rPr>
      </w:pPr>
    </w:p>
    <w:p w:rsidR="004C4064" w:rsidRDefault="004C4064" w:rsidP="004C4064">
      <w:pPr>
        <w:pStyle w:val="SCCLawFirm"/>
        <w:spacing w:line="240" w:lineRule="auto"/>
        <w:rPr>
          <w:sz w:val="20"/>
        </w:rPr>
      </w:pPr>
      <w:r w:rsidRPr="00386B35">
        <w:rPr>
          <w:sz w:val="20"/>
        </w:rPr>
        <w:tab/>
        <w:t>Solicitors for the intervener the British Columbia Civil Liberties Association:  </w:t>
      </w:r>
      <w:proofErr w:type="spellStart"/>
      <w:r w:rsidRPr="00386B35">
        <w:rPr>
          <w:sz w:val="20"/>
        </w:rPr>
        <w:t>Paliare</w:t>
      </w:r>
      <w:proofErr w:type="spellEnd"/>
      <w:r w:rsidRPr="00386B35">
        <w:rPr>
          <w:sz w:val="20"/>
        </w:rPr>
        <w:t>, Roland, Rosenberg, Rothstein, Toronto</w:t>
      </w:r>
      <w:r>
        <w:rPr>
          <w:sz w:val="20"/>
        </w:rPr>
        <w:t>.</w:t>
      </w:r>
    </w:p>
    <w:p w:rsidR="003B3977" w:rsidRPr="004C4064" w:rsidRDefault="003B3977" w:rsidP="003B3977">
      <w:pPr>
        <w:rPr>
          <w:sz w:val="20"/>
          <w:szCs w:val="20"/>
          <w:lang w:val="fr-CA"/>
        </w:rPr>
      </w:pPr>
      <w:r w:rsidRPr="004C4064">
        <w:rPr>
          <w:sz w:val="20"/>
          <w:szCs w:val="20"/>
          <w:lang w:val="fr-CA"/>
        </w:rPr>
        <w:t>________________________</w:t>
      </w:r>
    </w:p>
    <w:p w:rsidR="003B3977" w:rsidRPr="004C4064" w:rsidRDefault="003B3977" w:rsidP="003B3977">
      <w:pPr>
        <w:rPr>
          <w:sz w:val="20"/>
          <w:szCs w:val="20"/>
          <w:lang w:val="fr-CA"/>
        </w:rPr>
      </w:pPr>
    </w:p>
    <w:p w:rsidR="004C4064" w:rsidRPr="00D21364" w:rsidRDefault="004C4064" w:rsidP="004C4064">
      <w:pPr>
        <w:jc w:val="both"/>
        <w:rPr>
          <w:sz w:val="20"/>
          <w:szCs w:val="20"/>
          <w:lang w:val="fr-CA"/>
        </w:rPr>
      </w:pPr>
      <w:r w:rsidRPr="00D21364">
        <w:rPr>
          <w:sz w:val="20"/>
          <w:szCs w:val="20"/>
          <w:lang w:val="fr-CA"/>
        </w:rPr>
        <w:t xml:space="preserve">Présents : La juge en chef </w:t>
      </w:r>
      <w:proofErr w:type="spellStart"/>
      <w:r w:rsidRPr="00D21364">
        <w:rPr>
          <w:sz w:val="20"/>
          <w:szCs w:val="20"/>
          <w:lang w:val="fr-CA"/>
        </w:rPr>
        <w:t>McLachlin</w:t>
      </w:r>
      <w:proofErr w:type="spellEnd"/>
      <w:r w:rsidRPr="00D21364">
        <w:rPr>
          <w:sz w:val="20"/>
          <w:szCs w:val="20"/>
          <w:lang w:val="fr-CA"/>
        </w:rPr>
        <w:t xml:space="preserve"> et les juges </w:t>
      </w:r>
      <w:proofErr w:type="spellStart"/>
      <w:r w:rsidRPr="00D21364">
        <w:rPr>
          <w:sz w:val="20"/>
          <w:szCs w:val="20"/>
          <w:lang w:val="fr-CA"/>
        </w:rPr>
        <w:t>LeBel</w:t>
      </w:r>
      <w:proofErr w:type="spellEnd"/>
      <w:r w:rsidRPr="00D21364">
        <w:rPr>
          <w:sz w:val="20"/>
          <w:szCs w:val="20"/>
          <w:lang w:val="fr-CA"/>
        </w:rPr>
        <w:t xml:space="preserve">, Fish, Abella, </w:t>
      </w:r>
      <w:proofErr w:type="spellStart"/>
      <w:r w:rsidRPr="00D21364">
        <w:rPr>
          <w:sz w:val="20"/>
          <w:szCs w:val="20"/>
          <w:lang w:val="fr-CA"/>
        </w:rPr>
        <w:t>Rothstein</w:t>
      </w:r>
      <w:proofErr w:type="spellEnd"/>
      <w:r w:rsidRPr="00D21364">
        <w:rPr>
          <w:sz w:val="20"/>
          <w:szCs w:val="20"/>
          <w:lang w:val="fr-CA"/>
        </w:rPr>
        <w:t xml:space="preserve">, Cromwell et </w:t>
      </w:r>
      <w:proofErr w:type="spellStart"/>
      <w:r w:rsidRPr="00D21364">
        <w:rPr>
          <w:sz w:val="20"/>
          <w:szCs w:val="20"/>
          <w:lang w:val="fr-CA"/>
        </w:rPr>
        <w:t>Karakatsanis</w:t>
      </w:r>
      <w:proofErr w:type="spellEnd"/>
      <w:r w:rsidRPr="00D21364">
        <w:rPr>
          <w:sz w:val="20"/>
          <w:szCs w:val="20"/>
          <w:lang w:val="fr-CA"/>
        </w:rPr>
        <w:t>.</w:t>
      </w:r>
    </w:p>
    <w:p w:rsidR="004C4064" w:rsidRDefault="004C4064" w:rsidP="004C4064">
      <w:pPr>
        <w:jc w:val="both"/>
        <w:rPr>
          <w:smallCaps/>
          <w:sz w:val="20"/>
          <w:lang w:val="fr-CA"/>
        </w:rPr>
      </w:pPr>
    </w:p>
    <w:p w:rsidR="004C4064" w:rsidRPr="00D21364" w:rsidRDefault="004C4064" w:rsidP="004C4064">
      <w:pPr>
        <w:pStyle w:val="SCCNormalDoubleSpacing"/>
        <w:spacing w:line="240" w:lineRule="auto"/>
        <w:rPr>
          <w:i/>
          <w:sz w:val="20"/>
          <w:lang w:val="fr-CA"/>
        </w:rPr>
      </w:pPr>
      <w:r w:rsidRPr="00D21364">
        <w:rPr>
          <w:sz w:val="20"/>
          <w:lang w:val="fr-CA"/>
        </w:rPr>
        <w:tab/>
      </w:r>
      <w:r w:rsidRPr="00D21364">
        <w:rPr>
          <w:i/>
          <w:sz w:val="20"/>
          <w:lang w:val="fr-CA"/>
        </w:rPr>
        <w:t xml:space="preserve">Droit constitutionnel — Charte des droits — Liberté d’expression — Accusé déclaré coupable d’infractions de terrorisme sous le régime de la partie II.1 du Code criminel — L’objectif ou l’effet des dispositions </w:t>
      </w:r>
      <w:proofErr w:type="spellStart"/>
      <w:r w:rsidRPr="00D21364">
        <w:rPr>
          <w:i/>
          <w:sz w:val="20"/>
          <w:lang w:val="fr-CA"/>
        </w:rPr>
        <w:t>porte</w:t>
      </w:r>
      <w:r w:rsidRPr="00D21364">
        <w:rPr>
          <w:i/>
          <w:sz w:val="20"/>
          <w:lang w:val="fr-CA"/>
        </w:rPr>
        <w:noBreakHyphen/>
        <w:t>t</w:t>
      </w:r>
      <w:r w:rsidRPr="00D21364">
        <w:rPr>
          <w:i/>
          <w:sz w:val="20"/>
          <w:lang w:val="fr-CA"/>
        </w:rPr>
        <w:noBreakHyphen/>
        <w:t>il</w:t>
      </w:r>
      <w:proofErr w:type="spellEnd"/>
      <w:r w:rsidRPr="00D21364">
        <w:rPr>
          <w:i/>
          <w:sz w:val="20"/>
          <w:lang w:val="fr-CA"/>
        </w:rPr>
        <w:t xml:space="preserve"> atteinte au droit à la liberté d’expression? — Charte canadienne des droits et libertés, art. 2b); Code criminel, L.R.C. 1985, ch. C</w:t>
      </w:r>
      <w:r w:rsidRPr="00D21364">
        <w:rPr>
          <w:i/>
          <w:sz w:val="20"/>
          <w:lang w:val="fr-CA"/>
        </w:rPr>
        <w:noBreakHyphen/>
        <w:t>46, art. 83.01(1)b</w:t>
      </w:r>
      <w:proofErr w:type="gramStart"/>
      <w:r w:rsidRPr="00D21364">
        <w:rPr>
          <w:i/>
          <w:sz w:val="20"/>
          <w:lang w:val="fr-CA"/>
        </w:rPr>
        <w:t>)(</w:t>
      </w:r>
      <w:proofErr w:type="gramEnd"/>
      <w:r w:rsidRPr="00D21364">
        <w:rPr>
          <w:i/>
          <w:sz w:val="20"/>
          <w:lang w:val="fr-CA"/>
        </w:rPr>
        <w:t>i)(A).</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i/>
          <w:sz w:val="20"/>
          <w:lang w:val="fr-CA"/>
        </w:rPr>
      </w:pPr>
      <w:r w:rsidRPr="00D21364">
        <w:rPr>
          <w:i/>
          <w:sz w:val="20"/>
          <w:lang w:val="fr-CA"/>
        </w:rPr>
        <w:tab/>
        <w:t xml:space="preserve">Droit constitutionnel — Charte des droits — Justice fondamentale — Portée excessive — Infractions de terrorisme — Disposition criminalisant la participation ou la contribution à une activité d’un groupe terroriste — La disposition </w:t>
      </w:r>
      <w:proofErr w:type="spellStart"/>
      <w:r w:rsidRPr="00D21364">
        <w:rPr>
          <w:i/>
          <w:sz w:val="20"/>
          <w:lang w:val="fr-CA"/>
        </w:rPr>
        <w:t>a</w:t>
      </w:r>
      <w:r w:rsidRPr="00D21364">
        <w:rPr>
          <w:i/>
          <w:sz w:val="20"/>
          <w:lang w:val="fr-CA"/>
        </w:rPr>
        <w:noBreakHyphen/>
        <w:t>t</w:t>
      </w:r>
      <w:r w:rsidRPr="00D21364">
        <w:rPr>
          <w:i/>
          <w:sz w:val="20"/>
          <w:lang w:val="fr-CA"/>
        </w:rPr>
        <w:noBreakHyphen/>
        <w:t>elle</w:t>
      </w:r>
      <w:proofErr w:type="spellEnd"/>
      <w:r w:rsidRPr="00D21364">
        <w:rPr>
          <w:i/>
          <w:sz w:val="20"/>
          <w:lang w:val="fr-CA"/>
        </w:rPr>
        <w:t xml:space="preserve"> une portée plus grande que nécessaire pour réaliser l’objectif </w:t>
      </w:r>
      <w:proofErr w:type="spellStart"/>
      <w:r w:rsidRPr="00D21364">
        <w:rPr>
          <w:i/>
          <w:sz w:val="20"/>
          <w:lang w:val="fr-CA"/>
        </w:rPr>
        <w:t>sous</w:t>
      </w:r>
      <w:r w:rsidRPr="00D21364">
        <w:rPr>
          <w:i/>
          <w:sz w:val="20"/>
          <w:lang w:val="fr-CA"/>
        </w:rPr>
        <w:noBreakHyphen/>
        <w:t>jacent</w:t>
      </w:r>
      <w:proofErr w:type="spellEnd"/>
      <w:r w:rsidRPr="00D21364">
        <w:rPr>
          <w:i/>
          <w:sz w:val="20"/>
          <w:lang w:val="fr-CA"/>
        </w:rPr>
        <w:t xml:space="preserve"> ou </w:t>
      </w:r>
      <w:proofErr w:type="spellStart"/>
      <w:r w:rsidRPr="00D21364">
        <w:rPr>
          <w:i/>
          <w:sz w:val="20"/>
          <w:lang w:val="fr-CA"/>
        </w:rPr>
        <w:t>a</w:t>
      </w:r>
      <w:r w:rsidRPr="00D21364">
        <w:rPr>
          <w:i/>
          <w:sz w:val="20"/>
          <w:lang w:val="fr-CA"/>
        </w:rPr>
        <w:noBreakHyphen/>
        <w:t>t</w:t>
      </w:r>
      <w:r w:rsidRPr="00D21364">
        <w:rPr>
          <w:i/>
          <w:sz w:val="20"/>
          <w:lang w:val="fr-CA"/>
        </w:rPr>
        <w:noBreakHyphen/>
        <w:t>elle</w:t>
      </w:r>
      <w:proofErr w:type="spellEnd"/>
      <w:r w:rsidRPr="00D21364">
        <w:rPr>
          <w:i/>
          <w:sz w:val="20"/>
          <w:lang w:val="fr-CA"/>
        </w:rPr>
        <w:t xml:space="preserve"> une incidence disproportionnée? — La disposition </w:t>
      </w:r>
      <w:proofErr w:type="spellStart"/>
      <w:r w:rsidRPr="00D21364">
        <w:rPr>
          <w:i/>
          <w:sz w:val="20"/>
          <w:lang w:val="fr-CA"/>
        </w:rPr>
        <w:t>va</w:t>
      </w:r>
      <w:r w:rsidRPr="00D21364">
        <w:rPr>
          <w:i/>
          <w:sz w:val="20"/>
          <w:lang w:val="fr-CA"/>
        </w:rPr>
        <w:noBreakHyphen/>
        <w:t>t</w:t>
      </w:r>
      <w:r w:rsidRPr="00D21364">
        <w:rPr>
          <w:i/>
          <w:sz w:val="20"/>
          <w:lang w:val="fr-CA"/>
        </w:rPr>
        <w:noBreakHyphen/>
        <w:t>elle</w:t>
      </w:r>
      <w:proofErr w:type="spellEnd"/>
      <w:r w:rsidRPr="00D21364">
        <w:rPr>
          <w:i/>
          <w:sz w:val="20"/>
          <w:lang w:val="fr-CA"/>
        </w:rPr>
        <w:t xml:space="preserve"> à l’encontre des principes de justice fondamentale? — Charte canadienne des droits et libertés, art. 7; Code criminel, L.R.C. 1985, ch. C</w:t>
      </w:r>
      <w:r w:rsidRPr="00D21364">
        <w:rPr>
          <w:i/>
          <w:sz w:val="20"/>
          <w:lang w:val="fr-CA"/>
        </w:rPr>
        <w:noBreakHyphen/>
        <w:t>46, art. 83.18.</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i/>
          <w:sz w:val="20"/>
          <w:lang w:val="fr-CA"/>
        </w:rPr>
      </w:pPr>
      <w:r w:rsidRPr="00D21364">
        <w:rPr>
          <w:i/>
          <w:sz w:val="20"/>
          <w:lang w:val="fr-CA"/>
        </w:rPr>
        <w:tab/>
        <w:t xml:space="preserve">Droit criminel — Appels — Infractions de terrorisme — Équité du procès — Juge du procès ayant conclu à l’inconstitutionnalité de la disposition suivant laquelle est terroriste l’activité qui est menée au nom d’un but de nature politique, religieuse ou idéologique — Infirmation de cette conclusion par la Cour d’appel, mais confirmation par elle des déclarations de culpabilité — La Cour d’appel </w:t>
      </w:r>
      <w:proofErr w:type="spellStart"/>
      <w:r w:rsidRPr="00D21364">
        <w:rPr>
          <w:i/>
          <w:sz w:val="20"/>
          <w:lang w:val="fr-CA"/>
        </w:rPr>
        <w:t>a</w:t>
      </w:r>
      <w:r w:rsidRPr="00D21364">
        <w:rPr>
          <w:i/>
          <w:sz w:val="20"/>
          <w:lang w:val="fr-CA"/>
        </w:rPr>
        <w:noBreakHyphen/>
        <w:t>t</w:t>
      </w:r>
      <w:r w:rsidRPr="00D21364">
        <w:rPr>
          <w:i/>
          <w:sz w:val="20"/>
          <w:lang w:val="fr-CA"/>
        </w:rPr>
        <w:noBreakHyphen/>
        <w:t>elle</w:t>
      </w:r>
      <w:proofErr w:type="spellEnd"/>
      <w:r w:rsidRPr="00D21364">
        <w:rPr>
          <w:i/>
          <w:sz w:val="20"/>
          <w:lang w:val="fr-CA"/>
        </w:rPr>
        <w:t xml:space="preserve"> eu tort d’appliquer la disposition réparatrice? — Les déclarations de culpabilité </w:t>
      </w:r>
      <w:proofErr w:type="spellStart"/>
      <w:r w:rsidRPr="00D21364">
        <w:rPr>
          <w:i/>
          <w:sz w:val="20"/>
          <w:lang w:val="fr-CA"/>
        </w:rPr>
        <w:t>sont</w:t>
      </w:r>
      <w:r w:rsidRPr="00D21364">
        <w:rPr>
          <w:i/>
          <w:sz w:val="20"/>
          <w:lang w:val="fr-CA"/>
        </w:rPr>
        <w:noBreakHyphen/>
        <w:t>elles</w:t>
      </w:r>
      <w:proofErr w:type="spellEnd"/>
      <w:r w:rsidRPr="00D21364">
        <w:rPr>
          <w:i/>
          <w:sz w:val="20"/>
          <w:lang w:val="fr-CA"/>
        </w:rPr>
        <w:t xml:space="preserve"> déraisonnables? — Code criminel, L.R.C. 1985, ch. C</w:t>
      </w:r>
      <w:r w:rsidRPr="00D21364">
        <w:rPr>
          <w:i/>
          <w:sz w:val="20"/>
          <w:lang w:val="fr-CA"/>
        </w:rPr>
        <w:noBreakHyphen/>
        <w:t>46, art. 83.01(1)b</w:t>
      </w:r>
      <w:proofErr w:type="gramStart"/>
      <w:r w:rsidRPr="00D21364">
        <w:rPr>
          <w:i/>
          <w:sz w:val="20"/>
          <w:lang w:val="fr-CA"/>
        </w:rPr>
        <w:t>)(</w:t>
      </w:r>
      <w:proofErr w:type="gramEnd"/>
      <w:r w:rsidRPr="00D21364">
        <w:rPr>
          <w:i/>
          <w:sz w:val="20"/>
          <w:lang w:val="fr-CA"/>
        </w:rPr>
        <w:t>i)(A) et 686(1)b)(iii).</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i/>
          <w:sz w:val="20"/>
          <w:lang w:val="fr-CA"/>
        </w:rPr>
      </w:pPr>
      <w:r w:rsidRPr="00D21364">
        <w:rPr>
          <w:i/>
          <w:sz w:val="20"/>
          <w:lang w:val="fr-CA"/>
        </w:rPr>
        <w:tab/>
        <w:t xml:space="preserve">Sécurité nationale — Terrorisme — Détermination de la peine — Principe de totalité — Accusé déclaré coupable d’infractions de terrorisme et condamné par le juge du procès à 10 ans et demi d’emprisonnement, sans possibilité de libération conditionnelle avant 5 ans — Substitution par la Cour d’appel d’une peine d’emprisonnement à perpétuité et de peines consécutives totalisant 24 ans d’emprisonnement, sans possibilité de libération conditionnelle avant 10 ans — La Cour d’appel </w:t>
      </w:r>
      <w:proofErr w:type="spellStart"/>
      <w:r w:rsidRPr="00D21364">
        <w:rPr>
          <w:i/>
          <w:sz w:val="20"/>
          <w:lang w:val="fr-CA"/>
        </w:rPr>
        <w:t>a</w:t>
      </w:r>
      <w:r w:rsidRPr="00D21364">
        <w:rPr>
          <w:i/>
          <w:sz w:val="20"/>
          <w:lang w:val="fr-CA"/>
        </w:rPr>
        <w:noBreakHyphen/>
        <w:t>t</w:t>
      </w:r>
      <w:r w:rsidRPr="00D21364">
        <w:rPr>
          <w:i/>
          <w:sz w:val="20"/>
          <w:lang w:val="fr-CA"/>
        </w:rPr>
        <w:noBreakHyphen/>
        <w:t>elle</w:t>
      </w:r>
      <w:proofErr w:type="spellEnd"/>
      <w:r w:rsidRPr="00D21364">
        <w:rPr>
          <w:i/>
          <w:sz w:val="20"/>
          <w:lang w:val="fr-CA"/>
        </w:rPr>
        <w:t xml:space="preserve"> eu tort d’annuler la peine infligée en première instance?</w:t>
      </w:r>
    </w:p>
    <w:p w:rsidR="004C4064" w:rsidRDefault="004C4064" w:rsidP="004C4064">
      <w:pPr>
        <w:pStyle w:val="SCCNormalDoubleSpacing"/>
        <w:spacing w:line="240" w:lineRule="auto"/>
        <w:rPr>
          <w:sz w:val="20"/>
          <w:lang w:val="fr-CA"/>
        </w:rPr>
      </w:pPr>
    </w:p>
    <w:p w:rsidR="004C4064" w:rsidRPr="00D21364" w:rsidRDefault="004C4064" w:rsidP="004C4064">
      <w:pPr>
        <w:pStyle w:val="SCCNormalDoubleSpacing"/>
        <w:spacing w:line="240" w:lineRule="auto"/>
        <w:rPr>
          <w:sz w:val="20"/>
          <w:lang w:val="fr-CA"/>
        </w:rPr>
      </w:pPr>
      <w:r w:rsidRPr="00D21364">
        <w:rPr>
          <w:sz w:val="20"/>
          <w:lang w:val="fr-CA"/>
        </w:rPr>
        <w:tab/>
        <w:t xml:space="preserve">Devenu obsédé par Oussama ben Laden et ses préceptes, K a communiqué avec un Américain qui a reconnu par la suite sa culpabilité à des accusations d’appui matériel ou financier à </w:t>
      </w:r>
      <w:proofErr w:type="spellStart"/>
      <w:r w:rsidRPr="00D21364">
        <w:rPr>
          <w:sz w:val="20"/>
          <w:lang w:val="fr-CA"/>
        </w:rPr>
        <w:t>Al</w:t>
      </w:r>
      <w:r w:rsidRPr="00D21364">
        <w:rPr>
          <w:sz w:val="20"/>
          <w:lang w:val="fr-CA"/>
        </w:rPr>
        <w:noBreakHyphen/>
        <w:t>Qaida</w:t>
      </w:r>
      <w:proofErr w:type="spellEnd"/>
      <w:r w:rsidRPr="00D21364">
        <w:rPr>
          <w:sz w:val="20"/>
          <w:lang w:val="fr-CA"/>
        </w:rPr>
        <w:t xml:space="preserve"> et avec le dirigeant d’une cellule terroriste basée à Londres (</w:t>
      </w:r>
      <w:proofErr w:type="spellStart"/>
      <w:r w:rsidRPr="00D21364">
        <w:rPr>
          <w:sz w:val="20"/>
          <w:lang w:val="fr-CA"/>
        </w:rPr>
        <w:t>Royaume</w:t>
      </w:r>
      <w:r w:rsidRPr="00D21364">
        <w:rPr>
          <w:sz w:val="20"/>
          <w:lang w:val="fr-CA"/>
        </w:rPr>
        <w:noBreakHyphen/>
        <w:t>Uni</w:t>
      </w:r>
      <w:proofErr w:type="spellEnd"/>
      <w:r w:rsidRPr="00D21364">
        <w:rPr>
          <w:sz w:val="20"/>
          <w:lang w:val="fr-CA"/>
        </w:rPr>
        <w:t>) qui, de pair avec d’autres personnes, a été déclaré coupable de complot en vue de commettre des attentats à la bombe au R.</w:t>
      </w:r>
      <w:r w:rsidRPr="00D21364">
        <w:rPr>
          <w:sz w:val="20"/>
          <w:lang w:val="fr-CA"/>
        </w:rPr>
        <w:noBreakHyphen/>
        <w:t xml:space="preserve">U. et ailleurs en Europe.  K leur a maintes fois offert son aide, leur a versé de l’argent, a conçu un détonateur à distance et a recruté une femme pour faciliter les transferts de fonds.  Il s’est rendu au Pakistan, a participé à un camp d’entraînement au maniement d’armes légères et a proposé de confier à un partisan de la cellule une mission suicide en Israël. </w:t>
      </w:r>
    </w:p>
    <w:p w:rsidR="004C4064" w:rsidRDefault="004C4064" w:rsidP="004C4064">
      <w:pPr>
        <w:pStyle w:val="SCCNormalDoubleSpacing"/>
        <w:spacing w:line="240" w:lineRule="auto"/>
        <w:rPr>
          <w:sz w:val="20"/>
          <w:lang w:val="fr-CA"/>
        </w:rPr>
      </w:pPr>
    </w:p>
    <w:p w:rsidR="004C4064" w:rsidRDefault="004C4064" w:rsidP="004C4064">
      <w:pPr>
        <w:pStyle w:val="SCCNormalDoubleSpacing"/>
        <w:spacing w:line="240" w:lineRule="auto"/>
        <w:rPr>
          <w:sz w:val="20"/>
          <w:lang w:val="fr-CA"/>
        </w:rPr>
      </w:pPr>
      <w:r w:rsidRPr="00D21364">
        <w:rPr>
          <w:sz w:val="20"/>
          <w:lang w:val="fr-CA"/>
        </w:rPr>
        <w:tab/>
        <w:t xml:space="preserve">Sept accusations ont été portées contre K en application des dispositions sur le terrorisme du </w:t>
      </w:r>
      <w:r w:rsidRPr="00D21364">
        <w:rPr>
          <w:i/>
          <w:sz w:val="20"/>
          <w:lang w:val="fr-CA"/>
        </w:rPr>
        <w:t>Code criminel</w:t>
      </w:r>
      <w:r w:rsidRPr="00D21364">
        <w:rPr>
          <w:sz w:val="20"/>
          <w:lang w:val="fr-CA"/>
        </w:rPr>
        <w:t xml:space="preserve"> (partie II.1).  Il a présenté une requête préliminaire pour faire déclarer inconstitutionnelles certaines des dispositions.  Le juge des requêtes a estimé que la div. 83.01(1)</w:t>
      </w:r>
      <w:r w:rsidRPr="00D21364">
        <w:rPr>
          <w:i/>
          <w:sz w:val="20"/>
          <w:lang w:val="fr-CA"/>
        </w:rPr>
        <w:t>b</w:t>
      </w:r>
      <w:r w:rsidRPr="00D21364">
        <w:rPr>
          <w:sz w:val="20"/>
          <w:lang w:val="fr-CA"/>
        </w:rPr>
        <w:t xml:space="preserve">)(i)(A), qui prévoit qu’une activité terroriste est une action ou une omission commise au nom — exclusivement ou non — « d’un but, d’un objectif ou d’une cause de nature politique, religieuse ou idéologique » (la « disposition relative au mobile »), portait atteinte prima </w:t>
      </w:r>
      <w:proofErr w:type="spellStart"/>
      <w:r w:rsidRPr="00D21364">
        <w:rPr>
          <w:sz w:val="20"/>
          <w:lang w:val="fr-CA"/>
        </w:rPr>
        <w:t>facie</w:t>
      </w:r>
      <w:proofErr w:type="spellEnd"/>
      <w:r w:rsidRPr="00D21364">
        <w:rPr>
          <w:sz w:val="20"/>
          <w:lang w:val="fr-CA"/>
        </w:rPr>
        <w:t xml:space="preserve"> aux droits reconnus aux al. 2</w:t>
      </w:r>
      <w:r w:rsidRPr="00D21364">
        <w:rPr>
          <w:i/>
          <w:sz w:val="20"/>
          <w:lang w:val="fr-CA"/>
        </w:rPr>
        <w:t>a</w:t>
      </w:r>
      <w:r w:rsidRPr="00D21364">
        <w:rPr>
          <w:sz w:val="20"/>
          <w:lang w:val="fr-CA"/>
        </w:rPr>
        <w:t xml:space="preserve">), </w:t>
      </w:r>
      <w:r w:rsidRPr="00D21364">
        <w:rPr>
          <w:i/>
          <w:sz w:val="20"/>
          <w:lang w:val="fr-CA"/>
        </w:rPr>
        <w:t>b</w:t>
      </w:r>
      <w:r w:rsidRPr="00D21364">
        <w:rPr>
          <w:sz w:val="20"/>
          <w:lang w:val="fr-CA"/>
        </w:rPr>
        <w:t xml:space="preserve">) et </w:t>
      </w:r>
      <w:r w:rsidRPr="00D21364">
        <w:rPr>
          <w:i/>
          <w:sz w:val="20"/>
          <w:lang w:val="fr-CA"/>
        </w:rPr>
        <w:t>d)</w:t>
      </w:r>
      <w:r w:rsidRPr="00D21364">
        <w:rPr>
          <w:sz w:val="20"/>
          <w:lang w:val="fr-CA"/>
        </w:rPr>
        <w:t xml:space="preserve"> de la </w:t>
      </w:r>
      <w:r w:rsidRPr="00D21364">
        <w:rPr>
          <w:i/>
          <w:sz w:val="20"/>
          <w:lang w:val="fr-CA"/>
        </w:rPr>
        <w:t>Charte</w:t>
      </w:r>
      <w:r w:rsidRPr="00D21364">
        <w:rPr>
          <w:sz w:val="20"/>
          <w:lang w:val="fr-CA"/>
        </w:rPr>
        <w:t xml:space="preserve"> et que cette atteinte ne pouvait être justifiée au regard de l’article premier.  Il a donc retranché la disposition du par. 83.01(1).  Au procès, comme deux des infractions (avoir eu l’intention de causer une explosion aux conséquences déterminées sur l’ordre d’un groupe terroriste et avoir eu en sa possession une substance explosive dans le but de permettre à un groupe terroriste de mettre autrui en danger) exigeaient la preuve de la connaissance du complot d’attentat à la bombe fomenté par la cellule du R.</w:t>
      </w:r>
      <w:r w:rsidRPr="00D21364">
        <w:rPr>
          <w:sz w:val="20"/>
          <w:lang w:val="fr-CA"/>
        </w:rPr>
        <w:noBreakHyphen/>
        <w:t xml:space="preserve">U., une preuve que le ministère public n’a pas faite hors de tout doute raisonnable, le juge a déclaré K coupable d’infractions incluses moins graves (avoir travaillé à la conception d’un détonateur et avoir eu en sa possession une substance explosive).  Il a par ailleurs déclaré K </w:t>
      </w:r>
      <w:r w:rsidRPr="00D21364">
        <w:rPr>
          <w:sz w:val="20"/>
          <w:lang w:val="fr-CA"/>
        </w:rPr>
        <w:lastRenderedPageBreak/>
        <w:t xml:space="preserve">coupable de cinq chefs qui font intervenir </w:t>
      </w:r>
      <w:proofErr w:type="gramStart"/>
      <w:r w:rsidRPr="00D21364">
        <w:rPr>
          <w:sz w:val="20"/>
          <w:lang w:val="fr-CA"/>
        </w:rPr>
        <w:t>les art</w:t>
      </w:r>
      <w:proofErr w:type="gramEnd"/>
      <w:r w:rsidRPr="00D21364">
        <w:rPr>
          <w:sz w:val="20"/>
          <w:lang w:val="fr-CA"/>
        </w:rPr>
        <w:t xml:space="preserve">. 83.03 (fournir ou rendre disponibles des biens ou des services à des fins terroristes), 83.18 (participer à une activité d’un groupe terroriste ou y contribuer), 83.19 (faciliter une activité terroriste) et 83.21 (charger une personne de se livrer à une activité pour un groupe terroriste).  Il a condamné K à 10 ans et demi d’emprisonnement sans retrancher la durée de la détention avant procès afin de ne pas contrevenir au principe de l’exemplarité de la peine, et il a fixé à 5 ans la période d’inadmissibilité à la libération conditionnelle vu l’absence d’élément de preuve selon lequel l’appelant avait des remords, désirait s’amender ou s’engageait à respecter désormais les lois et les valeurs canadiennes.  La Cour d’appel a statué que la disposition relative au mobile est constitutionnelle et qu’elle n’aurait pas dû être retranchée, mais elle a rejeté l’appel formé par K contre sa déclaration de culpabilité, en application de la disposition réparatrice du </w:t>
      </w:r>
      <w:r w:rsidRPr="00D21364">
        <w:rPr>
          <w:i/>
          <w:sz w:val="20"/>
          <w:lang w:val="fr-CA"/>
        </w:rPr>
        <w:t>Code criminel</w:t>
      </w:r>
      <w:r w:rsidRPr="00D21364">
        <w:rPr>
          <w:sz w:val="20"/>
          <w:lang w:val="fr-CA"/>
        </w:rPr>
        <w:t xml:space="preserve">, le </w:t>
      </w:r>
      <w:proofErr w:type="spellStart"/>
      <w:r w:rsidRPr="00D21364">
        <w:rPr>
          <w:sz w:val="20"/>
          <w:lang w:val="fr-CA"/>
        </w:rPr>
        <w:t>sous</w:t>
      </w:r>
      <w:r w:rsidRPr="00D21364">
        <w:rPr>
          <w:sz w:val="20"/>
          <w:lang w:val="fr-CA"/>
        </w:rPr>
        <w:noBreakHyphen/>
        <w:t>al</w:t>
      </w:r>
      <w:proofErr w:type="spellEnd"/>
      <w:r w:rsidRPr="00D21364">
        <w:rPr>
          <w:sz w:val="20"/>
          <w:lang w:val="fr-CA"/>
        </w:rPr>
        <w:t>. 686(1)</w:t>
      </w:r>
      <w:r w:rsidRPr="00D21364">
        <w:rPr>
          <w:i/>
          <w:sz w:val="20"/>
          <w:lang w:val="fr-CA"/>
        </w:rPr>
        <w:t>b</w:t>
      </w:r>
      <w:proofErr w:type="gramStart"/>
      <w:r w:rsidRPr="00D21364">
        <w:rPr>
          <w:sz w:val="20"/>
          <w:lang w:val="fr-CA"/>
        </w:rPr>
        <w:t>)(</w:t>
      </w:r>
      <w:proofErr w:type="gramEnd"/>
      <w:r w:rsidRPr="00D21364">
        <w:rPr>
          <w:sz w:val="20"/>
          <w:lang w:val="fr-CA"/>
        </w:rPr>
        <w:t xml:space="preserve">iii).  Elle a rejeté l’appel à l’encontre des peines interjeté par K, mais accueilli l’appel incident du ministère public et substitué l’emprisonnement à perpétuité à la peine infligée pour la fabrication d’un détonateur en vue de causer une explosion meurtrière.  Soulignant la gravité des actes, elle a infligé pour les autres chefs des peines consécutives totalisant 24 ans d’emprisonnement devant être purgées concurremment avec l’emprisonnement à vie et elle a fixé à 10 ans plutôt qu’à 5 la période d’inadmissibilité à la libération conditionnelle. </w:t>
      </w:r>
    </w:p>
    <w:p w:rsidR="004C4064" w:rsidRPr="00D21364" w:rsidRDefault="004C4064" w:rsidP="004C4064">
      <w:pPr>
        <w:pStyle w:val="SCCNormalDoubleSpacing"/>
        <w:spacing w:line="240" w:lineRule="auto"/>
        <w:rPr>
          <w:sz w:val="20"/>
          <w:lang w:val="fr-CA"/>
        </w:rPr>
      </w:pPr>
    </w:p>
    <w:p w:rsidR="004C4064" w:rsidRDefault="004C4064" w:rsidP="004C4064">
      <w:pPr>
        <w:pStyle w:val="SCCNormalDoubleSpacing"/>
        <w:keepNext/>
        <w:spacing w:line="240" w:lineRule="auto"/>
        <w:rPr>
          <w:sz w:val="20"/>
          <w:lang w:val="fr-CA"/>
        </w:rPr>
      </w:pPr>
      <w:r w:rsidRPr="00D21364">
        <w:rPr>
          <w:sz w:val="20"/>
          <w:lang w:val="fr-CA"/>
        </w:rPr>
        <w:tab/>
      </w:r>
      <w:r w:rsidRPr="00D21364">
        <w:rPr>
          <w:i/>
          <w:sz w:val="20"/>
          <w:lang w:val="fr-CA"/>
        </w:rPr>
        <w:t>Arrêt</w:t>
      </w:r>
      <w:r w:rsidRPr="00D21364">
        <w:rPr>
          <w:sz w:val="20"/>
          <w:lang w:val="fr-CA"/>
        </w:rPr>
        <w:t> : Le pourvoi est rejeté.</w:t>
      </w:r>
    </w:p>
    <w:p w:rsidR="004C4064" w:rsidRPr="00D21364" w:rsidRDefault="004C4064" w:rsidP="004C4064">
      <w:pPr>
        <w:pStyle w:val="SCCNormalDoubleSpacing"/>
        <w:keepNext/>
        <w:spacing w:line="240" w:lineRule="auto"/>
        <w:rPr>
          <w:sz w:val="20"/>
          <w:lang w:val="fr-CA"/>
        </w:rPr>
      </w:pPr>
    </w:p>
    <w:p w:rsidR="004C4064" w:rsidRPr="00D21364" w:rsidRDefault="004C4064" w:rsidP="004C4064">
      <w:pPr>
        <w:pStyle w:val="SCCNormalDoubleSpacing"/>
        <w:keepNext/>
        <w:spacing w:line="240" w:lineRule="auto"/>
        <w:rPr>
          <w:i/>
          <w:sz w:val="20"/>
          <w:lang w:val="fr-CA"/>
        </w:rPr>
      </w:pPr>
      <w:r w:rsidRPr="00D21364">
        <w:rPr>
          <w:i/>
          <w:sz w:val="20"/>
          <w:lang w:val="fr-CA"/>
        </w:rPr>
        <w:t>Constitutionnalité des dispositions</w:t>
      </w:r>
    </w:p>
    <w:p w:rsidR="004C4064" w:rsidRDefault="004C4064" w:rsidP="004C4064">
      <w:pPr>
        <w:pStyle w:val="SCCNormalDoubleSpacing"/>
        <w:spacing w:line="240" w:lineRule="auto"/>
        <w:rPr>
          <w:sz w:val="20"/>
          <w:lang w:val="fr-CA"/>
        </w:rPr>
      </w:pPr>
    </w:p>
    <w:p w:rsidR="004C4064" w:rsidRPr="00D21364" w:rsidRDefault="004C4064" w:rsidP="004C4064">
      <w:pPr>
        <w:pStyle w:val="SCCNormalDoubleSpacing"/>
        <w:spacing w:line="240" w:lineRule="auto"/>
        <w:rPr>
          <w:sz w:val="20"/>
          <w:lang w:val="fr-CA"/>
        </w:rPr>
      </w:pPr>
      <w:r w:rsidRPr="00D21364">
        <w:rPr>
          <w:sz w:val="20"/>
          <w:lang w:val="fr-CA"/>
        </w:rPr>
        <w:tab/>
        <w:t xml:space="preserve">K conteste la constitutionnalité de la Loi au motif que la disposition relative au mobile a un effet paralysant sur l’expression des croyances et des opinions et va de ce fait à l’encontre de l’art. 2 de la </w:t>
      </w:r>
      <w:r w:rsidRPr="00D21364">
        <w:rPr>
          <w:i/>
          <w:sz w:val="20"/>
          <w:lang w:val="fr-CA"/>
        </w:rPr>
        <w:t>Charte</w:t>
      </w:r>
      <w:r w:rsidRPr="00D21364">
        <w:rPr>
          <w:sz w:val="20"/>
          <w:lang w:val="fr-CA"/>
        </w:rPr>
        <w:t>.  Dans leurs pourvois connexes (</w:t>
      </w:r>
      <w:proofErr w:type="spellStart"/>
      <w:r w:rsidRPr="00D21364">
        <w:rPr>
          <w:i/>
          <w:sz w:val="20"/>
          <w:lang w:val="fr-CA"/>
        </w:rPr>
        <w:t>Sriskandarajah</w:t>
      </w:r>
      <w:proofErr w:type="spellEnd"/>
      <w:r w:rsidRPr="00D21364">
        <w:rPr>
          <w:i/>
          <w:sz w:val="20"/>
          <w:lang w:val="fr-CA"/>
        </w:rPr>
        <w:t xml:space="preserve"> c. </w:t>
      </w:r>
      <w:proofErr w:type="spellStart"/>
      <w:r w:rsidRPr="00D21364">
        <w:rPr>
          <w:i/>
          <w:sz w:val="20"/>
          <w:lang w:val="fr-CA"/>
        </w:rPr>
        <w:t>États</w:t>
      </w:r>
      <w:r w:rsidRPr="00D21364">
        <w:rPr>
          <w:i/>
          <w:sz w:val="20"/>
          <w:lang w:val="fr-CA"/>
        </w:rPr>
        <w:noBreakHyphen/>
        <w:t>Unis</w:t>
      </w:r>
      <w:proofErr w:type="spellEnd"/>
      <w:r w:rsidRPr="00D21364">
        <w:rPr>
          <w:i/>
          <w:sz w:val="20"/>
          <w:lang w:val="fr-CA"/>
        </w:rPr>
        <w:t xml:space="preserve"> d’Amérique</w:t>
      </w:r>
      <w:r w:rsidRPr="00D21364">
        <w:rPr>
          <w:sz w:val="20"/>
          <w:lang w:val="fr-CA"/>
        </w:rPr>
        <w:t xml:space="preserve">, 2012 CSC 70), S et N prétendent également que l’objectif de la loi est contraire à l’art. 2 de la </w:t>
      </w:r>
      <w:r w:rsidRPr="00D21364">
        <w:rPr>
          <w:i/>
          <w:sz w:val="20"/>
          <w:lang w:val="fr-CA"/>
        </w:rPr>
        <w:t>Charte</w:t>
      </w:r>
      <w:r w:rsidRPr="00D21364">
        <w:rPr>
          <w:sz w:val="20"/>
          <w:lang w:val="fr-CA"/>
        </w:rPr>
        <w:t xml:space="preserve">.  Ils allèguent également l’inconstitutionnalité de l’art. 83.18 </w:t>
      </w:r>
      <w:proofErr w:type="gramStart"/>
      <w:r w:rsidRPr="00D21364">
        <w:rPr>
          <w:sz w:val="20"/>
          <w:lang w:val="fr-CA"/>
        </w:rPr>
        <w:t>au</w:t>
      </w:r>
      <w:proofErr w:type="gramEnd"/>
      <w:r w:rsidRPr="00D21364">
        <w:rPr>
          <w:sz w:val="20"/>
          <w:lang w:val="fr-CA"/>
        </w:rPr>
        <w:t xml:space="preserve"> motif que sa portée est excessive contrairement à l’art. 7 de la </w:t>
      </w:r>
      <w:r w:rsidRPr="00D21364">
        <w:rPr>
          <w:i/>
          <w:sz w:val="20"/>
          <w:lang w:val="fr-CA"/>
        </w:rPr>
        <w:t>Charte</w:t>
      </w:r>
      <w:r w:rsidRPr="00D21364">
        <w:rPr>
          <w:sz w:val="20"/>
          <w:lang w:val="fr-CA"/>
        </w:rPr>
        <w:t>.  Par souci d’ordre pratique, toutes les allégations d’inconstitutionnalité sont analysées dans le présent pourvoi.</w:t>
      </w:r>
    </w:p>
    <w:p w:rsidR="004C4064" w:rsidRDefault="004C4064" w:rsidP="004C4064">
      <w:pPr>
        <w:pStyle w:val="SCCNormalDoubleSpacing"/>
        <w:spacing w:line="240" w:lineRule="auto"/>
        <w:rPr>
          <w:sz w:val="20"/>
          <w:lang w:val="fr-CA"/>
        </w:rPr>
      </w:pPr>
    </w:p>
    <w:p w:rsidR="004C4064" w:rsidRDefault="004C4064" w:rsidP="004C4064">
      <w:pPr>
        <w:pStyle w:val="SCCNormalDoubleSpacing"/>
        <w:spacing w:line="240" w:lineRule="auto"/>
        <w:rPr>
          <w:sz w:val="20"/>
          <w:lang w:val="fr-CA"/>
        </w:rPr>
      </w:pPr>
      <w:r w:rsidRPr="00D21364">
        <w:rPr>
          <w:sz w:val="20"/>
          <w:lang w:val="fr-CA"/>
        </w:rPr>
        <w:tab/>
        <w:t xml:space="preserve">L’article 83.18 ne porte pas atteinte au droit garanti à l’art. 7 de la </w:t>
      </w:r>
      <w:r w:rsidRPr="00D21364">
        <w:rPr>
          <w:i/>
          <w:sz w:val="20"/>
          <w:lang w:val="fr-CA"/>
        </w:rPr>
        <w:t>Charte</w:t>
      </w:r>
      <w:r w:rsidRPr="00D21364">
        <w:rPr>
          <w:sz w:val="20"/>
          <w:lang w:val="fr-CA"/>
        </w:rPr>
        <w:t xml:space="preserve">. Suivant une interprétation téléologique de </w:t>
      </w:r>
      <w:proofErr w:type="gramStart"/>
      <w:r w:rsidRPr="00D21364">
        <w:rPr>
          <w:sz w:val="20"/>
          <w:lang w:val="fr-CA"/>
        </w:rPr>
        <w:t>l’</w:t>
      </w:r>
      <w:r w:rsidRPr="00D21364">
        <w:rPr>
          <w:i/>
          <w:sz w:val="20"/>
          <w:lang w:val="fr-CA"/>
        </w:rPr>
        <w:t>actus</w:t>
      </w:r>
      <w:proofErr w:type="gramEnd"/>
      <w:r w:rsidRPr="00D21364">
        <w:rPr>
          <w:i/>
          <w:sz w:val="20"/>
          <w:lang w:val="fr-CA"/>
        </w:rPr>
        <w:t xml:space="preserve"> </w:t>
      </w:r>
      <w:proofErr w:type="spellStart"/>
      <w:r w:rsidRPr="00D21364">
        <w:rPr>
          <w:i/>
          <w:sz w:val="20"/>
          <w:lang w:val="fr-CA"/>
        </w:rPr>
        <w:t>reus</w:t>
      </w:r>
      <w:proofErr w:type="spellEnd"/>
      <w:r w:rsidRPr="00D21364">
        <w:rPr>
          <w:sz w:val="20"/>
          <w:lang w:val="fr-CA"/>
        </w:rPr>
        <w:t xml:space="preserve"> et de la </w:t>
      </w:r>
      <w:r w:rsidRPr="00D21364">
        <w:rPr>
          <w:i/>
          <w:sz w:val="20"/>
          <w:lang w:val="fr-CA"/>
        </w:rPr>
        <w:t xml:space="preserve">mens </w:t>
      </w:r>
      <w:proofErr w:type="spellStart"/>
      <w:r w:rsidRPr="00D21364">
        <w:rPr>
          <w:i/>
          <w:sz w:val="20"/>
          <w:lang w:val="fr-CA"/>
        </w:rPr>
        <w:t>rea</w:t>
      </w:r>
      <w:proofErr w:type="spellEnd"/>
      <w:r w:rsidRPr="00D21364">
        <w:rPr>
          <w:sz w:val="20"/>
          <w:lang w:val="fr-CA"/>
        </w:rPr>
        <w:t xml:space="preserve"> exigés à l’art. 83.18, il ne peut y avoir déclaration de culpabilité (i) pour un acte innocent ou socialement utile accompli sans intention d’accroître la capacité d’un groupe terroriste de se livrer à une activité terroriste ou de la faciliter, ni (ii) pour un acte qu’une personne raisonnable ne tiendrait pas pour susceptible d’accroître sensiblement cette capacité.  L’objet légitime des dispositions sur le terrorisme du </w:t>
      </w:r>
      <w:r w:rsidRPr="00D21364">
        <w:rPr>
          <w:i/>
          <w:sz w:val="20"/>
          <w:lang w:val="fr-CA"/>
        </w:rPr>
        <w:t>Code criminel</w:t>
      </w:r>
      <w:r w:rsidRPr="00D21364">
        <w:rPr>
          <w:sz w:val="20"/>
          <w:lang w:val="fr-CA"/>
        </w:rPr>
        <w:t xml:space="preserve"> est d’offrir des moyens de prévenir les actes de terrorisme et de punir leurs auteurs.  Étant donné cet objet, la perpétration de l’infraction exige un degré élevé de </w:t>
      </w:r>
      <w:r w:rsidRPr="00D21364">
        <w:rPr>
          <w:i/>
          <w:sz w:val="20"/>
          <w:lang w:val="fr-CA"/>
        </w:rPr>
        <w:t xml:space="preserve">mens </w:t>
      </w:r>
      <w:proofErr w:type="spellStart"/>
      <w:r w:rsidRPr="00D21364">
        <w:rPr>
          <w:i/>
          <w:sz w:val="20"/>
          <w:lang w:val="fr-CA"/>
        </w:rPr>
        <w:t>rea</w:t>
      </w:r>
      <w:proofErr w:type="spellEnd"/>
      <w:r w:rsidRPr="00D21364">
        <w:rPr>
          <w:sz w:val="20"/>
          <w:lang w:val="fr-CA"/>
        </w:rPr>
        <w:t xml:space="preserve">.  Avant de déclarer une personne coupable de l’infraction prévue à l’art. 83.18, le juge doit être convaincu hors de tout doute raisonnable que l’accusé avait l’intention spécifique d’accroître la capacité d’un groupe terroriste de se livrer à une activité terroriste ou de la faciliter.  L’intention se démontre par preuve directe ou s’infère de la preuve de ce que savait l’accusé et de la nature de ses actes.  L’emploi des mots « dans le but » à l’art. 83.18 exige d’établir une intention subjective d’accroître la capacité d’un groupe terroriste de se livrer à une activité terroriste ou de la faciliter.  Il faut prouver que l’accusé entendait précisément que ses actes aient un tel effet général.  De plus, le comportement qui présente au plus un risque négligeable d’accroître la capacité d’un groupe terroriste de se livrer à une activité terroriste ou de la faciliter ne correspond pas à </w:t>
      </w:r>
      <w:proofErr w:type="gramStart"/>
      <w:r w:rsidRPr="00D21364">
        <w:rPr>
          <w:sz w:val="20"/>
          <w:lang w:val="fr-CA"/>
        </w:rPr>
        <w:t>l’</w:t>
      </w:r>
      <w:r w:rsidRPr="00D21364">
        <w:rPr>
          <w:i/>
          <w:sz w:val="20"/>
          <w:lang w:val="fr-CA"/>
        </w:rPr>
        <w:t>actus</w:t>
      </w:r>
      <w:proofErr w:type="gramEnd"/>
      <w:r w:rsidRPr="00D21364">
        <w:rPr>
          <w:i/>
          <w:sz w:val="20"/>
          <w:lang w:val="fr-CA"/>
        </w:rPr>
        <w:t xml:space="preserve"> </w:t>
      </w:r>
      <w:proofErr w:type="spellStart"/>
      <w:r w:rsidRPr="00D21364">
        <w:rPr>
          <w:i/>
          <w:sz w:val="20"/>
          <w:lang w:val="fr-CA"/>
        </w:rPr>
        <w:t>reus</w:t>
      </w:r>
      <w:proofErr w:type="spellEnd"/>
      <w:r w:rsidRPr="00D21364">
        <w:rPr>
          <w:sz w:val="20"/>
          <w:lang w:val="fr-CA"/>
        </w:rPr>
        <w:t xml:space="preserve"> de l’infraction prévue à l’art. 83.18.  La portée de la disposition exclut le comportement qui, pour une personne raisonnable, ne serait pas susceptible d’accroître sensiblement la capacité d’un groupe terroriste de se livrer à une activité terroriste ou de la faciliter.  L’issue d’une telle appréciation fondée sur l’optique d’une personne raisonnable dépend de la nature du comportement et des circonstances en cause.  Lorsque l’on pondère la portée ainsi circonscrite de la disposition et l’objectif de </w:t>
      </w:r>
      <w:proofErr w:type="spellStart"/>
      <w:r w:rsidRPr="00D21364">
        <w:rPr>
          <w:sz w:val="20"/>
          <w:lang w:val="fr-CA"/>
        </w:rPr>
        <w:t>celle</w:t>
      </w:r>
      <w:r w:rsidRPr="00D21364">
        <w:rPr>
          <w:sz w:val="20"/>
          <w:lang w:val="fr-CA"/>
        </w:rPr>
        <w:noBreakHyphen/>
        <w:t>ci</w:t>
      </w:r>
      <w:proofErr w:type="spellEnd"/>
      <w:r w:rsidRPr="00D21364">
        <w:rPr>
          <w:sz w:val="20"/>
          <w:lang w:val="fr-CA"/>
        </w:rPr>
        <w:t>, on ne peut pas conclure que le moyen retenu par le législateur a une portée excessive ou une incidence disproportionnée.</w:t>
      </w:r>
    </w:p>
    <w:p w:rsidR="004C4064" w:rsidRPr="00D21364" w:rsidRDefault="004C4064" w:rsidP="004C4064">
      <w:pPr>
        <w:pStyle w:val="SCCNormalDoubleSpacing"/>
        <w:spacing w:line="240" w:lineRule="auto"/>
        <w:rPr>
          <w:sz w:val="20"/>
          <w:lang w:val="fr-CA"/>
        </w:rPr>
      </w:pPr>
    </w:p>
    <w:p w:rsidR="004C4064" w:rsidRPr="00D21364" w:rsidRDefault="004C4064" w:rsidP="004C4064">
      <w:pPr>
        <w:pStyle w:val="ParaNoNdepar-AltN"/>
        <w:numPr>
          <w:ilvl w:val="0"/>
          <w:numId w:val="0"/>
        </w:numPr>
        <w:tabs>
          <w:tab w:val="clear" w:pos="1152"/>
        </w:tabs>
        <w:spacing w:before="0" w:after="0" w:line="240" w:lineRule="auto"/>
        <w:rPr>
          <w:sz w:val="20"/>
          <w:szCs w:val="20"/>
          <w:lang w:val="fr-CA"/>
        </w:rPr>
      </w:pPr>
      <w:r w:rsidRPr="00D21364">
        <w:rPr>
          <w:sz w:val="20"/>
          <w:szCs w:val="20"/>
          <w:lang w:val="fr-CA"/>
        </w:rPr>
        <w:tab/>
        <w:t xml:space="preserve">L’objectif de la Loi ne porte pas atteinte à la liberté d’expression.  Bien que les actes visés par les dispositions sur le terrorisme du </w:t>
      </w:r>
      <w:r w:rsidRPr="00D21364">
        <w:rPr>
          <w:i/>
          <w:sz w:val="20"/>
          <w:szCs w:val="20"/>
          <w:lang w:val="fr-CA"/>
        </w:rPr>
        <w:t>Code criminel</w:t>
      </w:r>
      <w:r w:rsidRPr="00D21364">
        <w:rPr>
          <w:sz w:val="20"/>
          <w:szCs w:val="20"/>
          <w:lang w:val="fr-CA"/>
        </w:rPr>
        <w:t xml:space="preserve"> soient en quelque sorte des activités expressives, la plupart des actes qui tombent sous le coup des dispositions constituent des actes de violence ou des menaces de violence.  Comme l’acte de violence, la menace de violence ne bénéficie pas de la garantie prévue à l’al. 2</w:t>
      </w:r>
      <w:r w:rsidRPr="00D21364">
        <w:rPr>
          <w:i/>
          <w:sz w:val="20"/>
          <w:szCs w:val="20"/>
          <w:lang w:val="fr-CA"/>
        </w:rPr>
        <w:t>b)</w:t>
      </w:r>
      <w:r w:rsidRPr="00D21364">
        <w:rPr>
          <w:sz w:val="20"/>
          <w:szCs w:val="20"/>
          <w:lang w:val="fr-CA"/>
        </w:rPr>
        <w:t>. Qui plus est, la nature particulière des actes énumérés aux div. 83.01(1)</w:t>
      </w:r>
      <w:r w:rsidRPr="00D21364">
        <w:rPr>
          <w:i/>
          <w:sz w:val="20"/>
          <w:szCs w:val="20"/>
          <w:lang w:val="fr-CA"/>
        </w:rPr>
        <w:t>b</w:t>
      </w:r>
      <w:r w:rsidRPr="00D21364">
        <w:rPr>
          <w:sz w:val="20"/>
          <w:szCs w:val="20"/>
          <w:lang w:val="fr-CA"/>
        </w:rPr>
        <w:t>)(ii) (A), (B), (C) et (D) justifie que l’on tienne l’encouragement à la perpétration, le complot ou la complicité après le fait pour des actes étroitement liés à la violence ainsi qu’au danger que présente cette violence pour la société canadienne, de sorte qu’aucun n’est protégé par l’al. 2</w:t>
      </w:r>
      <w:r w:rsidRPr="00D21364">
        <w:rPr>
          <w:i/>
          <w:sz w:val="20"/>
          <w:szCs w:val="20"/>
          <w:lang w:val="fr-CA"/>
        </w:rPr>
        <w:t>b</w:t>
      </w:r>
      <w:r w:rsidRPr="00D21364">
        <w:rPr>
          <w:sz w:val="20"/>
          <w:szCs w:val="20"/>
          <w:lang w:val="fr-CA"/>
        </w:rPr>
        <w:t xml:space="preserve">) de la </w:t>
      </w:r>
      <w:r w:rsidRPr="00D21364">
        <w:rPr>
          <w:i/>
          <w:sz w:val="20"/>
          <w:szCs w:val="20"/>
          <w:lang w:val="fr-CA"/>
        </w:rPr>
        <w:t>Charte</w:t>
      </w:r>
      <w:r w:rsidRPr="00D21364">
        <w:rPr>
          <w:sz w:val="20"/>
          <w:szCs w:val="20"/>
          <w:lang w:val="fr-CA"/>
        </w:rPr>
        <w:t xml:space="preserve">. Cependant, point n’est besoin de décider de manière générale si l’encouragement à la perpétration, le complot ou la complicité après le fait </w:t>
      </w:r>
      <w:r w:rsidRPr="00D21364">
        <w:rPr>
          <w:sz w:val="20"/>
          <w:szCs w:val="20"/>
          <w:lang w:val="fr-CA"/>
        </w:rPr>
        <w:lastRenderedPageBreak/>
        <w:t>sont visés par l’inapplication du droit à la liberté garanti par l’al. 2</w:t>
      </w:r>
      <w:r w:rsidRPr="00D21364">
        <w:rPr>
          <w:i/>
          <w:sz w:val="20"/>
          <w:szCs w:val="20"/>
          <w:lang w:val="fr-CA"/>
        </w:rPr>
        <w:t>b</w:t>
      </w:r>
      <w:r w:rsidRPr="00D21364">
        <w:rPr>
          <w:sz w:val="20"/>
          <w:szCs w:val="20"/>
          <w:lang w:val="fr-CA"/>
        </w:rPr>
        <w:t xml:space="preserve">) de la </w:t>
      </w:r>
      <w:r w:rsidRPr="00D21364">
        <w:rPr>
          <w:i/>
          <w:sz w:val="20"/>
          <w:szCs w:val="20"/>
          <w:lang w:val="fr-CA"/>
        </w:rPr>
        <w:t>Charte</w:t>
      </w:r>
      <w:r w:rsidRPr="00D21364">
        <w:rPr>
          <w:sz w:val="20"/>
          <w:szCs w:val="20"/>
          <w:lang w:val="fr-CA"/>
        </w:rPr>
        <w:t>. Interprétée globalement et téléologiquement, la div. 83.01(1)</w:t>
      </w:r>
      <w:r w:rsidRPr="00D21364">
        <w:rPr>
          <w:i/>
          <w:sz w:val="20"/>
          <w:szCs w:val="20"/>
          <w:lang w:val="fr-CA"/>
        </w:rPr>
        <w:t>b</w:t>
      </w:r>
      <w:r w:rsidRPr="00D21364">
        <w:rPr>
          <w:sz w:val="20"/>
          <w:szCs w:val="20"/>
          <w:lang w:val="fr-CA"/>
        </w:rPr>
        <w:t>)(ii)(E), qui a dans sa mire la personne qui perturbe intentionnellement des infrastructures indispensables et sans lesquelles la vie peut être gravement bouleversée et la santé publique menacée, ne vise elle aussi que les actes de violence et les menaces de violence. On ne peut toutefois pas exclure la possibilité que, dans une affaire ultérieure, on arrive à la conclusion que la div. 83.01(1)</w:t>
      </w:r>
      <w:r w:rsidRPr="00D21364">
        <w:rPr>
          <w:i/>
          <w:sz w:val="20"/>
          <w:szCs w:val="20"/>
          <w:lang w:val="fr-CA"/>
        </w:rPr>
        <w:t>b</w:t>
      </w:r>
      <w:proofErr w:type="gramStart"/>
      <w:r w:rsidRPr="00D21364">
        <w:rPr>
          <w:sz w:val="20"/>
          <w:szCs w:val="20"/>
          <w:lang w:val="fr-CA"/>
        </w:rPr>
        <w:t>)(</w:t>
      </w:r>
      <w:proofErr w:type="gramEnd"/>
      <w:r w:rsidRPr="00D21364">
        <w:rPr>
          <w:sz w:val="20"/>
          <w:szCs w:val="20"/>
          <w:lang w:val="fr-CA"/>
        </w:rPr>
        <w:t xml:space="preserve">ii)(E) réprime une activité protégée. Il s’agira alors de déterminer si la restriction de la liberté d’expression est justifiée suivant l’article premier de la </w:t>
      </w:r>
      <w:r w:rsidRPr="00D21364">
        <w:rPr>
          <w:i/>
          <w:sz w:val="20"/>
          <w:szCs w:val="20"/>
          <w:lang w:val="fr-CA"/>
        </w:rPr>
        <w:t>Charte</w:t>
      </w:r>
      <w:r w:rsidRPr="00D21364">
        <w:rPr>
          <w:sz w:val="20"/>
          <w:szCs w:val="20"/>
          <w:lang w:val="fr-CA"/>
        </w:rPr>
        <w:t xml:space="preserve">. </w:t>
      </w:r>
    </w:p>
    <w:p w:rsidR="004C4064" w:rsidRDefault="004C4064" w:rsidP="004C4064">
      <w:pPr>
        <w:pStyle w:val="SCCNormalDoubleSpacing"/>
        <w:spacing w:line="240" w:lineRule="auto"/>
        <w:rPr>
          <w:sz w:val="20"/>
          <w:lang w:val="fr-CA"/>
        </w:rPr>
      </w:pPr>
    </w:p>
    <w:p w:rsidR="004C4064" w:rsidRDefault="004C4064" w:rsidP="004C4064">
      <w:pPr>
        <w:pStyle w:val="SCCNormalDoubleSpacing"/>
        <w:spacing w:line="240" w:lineRule="auto"/>
        <w:rPr>
          <w:sz w:val="20"/>
          <w:lang w:val="fr-CA"/>
        </w:rPr>
      </w:pPr>
      <w:r w:rsidRPr="00D21364">
        <w:rPr>
          <w:sz w:val="20"/>
          <w:lang w:val="fr-CA"/>
        </w:rPr>
        <w:tab/>
        <w:t>En l’espèce, sans éléments de preuve, il est impossible d’inférer que la disposition relative au mobile (la div. 83.01(1</w:t>
      </w:r>
      <w:proofErr w:type="gramStart"/>
      <w:r w:rsidRPr="00D21364">
        <w:rPr>
          <w:sz w:val="20"/>
          <w:lang w:val="fr-CA"/>
        </w:rPr>
        <w:t>)</w:t>
      </w:r>
      <w:r w:rsidRPr="00D21364">
        <w:rPr>
          <w:i/>
          <w:sz w:val="20"/>
          <w:lang w:val="fr-CA"/>
        </w:rPr>
        <w:t>b</w:t>
      </w:r>
      <w:proofErr w:type="gramEnd"/>
      <w:r w:rsidRPr="00D21364">
        <w:rPr>
          <w:sz w:val="20"/>
          <w:lang w:val="fr-CA"/>
        </w:rPr>
        <w:t>)(i)(A)) a un effet paralysant sur l’exercice des libertés garanties à l’art. 2.  Le libellé de la disposition contestée respecte clairement la diversité en ce qu’il permet l’expression pacifique d’opinions de nature politique, religieuse ou idéologique (par. </w:t>
      </w:r>
      <w:proofErr w:type="gramStart"/>
      <w:r w:rsidRPr="00D21364">
        <w:rPr>
          <w:sz w:val="20"/>
          <w:lang w:val="fr-CA"/>
        </w:rPr>
        <w:t>83.01(</w:t>
      </w:r>
      <w:proofErr w:type="gramEnd"/>
      <w:r w:rsidRPr="00D21364">
        <w:rPr>
          <w:sz w:val="20"/>
          <w:lang w:val="fr-CA"/>
        </w:rPr>
        <w:t>1.1)).</w:t>
      </w:r>
    </w:p>
    <w:p w:rsidR="00E128DB" w:rsidRPr="00D21364" w:rsidRDefault="00E128DB" w:rsidP="004C4064">
      <w:pPr>
        <w:pStyle w:val="SCCNormalDoubleSpacing"/>
        <w:spacing w:line="240" w:lineRule="auto"/>
        <w:rPr>
          <w:sz w:val="20"/>
          <w:lang w:val="fr-CA"/>
        </w:rPr>
      </w:pPr>
    </w:p>
    <w:p w:rsidR="004C4064" w:rsidRPr="00D21364" w:rsidRDefault="004C4064" w:rsidP="004C4064">
      <w:pPr>
        <w:pStyle w:val="SCCNormalDoubleSpacing"/>
        <w:keepNext/>
        <w:spacing w:line="240" w:lineRule="auto"/>
        <w:rPr>
          <w:i/>
          <w:sz w:val="20"/>
          <w:lang w:val="fr-CA"/>
        </w:rPr>
      </w:pPr>
      <w:r w:rsidRPr="00D21364">
        <w:rPr>
          <w:i/>
          <w:sz w:val="20"/>
          <w:lang w:val="fr-CA"/>
        </w:rPr>
        <w:t>Application des dispositions en l’espèce et détermination de la peine</w:t>
      </w:r>
    </w:p>
    <w:p w:rsidR="004C4064" w:rsidRDefault="004C4064" w:rsidP="004C4064">
      <w:pPr>
        <w:pStyle w:val="SCCNormalDoubleSpacing"/>
        <w:spacing w:line="240" w:lineRule="auto"/>
        <w:rPr>
          <w:sz w:val="20"/>
          <w:lang w:val="fr-CA"/>
        </w:rPr>
      </w:pPr>
    </w:p>
    <w:p w:rsidR="004C4064" w:rsidRPr="00D21364" w:rsidRDefault="004C4064" w:rsidP="004C4064">
      <w:pPr>
        <w:pStyle w:val="SCCNormalDoubleSpacing"/>
        <w:spacing w:line="240" w:lineRule="auto"/>
        <w:rPr>
          <w:sz w:val="20"/>
          <w:lang w:val="fr-CA"/>
        </w:rPr>
      </w:pPr>
      <w:r w:rsidRPr="00D21364">
        <w:rPr>
          <w:sz w:val="20"/>
          <w:lang w:val="fr-CA"/>
        </w:rPr>
        <w:tab/>
        <w:t xml:space="preserve">Le rétablissement par la Cour d’appel de la disposition relative au mobile n’a pas rendu inéquitables le procès de K et les déclarations de culpabilité dont il a fait l’objet.  Le juge du procès conclut précisément que le volet de la définition d’activité terroriste qui correspond au mobile est prouvé hors de tout doute raisonnable, ce qui étaye suffisamment cet élément des infractions pour lesquelles il y a déclaration de culpabilité.  Qui plus est, la preuve du mobile et du fait que K savait que les membres de la cellule terroriste et lui partageaient ce mobile était accablante et non contestée pour l’essentiel.  L’affirmation de K selon laquelle il aurait témoigné </w:t>
      </w:r>
      <w:r w:rsidRPr="00D21364">
        <w:rPr>
          <w:i/>
          <w:sz w:val="20"/>
          <w:lang w:val="fr-CA"/>
        </w:rPr>
        <w:t>—</w:t>
      </w:r>
      <w:r w:rsidRPr="00D21364">
        <w:rPr>
          <w:sz w:val="20"/>
          <w:lang w:val="fr-CA"/>
        </w:rPr>
        <w:t xml:space="preserve"> ou il aurait pu le faire </w:t>
      </w:r>
      <w:r w:rsidRPr="00D21364">
        <w:rPr>
          <w:i/>
          <w:sz w:val="20"/>
          <w:lang w:val="fr-CA"/>
        </w:rPr>
        <w:t>—</w:t>
      </w:r>
      <w:r w:rsidRPr="00D21364">
        <w:rPr>
          <w:sz w:val="20"/>
          <w:lang w:val="fr-CA"/>
        </w:rPr>
        <w:t xml:space="preserve"> afin de soulever un doute raisonnable quant au mobile si la disposition n’avait pas été invalidée n’a pas de vraisemblance.  En somme, le rétablissement en appel d’un élément essentiel de l’infraction n’a causé aucun préjudice en l’espèce. </w:t>
      </w:r>
    </w:p>
    <w:p w:rsidR="004C4064" w:rsidRDefault="004C4064" w:rsidP="004C4064">
      <w:pPr>
        <w:pStyle w:val="SCCNormalDoubleSpacing"/>
        <w:spacing w:line="240" w:lineRule="auto"/>
        <w:rPr>
          <w:sz w:val="20"/>
          <w:lang w:val="fr-CA"/>
        </w:rPr>
      </w:pPr>
    </w:p>
    <w:p w:rsidR="004C4064" w:rsidRPr="00D21364" w:rsidRDefault="004C4064" w:rsidP="004C4064">
      <w:pPr>
        <w:pStyle w:val="SCCNormalDoubleSpacing"/>
        <w:spacing w:line="240" w:lineRule="auto"/>
        <w:rPr>
          <w:sz w:val="20"/>
          <w:lang w:val="fr-CA"/>
        </w:rPr>
      </w:pPr>
      <w:r w:rsidRPr="00D21364">
        <w:rPr>
          <w:sz w:val="20"/>
          <w:lang w:val="fr-CA"/>
        </w:rPr>
        <w:tab/>
        <w:t>La preuve non contredite dont disposait le juge du procès établit hors de tout doute raisonnable l’inapplication à K de l’exception du conflit armé prévue à l’al. 83.01(1)</w:t>
      </w:r>
      <w:r w:rsidRPr="00D21364">
        <w:rPr>
          <w:i/>
          <w:sz w:val="20"/>
          <w:lang w:val="fr-CA"/>
        </w:rPr>
        <w:t>b</w:t>
      </w:r>
      <w:r w:rsidRPr="00D21364">
        <w:rPr>
          <w:sz w:val="20"/>
          <w:lang w:val="fr-CA"/>
        </w:rPr>
        <w:t xml:space="preserve">) </w:t>
      </w:r>
      <w:r w:rsidRPr="00D21364">
        <w:rPr>
          <w:i/>
          <w:sz w:val="20"/>
          <w:lang w:val="fr-CA"/>
        </w:rPr>
        <w:t>in fine</w:t>
      </w:r>
      <w:r w:rsidRPr="00D21364">
        <w:rPr>
          <w:sz w:val="20"/>
          <w:lang w:val="fr-CA"/>
        </w:rPr>
        <w:t xml:space="preserve">, qui dispose que l’activité terroriste ne s’entend pas de l’action ou de l’omission commise au cours d’un conflit armé et conforme au droit international.  Il incombe au ministère public de prouver hors de tout doute raisonnable que les actes reprochés à l’accusé correspondent à la définition d’activité terroriste, et tout doute raisonnable joue en faveur de l’accusé.  Toutefois, comme l’exception du conflit armé offre un moyen de défense, l’accusé doit la faire valoir et prouver son application </w:t>
      </w:r>
      <w:r w:rsidRPr="00D21364">
        <w:rPr>
          <w:i/>
          <w:sz w:val="20"/>
          <w:lang w:val="fr-CA"/>
        </w:rPr>
        <w:t xml:space="preserve">prima </w:t>
      </w:r>
      <w:proofErr w:type="spellStart"/>
      <w:r w:rsidRPr="00D21364">
        <w:rPr>
          <w:i/>
          <w:sz w:val="20"/>
          <w:lang w:val="fr-CA"/>
        </w:rPr>
        <w:t>facie</w:t>
      </w:r>
      <w:proofErr w:type="spellEnd"/>
      <w:r w:rsidRPr="00D21364">
        <w:rPr>
          <w:sz w:val="20"/>
          <w:lang w:val="fr-CA"/>
        </w:rPr>
        <w:t xml:space="preserve">.  En l’espèce, K ne pouvait s’acquitter de cette obligation, car aucune preuve n’étayait l’applicabilité de l’exception.  Le juge du procès conclut expressément que K savait que les activités terroristes du groupe débordaient le cadre du conflit armé sévissant en Afghanistan et qu’il partageait les visées terroristes du groupe.  De solides éléments de preuve réfutent la thèse que les actes de K s’inscrivaient dans le cadre d’un conflit armé régi par le droit international.  Il est invraisemblable que K ait cru que le groupe comptait respecter le droit international ou qu’il s’en soit soucié. </w:t>
      </w:r>
    </w:p>
    <w:p w:rsidR="004C4064" w:rsidRDefault="004C4064" w:rsidP="004C4064">
      <w:pPr>
        <w:pStyle w:val="SCCNormalDoubleSpacing"/>
        <w:spacing w:line="240" w:lineRule="auto"/>
        <w:rPr>
          <w:sz w:val="20"/>
          <w:lang w:val="fr-CA"/>
        </w:rPr>
      </w:pPr>
    </w:p>
    <w:p w:rsidR="004C4064" w:rsidRDefault="004C4064" w:rsidP="004C4064">
      <w:pPr>
        <w:pStyle w:val="SCCNormalDoubleSpacing"/>
        <w:spacing w:line="240" w:lineRule="auto"/>
        <w:rPr>
          <w:sz w:val="20"/>
          <w:lang w:val="fr-CA"/>
        </w:rPr>
      </w:pPr>
      <w:r w:rsidRPr="00D21364">
        <w:rPr>
          <w:sz w:val="20"/>
          <w:lang w:val="fr-CA"/>
        </w:rPr>
        <w:tab/>
        <w:t>Les prétentions de K selon lesquelles les déclarations de culpabilité sont déraisonnables sont infondées.  Cependant, le juge du procès commet de graves erreurs dans la détermination de la sanction qui s’impose.  Il minimise bel et bien, malgré la preuve, la gravité des actes de l’appelant et ne tient pas dûment compte du danger que l’appelant présente toujours pour la société.  S’il vaut mieux laisser au juge du procès le soin de décider dans chaque cas de l’importance qu’il convient d’accorder à la réinsertion sociale, en l’espèce, l’absence de données sur les possibilités de réinsertion sociale justifie une peine plus sévère que celle qui aurait convenu autrement.  Enfin, l’extrême gravité des infractions de terrorisme en cause dans la présente affaire justifie des peines consécutives totalisant plus de 20 ans d’emprisonnement, et ce, sans entorse au principe de totalité.  Les principes généraux de la détermination de la peine, dont celui de la totalité, valent pour les infractions de terrorisme.</w:t>
      </w:r>
    </w:p>
    <w:p w:rsidR="004C4064" w:rsidRDefault="004C4064" w:rsidP="004C4064">
      <w:pPr>
        <w:pStyle w:val="SCCNormalDoubleSpacing"/>
        <w:spacing w:line="240" w:lineRule="auto"/>
        <w:rPr>
          <w:sz w:val="20"/>
          <w:lang w:val="fr-CA"/>
        </w:rPr>
      </w:pPr>
    </w:p>
    <w:p w:rsidR="004C4064" w:rsidRPr="00D21364" w:rsidRDefault="004C4064" w:rsidP="004C4064">
      <w:pPr>
        <w:pStyle w:val="SCCNormalDoubleSpacing"/>
        <w:spacing w:line="240" w:lineRule="auto"/>
        <w:rPr>
          <w:sz w:val="20"/>
          <w:lang w:val="fr-CA"/>
        </w:rPr>
      </w:pPr>
      <w:r w:rsidRPr="00D21364">
        <w:rPr>
          <w:sz w:val="20"/>
          <w:lang w:val="fr-CA"/>
        </w:rPr>
        <w:tab/>
        <w:t xml:space="preserve">POURVOI contre un arrêt de la Cour d’appel de l’Ontario (les juges </w:t>
      </w:r>
      <w:r w:rsidR="00D32E73" w:rsidRPr="00D21364">
        <w:rPr>
          <w:sz w:val="20"/>
        </w:rPr>
        <w:fldChar w:fldCharType="begin"/>
      </w:r>
      <w:r w:rsidRPr="00D21364">
        <w:rPr>
          <w:sz w:val="20"/>
          <w:lang w:val="fr-CA"/>
        </w:rPr>
        <w:instrText xml:space="preserve"> SEQ CHAPTER \h \r 1</w:instrText>
      </w:r>
      <w:r w:rsidR="00D32E73" w:rsidRPr="00D21364">
        <w:rPr>
          <w:sz w:val="20"/>
        </w:rPr>
        <w:fldChar w:fldCharType="end"/>
      </w:r>
      <w:r w:rsidRPr="00D21364">
        <w:rPr>
          <w:sz w:val="20"/>
          <w:lang w:val="fr-CA"/>
        </w:rPr>
        <w:t xml:space="preserve">Doherty, </w:t>
      </w:r>
      <w:proofErr w:type="spellStart"/>
      <w:r w:rsidRPr="00D21364">
        <w:rPr>
          <w:sz w:val="20"/>
          <w:lang w:val="fr-CA"/>
        </w:rPr>
        <w:t>Moldaver</w:t>
      </w:r>
      <w:proofErr w:type="spellEnd"/>
      <w:r w:rsidRPr="00D21364">
        <w:rPr>
          <w:sz w:val="20"/>
          <w:lang w:val="fr-CA"/>
        </w:rPr>
        <w:t xml:space="preserve"> et </w:t>
      </w:r>
      <w:proofErr w:type="spellStart"/>
      <w:r w:rsidRPr="00D21364">
        <w:rPr>
          <w:sz w:val="20"/>
          <w:lang w:val="fr-CA"/>
        </w:rPr>
        <w:t>Cronk</w:t>
      </w:r>
      <w:proofErr w:type="spellEnd"/>
      <w:r w:rsidRPr="00D21364">
        <w:rPr>
          <w:sz w:val="20"/>
          <w:lang w:val="fr-CA"/>
        </w:rPr>
        <w:t xml:space="preserve">), 2010 ONCA 862, 103 O.R. (3d) 321, 271 O.A.C. 238, 82 C.R. (6th) 122, 273 C.C.C. (3d) 415, [2010] O.J. No. 5471 (QL), 2010 </w:t>
      </w:r>
      <w:proofErr w:type="spellStart"/>
      <w:r w:rsidRPr="00D21364">
        <w:rPr>
          <w:sz w:val="20"/>
          <w:lang w:val="fr-CA"/>
        </w:rPr>
        <w:t>CarswellOnt</w:t>
      </w:r>
      <w:proofErr w:type="spellEnd"/>
      <w:r w:rsidRPr="00D21364">
        <w:rPr>
          <w:sz w:val="20"/>
          <w:lang w:val="fr-CA"/>
        </w:rPr>
        <w:t xml:space="preserve"> 9672, qui a annulé une décision du juge Rutherford en matière constitutionnelle (2006), 214 C.C.C. (3d) 399, 42 C.R. (6th) 348, 147 C.R.R. (2d) 281, [2006] O.J. No. 4245 (QL), 2006 </w:t>
      </w:r>
      <w:proofErr w:type="spellStart"/>
      <w:r w:rsidRPr="00D21364">
        <w:rPr>
          <w:sz w:val="20"/>
          <w:lang w:val="fr-CA"/>
        </w:rPr>
        <w:t>CarswellOnt</w:t>
      </w:r>
      <w:proofErr w:type="spellEnd"/>
      <w:r w:rsidRPr="00D21364">
        <w:rPr>
          <w:sz w:val="20"/>
          <w:lang w:val="fr-CA"/>
        </w:rPr>
        <w:t xml:space="preserve"> 6551, qui a confirmé les déclarations de culpabilité inscrites par le juge Rutherford (2008), 238 C.C.C. (3d) 114, [2008] O.J. No. 4244 (QL), 2008 </w:t>
      </w:r>
      <w:proofErr w:type="spellStart"/>
      <w:r w:rsidRPr="00D21364">
        <w:rPr>
          <w:sz w:val="20"/>
          <w:lang w:val="fr-CA"/>
        </w:rPr>
        <w:t>CarswellOnt</w:t>
      </w:r>
      <w:proofErr w:type="spellEnd"/>
      <w:r w:rsidRPr="00D21364">
        <w:rPr>
          <w:sz w:val="20"/>
          <w:lang w:val="fr-CA"/>
        </w:rPr>
        <w:t xml:space="preserve"> 6364, et qui a modifié les peines infligées par le juge Rutherford (2009), 248 C.C.C. (3d) 233, [2009] O.J. No. 4279 (QL).  Pourvoi rejeté.</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sz w:val="20"/>
          <w:lang w:val="fr-CA"/>
        </w:rPr>
      </w:pPr>
      <w:r w:rsidRPr="00D21364">
        <w:rPr>
          <w:i/>
          <w:sz w:val="20"/>
          <w:lang w:val="fr-CA"/>
        </w:rPr>
        <w:tab/>
        <w:t xml:space="preserve">Lawrence </w:t>
      </w:r>
      <w:proofErr w:type="spellStart"/>
      <w:r w:rsidRPr="00D21364">
        <w:rPr>
          <w:i/>
          <w:sz w:val="20"/>
          <w:lang w:val="fr-CA"/>
        </w:rPr>
        <w:t>Greenspon</w:t>
      </w:r>
      <w:proofErr w:type="spellEnd"/>
      <w:r w:rsidRPr="00D21364">
        <w:rPr>
          <w:sz w:val="20"/>
          <w:lang w:val="fr-CA"/>
        </w:rPr>
        <w:t xml:space="preserve"> et </w:t>
      </w:r>
      <w:proofErr w:type="spellStart"/>
      <w:r w:rsidRPr="00D21364">
        <w:rPr>
          <w:i/>
          <w:sz w:val="20"/>
          <w:lang w:val="fr-CA"/>
        </w:rPr>
        <w:t>Eric</w:t>
      </w:r>
      <w:proofErr w:type="spellEnd"/>
      <w:r w:rsidRPr="00D21364">
        <w:rPr>
          <w:i/>
          <w:sz w:val="20"/>
          <w:lang w:val="fr-CA"/>
        </w:rPr>
        <w:t xml:space="preserve"> Granger</w:t>
      </w:r>
      <w:r w:rsidRPr="00D21364">
        <w:rPr>
          <w:sz w:val="20"/>
          <w:lang w:val="fr-CA"/>
        </w:rPr>
        <w:t>, pour l’appelant.</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sz w:val="20"/>
          <w:lang w:val="fr-CA"/>
        </w:rPr>
      </w:pPr>
      <w:r w:rsidRPr="00D21364">
        <w:rPr>
          <w:i/>
          <w:sz w:val="20"/>
          <w:lang w:val="fr-CA"/>
        </w:rPr>
        <w:lastRenderedPageBreak/>
        <w:tab/>
      </w:r>
      <w:proofErr w:type="spellStart"/>
      <w:r w:rsidRPr="00D21364">
        <w:rPr>
          <w:i/>
          <w:sz w:val="20"/>
          <w:lang w:val="fr-CA"/>
        </w:rPr>
        <w:t>Croft</w:t>
      </w:r>
      <w:proofErr w:type="spellEnd"/>
      <w:r w:rsidRPr="00D21364">
        <w:rPr>
          <w:i/>
          <w:sz w:val="20"/>
          <w:lang w:val="fr-CA"/>
        </w:rPr>
        <w:t xml:space="preserve"> </w:t>
      </w:r>
      <w:proofErr w:type="spellStart"/>
      <w:r w:rsidRPr="00D21364">
        <w:rPr>
          <w:i/>
          <w:sz w:val="20"/>
          <w:lang w:val="fr-CA"/>
        </w:rPr>
        <w:t>Michaelson</w:t>
      </w:r>
      <w:proofErr w:type="spellEnd"/>
      <w:r w:rsidRPr="00D21364">
        <w:rPr>
          <w:sz w:val="20"/>
          <w:lang w:val="fr-CA"/>
        </w:rPr>
        <w:t xml:space="preserve"> et </w:t>
      </w:r>
      <w:r w:rsidRPr="00D21364">
        <w:rPr>
          <w:i/>
          <w:sz w:val="20"/>
          <w:lang w:val="fr-CA"/>
        </w:rPr>
        <w:t>Ian Bell</w:t>
      </w:r>
      <w:r w:rsidRPr="00D21364">
        <w:rPr>
          <w:sz w:val="20"/>
          <w:lang w:val="fr-CA"/>
        </w:rPr>
        <w:t>, pour l’intimée.</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sz w:val="20"/>
          <w:lang w:val="fr-CA"/>
        </w:rPr>
      </w:pPr>
      <w:r w:rsidRPr="00D21364">
        <w:rPr>
          <w:i/>
          <w:sz w:val="20"/>
          <w:lang w:val="fr-CA"/>
        </w:rPr>
        <w:tab/>
        <w:t>Michael Bernstein</w:t>
      </w:r>
      <w:r w:rsidRPr="00D21364">
        <w:rPr>
          <w:sz w:val="20"/>
          <w:lang w:val="fr-CA"/>
        </w:rPr>
        <w:t>, pour l’intervenant le procureur général de l’Ontario.</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sz w:val="20"/>
          <w:lang w:val="fr-CA"/>
        </w:rPr>
      </w:pPr>
      <w:r w:rsidRPr="00D21364">
        <w:rPr>
          <w:i/>
          <w:sz w:val="20"/>
          <w:lang w:val="fr-CA"/>
        </w:rPr>
        <w:tab/>
        <w:t xml:space="preserve">Yan Paquette </w:t>
      </w:r>
      <w:r w:rsidRPr="00D21364">
        <w:rPr>
          <w:sz w:val="20"/>
          <w:lang w:val="fr-CA"/>
        </w:rPr>
        <w:t>et</w:t>
      </w:r>
      <w:r w:rsidRPr="00D21364">
        <w:rPr>
          <w:i/>
          <w:sz w:val="20"/>
          <w:lang w:val="fr-CA"/>
        </w:rPr>
        <w:t xml:space="preserve"> </w:t>
      </w:r>
      <w:proofErr w:type="spellStart"/>
      <w:r w:rsidRPr="00D21364">
        <w:rPr>
          <w:i/>
          <w:sz w:val="20"/>
          <w:lang w:val="fr-CA"/>
        </w:rPr>
        <w:t>Louis</w:t>
      </w:r>
      <w:r w:rsidRPr="00D21364">
        <w:rPr>
          <w:i/>
          <w:sz w:val="20"/>
          <w:lang w:val="fr-CA"/>
        </w:rPr>
        <w:noBreakHyphen/>
        <w:t>Philippe</w:t>
      </w:r>
      <w:proofErr w:type="spellEnd"/>
      <w:r w:rsidRPr="00D21364">
        <w:rPr>
          <w:i/>
          <w:sz w:val="20"/>
          <w:lang w:val="fr-CA"/>
        </w:rPr>
        <w:t xml:space="preserve"> Lampron</w:t>
      </w:r>
      <w:r w:rsidRPr="00D21364">
        <w:rPr>
          <w:sz w:val="20"/>
          <w:lang w:val="fr-CA"/>
        </w:rPr>
        <w:t>, pour l’intervenant le Groupe d’étude en droits et libertés de la Faculté de droit de l’Université Laval.</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sz w:val="20"/>
          <w:lang w:val="fr-CA"/>
        </w:rPr>
      </w:pPr>
      <w:r w:rsidRPr="00D21364">
        <w:rPr>
          <w:i/>
          <w:sz w:val="20"/>
          <w:lang w:val="fr-CA"/>
        </w:rPr>
        <w:tab/>
        <w:t>Anil K. Kapoor</w:t>
      </w:r>
      <w:r w:rsidRPr="00D21364">
        <w:rPr>
          <w:sz w:val="20"/>
          <w:lang w:val="fr-CA"/>
        </w:rPr>
        <w:t xml:space="preserve"> et </w:t>
      </w:r>
      <w:r w:rsidRPr="00D21364">
        <w:rPr>
          <w:i/>
          <w:sz w:val="20"/>
          <w:lang w:val="fr-CA"/>
        </w:rPr>
        <w:t xml:space="preserve">Lindsay L. </w:t>
      </w:r>
      <w:proofErr w:type="spellStart"/>
      <w:r w:rsidRPr="00D21364">
        <w:rPr>
          <w:i/>
          <w:sz w:val="20"/>
          <w:lang w:val="fr-CA"/>
        </w:rPr>
        <w:t>Daviau</w:t>
      </w:r>
      <w:proofErr w:type="spellEnd"/>
      <w:r w:rsidRPr="00D21364">
        <w:rPr>
          <w:sz w:val="20"/>
          <w:lang w:val="fr-CA"/>
        </w:rPr>
        <w:t>, pour l’intervenante l’Association canadienne des libertés civiles.</w:t>
      </w:r>
    </w:p>
    <w:p w:rsidR="004C4064" w:rsidRDefault="004C4064" w:rsidP="004C4064">
      <w:pPr>
        <w:pStyle w:val="SCCNormalDoubleSpacing"/>
        <w:spacing w:line="240" w:lineRule="auto"/>
        <w:rPr>
          <w:i/>
          <w:sz w:val="20"/>
          <w:lang w:val="fr-CA"/>
        </w:rPr>
      </w:pPr>
    </w:p>
    <w:p w:rsidR="004C4064" w:rsidRPr="00D21364" w:rsidRDefault="004C4064" w:rsidP="004C4064">
      <w:pPr>
        <w:pStyle w:val="SCCNormalDoubleSpacing"/>
        <w:spacing w:line="240" w:lineRule="auto"/>
        <w:rPr>
          <w:sz w:val="20"/>
          <w:lang w:val="fr-CA"/>
        </w:rPr>
      </w:pPr>
      <w:r w:rsidRPr="00D21364">
        <w:rPr>
          <w:i/>
          <w:sz w:val="20"/>
          <w:lang w:val="fr-CA"/>
        </w:rPr>
        <w:tab/>
        <w:t xml:space="preserve">Kent </w:t>
      </w:r>
      <w:proofErr w:type="spellStart"/>
      <w:r w:rsidRPr="00D21364">
        <w:rPr>
          <w:i/>
          <w:sz w:val="20"/>
          <w:lang w:val="fr-CA"/>
        </w:rPr>
        <w:t>Roach</w:t>
      </w:r>
      <w:proofErr w:type="spellEnd"/>
      <w:r w:rsidRPr="00D21364">
        <w:rPr>
          <w:i/>
          <w:sz w:val="20"/>
          <w:lang w:val="fr-CA"/>
        </w:rPr>
        <w:t xml:space="preserve"> </w:t>
      </w:r>
      <w:r w:rsidRPr="00D21364">
        <w:rPr>
          <w:sz w:val="20"/>
          <w:lang w:val="fr-CA"/>
        </w:rPr>
        <w:t xml:space="preserve">et </w:t>
      </w:r>
      <w:r w:rsidRPr="00D21364">
        <w:rPr>
          <w:i/>
          <w:sz w:val="20"/>
          <w:lang w:val="fr-CA"/>
        </w:rPr>
        <w:t xml:space="preserve">Michael </w:t>
      </w:r>
      <w:proofErr w:type="spellStart"/>
      <w:r w:rsidRPr="00D21364">
        <w:rPr>
          <w:i/>
          <w:sz w:val="20"/>
          <w:lang w:val="fr-CA"/>
        </w:rPr>
        <w:t>Fenrick</w:t>
      </w:r>
      <w:proofErr w:type="spellEnd"/>
      <w:r w:rsidRPr="00D21364">
        <w:rPr>
          <w:sz w:val="20"/>
          <w:lang w:val="fr-CA"/>
        </w:rPr>
        <w:t xml:space="preserve">, pour l’intervenante l’Association des libertés civiles de la </w:t>
      </w:r>
      <w:proofErr w:type="spellStart"/>
      <w:r w:rsidRPr="00D21364">
        <w:rPr>
          <w:sz w:val="20"/>
          <w:lang w:val="fr-CA"/>
        </w:rPr>
        <w:t>Colombie</w:t>
      </w:r>
      <w:r w:rsidRPr="00D21364">
        <w:rPr>
          <w:sz w:val="20"/>
          <w:lang w:val="fr-CA"/>
        </w:rPr>
        <w:noBreakHyphen/>
        <w:t>Britannique</w:t>
      </w:r>
      <w:proofErr w:type="spellEnd"/>
      <w:r w:rsidRPr="00D21364">
        <w:rPr>
          <w:sz w:val="20"/>
          <w:lang w:val="fr-CA"/>
        </w:rPr>
        <w:t>.</w:t>
      </w:r>
    </w:p>
    <w:p w:rsidR="004C4064" w:rsidRDefault="004C4064" w:rsidP="004C4064">
      <w:pPr>
        <w:pStyle w:val="SCCLawFirm"/>
        <w:spacing w:line="240" w:lineRule="auto"/>
        <w:rPr>
          <w:sz w:val="20"/>
          <w:lang w:val="fr-CA"/>
        </w:rPr>
      </w:pPr>
    </w:p>
    <w:p w:rsidR="004C4064" w:rsidRPr="00D21364" w:rsidRDefault="004C4064" w:rsidP="004C4064">
      <w:pPr>
        <w:pStyle w:val="SCCLawFirm"/>
        <w:spacing w:line="240" w:lineRule="auto"/>
        <w:rPr>
          <w:sz w:val="20"/>
          <w:lang w:val="fr-CA"/>
        </w:rPr>
      </w:pPr>
      <w:r w:rsidRPr="00D21364">
        <w:rPr>
          <w:sz w:val="20"/>
          <w:lang w:val="fr-CA"/>
        </w:rPr>
        <w:tab/>
        <w:t>Procureurs de l’appelant : </w:t>
      </w:r>
      <w:proofErr w:type="spellStart"/>
      <w:r w:rsidRPr="00D21364">
        <w:rPr>
          <w:sz w:val="20"/>
          <w:lang w:val="fr-CA"/>
        </w:rPr>
        <w:t>Greenspon</w:t>
      </w:r>
      <w:proofErr w:type="spellEnd"/>
      <w:r w:rsidRPr="00D21364">
        <w:rPr>
          <w:sz w:val="20"/>
          <w:lang w:val="fr-CA"/>
        </w:rPr>
        <w:t>, Brown &amp; Associates, Ottawa.</w:t>
      </w:r>
    </w:p>
    <w:p w:rsidR="004C4064" w:rsidRDefault="004C4064" w:rsidP="004C4064">
      <w:pPr>
        <w:pStyle w:val="SCCLawFirm"/>
        <w:spacing w:line="240" w:lineRule="auto"/>
        <w:rPr>
          <w:sz w:val="20"/>
          <w:lang w:val="fr-CA"/>
        </w:rPr>
      </w:pPr>
    </w:p>
    <w:p w:rsidR="004C4064" w:rsidRPr="00D21364" w:rsidRDefault="004C4064" w:rsidP="004C4064">
      <w:pPr>
        <w:pStyle w:val="SCCLawFirm"/>
        <w:spacing w:line="240" w:lineRule="auto"/>
        <w:rPr>
          <w:sz w:val="20"/>
          <w:lang w:val="fr-CA"/>
        </w:rPr>
      </w:pPr>
      <w:r w:rsidRPr="00D21364">
        <w:rPr>
          <w:sz w:val="20"/>
          <w:lang w:val="fr-CA"/>
        </w:rPr>
        <w:tab/>
        <w:t>Procureur de l’intimée : Service des poursuites pénales du Canada, Toronto.</w:t>
      </w:r>
    </w:p>
    <w:p w:rsidR="004C4064" w:rsidRDefault="004C4064" w:rsidP="004C4064">
      <w:pPr>
        <w:pStyle w:val="SCCLawFirm"/>
        <w:spacing w:line="240" w:lineRule="auto"/>
        <w:rPr>
          <w:sz w:val="20"/>
          <w:lang w:val="fr-CA"/>
        </w:rPr>
      </w:pPr>
    </w:p>
    <w:p w:rsidR="004C4064" w:rsidRPr="00D21364" w:rsidRDefault="004C4064" w:rsidP="004C4064">
      <w:pPr>
        <w:pStyle w:val="SCCLawFirm"/>
        <w:spacing w:line="240" w:lineRule="auto"/>
        <w:rPr>
          <w:sz w:val="20"/>
          <w:lang w:val="fr-CA"/>
        </w:rPr>
      </w:pPr>
      <w:r w:rsidRPr="00D21364">
        <w:rPr>
          <w:sz w:val="20"/>
          <w:lang w:val="fr-CA"/>
        </w:rPr>
        <w:tab/>
        <w:t>Procureur de l’intervenant le procureur général de l’Ontario : Procureur général de l’Ontario, Toronto.</w:t>
      </w:r>
    </w:p>
    <w:p w:rsidR="004C4064" w:rsidRDefault="004C4064" w:rsidP="004C4064">
      <w:pPr>
        <w:pStyle w:val="SCCLawFirm"/>
        <w:spacing w:line="240" w:lineRule="auto"/>
        <w:rPr>
          <w:sz w:val="20"/>
          <w:lang w:val="fr-CA"/>
        </w:rPr>
      </w:pPr>
    </w:p>
    <w:p w:rsidR="004C4064" w:rsidRPr="00D21364" w:rsidRDefault="004C4064" w:rsidP="004C4064">
      <w:pPr>
        <w:pStyle w:val="SCCLawFirm"/>
        <w:spacing w:line="240" w:lineRule="auto"/>
        <w:rPr>
          <w:sz w:val="20"/>
          <w:lang w:val="fr-CA"/>
        </w:rPr>
      </w:pPr>
      <w:r w:rsidRPr="00D21364">
        <w:rPr>
          <w:sz w:val="20"/>
          <w:lang w:val="fr-CA"/>
        </w:rPr>
        <w:tab/>
        <w:t xml:space="preserve">Procureurs de l’intervenant le Groupe d’étude en droits et libertés de la Faculté de droit de l’Université Laval : Langlois </w:t>
      </w:r>
      <w:proofErr w:type="spellStart"/>
      <w:r w:rsidRPr="00D21364">
        <w:rPr>
          <w:sz w:val="20"/>
          <w:lang w:val="fr-CA"/>
        </w:rPr>
        <w:t>Kronström</w:t>
      </w:r>
      <w:proofErr w:type="spellEnd"/>
      <w:r w:rsidRPr="00D21364">
        <w:rPr>
          <w:sz w:val="20"/>
          <w:lang w:val="fr-CA"/>
        </w:rPr>
        <w:t xml:space="preserve"> Desjardins, Québec.</w:t>
      </w:r>
    </w:p>
    <w:p w:rsidR="004C4064" w:rsidRDefault="004C4064" w:rsidP="004C4064">
      <w:pPr>
        <w:pStyle w:val="SCCLawFirm"/>
        <w:spacing w:line="240" w:lineRule="auto"/>
        <w:rPr>
          <w:sz w:val="20"/>
          <w:lang w:val="fr-CA"/>
        </w:rPr>
      </w:pPr>
    </w:p>
    <w:p w:rsidR="004C4064" w:rsidRPr="00D21364" w:rsidRDefault="004C4064" w:rsidP="004C4064">
      <w:pPr>
        <w:pStyle w:val="SCCLawFirm"/>
        <w:spacing w:line="240" w:lineRule="auto"/>
        <w:rPr>
          <w:sz w:val="20"/>
          <w:lang w:val="fr-CA"/>
        </w:rPr>
      </w:pPr>
      <w:r w:rsidRPr="00D21364">
        <w:rPr>
          <w:sz w:val="20"/>
          <w:lang w:val="fr-CA"/>
        </w:rPr>
        <w:tab/>
        <w:t xml:space="preserve">Procureurs de l’intervenante l’Association canadienne des libertés civiles : Kapoor </w:t>
      </w:r>
      <w:proofErr w:type="spellStart"/>
      <w:r w:rsidRPr="00D21364">
        <w:rPr>
          <w:sz w:val="20"/>
          <w:lang w:val="fr-CA"/>
        </w:rPr>
        <w:t>Barristers</w:t>
      </w:r>
      <w:proofErr w:type="spellEnd"/>
      <w:r w:rsidRPr="00D21364">
        <w:rPr>
          <w:sz w:val="20"/>
          <w:lang w:val="fr-CA"/>
        </w:rPr>
        <w:t>, Toronto.</w:t>
      </w:r>
    </w:p>
    <w:p w:rsidR="004C4064" w:rsidRDefault="004C4064" w:rsidP="004C4064">
      <w:pPr>
        <w:pStyle w:val="SCCLawFirm"/>
        <w:spacing w:line="240" w:lineRule="auto"/>
        <w:rPr>
          <w:sz w:val="20"/>
          <w:lang w:val="fr-CA"/>
        </w:rPr>
      </w:pPr>
    </w:p>
    <w:p w:rsidR="004C4064" w:rsidRDefault="004C4064" w:rsidP="004C4064">
      <w:pPr>
        <w:pStyle w:val="SCCLawFirm"/>
        <w:spacing w:line="240" w:lineRule="auto"/>
        <w:rPr>
          <w:sz w:val="20"/>
          <w:lang w:val="fr-CA"/>
        </w:rPr>
      </w:pPr>
      <w:r w:rsidRPr="00D21364">
        <w:rPr>
          <w:sz w:val="20"/>
          <w:lang w:val="fr-CA"/>
        </w:rPr>
        <w:tab/>
        <w:t xml:space="preserve">Procureurs de l’intervenante l’Association des libertés civiles de la </w:t>
      </w:r>
      <w:proofErr w:type="spellStart"/>
      <w:r w:rsidRPr="00D21364">
        <w:rPr>
          <w:sz w:val="20"/>
          <w:lang w:val="fr-CA"/>
        </w:rPr>
        <w:t>Colombie</w:t>
      </w:r>
      <w:r w:rsidRPr="00D21364">
        <w:rPr>
          <w:sz w:val="20"/>
          <w:lang w:val="fr-CA"/>
        </w:rPr>
        <w:noBreakHyphen/>
        <w:t>Britannique</w:t>
      </w:r>
      <w:proofErr w:type="spellEnd"/>
      <w:r w:rsidRPr="00D21364">
        <w:rPr>
          <w:sz w:val="20"/>
          <w:lang w:val="fr-CA"/>
        </w:rPr>
        <w:t> : </w:t>
      </w:r>
      <w:proofErr w:type="spellStart"/>
      <w:r w:rsidRPr="00D21364">
        <w:rPr>
          <w:sz w:val="20"/>
          <w:lang w:val="fr-CA"/>
        </w:rPr>
        <w:t>Paliare</w:t>
      </w:r>
      <w:proofErr w:type="spellEnd"/>
      <w:r w:rsidRPr="00D21364">
        <w:rPr>
          <w:sz w:val="20"/>
          <w:lang w:val="fr-CA"/>
        </w:rPr>
        <w:t xml:space="preserve">, Roland, Rosenberg, </w:t>
      </w:r>
      <w:proofErr w:type="spellStart"/>
      <w:r w:rsidRPr="00D21364">
        <w:rPr>
          <w:sz w:val="20"/>
          <w:lang w:val="fr-CA"/>
        </w:rPr>
        <w:t>Rothstein</w:t>
      </w:r>
      <w:proofErr w:type="spellEnd"/>
      <w:r w:rsidRPr="00D21364">
        <w:rPr>
          <w:sz w:val="20"/>
          <w:lang w:val="fr-CA"/>
        </w:rPr>
        <w:t>, Toronto.</w:t>
      </w:r>
    </w:p>
    <w:p w:rsidR="00B95D9D" w:rsidRPr="004C4064" w:rsidRDefault="00B95D9D" w:rsidP="003B3977">
      <w:pPr>
        <w:rPr>
          <w:sz w:val="20"/>
          <w:szCs w:val="20"/>
          <w:lang w:val="fr-CA"/>
        </w:rPr>
      </w:pPr>
    </w:p>
    <w:p w:rsidR="00B95D9D" w:rsidRDefault="00D32E73" w:rsidP="003B3977">
      <w:pPr>
        <w:rPr>
          <w:rFonts w:cs="Times New Roman"/>
          <w:sz w:val="20"/>
          <w:szCs w:val="20"/>
          <w:lang w:val="fr-CA"/>
        </w:rPr>
      </w:pPr>
      <w:r w:rsidRPr="00D32E73">
        <w:rPr>
          <w:rFonts w:cs="Times New Roman"/>
          <w:sz w:val="20"/>
          <w:szCs w:val="20"/>
          <w:lang w:val="fr-CA"/>
        </w:rPr>
        <w:pict>
          <v:rect id="_x0000_i1078" style="width:144.3pt;height:1pt" o:hrpct="300" o:hralign="center" o:hrstd="t" o:hrnoshade="t" o:hr="t" fillcolor="black [3213]" stroked="f"/>
        </w:pict>
      </w:r>
    </w:p>
    <w:p w:rsidR="00B95D9D" w:rsidRDefault="00B95D9D" w:rsidP="003B3977">
      <w:pPr>
        <w:rPr>
          <w:sz w:val="20"/>
          <w:szCs w:val="20"/>
        </w:rPr>
      </w:pPr>
    </w:p>
    <w:p w:rsidR="00B95D9D" w:rsidRDefault="00B95D9D">
      <w:pPr>
        <w:rPr>
          <w:sz w:val="20"/>
          <w:szCs w:val="20"/>
        </w:rPr>
      </w:pPr>
      <w:r>
        <w:rPr>
          <w:sz w:val="20"/>
          <w:szCs w:val="20"/>
        </w:rPr>
        <w:br w:type="page"/>
      </w:r>
    </w:p>
    <w:p w:rsidR="008F6F48" w:rsidRDefault="008F6F48" w:rsidP="008F6F48">
      <w:pPr>
        <w:tabs>
          <w:tab w:val="left" w:pos="-1440"/>
        </w:tabs>
        <w:jc w:val="both"/>
        <w:rPr>
          <w:sz w:val="20"/>
          <w:szCs w:val="20"/>
          <w:lang w:val="en-GB"/>
        </w:rPr>
      </w:pPr>
      <w:r w:rsidRPr="00593C3F">
        <w:rPr>
          <w:i/>
          <w:sz w:val="20"/>
          <w:szCs w:val="20"/>
          <w:lang w:val="en-GB"/>
        </w:rPr>
        <w:lastRenderedPageBreak/>
        <w:t xml:space="preserve">Suresh </w:t>
      </w:r>
      <w:proofErr w:type="spellStart"/>
      <w:r w:rsidRPr="00593C3F">
        <w:rPr>
          <w:i/>
          <w:sz w:val="20"/>
          <w:szCs w:val="20"/>
          <w:lang w:val="en-GB"/>
        </w:rPr>
        <w:t>Sriskandarajah</w:t>
      </w:r>
      <w:proofErr w:type="spellEnd"/>
      <w:r w:rsidRPr="00593C3F">
        <w:rPr>
          <w:i/>
          <w:sz w:val="20"/>
          <w:szCs w:val="20"/>
          <w:lang w:val="en-GB"/>
        </w:rPr>
        <w:t xml:space="preserve"> v. United States of America et al. </w:t>
      </w:r>
      <w:r w:rsidRPr="00593C3F">
        <w:rPr>
          <w:sz w:val="20"/>
          <w:szCs w:val="20"/>
          <w:lang w:val="en-GB"/>
        </w:rPr>
        <w:t>(Ont.) (34009)</w:t>
      </w:r>
    </w:p>
    <w:p w:rsidR="008F6F48" w:rsidRPr="003B3977" w:rsidRDefault="008F6F48" w:rsidP="008F6F48">
      <w:pPr>
        <w:tabs>
          <w:tab w:val="left" w:pos="-1440"/>
        </w:tabs>
        <w:jc w:val="both"/>
        <w:rPr>
          <w:sz w:val="20"/>
          <w:szCs w:val="20"/>
          <w:lang w:val="en-GB"/>
        </w:rPr>
      </w:pPr>
      <w:proofErr w:type="spellStart"/>
      <w:r w:rsidRPr="0024679C">
        <w:rPr>
          <w:i/>
          <w:sz w:val="20"/>
          <w:szCs w:val="20"/>
          <w:lang w:val="en-GB"/>
        </w:rPr>
        <w:t>Piratheepan</w:t>
      </w:r>
      <w:proofErr w:type="spellEnd"/>
      <w:r w:rsidRPr="0024679C">
        <w:rPr>
          <w:i/>
          <w:sz w:val="20"/>
          <w:szCs w:val="20"/>
          <w:lang w:val="en-GB"/>
        </w:rPr>
        <w:t xml:space="preserve"> </w:t>
      </w:r>
      <w:proofErr w:type="spellStart"/>
      <w:r w:rsidRPr="0024679C">
        <w:rPr>
          <w:i/>
          <w:sz w:val="20"/>
          <w:szCs w:val="20"/>
          <w:lang w:val="en-GB"/>
        </w:rPr>
        <w:t>Nadarajah</w:t>
      </w:r>
      <w:proofErr w:type="spellEnd"/>
      <w:r w:rsidRPr="0024679C">
        <w:rPr>
          <w:i/>
          <w:sz w:val="20"/>
          <w:szCs w:val="20"/>
          <w:lang w:val="en-GB"/>
        </w:rPr>
        <w:t xml:space="preserve"> v. United States of America et al.</w:t>
      </w:r>
      <w:r w:rsidRPr="0024679C">
        <w:rPr>
          <w:sz w:val="20"/>
          <w:szCs w:val="20"/>
          <w:lang w:val="en-GB"/>
        </w:rPr>
        <w:t xml:space="preserve"> (Ont.) (34013)</w:t>
      </w:r>
    </w:p>
    <w:p w:rsidR="00742072" w:rsidRPr="00CE2C13" w:rsidRDefault="00742072" w:rsidP="00742072">
      <w:pPr>
        <w:jc w:val="both"/>
        <w:rPr>
          <w:b/>
          <w:sz w:val="20"/>
          <w:szCs w:val="20"/>
        </w:rPr>
      </w:pPr>
      <w:r w:rsidRPr="00CE2C13">
        <w:rPr>
          <w:b/>
          <w:sz w:val="20"/>
          <w:szCs w:val="20"/>
        </w:rPr>
        <w:t>Indexed as:  </w:t>
      </w:r>
      <w:proofErr w:type="spellStart"/>
      <w:r w:rsidRPr="00CE2C13">
        <w:rPr>
          <w:b/>
          <w:sz w:val="20"/>
          <w:szCs w:val="20"/>
        </w:rPr>
        <w:t>Sriskandarajah</w:t>
      </w:r>
      <w:proofErr w:type="spellEnd"/>
      <w:r w:rsidRPr="00CE2C13">
        <w:rPr>
          <w:b/>
          <w:sz w:val="20"/>
          <w:szCs w:val="20"/>
        </w:rPr>
        <w:t xml:space="preserve"> </w:t>
      </w:r>
      <w:r w:rsidRPr="00CE2C13">
        <w:rPr>
          <w:b/>
          <w:i/>
          <w:sz w:val="20"/>
          <w:szCs w:val="20"/>
        </w:rPr>
        <w:t>v.</w:t>
      </w:r>
      <w:r w:rsidRPr="00CE2C13">
        <w:rPr>
          <w:b/>
          <w:sz w:val="20"/>
          <w:szCs w:val="20"/>
        </w:rPr>
        <w:t xml:space="preserve"> United States of America</w:t>
      </w:r>
      <w:r>
        <w:rPr>
          <w:b/>
          <w:sz w:val="20"/>
          <w:szCs w:val="20"/>
        </w:rPr>
        <w:t xml:space="preserve"> / </w:t>
      </w:r>
    </w:p>
    <w:p w:rsidR="00742072" w:rsidRPr="00794F45" w:rsidRDefault="00742072" w:rsidP="00742072">
      <w:pPr>
        <w:jc w:val="both"/>
        <w:rPr>
          <w:b/>
          <w:sz w:val="20"/>
          <w:szCs w:val="20"/>
          <w:lang w:val="fr-CA"/>
        </w:rPr>
      </w:pPr>
      <w:r w:rsidRPr="00794F45">
        <w:rPr>
          <w:b/>
          <w:sz w:val="20"/>
          <w:szCs w:val="20"/>
          <w:lang w:val="fr-CA"/>
        </w:rPr>
        <w:t>Répertorié : </w:t>
      </w:r>
      <w:proofErr w:type="spellStart"/>
      <w:r w:rsidRPr="00794F45">
        <w:rPr>
          <w:b/>
          <w:sz w:val="20"/>
          <w:szCs w:val="20"/>
          <w:lang w:val="fr-CA"/>
        </w:rPr>
        <w:t>Sriskandarajah</w:t>
      </w:r>
      <w:proofErr w:type="spellEnd"/>
      <w:r w:rsidRPr="00794F45">
        <w:rPr>
          <w:b/>
          <w:sz w:val="20"/>
          <w:szCs w:val="20"/>
          <w:lang w:val="fr-CA"/>
        </w:rPr>
        <w:t xml:space="preserve"> </w:t>
      </w:r>
      <w:r w:rsidRPr="00794F45">
        <w:rPr>
          <w:b/>
          <w:i/>
          <w:sz w:val="20"/>
          <w:szCs w:val="20"/>
          <w:lang w:val="fr-CA"/>
        </w:rPr>
        <w:t>c.</w:t>
      </w:r>
      <w:r w:rsidRPr="00794F45">
        <w:rPr>
          <w:b/>
          <w:sz w:val="20"/>
          <w:szCs w:val="20"/>
          <w:lang w:val="fr-CA"/>
        </w:rPr>
        <w:t xml:space="preserve"> </w:t>
      </w:r>
      <w:proofErr w:type="spellStart"/>
      <w:r w:rsidRPr="00794F45">
        <w:rPr>
          <w:b/>
          <w:sz w:val="20"/>
          <w:szCs w:val="20"/>
          <w:lang w:val="fr-CA"/>
        </w:rPr>
        <w:t>États</w:t>
      </w:r>
      <w:r w:rsidRPr="00794F45">
        <w:rPr>
          <w:b/>
          <w:sz w:val="20"/>
          <w:szCs w:val="20"/>
          <w:lang w:val="fr-CA"/>
        </w:rPr>
        <w:noBreakHyphen/>
        <w:t>Unis</w:t>
      </w:r>
      <w:proofErr w:type="spellEnd"/>
      <w:r w:rsidRPr="00794F45">
        <w:rPr>
          <w:b/>
          <w:sz w:val="20"/>
          <w:szCs w:val="20"/>
          <w:lang w:val="fr-CA"/>
        </w:rPr>
        <w:t xml:space="preserve"> d’Amérique</w:t>
      </w:r>
    </w:p>
    <w:p w:rsidR="00B95D9D" w:rsidRPr="003576FF" w:rsidRDefault="00B95D9D" w:rsidP="00B95D9D">
      <w:pPr>
        <w:pStyle w:val="SCCSystemYear"/>
        <w:jc w:val="both"/>
        <w:rPr>
          <w:sz w:val="20"/>
        </w:rPr>
      </w:pPr>
      <w:proofErr w:type="spellStart"/>
      <w:r w:rsidRPr="003576FF">
        <w:rPr>
          <w:sz w:val="20"/>
        </w:rPr>
        <w:t>Neutral</w:t>
      </w:r>
      <w:proofErr w:type="spellEnd"/>
      <w:r w:rsidRPr="003576FF">
        <w:rPr>
          <w:sz w:val="20"/>
        </w:rPr>
        <w:t xml:space="preserve"> citation</w:t>
      </w:r>
      <w:proofErr w:type="gramStart"/>
      <w:r w:rsidRPr="003576FF">
        <w:rPr>
          <w:sz w:val="20"/>
        </w:rPr>
        <w:t>:  2012</w:t>
      </w:r>
      <w:proofErr w:type="gramEnd"/>
      <w:r w:rsidRPr="003576FF">
        <w:rPr>
          <w:sz w:val="20"/>
        </w:rPr>
        <w:t xml:space="preserve"> SCC </w:t>
      </w:r>
      <w:r w:rsidR="003576FF" w:rsidRPr="003576FF">
        <w:rPr>
          <w:sz w:val="20"/>
        </w:rPr>
        <w:t>70</w:t>
      </w:r>
      <w:r w:rsidRPr="003576FF">
        <w:rPr>
          <w:sz w:val="20"/>
        </w:rPr>
        <w:t xml:space="preserve"> / Référence neutre : 2012 CSC </w:t>
      </w:r>
      <w:r w:rsidR="003576FF" w:rsidRPr="003576FF">
        <w:rPr>
          <w:sz w:val="20"/>
        </w:rPr>
        <w:t>70</w:t>
      </w:r>
    </w:p>
    <w:p w:rsidR="00B95D9D" w:rsidRPr="00B95D9D" w:rsidRDefault="00B95D9D" w:rsidP="00B95D9D">
      <w:pPr>
        <w:rPr>
          <w:sz w:val="20"/>
          <w:szCs w:val="20"/>
        </w:rPr>
      </w:pPr>
      <w:r w:rsidRPr="00B95D9D">
        <w:rPr>
          <w:sz w:val="20"/>
          <w:szCs w:val="20"/>
        </w:rPr>
        <w:t>Hearing:  June 11, 2012 / Judgment:  December 14, 2012</w:t>
      </w:r>
    </w:p>
    <w:p w:rsidR="00B95D9D" w:rsidRPr="003B3977" w:rsidRDefault="00B95D9D" w:rsidP="00B95D9D">
      <w:pPr>
        <w:rPr>
          <w:sz w:val="20"/>
          <w:szCs w:val="20"/>
          <w:lang w:val="fr-CA"/>
        </w:rPr>
      </w:pPr>
      <w:r w:rsidRPr="003B3977">
        <w:rPr>
          <w:sz w:val="20"/>
          <w:szCs w:val="20"/>
          <w:lang w:val="fr-CA"/>
        </w:rPr>
        <w:t xml:space="preserve">Audition : Le </w:t>
      </w:r>
      <w:r>
        <w:rPr>
          <w:sz w:val="20"/>
          <w:szCs w:val="20"/>
          <w:lang w:val="fr-CA"/>
        </w:rPr>
        <w:t>1</w:t>
      </w:r>
      <w:r w:rsidRPr="003B3977">
        <w:rPr>
          <w:sz w:val="20"/>
          <w:szCs w:val="20"/>
          <w:lang w:val="fr-CA"/>
        </w:rPr>
        <w:t xml:space="preserve">1 </w:t>
      </w:r>
      <w:r>
        <w:rPr>
          <w:sz w:val="20"/>
          <w:szCs w:val="20"/>
          <w:lang w:val="fr-CA"/>
        </w:rPr>
        <w:t>ju</w:t>
      </w:r>
      <w:r w:rsidRPr="003B3977">
        <w:rPr>
          <w:sz w:val="20"/>
          <w:szCs w:val="20"/>
          <w:lang w:val="fr-CA"/>
        </w:rPr>
        <w:t>i</w:t>
      </w:r>
      <w:r>
        <w:rPr>
          <w:sz w:val="20"/>
          <w:szCs w:val="20"/>
          <w:lang w:val="fr-CA"/>
        </w:rPr>
        <w:t>n</w:t>
      </w:r>
      <w:r w:rsidRPr="003B3977">
        <w:rPr>
          <w:sz w:val="20"/>
          <w:szCs w:val="20"/>
          <w:lang w:val="fr-CA"/>
        </w:rPr>
        <w:t xml:space="preserve"> 201</w:t>
      </w:r>
      <w:r>
        <w:rPr>
          <w:sz w:val="20"/>
          <w:szCs w:val="20"/>
          <w:lang w:val="fr-CA"/>
        </w:rPr>
        <w:t>2</w:t>
      </w:r>
      <w:r w:rsidRPr="003B3977">
        <w:rPr>
          <w:sz w:val="20"/>
          <w:szCs w:val="20"/>
          <w:lang w:val="fr-CA"/>
        </w:rPr>
        <w:t xml:space="preserve"> / Jugement : Le </w:t>
      </w:r>
      <w:r>
        <w:rPr>
          <w:sz w:val="20"/>
          <w:szCs w:val="20"/>
          <w:lang w:val="fr-CA"/>
        </w:rPr>
        <w:t>14</w:t>
      </w:r>
      <w:r w:rsidRPr="003B3977">
        <w:rPr>
          <w:sz w:val="20"/>
          <w:szCs w:val="20"/>
          <w:lang w:val="fr-CA"/>
        </w:rPr>
        <w:t xml:space="preserve"> </w:t>
      </w:r>
      <w:r>
        <w:rPr>
          <w:sz w:val="20"/>
          <w:szCs w:val="20"/>
          <w:lang w:val="fr-CA"/>
        </w:rPr>
        <w:t>décem</w:t>
      </w:r>
      <w:r w:rsidRPr="003B3977">
        <w:rPr>
          <w:sz w:val="20"/>
          <w:szCs w:val="20"/>
          <w:lang w:val="fr-CA"/>
        </w:rPr>
        <w:t>bre 201</w:t>
      </w:r>
      <w:r>
        <w:rPr>
          <w:sz w:val="20"/>
          <w:szCs w:val="20"/>
          <w:lang w:val="fr-CA"/>
        </w:rPr>
        <w:t>2</w:t>
      </w:r>
    </w:p>
    <w:p w:rsidR="00B95D9D" w:rsidRPr="003B3977" w:rsidRDefault="00D32E73" w:rsidP="00B95D9D">
      <w:pPr>
        <w:rPr>
          <w:sz w:val="20"/>
          <w:szCs w:val="20"/>
          <w:lang w:val="fr-CA"/>
        </w:rPr>
      </w:pPr>
      <w:r w:rsidRPr="00D32E73">
        <w:rPr>
          <w:i/>
          <w:sz w:val="20"/>
          <w:szCs w:val="20"/>
        </w:rPr>
        <w:pict>
          <v:rect id="_x0000_i1079" style="width:480.95pt;height:1pt" o:hralign="center" o:hrstd="t" o:hrnoshade="t" o:hr="t" fillcolor="black [3213]" stroked="f"/>
        </w:pict>
      </w:r>
    </w:p>
    <w:p w:rsidR="00B95D9D" w:rsidRPr="003B3977" w:rsidRDefault="00B95D9D" w:rsidP="00B95D9D">
      <w:pPr>
        <w:spacing w:line="0" w:lineRule="atLeast"/>
        <w:rPr>
          <w:sz w:val="20"/>
          <w:szCs w:val="20"/>
          <w:lang w:val="fr-CA"/>
        </w:rPr>
      </w:pPr>
    </w:p>
    <w:p w:rsidR="00742072" w:rsidRPr="00CE2C13" w:rsidRDefault="00742072" w:rsidP="00742072">
      <w:pPr>
        <w:jc w:val="both"/>
        <w:rPr>
          <w:sz w:val="20"/>
          <w:szCs w:val="20"/>
        </w:rPr>
      </w:pPr>
      <w:r w:rsidRPr="00CE2C13">
        <w:rPr>
          <w:sz w:val="20"/>
          <w:szCs w:val="20"/>
        </w:rPr>
        <w:t xml:space="preserve">Present:  </w:t>
      </w:r>
      <w:proofErr w:type="spellStart"/>
      <w:r w:rsidRPr="00CE2C13">
        <w:rPr>
          <w:sz w:val="20"/>
          <w:szCs w:val="20"/>
        </w:rPr>
        <w:t>McLachlin</w:t>
      </w:r>
      <w:proofErr w:type="spellEnd"/>
      <w:r w:rsidRPr="00CE2C13">
        <w:rPr>
          <w:sz w:val="20"/>
          <w:szCs w:val="20"/>
        </w:rPr>
        <w:t xml:space="preserve"> C.J. and </w:t>
      </w:r>
      <w:proofErr w:type="spellStart"/>
      <w:r w:rsidRPr="00CE2C13">
        <w:rPr>
          <w:sz w:val="20"/>
          <w:szCs w:val="20"/>
        </w:rPr>
        <w:t>LeBel</w:t>
      </w:r>
      <w:proofErr w:type="spellEnd"/>
      <w:r w:rsidRPr="00CE2C13">
        <w:rPr>
          <w:sz w:val="20"/>
          <w:szCs w:val="20"/>
        </w:rPr>
        <w:t xml:space="preserve">, Fish, </w:t>
      </w:r>
      <w:proofErr w:type="spellStart"/>
      <w:r w:rsidRPr="00CE2C13">
        <w:rPr>
          <w:sz w:val="20"/>
          <w:szCs w:val="20"/>
        </w:rPr>
        <w:t>Abella</w:t>
      </w:r>
      <w:proofErr w:type="spellEnd"/>
      <w:r w:rsidRPr="00CE2C13">
        <w:rPr>
          <w:sz w:val="20"/>
          <w:szCs w:val="20"/>
        </w:rPr>
        <w:t xml:space="preserve">, Rothstein, Cromwell and </w:t>
      </w:r>
      <w:proofErr w:type="spellStart"/>
      <w:r w:rsidRPr="00CE2C13">
        <w:rPr>
          <w:sz w:val="20"/>
          <w:szCs w:val="20"/>
        </w:rPr>
        <w:t>Karakatsanis</w:t>
      </w:r>
      <w:proofErr w:type="spellEnd"/>
      <w:r w:rsidRPr="00CE2C13">
        <w:rPr>
          <w:sz w:val="20"/>
          <w:szCs w:val="20"/>
        </w:rPr>
        <w:t> JJ.</w:t>
      </w:r>
    </w:p>
    <w:p w:rsidR="00742072" w:rsidRDefault="00742072" w:rsidP="00742072">
      <w:pPr>
        <w:pStyle w:val="SCCLowerCourtNameLowercase"/>
        <w:spacing w:line="240" w:lineRule="auto"/>
        <w:rPr>
          <w:sz w:val="20"/>
        </w:rPr>
      </w:pPr>
    </w:p>
    <w:p w:rsidR="00742072" w:rsidRPr="00CE2C13" w:rsidRDefault="00742072" w:rsidP="00742072">
      <w:pPr>
        <w:pStyle w:val="SCCNormalDoubleSpacing"/>
        <w:spacing w:line="240" w:lineRule="auto"/>
        <w:rPr>
          <w:i/>
          <w:sz w:val="20"/>
        </w:rPr>
      </w:pPr>
      <w:r w:rsidRPr="00CE2C13">
        <w:rPr>
          <w:i/>
          <w:sz w:val="20"/>
        </w:rPr>
        <w:tab/>
        <w:t>Constitutional law — Charter of Rights — Mobility rights — Extradition — Minister ordering surrender of Canadian citizens to U.S. authorities to be tried there on terrorism charges — Whether extradition violates right to remain in Canada even when foreign state’s claim of jurisdiction is weak or when prosecution in Canada is feasible — Whether surrender decisions unreasonable on the evidence — Canadian Charter of Rights and Freedoms, s. 6(1); Extradition Act, S.C. 1999, c. 18.</w:t>
      </w:r>
    </w:p>
    <w:p w:rsidR="00742072" w:rsidRDefault="00742072" w:rsidP="00742072">
      <w:pPr>
        <w:pStyle w:val="SCCNormalDoubleSpacing"/>
        <w:spacing w:line="240" w:lineRule="auto"/>
        <w:rPr>
          <w:i/>
          <w:sz w:val="20"/>
        </w:rPr>
      </w:pPr>
    </w:p>
    <w:p w:rsidR="00742072" w:rsidRPr="00CE2C13" w:rsidRDefault="00742072" w:rsidP="00742072">
      <w:pPr>
        <w:pStyle w:val="SCCNormalDoubleSpacing"/>
        <w:spacing w:line="240" w:lineRule="auto"/>
        <w:rPr>
          <w:i/>
          <w:sz w:val="20"/>
        </w:rPr>
      </w:pPr>
      <w:r w:rsidRPr="00CE2C13">
        <w:rPr>
          <w:i/>
          <w:sz w:val="20"/>
        </w:rPr>
        <w:tab/>
        <w:t>Administrative law — Natural justice — Procedural fairness — Minister providing all materials considered in making decisions to surrender, except legal advice — Whether procedural fairness required minister to obtain and disclose Canadian prosecutorial authority’s assessment of whether to prosecute in Canada.</w:t>
      </w:r>
    </w:p>
    <w:p w:rsidR="00742072" w:rsidRDefault="00742072" w:rsidP="00742072">
      <w:pPr>
        <w:pStyle w:val="SCCNormalDoubleSpacing"/>
        <w:spacing w:line="240" w:lineRule="auto"/>
        <w:rPr>
          <w:sz w:val="20"/>
        </w:rPr>
      </w:pPr>
    </w:p>
    <w:p w:rsidR="00742072" w:rsidRPr="00CE2C13" w:rsidRDefault="00742072" w:rsidP="00742072">
      <w:pPr>
        <w:pStyle w:val="SCCNormalDoubleSpacing"/>
        <w:spacing w:line="240" w:lineRule="auto"/>
        <w:rPr>
          <w:sz w:val="20"/>
        </w:rPr>
      </w:pPr>
      <w:r w:rsidRPr="00CE2C13">
        <w:rPr>
          <w:sz w:val="20"/>
        </w:rPr>
        <w:tab/>
        <w:t xml:space="preserve">After the Ontario Superior Court of Justice found that there was sufficient evidence to commit S and N, who are Canadian citizens, for extradition to the United States </w:t>
      </w:r>
      <w:r w:rsidRPr="00CE2C13">
        <w:rPr>
          <w:sz w:val="20"/>
          <w:lang w:val="en-US"/>
        </w:rPr>
        <w:t>to be tried there on charges related to their alleged support of a terrorist organization</w:t>
      </w:r>
      <w:r w:rsidRPr="00CE2C13">
        <w:rPr>
          <w:sz w:val="20"/>
        </w:rPr>
        <w:t xml:space="preserve">, </w:t>
      </w:r>
      <w:r w:rsidRPr="00CE2C13">
        <w:rPr>
          <w:sz w:val="20"/>
          <w:lang w:val="en-US"/>
        </w:rPr>
        <w:t>the Minister of Justice ordered their surrender.  Those decisions were subsequently upheld on appeal.</w:t>
      </w:r>
    </w:p>
    <w:p w:rsidR="00742072" w:rsidRDefault="00742072" w:rsidP="00742072">
      <w:pPr>
        <w:pStyle w:val="SCCNormalDoubleSpacing"/>
        <w:keepNext/>
        <w:spacing w:line="240" w:lineRule="auto"/>
        <w:rPr>
          <w:sz w:val="20"/>
        </w:rPr>
      </w:pPr>
    </w:p>
    <w:p w:rsidR="00742072" w:rsidRPr="00CE2C13" w:rsidRDefault="00742072" w:rsidP="00742072">
      <w:pPr>
        <w:pStyle w:val="SCCNormalDoubleSpacing"/>
        <w:keepNext/>
        <w:spacing w:line="240" w:lineRule="auto"/>
        <w:rPr>
          <w:sz w:val="20"/>
        </w:rPr>
      </w:pPr>
      <w:r w:rsidRPr="00CE2C13">
        <w:rPr>
          <w:sz w:val="20"/>
        </w:rPr>
        <w:tab/>
      </w:r>
      <w:r w:rsidRPr="00CE2C13">
        <w:rPr>
          <w:i/>
          <w:sz w:val="20"/>
        </w:rPr>
        <w:t>Held:</w:t>
      </w:r>
      <w:r w:rsidRPr="00CE2C13">
        <w:rPr>
          <w:sz w:val="20"/>
        </w:rPr>
        <w:t xml:space="preserve">  The appeals should be dismissed.</w:t>
      </w:r>
    </w:p>
    <w:p w:rsidR="00742072" w:rsidRDefault="00742072" w:rsidP="00742072">
      <w:pPr>
        <w:pStyle w:val="SCCNormalDoubleSpacing"/>
        <w:spacing w:line="240" w:lineRule="auto"/>
        <w:rPr>
          <w:sz w:val="20"/>
        </w:rPr>
      </w:pPr>
    </w:p>
    <w:p w:rsidR="00742072" w:rsidRPr="00CE2C13" w:rsidRDefault="00742072" w:rsidP="00742072">
      <w:pPr>
        <w:pStyle w:val="SCCNormalDoubleSpacing"/>
        <w:spacing w:line="240" w:lineRule="auto"/>
        <w:rPr>
          <w:sz w:val="20"/>
        </w:rPr>
      </w:pPr>
      <w:r w:rsidRPr="00CE2C13">
        <w:rPr>
          <w:sz w:val="20"/>
        </w:rPr>
        <w:tab/>
        <w:t xml:space="preserve">Extradition does not violate the right of citizens to remain in Canada under s. 6(1) of the </w:t>
      </w:r>
      <w:r w:rsidRPr="00CE2C13">
        <w:rPr>
          <w:i/>
          <w:sz w:val="20"/>
        </w:rPr>
        <w:t>Charter</w:t>
      </w:r>
      <w:r w:rsidRPr="00CE2C13">
        <w:rPr>
          <w:sz w:val="20"/>
        </w:rPr>
        <w:t xml:space="preserve">, even when the foreign state’s claim of jurisdiction is weak or when prosecution in Canada is feasible.  To hold otherwise would amount to overruling </w:t>
      </w:r>
      <w:r w:rsidRPr="00CE2C13">
        <w:rPr>
          <w:i/>
          <w:sz w:val="20"/>
        </w:rPr>
        <w:t xml:space="preserve">United States of America v. </w:t>
      </w:r>
      <w:proofErr w:type="spellStart"/>
      <w:r w:rsidRPr="00CE2C13">
        <w:rPr>
          <w:i/>
          <w:sz w:val="20"/>
        </w:rPr>
        <w:t>Cotroni</w:t>
      </w:r>
      <w:proofErr w:type="spellEnd"/>
      <w:r w:rsidRPr="00CE2C13">
        <w:rPr>
          <w:sz w:val="20"/>
        </w:rPr>
        <w:t xml:space="preserve">, [1989] 1 S.C.R. 1469, </w:t>
      </w:r>
      <w:r w:rsidRPr="00CE2C13">
        <w:rPr>
          <w:i/>
          <w:sz w:val="20"/>
        </w:rPr>
        <w:t>United States of America v. Kwok</w:t>
      </w:r>
      <w:r w:rsidRPr="00CE2C13">
        <w:rPr>
          <w:sz w:val="20"/>
        </w:rPr>
        <w:t xml:space="preserve">, 2001 SCC 18, [2001] 1 S.C.R. 532, and </w:t>
      </w:r>
      <w:r w:rsidRPr="00CE2C13">
        <w:rPr>
          <w:i/>
          <w:sz w:val="20"/>
        </w:rPr>
        <w:t>Lake v. Canada (Minister of Justice)</w:t>
      </w:r>
      <w:r w:rsidRPr="00CE2C13">
        <w:rPr>
          <w:sz w:val="20"/>
        </w:rPr>
        <w:t xml:space="preserve">, 2008 SCC 23, [2008] 1 S.C.R. 761.  No compelling reasons have been shown to depart from the principles set out in those cases.  Extradition does not violate the core values of s. 6(1). Rather, it fulfills the needs of an effective criminal justice system.  The decision to extradite is a complex matter, involving numerous factual, geopolitical, diplomatic and financial considerations.  The Minister of Justice has superior expertise in this regard, and his discretion is not conclusively bound by any of the </w:t>
      </w:r>
      <w:proofErr w:type="spellStart"/>
      <w:r w:rsidRPr="00CE2C13">
        <w:rPr>
          <w:i/>
          <w:sz w:val="20"/>
        </w:rPr>
        <w:t>Cotroni</w:t>
      </w:r>
      <w:proofErr w:type="spellEnd"/>
      <w:r w:rsidRPr="00CE2C13">
        <w:rPr>
          <w:sz w:val="20"/>
        </w:rPr>
        <w:t xml:space="preserve"> factors.  The ability of Canada to prosecute the offences remains but one factor in the inquiry; nor is the strength of the foreign jurisdiction’s claim to prosecute always determinative. </w:t>
      </w:r>
    </w:p>
    <w:p w:rsidR="00742072" w:rsidRDefault="00742072" w:rsidP="00742072">
      <w:pPr>
        <w:pStyle w:val="SCCNormalDoubleSpacing"/>
        <w:spacing w:line="240" w:lineRule="auto"/>
        <w:rPr>
          <w:sz w:val="20"/>
        </w:rPr>
      </w:pPr>
    </w:p>
    <w:p w:rsidR="00742072" w:rsidRPr="00CE2C13" w:rsidRDefault="00742072" w:rsidP="00742072">
      <w:pPr>
        <w:pStyle w:val="SCCNormalDoubleSpacing"/>
        <w:spacing w:line="240" w:lineRule="auto"/>
        <w:rPr>
          <w:rStyle w:val="reportcitation"/>
          <w:sz w:val="20"/>
        </w:rPr>
      </w:pPr>
      <w:r w:rsidRPr="00CE2C13">
        <w:rPr>
          <w:sz w:val="20"/>
        </w:rPr>
        <w:tab/>
        <w:t xml:space="preserve">Here, the record shows that the Minister properly considered and weighed the factors relevant to the situations of S and N. </w:t>
      </w:r>
      <w:r w:rsidRPr="00CE2C13">
        <w:rPr>
          <w:rStyle w:val="reportcitation"/>
          <w:sz w:val="20"/>
        </w:rPr>
        <w:t xml:space="preserve"> The Minister did not ascribe determinative weight to the fact that charges were not laid against them in Canada, and he conducted an independent </w:t>
      </w:r>
      <w:proofErr w:type="spellStart"/>
      <w:r w:rsidRPr="00CE2C13">
        <w:rPr>
          <w:rStyle w:val="reportcitation"/>
          <w:i/>
          <w:sz w:val="20"/>
        </w:rPr>
        <w:t>Cotroni</w:t>
      </w:r>
      <w:proofErr w:type="spellEnd"/>
      <w:r w:rsidRPr="00CE2C13">
        <w:rPr>
          <w:rStyle w:val="reportcitation"/>
          <w:sz w:val="20"/>
        </w:rPr>
        <w:t xml:space="preserve"> assessment.  His conclusion that there were sufficient links to the U.S. to justify extradition flowed from this independent assessment and has not been shown to be unreasonable on the evidence.</w:t>
      </w:r>
    </w:p>
    <w:p w:rsidR="00742072" w:rsidRDefault="00742072" w:rsidP="00742072">
      <w:pPr>
        <w:pStyle w:val="SCCNormalDoubleSpacing"/>
        <w:spacing w:line="240" w:lineRule="auto"/>
        <w:rPr>
          <w:sz w:val="20"/>
        </w:rPr>
      </w:pPr>
    </w:p>
    <w:p w:rsidR="00742072" w:rsidRPr="00CE2C13" w:rsidRDefault="00742072" w:rsidP="00742072">
      <w:pPr>
        <w:pStyle w:val="SCCNormalDoubleSpacing"/>
        <w:spacing w:line="240" w:lineRule="auto"/>
        <w:rPr>
          <w:sz w:val="20"/>
        </w:rPr>
      </w:pPr>
      <w:r w:rsidRPr="00CE2C13">
        <w:rPr>
          <w:sz w:val="20"/>
        </w:rPr>
        <w:tab/>
        <w:t xml:space="preserve">The claim of procedural unfairness has not been established.  S and N’s request for disclosure of the assessment of the Public Prosecution Service of Canada on whether to prosecute them in Canada is a thinly disguised attempt to impugn the state’s legitimate exercise of prosecutorial authority.  Procedural fairness does not require the Minister to obtain and disclose every document that may be indirectly connected to the process that ultimately led him to decide to extradite. </w:t>
      </w:r>
    </w:p>
    <w:p w:rsidR="00742072" w:rsidRDefault="00742072" w:rsidP="00742072">
      <w:pPr>
        <w:pStyle w:val="SCCNormalDoubleSpacing"/>
        <w:spacing w:line="240" w:lineRule="auto"/>
        <w:rPr>
          <w:sz w:val="20"/>
        </w:rPr>
      </w:pPr>
    </w:p>
    <w:p w:rsidR="00742072" w:rsidRDefault="00742072" w:rsidP="00742072">
      <w:pPr>
        <w:pStyle w:val="SCCNormalDoubleSpacing"/>
        <w:spacing w:line="240" w:lineRule="auto"/>
        <w:rPr>
          <w:sz w:val="20"/>
        </w:rPr>
      </w:pPr>
      <w:r w:rsidRPr="00CE2C13">
        <w:rPr>
          <w:sz w:val="20"/>
        </w:rPr>
        <w:tab/>
        <w:t xml:space="preserve">S and N’s challenge to the constitutionality of the Canadian terrorism provisions corresponding to the alleged conduct for which they are sought in the U.S. is considered (and dismissed) in the companion case, </w:t>
      </w:r>
      <w:r w:rsidRPr="00CE2C13">
        <w:rPr>
          <w:i/>
          <w:sz w:val="20"/>
        </w:rPr>
        <w:t xml:space="preserve">R. v. </w:t>
      </w:r>
      <w:proofErr w:type="spellStart"/>
      <w:r w:rsidRPr="00CE2C13">
        <w:rPr>
          <w:i/>
          <w:sz w:val="20"/>
        </w:rPr>
        <w:t>Khawaja</w:t>
      </w:r>
      <w:proofErr w:type="spellEnd"/>
      <w:r w:rsidRPr="00CE2C13">
        <w:rPr>
          <w:sz w:val="20"/>
        </w:rPr>
        <w:t>, 2012 SCC 69.</w:t>
      </w:r>
    </w:p>
    <w:p w:rsidR="00742072" w:rsidRDefault="00742072" w:rsidP="00742072">
      <w:pPr>
        <w:pStyle w:val="SCCNormalDoubleSpacing"/>
        <w:spacing w:line="240" w:lineRule="auto"/>
        <w:rPr>
          <w:sz w:val="20"/>
        </w:rPr>
      </w:pPr>
    </w:p>
    <w:p w:rsidR="00742072" w:rsidRPr="00CE2C13" w:rsidRDefault="00742072" w:rsidP="00742072">
      <w:pPr>
        <w:pStyle w:val="SCCNormalDoubleSpacing"/>
        <w:spacing w:line="240" w:lineRule="auto"/>
        <w:rPr>
          <w:sz w:val="20"/>
        </w:rPr>
      </w:pPr>
      <w:r w:rsidRPr="00CE2C13">
        <w:rPr>
          <w:sz w:val="20"/>
        </w:rPr>
        <w:lastRenderedPageBreak/>
        <w:tab/>
        <w:t>APPEAL from a judgment of the Ontario Court of Appeal (</w:t>
      </w:r>
      <w:r w:rsidR="00D32E73" w:rsidRPr="00CE2C13">
        <w:rPr>
          <w:sz w:val="20"/>
        </w:rPr>
        <w:fldChar w:fldCharType="begin"/>
      </w:r>
      <w:r w:rsidRPr="00CE2C13">
        <w:rPr>
          <w:sz w:val="20"/>
        </w:rPr>
        <w:instrText xml:space="preserve"> SEQ CHAPTER \h \r 1</w:instrText>
      </w:r>
      <w:r w:rsidR="00D32E73" w:rsidRPr="00CE2C13">
        <w:rPr>
          <w:sz w:val="20"/>
        </w:rPr>
        <w:fldChar w:fldCharType="end"/>
      </w:r>
      <w:r w:rsidRPr="00CE2C13">
        <w:rPr>
          <w:sz w:val="20"/>
        </w:rPr>
        <w:t xml:space="preserve">Doherty, </w:t>
      </w:r>
      <w:proofErr w:type="spellStart"/>
      <w:r w:rsidRPr="00CE2C13">
        <w:rPr>
          <w:sz w:val="20"/>
        </w:rPr>
        <w:t>Moldaver</w:t>
      </w:r>
      <w:proofErr w:type="spellEnd"/>
      <w:r w:rsidRPr="00CE2C13">
        <w:rPr>
          <w:sz w:val="20"/>
        </w:rPr>
        <w:t xml:space="preserve"> and </w:t>
      </w:r>
      <w:proofErr w:type="spellStart"/>
      <w:r w:rsidRPr="00CE2C13">
        <w:rPr>
          <w:sz w:val="20"/>
        </w:rPr>
        <w:t>Cronk</w:t>
      </w:r>
      <w:proofErr w:type="spellEnd"/>
      <w:r w:rsidRPr="00CE2C13">
        <w:rPr>
          <w:sz w:val="20"/>
        </w:rPr>
        <w:t xml:space="preserve"> JJ.A.), </w:t>
      </w:r>
      <w:r w:rsidR="00D32E73" w:rsidRPr="00CE2C13">
        <w:rPr>
          <w:sz w:val="20"/>
        </w:rPr>
        <w:fldChar w:fldCharType="begin"/>
      </w:r>
      <w:r w:rsidRPr="00CE2C13">
        <w:rPr>
          <w:sz w:val="20"/>
        </w:rPr>
        <w:instrText xml:space="preserve"> SEQ CHAPTER \h \r 1</w:instrText>
      </w:r>
      <w:r w:rsidR="00D32E73" w:rsidRPr="00CE2C13">
        <w:rPr>
          <w:sz w:val="20"/>
        </w:rPr>
        <w:fldChar w:fldCharType="end"/>
      </w:r>
      <w:r w:rsidRPr="00CE2C13">
        <w:rPr>
          <w:sz w:val="20"/>
        </w:rPr>
        <w:t xml:space="preserve">2010 ONCA 859, 109 O.R. (3d) 662, 278 O.A.C. 1, 266 C.C.C. (3d) 447, 81 C.R. (6th) 285, [2010] O.J. No. 5473 (QL), 2010 </w:t>
      </w:r>
      <w:proofErr w:type="spellStart"/>
      <w:r w:rsidRPr="00CE2C13">
        <w:rPr>
          <w:sz w:val="20"/>
        </w:rPr>
        <w:t>CarswellOnt</w:t>
      </w:r>
      <w:proofErr w:type="spellEnd"/>
      <w:r w:rsidRPr="00CE2C13">
        <w:rPr>
          <w:sz w:val="20"/>
        </w:rPr>
        <w:t xml:space="preserve"> 9667, affirming a committal order of </w:t>
      </w:r>
      <w:r w:rsidR="00D32E73" w:rsidRPr="00CE2C13">
        <w:rPr>
          <w:sz w:val="20"/>
        </w:rPr>
        <w:fldChar w:fldCharType="begin"/>
      </w:r>
      <w:r w:rsidRPr="00CE2C13">
        <w:rPr>
          <w:sz w:val="20"/>
        </w:rPr>
        <w:instrText xml:space="preserve"> SEQ CHAPTER \h \r 1</w:instrText>
      </w:r>
      <w:r w:rsidR="00D32E73" w:rsidRPr="00CE2C13">
        <w:rPr>
          <w:sz w:val="20"/>
        </w:rPr>
        <w:fldChar w:fldCharType="end"/>
      </w:r>
      <w:proofErr w:type="spellStart"/>
      <w:r w:rsidRPr="00CE2C13">
        <w:rPr>
          <w:sz w:val="20"/>
        </w:rPr>
        <w:t>Pattillo</w:t>
      </w:r>
      <w:proofErr w:type="spellEnd"/>
      <w:r w:rsidRPr="00CE2C13">
        <w:rPr>
          <w:sz w:val="20"/>
        </w:rPr>
        <w:t xml:space="preserve"> J., 2009 </w:t>
      </w:r>
      <w:proofErr w:type="spellStart"/>
      <w:r w:rsidRPr="00CE2C13">
        <w:rPr>
          <w:sz w:val="20"/>
        </w:rPr>
        <w:t>CanLII</w:t>
      </w:r>
      <w:proofErr w:type="spellEnd"/>
      <w:r w:rsidRPr="00CE2C13">
        <w:rPr>
          <w:sz w:val="20"/>
        </w:rPr>
        <w:t xml:space="preserve"> 9482, </w:t>
      </w:r>
      <w:r w:rsidR="00D32E73" w:rsidRPr="00CE2C13">
        <w:rPr>
          <w:sz w:val="20"/>
        </w:rPr>
        <w:fldChar w:fldCharType="begin"/>
      </w:r>
      <w:r w:rsidRPr="00CE2C13">
        <w:rPr>
          <w:sz w:val="20"/>
        </w:rPr>
        <w:instrText xml:space="preserve"> SEQ CHAPTER \h \r 1</w:instrText>
      </w:r>
      <w:r w:rsidR="00D32E73" w:rsidRPr="00CE2C13">
        <w:rPr>
          <w:sz w:val="20"/>
        </w:rPr>
        <w:fldChar w:fldCharType="end"/>
      </w:r>
      <w:r w:rsidRPr="00CE2C13">
        <w:rPr>
          <w:sz w:val="20"/>
        </w:rPr>
        <w:t xml:space="preserve">95 O.R. (3d) 514, 243 C.C.C. (3d) 281, [2009] O.J. No. 946 (QL), 2009 </w:t>
      </w:r>
      <w:proofErr w:type="spellStart"/>
      <w:r w:rsidRPr="00CE2C13">
        <w:rPr>
          <w:sz w:val="20"/>
        </w:rPr>
        <w:t>CarswellOnt</w:t>
      </w:r>
      <w:proofErr w:type="spellEnd"/>
      <w:r w:rsidRPr="00CE2C13">
        <w:rPr>
          <w:sz w:val="20"/>
        </w:rPr>
        <w:t xml:space="preserve"> 1524, and a decision of the Minister of Justice dated November 17, 2009, ordering the surrender of the appellant to the United States of America.  Appeal dismissed.</w:t>
      </w:r>
    </w:p>
    <w:p w:rsidR="00742072" w:rsidRDefault="00742072" w:rsidP="00742072">
      <w:pPr>
        <w:pStyle w:val="SCCNormalDoubleSpacing"/>
        <w:spacing w:line="240" w:lineRule="auto"/>
        <w:rPr>
          <w:sz w:val="20"/>
        </w:rPr>
      </w:pPr>
    </w:p>
    <w:p w:rsidR="00742072" w:rsidRPr="00CE2C13" w:rsidRDefault="00742072" w:rsidP="00742072">
      <w:pPr>
        <w:pStyle w:val="SCCNormalDoubleSpacing"/>
        <w:spacing w:line="240" w:lineRule="auto"/>
        <w:rPr>
          <w:sz w:val="20"/>
        </w:rPr>
      </w:pPr>
      <w:r w:rsidRPr="00CE2C13">
        <w:rPr>
          <w:sz w:val="20"/>
        </w:rPr>
        <w:tab/>
        <w:t>APPEAL from a judgment of the Ontario Court of Appeal (</w:t>
      </w:r>
      <w:r w:rsidR="00D32E73" w:rsidRPr="00CE2C13">
        <w:rPr>
          <w:sz w:val="20"/>
        </w:rPr>
        <w:fldChar w:fldCharType="begin"/>
      </w:r>
      <w:r w:rsidRPr="00CE2C13">
        <w:rPr>
          <w:sz w:val="20"/>
        </w:rPr>
        <w:instrText xml:space="preserve"> SEQ CHAPTER \h \r 1</w:instrText>
      </w:r>
      <w:r w:rsidR="00D32E73" w:rsidRPr="00CE2C13">
        <w:rPr>
          <w:sz w:val="20"/>
        </w:rPr>
        <w:fldChar w:fldCharType="end"/>
      </w:r>
      <w:r w:rsidRPr="00CE2C13">
        <w:rPr>
          <w:sz w:val="20"/>
        </w:rPr>
        <w:t xml:space="preserve">Doherty, </w:t>
      </w:r>
      <w:proofErr w:type="spellStart"/>
      <w:r w:rsidRPr="00CE2C13">
        <w:rPr>
          <w:sz w:val="20"/>
        </w:rPr>
        <w:t>Moldaver</w:t>
      </w:r>
      <w:proofErr w:type="spellEnd"/>
      <w:r w:rsidRPr="00CE2C13">
        <w:rPr>
          <w:sz w:val="20"/>
        </w:rPr>
        <w:t xml:space="preserve"> and </w:t>
      </w:r>
      <w:proofErr w:type="spellStart"/>
      <w:r w:rsidRPr="00CE2C13">
        <w:rPr>
          <w:sz w:val="20"/>
        </w:rPr>
        <w:t>Cronk</w:t>
      </w:r>
      <w:proofErr w:type="spellEnd"/>
      <w:r w:rsidRPr="00CE2C13">
        <w:rPr>
          <w:sz w:val="20"/>
        </w:rPr>
        <w:t xml:space="preserve"> JJ.A.), </w:t>
      </w:r>
      <w:r w:rsidR="00D32E73" w:rsidRPr="00CE2C13">
        <w:rPr>
          <w:sz w:val="20"/>
        </w:rPr>
        <w:fldChar w:fldCharType="begin"/>
      </w:r>
      <w:r w:rsidRPr="00CE2C13">
        <w:rPr>
          <w:sz w:val="20"/>
        </w:rPr>
        <w:instrText xml:space="preserve"> SEQ CHAPTER \h \r 1</w:instrText>
      </w:r>
      <w:r w:rsidR="00D32E73" w:rsidRPr="00CE2C13">
        <w:rPr>
          <w:sz w:val="20"/>
        </w:rPr>
        <w:fldChar w:fldCharType="end"/>
      </w:r>
      <w:r w:rsidRPr="00CE2C13">
        <w:rPr>
          <w:sz w:val="20"/>
        </w:rPr>
        <w:t xml:space="preserve">2010 ONCA 857, 109 O.R. (3d) 680, 275 O.A.C. 121, 266 C.C.C. (3d) 435, 223 C.R.R. (2d) 339, [2010] O.J. No. 5474 (QL), 2010 </w:t>
      </w:r>
      <w:proofErr w:type="spellStart"/>
      <w:r w:rsidRPr="00CE2C13">
        <w:rPr>
          <w:sz w:val="20"/>
        </w:rPr>
        <w:t>CarswellOnt</w:t>
      </w:r>
      <w:proofErr w:type="spellEnd"/>
      <w:r w:rsidRPr="00CE2C13">
        <w:rPr>
          <w:sz w:val="20"/>
        </w:rPr>
        <w:t xml:space="preserve"> 9674, affirming a committal order of </w:t>
      </w:r>
      <w:r w:rsidR="00D32E73" w:rsidRPr="00CE2C13">
        <w:rPr>
          <w:sz w:val="20"/>
        </w:rPr>
        <w:fldChar w:fldCharType="begin"/>
      </w:r>
      <w:r w:rsidRPr="00CE2C13">
        <w:rPr>
          <w:sz w:val="20"/>
        </w:rPr>
        <w:instrText xml:space="preserve"> SEQ CHAPTER \h \r 1</w:instrText>
      </w:r>
      <w:r w:rsidR="00D32E73" w:rsidRPr="00CE2C13">
        <w:rPr>
          <w:sz w:val="20"/>
        </w:rPr>
        <w:fldChar w:fldCharType="end"/>
      </w:r>
      <w:proofErr w:type="spellStart"/>
      <w:r w:rsidRPr="00CE2C13">
        <w:rPr>
          <w:sz w:val="20"/>
        </w:rPr>
        <w:t>Pattillo</w:t>
      </w:r>
      <w:proofErr w:type="spellEnd"/>
      <w:r w:rsidRPr="00CE2C13">
        <w:rPr>
          <w:sz w:val="20"/>
        </w:rPr>
        <w:t xml:space="preserve"> J., 2009 </w:t>
      </w:r>
      <w:proofErr w:type="spellStart"/>
      <w:r w:rsidRPr="00CE2C13">
        <w:rPr>
          <w:sz w:val="20"/>
        </w:rPr>
        <w:t>CanLII</w:t>
      </w:r>
      <w:proofErr w:type="spellEnd"/>
      <w:r w:rsidRPr="00CE2C13">
        <w:rPr>
          <w:sz w:val="20"/>
        </w:rPr>
        <w:t xml:space="preserve"> 9482, </w:t>
      </w:r>
      <w:r w:rsidR="00D32E73" w:rsidRPr="00CE2C13">
        <w:rPr>
          <w:sz w:val="20"/>
        </w:rPr>
        <w:fldChar w:fldCharType="begin"/>
      </w:r>
      <w:r w:rsidRPr="00CE2C13">
        <w:rPr>
          <w:sz w:val="20"/>
        </w:rPr>
        <w:instrText xml:space="preserve"> SEQ CHAPTER \h \r 1</w:instrText>
      </w:r>
      <w:r w:rsidR="00D32E73" w:rsidRPr="00CE2C13">
        <w:rPr>
          <w:sz w:val="20"/>
        </w:rPr>
        <w:fldChar w:fldCharType="end"/>
      </w:r>
      <w:r w:rsidRPr="00CE2C13">
        <w:rPr>
          <w:sz w:val="20"/>
        </w:rPr>
        <w:t xml:space="preserve">95 O.R. (3d) 514, 243 C.C.C. (3d) 281, [2009] O.J. No. 946 (QL), 2009 </w:t>
      </w:r>
      <w:proofErr w:type="spellStart"/>
      <w:r w:rsidRPr="00CE2C13">
        <w:rPr>
          <w:sz w:val="20"/>
        </w:rPr>
        <w:t>CarswellOnt</w:t>
      </w:r>
      <w:proofErr w:type="spellEnd"/>
      <w:r w:rsidRPr="00CE2C13">
        <w:rPr>
          <w:sz w:val="20"/>
        </w:rPr>
        <w:t xml:space="preserve"> 1524, and a decision of the Minister of Justice dated November 17, 2009, ordering the surrender of the appellant to the United States of America.  Appeal dismissed.</w:t>
      </w:r>
    </w:p>
    <w:p w:rsidR="00742072" w:rsidRDefault="00742072" w:rsidP="00742072">
      <w:pPr>
        <w:pStyle w:val="SCCNormalDoubleSpacing"/>
        <w:spacing w:line="240" w:lineRule="auto"/>
        <w:rPr>
          <w:i/>
          <w:sz w:val="20"/>
        </w:rPr>
      </w:pPr>
    </w:p>
    <w:p w:rsidR="00742072" w:rsidRPr="00CE2C13" w:rsidRDefault="00742072" w:rsidP="00742072">
      <w:pPr>
        <w:pStyle w:val="SCCNormalDoubleSpacing"/>
        <w:spacing w:line="240" w:lineRule="auto"/>
        <w:rPr>
          <w:sz w:val="20"/>
        </w:rPr>
      </w:pPr>
      <w:r w:rsidRPr="00CE2C13">
        <w:rPr>
          <w:i/>
          <w:sz w:val="20"/>
        </w:rPr>
        <w:tab/>
      </w:r>
      <w:proofErr w:type="gramStart"/>
      <w:r w:rsidRPr="00CE2C13">
        <w:rPr>
          <w:i/>
          <w:sz w:val="20"/>
        </w:rPr>
        <w:t>John Norris</w:t>
      </w:r>
      <w:r w:rsidRPr="00CE2C13">
        <w:rPr>
          <w:sz w:val="20"/>
        </w:rPr>
        <w:t xml:space="preserve">, </w:t>
      </w:r>
      <w:r w:rsidRPr="00CE2C13">
        <w:rPr>
          <w:i/>
          <w:sz w:val="20"/>
        </w:rPr>
        <w:t>Breese Davies</w:t>
      </w:r>
      <w:r w:rsidRPr="00CE2C13">
        <w:rPr>
          <w:sz w:val="20"/>
        </w:rPr>
        <w:t xml:space="preserve">, </w:t>
      </w:r>
      <w:proofErr w:type="spellStart"/>
      <w:r w:rsidRPr="00CE2C13">
        <w:rPr>
          <w:i/>
          <w:sz w:val="20"/>
        </w:rPr>
        <w:t>Brydie</w:t>
      </w:r>
      <w:proofErr w:type="spellEnd"/>
      <w:r w:rsidRPr="00CE2C13">
        <w:rPr>
          <w:i/>
          <w:sz w:val="20"/>
        </w:rPr>
        <w:t xml:space="preserve"> </w:t>
      </w:r>
      <w:proofErr w:type="spellStart"/>
      <w:r w:rsidRPr="00CE2C13">
        <w:rPr>
          <w:i/>
          <w:sz w:val="20"/>
        </w:rPr>
        <w:t>Bethell</w:t>
      </w:r>
      <w:proofErr w:type="spellEnd"/>
      <w:r w:rsidRPr="00CE2C13">
        <w:rPr>
          <w:i/>
          <w:sz w:val="20"/>
        </w:rPr>
        <w:t xml:space="preserve"> </w:t>
      </w:r>
      <w:r w:rsidRPr="00CE2C13">
        <w:rPr>
          <w:sz w:val="20"/>
        </w:rPr>
        <w:t>and</w:t>
      </w:r>
      <w:r w:rsidRPr="00CE2C13">
        <w:rPr>
          <w:i/>
          <w:sz w:val="20"/>
        </w:rPr>
        <w:t xml:space="preserve"> Erin </w:t>
      </w:r>
      <w:proofErr w:type="spellStart"/>
      <w:r w:rsidRPr="00CE2C13">
        <w:rPr>
          <w:i/>
          <w:sz w:val="20"/>
        </w:rPr>
        <w:t>Dann</w:t>
      </w:r>
      <w:proofErr w:type="spellEnd"/>
      <w:r w:rsidRPr="00CE2C13">
        <w:rPr>
          <w:sz w:val="20"/>
        </w:rPr>
        <w:t>, for the appellants.</w:t>
      </w:r>
      <w:proofErr w:type="gramEnd"/>
    </w:p>
    <w:p w:rsidR="00742072" w:rsidRDefault="00742072" w:rsidP="00742072">
      <w:pPr>
        <w:pStyle w:val="SCCNormalDoubleSpacing"/>
        <w:spacing w:line="240" w:lineRule="auto"/>
        <w:rPr>
          <w:i/>
          <w:sz w:val="20"/>
        </w:rPr>
      </w:pPr>
    </w:p>
    <w:p w:rsidR="00742072" w:rsidRPr="00CE2C13" w:rsidRDefault="00742072" w:rsidP="00742072">
      <w:pPr>
        <w:pStyle w:val="SCCNormalDoubleSpacing"/>
        <w:spacing w:line="240" w:lineRule="auto"/>
        <w:rPr>
          <w:sz w:val="20"/>
        </w:rPr>
      </w:pPr>
      <w:r w:rsidRPr="00CE2C13">
        <w:rPr>
          <w:i/>
          <w:sz w:val="20"/>
        </w:rPr>
        <w:tab/>
      </w:r>
      <w:proofErr w:type="gramStart"/>
      <w:r w:rsidRPr="00CE2C13">
        <w:rPr>
          <w:i/>
          <w:sz w:val="20"/>
        </w:rPr>
        <w:t xml:space="preserve">Croft </w:t>
      </w:r>
      <w:proofErr w:type="spellStart"/>
      <w:r w:rsidRPr="00CE2C13">
        <w:rPr>
          <w:i/>
          <w:sz w:val="20"/>
        </w:rPr>
        <w:t>Michaelson</w:t>
      </w:r>
      <w:proofErr w:type="spellEnd"/>
      <w:r w:rsidRPr="00CE2C13">
        <w:rPr>
          <w:sz w:val="20"/>
        </w:rPr>
        <w:t xml:space="preserve">, </w:t>
      </w:r>
      <w:r w:rsidRPr="00CE2C13">
        <w:rPr>
          <w:i/>
          <w:sz w:val="20"/>
        </w:rPr>
        <w:t xml:space="preserve">Nancy Dennison </w:t>
      </w:r>
      <w:r w:rsidRPr="00CE2C13">
        <w:rPr>
          <w:sz w:val="20"/>
        </w:rPr>
        <w:t xml:space="preserve">and </w:t>
      </w:r>
      <w:r w:rsidRPr="00CE2C13">
        <w:rPr>
          <w:i/>
          <w:sz w:val="20"/>
        </w:rPr>
        <w:t xml:space="preserve">Sean </w:t>
      </w:r>
      <w:proofErr w:type="spellStart"/>
      <w:r w:rsidRPr="00CE2C13">
        <w:rPr>
          <w:i/>
          <w:sz w:val="20"/>
        </w:rPr>
        <w:t>Gaudet</w:t>
      </w:r>
      <w:proofErr w:type="spellEnd"/>
      <w:r w:rsidRPr="00CE2C13">
        <w:rPr>
          <w:sz w:val="20"/>
        </w:rPr>
        <w:t>, for the respondents.</w:t>
      </w:r>
      <w:proofErr w:type="gramEnd"/>
    </w:p>
    <w:p w:rsidR="00742072" w:rsidRDefault="00742072" w:rsidP="00742072">
      <w:pPr>
        <w:pStyle w:val="SCCNormalDoubleSpacing"/>
        <w:spacing w:line="240" w:lineRule="auto"/>
        <w:rPr>
          <w:i/>
          <w:sz w:val="20"/>
        </w:rPr>
      </w:pPr>
    </w:p>
    <w:p w:rsidR="00742072" w:rsidRPr="00CE2C13" w:rsidRDefault="00742072" w:rsidP="00742072">
      <w:pPr>
        <w:pStyle w:val="SCCNormalDoubleSpacing"/>
        <w:spacing w:line="240" w:lineRule="auto"/>
        <w:rPr>
          <w:sz w:val="20"/>
        </w:rPr>
      </w:pPr>
      <w:r w:rsidRPr="00CE2C13">
        <w:rPr>
          <w:i/>
          <w:sz w:val="20"/>
        </w:rPr>
        <w:tab/>
      </w:r>
      <w:proofErr w:type="gramStart"/>
      <w:r w:rsidRPr="00CE2C13">
        <w:rPr>
          <w:i/>
          <w:sz w:val="20"/>
        </w:rPr>
        <w:t>Michael Bernstein</w:t>
      </w:r>
      <w:r w:rsidRPr="00CE2C13">
        <w:rPr>
          <w:sz w:val="20"/>
        </w:rPr>
        <w:t>, for the intervener the Attorney General of Ontario.</w:t>
      </w:r>
      <w:proofErr w:type="gramEnd"/>
    </w:p>
    <w:p w:rsidR="00742072" w:rsidRDefault="00742072" w:rsidP="00742072">
      <w:pPr>
        <w:pStyle w:val="SCCNormalDoubleSpacing"/>
        <w:spacing w:line="240" w:lineRule="auto"/>
        <w:rPr>
          <w:i/>
          <w:sz w:val="20"/>
        </w:rPr>
      </w:pPr>
    </w:p>
    <w:p w:rsidR="00742072" w:rsidRPr="00CE2C13" w:rsidRDefault="00742072" w:rsidP="00742072">
      <w:pPr>
        <w:pStyle w:val="SCCNormalDoubleSpacing"/>
        <w:spacing w:line="240" w:lineRule="auto"/>
        <w:rPr>
          <w:sz w:val="20"/>
        </w:rPr>
      </w:pPr>
      <w:r w:rsidRPr="00CE2C13">
        <w:rPr>
          <w:i/>
          <w:sz w:val="20"/>
        </w:rPr>
        <w:tab/>
      </w:r>
      <w:proofErr w:type="gramStart"/>
      <w:r w:rsidRPr="00CE2C13">
        <w:rPr>
          <w:i/>
          <w:sz w:val="20"/>
        </w:rPr>
        <w:t xml:space="preserve">Anil K. </w:t>
      </w:r>
      <w:proofErr w:type="spellStart"/>
      <w:r w:rsidRPr="00CE2C13">
        <w:rPr>
          <w:i/>
          <w:sz w:val="20"/>
        </w:rPr>
        <w:t>Kapoor</w:t>
      </w:r>
      <w:proofErr w:type="spellEnd"/>
      <w:r w:rsidRPr="00CE2C13">
        <w:rPr>
          <w:sz w:val="20"/>
        </w:rPr>
        <w:t xml:space="preserve"> and </w:t>
      </w:r>
      <w:r w:rsidRPr="00CE2C13">
        <w:rPr>
          <w:i/>
          <w:sz w:val="20"/>
        </w:rPr>
        <w:t xml:space="preserve">Lindsay L. </w:t>
      </w:r>
      <w:proofErr w:type="spellStart"/>
      <w:r w:rsidRPr="00CE2C13">
        <w:rPr>
          <w:i/>
          <w:sz w:val="20"/>
        </w:rPr>
        <w:t>Daviau</w:t>
      </w:r>
      <w:proofErr w:type="spellEnd"/>
      <w:r w:rsidRPr="00CE2C13">
        <w:rPr>
          <w:sz w:val="20"/>
        </w:rPr>
        <w:t>, for the intervener the Canadian Civil Liberties Association.</w:t>
      </w:r>
      <w:proofErr w:type="gramEnd"/>
    </w:p>
    <w:p w:rsidR="00742072" w:rsidRDefault="00742072" w:rsidP="00742072">
      <w:pPr>
        <w:pStyle w:val="SCCNormalDoubleSpacing"/>
        <w:spacing w:line="240" w:lineRule="auto"/>
        <w:rPr>
          <w:i/>
          <w:sz w:val="20"/>
        </w:rPr>
      </w:pPr>
    </w:p>
    <w:p w:rsidR="00742072" w:rsidRPr="00CE2C13" w:rsidRDefault="00742072" w:rsidP="00742072">
      <w:pPr>
        <w:pStyle w:val="SCCNormalDoubleSpacing"/>
        <w:spacing w:line="240" w:lineRule="auto"/>
        <w:rPr>
          <w:sz w:val="20"/>
        </w:rPr>
      </w:pPr>
      <w:r w:rsidRPr="00CE2C13">
        <w:rPr>
          <w:i/>
          <w:sz w:val="20"/>
        </w:rPr>
        <w:tab/>
      </w:r>
      <w:proofErr w:type="gramStart"/>
      <w:r w:rsidRPr="00CE2C13">
        <w:rPr>
          <w:i/>
          <w:sz w:val="20"/>
        </w:rPr>
        <w:t>Kent Roach</w:t>
      </w:r>
      <w:r w:rsidRPr="00CE2C13">
        <w:rPr>
          <w:sz w:val="20"/>
        </w:rPr>
        <w:t xml:space="preserve"> and </w:t>
      </w:r>
      <w:r w:rsidRPr="00CE2C13">
        <w:rPr>
          <w:i/>
          <w:sz w:val="20"/>
        </w:rPr>
        <w:t xml:space="preserve">Michael </w:t>
      </w:r>
      <w:proofErr w:type="spellStart"/>
      <w:r w:rsidRPr="00CE2C13">
        <w:rPr>
          <w:i/>
          <w:sz w:val="20"/>
        </w:rPr>
        <w:t>Fenrick</w:t>
      </w:r>
      <w:proofErr w:type="spellEnd"/>
      <w:r w:rsidRPr="00CE2C13">
        <w:rPr>
          <w:sz w:val="20"/>
        </w:rPr>
        <w:t>, for the intervener the British Columbia Civil Liberties Association.</w:t>
      </w:r>
      <w:proofErr w:type="gramEnd"/>
    </w:p>
    <w:p w:rsidR="00742072" w:rsidRDefault="00742072" w:rsidP="00742072">
      <w:pPr>
        <w:pStyle w:val="SCCLawFirm"/>
        <w:spacing w:line="240" w:lineRule="auto"/>
        <w:rPr>
          <w:sz w:val="20"/>
        </w:rPr>
      </w:pPr>
    </w:p>
    <w:p w:rsidR="00742072" w:rsidRPr="00CE2C13" w:rsidRDefault="00742072" w:rsidP="00742072">
      <w:pPr>
        <w:pStyle w:val="SCCLawFirm"/>
        <w:spacing w:line="240" w:lineRule="auto"/>
        <w:rPr>
          <w:sz w:val="20"/>
        </w:rPr>
      </w:pPr>
      <w:r w:rsidRPr="00CE2C13">
        <w:rPr>
          <w:sz w:val="20"/>
        </w:rPr>
        <w:tab/>
        <w:t>Solicitors for the appellants:  John Norris, Toronto; Breese Davies Law, Toronto.</w:t>
      </w:r>
    </w:p>
    <w:p w:rsidR="00742072" w:rsidRDefault="00742072" w:rsidP="00742072">
      <w:pPr>
        <w:pStyle w:val="SCCLawFirm"/>
        <w:spacing w:line="240" w:lineRule="auto"/>
        <w:rPr>
          <w:sz w:val="20"/>
        </w:rPr>
      </w:pPr>
    </w:p>
    <w:p w:rsidR="00742072" w:rsidRPr="00CE2C13" w:rsidRDefault="00742072" w:rsidP="00742072">
      <w:pPr>
        <w:pStyle w:val="SCCLawFirm"/>
        <w:spacing w:line="240" w:lineRule="auto"/>
        <w:rPr>
          <w:sz w:val="20"/>
        </w:rPr>
      </w:pPr>
      <w:r w:rsidRPr="00CE2C13">
        <w:rPr>
          <w:sz w:val="20"/>
        </w:rPr>
        <w:tab/>
        <w:t>Solicitor for the respondents:  Attorney General of Canada, Toronto; Attorney General of Canada, Ottawa.</w:t>
      </w:r>
    </w:p>
    <w:p w:rsidR="00742072" w:rsidRDefault="00742072" w:rsidP="00742072">
      <w:pPr>
        <w:pStyle w:val="SCCLawFirm"/>
        <w:spacing w:line="240" w:lineRule="auto"/>
        <w:rPr>
          <w:sz w:val="20"/>
        </w:rPr>
      </w:pPr>
    </w:p>
    <w:p w:rsidR="00742072" w:rsidRPr="00CE2C13" w:rsidRDefault="00742072" w:rsidP="00742072">
      <w:pPr>
        <w:pStyle w:val="SCCLawFirm"/>
        <w:spacing w:line="240" w:lineRule="auto"/>
        <w:rPr>
          <w:sz w:val="20"/>
        </w:rPr>
      </w:pPr>
      <w:r w:rsidRPr="00CE2C13">
        <w:rPr>
          <w:sz w:val="20"/>
        </w:rPr>
        <w:tab/>
        <w:t>Solicitor for the intervener the Attorney General of Ontario:  Attorney General of Ontario, Toronto.</w:t>
      </w:r>
    </w:p>
    <w:p w:rsidR="00742072" w:rsidRDefault="00742072" w:rsidP="00742072">
      <w:pPr>
        <w:pStyle w:val="SCCLawFirm"/>
        <w:spacing w:line="240" w:lineRule="auto"/>
        <w:rPr>
          <w:sz w:val="20"/>
        </w:rPr>
      </w:pPr>
    </w:p>
    <w:p w:rsidR="00742072" w:rsidRPr="00CE2C13" w:rsidRDefault="00742072" w:rsidP="00742072">
      <w:pPr>
        <w:pStyle w:val="SCCLawFirm"/>
        <w:spacing w:line="240" w:lineRule="auto"/>
        <w:rPr>
          <w:sz w:val="20"/>
        </w:rPr>
      </w:pPr>
      <w:r w:rsidRPr="00CE2C13">
        <w:rPr>
          <w:sz w:val="20"/>
        </w:rPr>
        <w:tab/>
        <w:t>Solicitors for the intervener the Canadian Civil Liberties Association:  </w:t>
      </w:r>
      <w:proofErr w:type="spellStart"/>
      <w:r w:rsidRPr="00CE2C13">
        <w:rPr>
          <w:sz w:val="20"/>
        </w:rPr>
        <w:t>Kapoor</w:t>
      </w:r>
      <w:proofErr w:type="spellEnd"/>
      <w:r w:rsidRPr="00CE2C13">
        <w:rPr>
          <w:sz w:val="20"/>
        </w:rPr>
        <w:t xml:space="preserve"> Barristers, Toronto.</w:t>
      </w:r>
    </w:p>
    <w:p w:rsidR="00742072" w:rsidRDefault="00742072" w:rsidP="00742072">
      <w:pPr>
        <w:pStyle w:val="SCCLawFirm"/>
        <w:spacing w:line="240" w:lineRule="auto"/>
        <w:contextualSpacing/>
        <w:rPr>
          <w:sz w:val="20"/>
        </w:rPr>
      </w:pPr>
    </w:p>
    <w:p w:rsidR="00742072" w:rsidRDefault="00742072" w:rsidP="00742072">
      <w:pPr>
        <w:pStyle w:val="SCCLawFirm"/>
        <w:spacing w:line="240" w:lineRule="auto"/>
        <w:contextualSpacing/>
        <w:rPr>
          <w:sz w:val="20"/>
        </w:rPr>
      </w:pPr>
      <w:r w:rsidRPr="00CE2C13">
        <w:rPr>
          <w:sz w:val="20"/>
        </w:rPr>
        <w:tab/>
        <w:t>Solicitors for the intervener the British Columbia Civil Liberties Association:  </w:t>
      </w:r>
      <w:proofErr w:type="spellStart"/>
      <w:r w:rsidRPr="00CE2C13">
        <w:rPr>
          <w:sz w:val="20"/>
        </w:rPr>
        <w:t>Paliare</w:t>
      </w:r>
      <w:proofErr w:type="spellEnd"/>
      <w:r w:rsidRPr="00CE2C13">
        <w:rPr>
          <w:sz w:val="20"/>
        </w:rPr>
        <w:t>, Roland, Rosenberg, Rothstein, Toronto.</w:t>
      </w:r>
    </w:p>
    <w:p w:rsidR="00B95D9D" w:rsidRPr="00742072" w:rsidRDefault="00B95D9D" w:rsidP="00B95D9D">
      <w:pPr>
        <w:rPr>
          <w:sz w:val="20"/>
          <w:szCs w:val="20"/>
          <w:lang w:val="fr-CA"/>
        </w:rPr>
      </w:pPr>
      <w:r w:rsidRPr="00742072">
        <w:rPr>
          <w:sz w:val="20"/>
          <w:szCs w:val="20"/>
          <w:lang w:val="fr-CA"/>
        </w:rPr>
        <w:t>________________________</w:t>
      </w:r>
    </w:p>
    <w:p w:rsidR="00B95D9D" w:rsidRPr="00742072" w:rsidRDefault="00B95D9D" w:rsidP="00B95D9D">
      <w:pPr>
        <w:rPr>
          <w:sz w:val="20"/>
          <w:szCs w:val="20"/>
          <w:lang w:val="fr-CA"/>
        </w:rPr>
      </w:pPr>
    </w:p>
    <w:p w:rsidR="00742072" w:rsidRPr="00794F45" w:rsidRDefault="00742072" w:rsidP="00742072">
      <w:pPr>
        <w:jc w:val="both"/>
        <w:rPr>
          <w:sz w:val="20"/>
          <w:szCs w:val="20"/>
          <w:lang w:val="fr-CA"/>
        </w:rPr>
      </w:pPr>
      <w:r w:rsidRPr="00794F45">
        <w:rPr>
          <w:sz w:val="20"/>
          <w:szCs w:val="20"/>
          <w:lang w:val="fr-CA"/>
        </w:rPr>
        <w:t xml:space="preserve">Présents : La juge en chef </w:t>
      </w:r>
      <w:proofErr w:type="spellStart"/>
      <w:r w:rsidRPr="00794F45">
        <w:rPr>
          <w:sz w:val="20"/>
          <w:szCs w:val="20"/>
          <w:lang w:val="fr-CA"/>
        </w:rPr>
        <w:t>McLachlin</w:t>
      </w:r>
      <w:proofErr w:type="spellEnd"/>
      <w:r w:rsidRPr="00794F45">
        <w:rPr>
          <w:sz w:val="20"/>
          <w:szCs w:val="20"/>
          <w:lang w:val="fr-CA"/>
        </w:rPr>
        <w:t xml:space="preserve"> et les juges </w:t>
      </w:r>
      <w:proofErr w:type="spellStart"/>
      <w:r w:rsidRPr="00794F45">
        <w:rPr>
          <w:sz w:val="20"/>
          <w:szCs w:val="20"/>
          <w:lang w:val="fr-CA"/>
        </w:rPr>
        <w:t>LeBel</w:t>
      </w:r>
      <w:proofErr w:type="spellEnd"/>
      <w:r w:rsidRPr="00794F45">
        <w:rPr>
          <w:sz w:val="20"/>
          <w:szCs w:val="20"/>
          <w:lang w:val="fr-CA"/>
        </w:rPr>
        <w:t xml:space="preserve">, Fish, Abella, </w:t>
      </w:r>
      <w:proofErr w:type="spellStart"/>
      <w:r w:rsidRPr="00794F45">
        <w:rPr>
          <w:sz w:val="20"/>
          <w:szCs w:val="20"/>
          <w:lang w:val="fr-CA"/>
        </w:rPr>
        <w:t>Rothstein</w:t>
      </w:r>
      <w:proofErr w:type="spellEnd"/>
      <w:r w:rsidRPr="00794F45">
        <w:rPr>
          <w:sz w:val="20"/>
          <w:szCs w:val="20"/>
          <w:lang w:val="fr-CA"/>
        </w:rPr>
        <w:t xml:space="preserve">, Cromwell et </w:t>
      </w:r>
      <w:proofErr w:type="spellStart"/>
      <w:r w:rsidRPr="00794F45">
        <w:rPr>
          <w:sz w:val="20"/>
          <w:szCs w:val="20"/>
          <w:lang w:val="fr-CA"/>
        </w:rPr>
        <w:t>Karakatsanis</w:t>
      </w:r>
      <w:proofErr w:type="spellEnd"/>
      <w:r w:rsidRPr="00794F45">
        <w:rPr>
          <w:sz w:val="20"/>
          <w:szCs w:val="20"/>
          <w:lang w:val="fr-CA"/>
        </w:rPr>
        <w:t>.</w:t>
      </w:r>
    </w:p>
    <w:p w:rsidR="00742072" w:rsidRDefault="00742072" w:rsidP="00742072">
      <w:pPr>
        <w:pStyle w:val="SCCLowerCourtNameLowercase"/>
        <w:spacing w:line="240" w:lineRule="auto"/>
        <w:rPr>
          <w:sz w:val="20"/>
          <w:lang w:val="fr-CA"/>
        </w:rPr>
      </w:pPr>
    </w:p>
    <w:p w:rsidR="00742072" w:rsidRPr="00794F45" w:rsidRDefault="00742072" w:rsidP="00742072">
      <w:pPr>
        <w:pStyle w:val="SCCNormalDoubleSpacing"/>
        <w:spacing w:line="240" w:lineRule="auto"/>
        <w:rPr>
          <w:i/>
          <w:sz w:val="20"/>
          <w:lang w:val="fr-CA"/>
        </w:rPr>
      </w:pPr>
      <w:r w:rsidRPr="00794F45">
        <w:rPr>
          <w:sz w:val="20"/>
          <w:lang w:val="fr-CA"/>
        </w:rPr>
        <w:tab/>
      </w:r>
      <w:r w:rsidRPr="00794F45">
        <w:rPr>
          <w:i/>
          <w:sz w:val="20"/>
          <w:lang w:val="fr-CA"/>
        </w:rPr>
        <w:t xml:space="preserve">Droit constitutionnel — Charte des droits — Liberté de circulation et d’établissement — Extradition — Arrêtés du ministre extradant des citoyens canadiens vers les </w:t>
      </w:r>
      <w:proofErr w:type="spellStart"/>
      <w:r w:rsidRPr="00794F45">
        <w:rPr>
          <w:i/>
          <w:sz w:val="20"/>
          <w:lang w:val="fr-CA"/>
        </w:rPr>
        <w:t>États</w:t>
      </w:r>
      <w:r w:rsidRPr="00794F45">
        <w:rPr>
          <w:i/>
          <w:sz w:val="20"/>
          <w:lang w:val="fr-CA"/>
        </w:rPr>
        <w:noBreakHyphen/>
        <w:t>Unis</w:t>
      </w:r>
      <w:proofErr w:type="spellEnd"/>
      <w:r w:rsidRPr="00794F45">
        <w:rPr>
          <w:i/>
          <w:sz w:val="20"/>
          <w:lang w:val="fr-CA"/>
        </w:rPr>
        <w:t xml:space="preserve"> afin qu’ils y subissent leurs procès pour terrorisme — L’extradition </w:t>
      </w:r>
      <w:proofErr w:type="spellStart"/>
      <w:r w:rsidRPr="00794F45">
        <w:rPr>
          <w:i/>
          <w:sz w:val="20"/>
          <w:lang w:val="fr-CA"/>
        </w:rPr>
        <w:t>porte</w:t>
      </w:r>
      <w:r w:rsidRPr="00794F45">
        <w:rPr>
          <w:i/>
          <w:sz w:val="20"/>
          <w:lang w:val="fr-CA"/>
        </w:rPr>
        <w:noBreakHyphen/>
        <w:t>t</w:t>
      </w:r>
      <w:r w:rsidRPr="00794F45">
        <w:rPr>
          <w:i/>
          <w:sz w:val="20"/>
          <w:lang w:val="fr-CA"/>
        </w:rPr>
        <w:noBreakHyphen/>
        <w:t>elle</w:t>
      </w:r>
      <w:proofErr w:type="spellEnd"/>
      <w:r w:rsidRPr="00794F45">
        <w:rPr>
          <w:i/>
          <w:sz w:val="20"/>
          <w:lang w:val="fr-CA"/>
        </w:rPr>
        <w:t xml:space="preserve"> atteinte au droit de demeurer au Canada lorsque la compétence revendiquée par l’autre État est faible ou que la poursuite pourrait se dérouler au Canada? — Les arrêtés d’extradition </w:t>
      </w:r>
      <w:proofErr w:type="spellStart"/>
      <w:r w:rsidRPr="00794F45">
        <w:rPr>
          <w:i/>
          <w:sz w:val="20"/>
          <w:lang w:val="fr-CA"/>
        </w:rPr>
        <w:t>sont</w:t>
      </w:r>
      <w:r w:rsidRPr="00794F45">
        <w:rPr>
          <w:i/>
          <w:sz w:val="20"/>
          <w:lang w:val="fr-CA"/>
        </w:rPr>
        <w:noBreakHyphen/>
        <w:t>ils</w:t>
      </w:r>
      <w:proofErr w:type="spellEnd"/>
      <w:r w:rsidRPr="00794F45">
        <w:rPr>
          <w:i/>
          <w:sz w:val="20"/>
          <w:lang w:val="fr-CA"/>
        </w:rPr>
        <w:t xml:space="preserve"> déraisonnables au vu de la preuve? — Charte canadienne des droits et libertés, art. 6(1); Loi sur l’extradition, L.C. 1999, ch. 18.</w:t>
      </w:r>
    </w:p>
    <w:p w:rsidR="00742072" w:rsidRDefault="00742072" w:rsidP="00742072">
      <w:pPr>
        <w:pStyle w:val="SCCNormalDoubleSpacing"/>
        <w:spacing w:line="240" w:lineRule="auto"/>
        <w:rPr>
          <w:i/>
          <w:sz w:val="20"/>
          <w:lang w:val="fr-CA"/>
        </w:rPr>
      </w:pPr>
    </w:p>
    <w:p w:rsidR="00742072" w:rsidRPr="00794F45" w:rsidRDefault="00742072" w:rsidP="00742072">
      <w:pPr>
        <w:pStyle w:val="SCCNormalDoubleSpacing"/>
        <w:spacing w:line="240" w:lineRule="auto"/>
        <w:rPr>
          <w:i/>
          <w:sz w:val="20"/>
          <w:lang w:val="fr-CA"/>
        </w:rPr>
      </w:pPr>
      <w:r w:rsidRPr="00794F45">
        <w:rPr>
          <w:i/>
          <w:sz w:val="20"/>
          <w:lang w:val="fr-CA"/>
        </w:rPr>
        <w:tab/>
        <w:t xml:space="preserve">Droit administratif — Justice naturelle — Équité procédurale — Communication par le ministre de tous les documents considérés avant de prendre les arrêtés d’extradition, sauf l’avis juridique — L’équité procédurale </w:t>
      </w:r>
      <w:proofErr w:type="spellStart"/>
      <w:r w:rsidRPr="00794F45">
        <w:rPr>
          <w:i/>
          <w:sz w:val="20"/>
          <w:lang w:val="fr-CA"/>
        </w:rPr>
        <w:t>exige</w:t>
      </w:r>
      <w:r w:rsidRPr="00794F45">
        <w:rPr>
          <w:i/>
          <w:sz w:val="20"/>
          <w:lang w:val="fr-CA"/>
        </w:rPr>
        <w:noBreakHyphen/>
        <w:t>t</w:t>
      </w:r>
      <w:r w:rsidRPr="00794F45">
        <w:rPr>
          <w:i/>
          <w:sz w:val="20"/>
          <w:lang w:val="fr-CA"/>
        </w:rPr>
        <w:noBreakHyphen/>
        <w:t>elle</w:t>
      </w:r>
      <w:proofErr w:type="spellEnd"/>
      <w:r w:rsidRPr="00794F45">
        <w:rPr>
          <w:i/>
          <w:sz w:val="20"/>
          <w:lang w:val="fr-CA"/>
        </w:rPr>
        <w:t xml:space="preserve"> du ministre qu’il obtienne puis communique le rapport du service compétent sur l’opportunité de poursuites au Canada?</w:t>
      </w:r>
    </w:p>
    <w:p w:rsidR="00742072" w:rsidRDefault="00742072" w:rsidP="00742072">
      <w:pPr>
        <w:pStyle w:val="SCCNormalDoubleSpacing"/>
        <w:spacing w:line="240" w:lineRule="auto"/>
        <w:rPr>
          <w:sz w:val="20"/>
          <w:lang w:val="fr-CA"/>
        </w:rPr>
      </w:pPr>
    </w:p>
    <w:p w:rsidR="00742072" w:rsidRPr="00794F45" w:rsidRDefault="00742072" w:rsidP="00742072">
      <w:pPr>
        <w:pStyle w:val="SCCNormalDoubleSpacing"/>
        <w:spacing w:line="240" w:lineRule="auto"/>
        <w:rPr>
          <w:sz w:val="20"/>
          <w:lang w:val="fr-CA"/>
        </w:rPr>
      </w:pPr>
      <w:r w:rsidRPr="00794F45">
        <w:rPr>
          <w:sz w:val="20"/>
          <w:lang w:val="fr-CA"/>
        </w:rPr>
        <w:tab/>
        <w:t xml:space="preserve">Après que la Cour supérieure de justice de l’Ontario eut conclu que la preuve était suffisante pour que S et N, des citoyens canadiens, soient extradés vers les </w:t>
      </w:r>
      <w:proofErr w:type="spellStart"/>
      <w:r w:rsidRPr="00794F45">
        <w:rPr>
          <w:sz w:val="20"/>
          <w:lang w:val="fr-CA"/>
        </w:rPr>
        <w:t>États</w:t>
      </w:r>
      <w:r w:rsidRPr="00794F45">
        <w:rPr>
          <w:sz w:val="20"/>
          <w:lang w:val="fr-CA"/>
        </w:rPr>
        <w:noBreakHyphen/>
        <w:t>Unis</w:t>
      </w:r>
      <w:proofErr w:type="spellEnd"/>
      <w:r w:rsidRPr="00794F45">
        <w:rPr>
          <w:sz w:val="20"/>
          <w:lang w:val="fr-CA"/>
        </w:rPr>
        <w:t xml:space="preserve"> afin d’y subir leurs procès pour terrorisme par suite du soutien qu’ils auraient apporté à une organisation terroriste, le ministre de la Justice a ordonné leur remise aux autorités américaines.  La Cour d’appel a par la suite confirmé les décisions.</w:t>
      </w:r>
    </w:p>
    <w:p w:rsidR="00742072" w:rsidRDefault="00742072" w:rsidP="00742072">
      <w:pPr>
        <w:pStyle w:val="SCCNormalDoubleSpacing"/>
        <w:spacing w:line="240" w:lineRule="auto"/>
        <w:rPr>
          <w:sz w:val="20"/>
          <w:lang w:val="fr-CA"/>
        </w:rPr>
      </w:pPr>
    </w:p>
    <w:p w:rsidR="00742072" w:rsidRPr="00794F45" w:rsidRDefault="00742072" w:rsidP="00742072">
      <w:pPr>
        <w:pStyle w:val="SCCNormalDoubleSpacing"/>
        <w:spacing w:line="240" w:lineRule="auto"/>
        <w:rPr>
          <w:sz w:val="20"/>
          <w:lang w:val="fr-CA"/>
        </w:rPr>
      </w:pPr>
      <w:r w:rsidRPr="00794F45">
        <w:rPr>
          <w:sz w:val="20"/>
          <w:lang w:val="fr-CA"/>
        </w:rPr>
        <w:tab/>
      </w:r>
      <w:r w:rsidRPr="00794F45">
        <w:rPr>
          <w:i/>
          <w:sz w:val="20"/>
          <w:lang w:val="fr-CA"/>
        </w:rPr>
        <w:t>Arrêt :</w:t>
      </w:r>
      <w:r w:rsidRPr="00794F45">
        <w:rPr>
          <w:sz w:val="20"/>
          <w:lang w:val="fr-CA"/>
        </w:rPr>
        <w:t xml:space="preserve"> Les pourvois sont rejetés.</w:t>
      </w:r>
    </w:p>
    <w:p w:rsidR="00742072" w:rsidRDefault="00742072" w:rsidP="00742072">
      <w:pPr>
        <w:pStyle w:val="SCCNormalDoubleSpacing"/>
        <w:spacing w:line="240" w:lineRule="auto"/>
        <w:rPr>
          <w:sz w:val="20"/>
          <w:lang w:val="fr-CA"/>
        </w:rPr>
      </w:pPr>
    </w:p>
    <w:p w:rsidR="00742072" w:rsidRPr="00794F45" w:rsidRDefault="00742072" w:rsidP="00742072">
      <w:pPr>
        <w:pStyle w:val="SCCNormalDoubleSpacing"/>
        <w:spacing w:line="240" w:lineRule="auto"/>
        <w:rPr>
          <w:sz w:val="20"/>
          <w:lang w:val="fr-CA"/>
        </w:rPr>
      </w:pPr>
      <w:r w:rsidRPr="00794F45">
        <w:rPr>
          <w:sz w:val="20"/>
          <w:lang w:val="fr-CA"/>
        </w:rPr>
        <w:lastRenderedPageBreak/>
        <w:tab/>
        <w:t xml:space="preserve">L’extradition ne porte pas atteinte au droit de demeurer au Canada que garantit au citoyen le par. 6(1) de la </w:t>
      </w:r>
      <w:r w:rsidRPr="00794F45">
        <w:rPr>
          <w:i/>
          <w:sz w:val="20"/>
          <w:lang w:val="fr-CA"/>
        </w:rPr>
        <w:t>Charte</w:t>
      </w:r>
      <w:r w:rsidRPr="00794F45">
        <w:rPr>
          <w:sz w:val="20"/>
          <w:lang w:val="fr-CA"/>
        </w:rPr>
        <w:t xml:space="preserve">, même lorsque la compétence revendiquée par l’autre État est faible ou que la poursuite pourrait se dérouler au Canada.  Conclure le contraire reviendrait à infirmer les arrêts </w:t>
      </w:r>
      <w:proofErr w:type="spellStart"/>
      <w:r w:rsidRPr="00794F45">
        <w:rPr>
          <w:i/>
          <w:sz w:val="20"/>
          <w:lang w:val="fr-CA"/>
        </w:rPr>
        <w:t>États</w:t>
      </w:r>
      <w:r w:rsidRPr="00794F45">
        <w:rPr>
          <w:i/>
          <w:sz w:val="20"/>
          <w:lang w:val="fr-CA"/>
        </w:rPr>
        <w:noBreakHyphen/>
        <w:t>Unis</w:t>
      </w:r>
      <w:proofErr w:type="spellEnd"/>
      <w:r w:rsidRPr="00794F45">
        <w:rPr>
          <w:i/>
          <w:sz w:val="20"/>
          <w:lang w:val="fr-CA"/>
        </w:rPr>
        <w:t xml:space="preserve"> c.</w:t>
      </w:r>
      <w:r w:rsidRPr="00794F45">
        <w:rPr>
          <w:sz w:val="20"/>
          <w:lang w:val="fr-CA"/>
        </w:rPr>
        <w:t xml:space="preserve"> </w:t>
      </w:r>
      <w:proofErr w:type="spellStart"/>
      <w:r w:rsidRPr="00794F45">
        <w:rPr>
          <w:i/>
          <w:sz w:val="20"/>
          <w:lang w:val="fr-CA"/>
        </w:rPr>
        <w:t>Cotroni</w:t>
      </w:r>
      <w:proofErr w:type="spellEnd"/>
      <w:r w:rsidRPr="00794F45">
        <w:rPr>
          <w:sz w:val="20"/>
          <w:lang w:val="fr-CA"/>
        </w:rPr>
        <w:t xml:space="preserve">, [1989] 1 R.C.S. 1469, </w:t>
      </w:r>
      <w:proofErr w:type="spellStart"/>
      <w:r w:rsidRPr="00794F45">
        <w:rPr>
          <w:i/>
          <w:sz w:val="20"/>
          <w:lang w:val="fr-CA"/>
        </w:rPr>
        <w:t>États</w:t>
      </w:r>
      <w:r w:rsidRPr="00794F45">
        <w:rPr>
          <w:i/>
          <w:sz w:val="20"/>
          <w:lang w:val="fr-CA"/>
        </w:rPr>
        <w:noBreakHyphen/>
        <w:t>Unis</w:t>
      </w:r>
      <w:proofErr w:type="spellEnd"/>
      <w:r w:rsidRPr="00794F45">
        <w:rPr>
          <w:i/>
          <w:sz w:val="20"/>
          <w:lang w:val="fr-CA"/>
        </w:rPr>
        <w:t xml:space="preserve"> d’Amérique c.</w:t>
      </w:r>
      <w:r w:rsidRPr="00794F45">
        <w:rPr>
          <w:sz w:val="20"/>
          <w:lang w:val="fr-CA"/>
        </w:rPr>
        <w:t xml:space="preserve"> </w:t>
      </w:r>
      <w:r w:rsidRPr="00794F45">
        <w:rPr>
          <w:i/>
          <w:sz w:val="20"/>
          <w:lang w:val="fr-CA"/>
        </w:rPr>
        <w:t>Kwok</w:t>
      </w:r>
      <w:r w:rsidRPr="00794F45">
        <w:rPr>
          <w:sz w:val="20"/>
          <w:lang w:val="fr-CA"/>
        </w:rPr>
        <w:t>, 2001 CSC 18,</w:t>
      </w:r>
      <w:r w:rsidRPr="00794F45">
        <w:rPr>
          <w:i/>
          <w:sz w:val="20"/>
          <w:lang w:val="fr-CA"/>
        </w:rPr>
        <w:t xml:space="preserve"> </w:t>
      </w:r>
      <w:r w:rsidRPr="00794F45">
        <w:rPr>
          <w:sz w:val="20"/>
          <w:lang w:val="fr-CA"/>
        </w:rPr>
        <w:t xml:space="preserve">[2001] 1 R.C.S. 532, et </w:t>
      </w:r>
      <w:r w:rsidRPr="00794F45">
        <w:rPr>
          <w:i/>
          <w:sz w:val="20"/>
          <w:lang w:val="fr-CA"/>
        </w:rPr>
        <w:t>Lake c. Canada (Ministre de la Justice)</w:t>
      </w:r>
      <w:r w:rsidRPr="00794F45">
        <w:rPr>
          <w:sz w:val="20"/>
          <w:lang w:val="fr-CA"/>
        </w:rPr>
        <w:t>, 2008 CSC 23,</w:t>
      </w:r>
      <w:r w:rsidRPr="00794F45">
        <w:rPr>
          <w:i/>
          <w:sz w:val="20"/>
          <w:lang w:val="fr-CA"/>
        </w:rPr>
        <w:t xml:space="preserve"> </w:t>
      </w:r>
      <w:r w:rsidRPr="00794F45">
        <w:rPr>
          <w:sz w:val="20"/>
          <w:lang w:val="fr-CA"/>
        </w:rPr>
        <w:t xml:space="preserve">[2008] 1 R.C.S. 761.  Nulle raison impérieuse ne justifie de s’écarter des principes établis dans ces arrêts.  L’extradition ne porte pas atteinte aux valeurs fondamentales consacrées par le par. 6(1).  Elle répond plutôt à la nécessité d’un système de justice pénale efficace.  Complexe, la décision d’extrader ou non fait intervenir de nombreuses considérations d’ordre factuel, géopolitique, diplomatique et financier.  Le ministre de la Justice dispose d’une expertise supérieure à cet égard et, dans l’exercice de son pouvoir discrétionnaire, il n’est lié par aucun des éléments de l’arrêt </w:t>
      </w:r>
      <w:proofErr w:type="spellStart"/>
      <w:r w:rsidRPr="00794F45">
        <w:rPr>
          <w:i/>
          <w:sz w:val="20"/>
          <w:lang w:val="fr-CA"/>
        </w:rPr>
        <w:t>Cotroni</w:t>
      </w:r>
      <w:proofErr w:type="spellEnd"/>
      <w:r w:rsidRPr="00794F45">
        <w:rPr>
          <w:sz w:val="20"/>
          <w:lang w:val="fr-CA"/>
        </w:rPr>
        <w:t xml:space="preserve">.  La possibilité d’une poursuite au Canada pour les infractions reprochées ne constitue qu’un élément à considérer lors de l’examen, et l’importance de la compétence revendiquée par l’État étranger n’est pas toujours déterminante. </w:t>
      </w:r>
    </w:p>
    <w:p w:rsidR="00742072" w:rsidRDefault="00742072" w:rsidP="00742072">
      <w:pPr>
        <w:pStyle w:val="SCCNormalDoubleSpacing"/>
        <w:spacing w:line="240" w:lineRule="auto"/>
        <w:rPr>
          <w:sz w:val="20"/>
          <w:lang w:val="fr-CA"/>
        </w:rPr>
      </w:pPr>
    </w:p>
    <w:p w:rsidR="00742072" w:rsidRPr="00742072" w:rsidRDefault="00742072" w:rsidP="00742072">
      <w:pPr>
        <w:pStyle w:val="SCCNormalDoubleSpacing"/>
        <w:spacing w:line="240" w:lineRule="auto"/>
        <w:rPr>
          <w:rStyle w:val="reportcitation"/>
          <w:sz w:val="20"/>
          <w:lang w:val="fr-CA"/>
        </w:rPr>
      </w:pPr>
      <w:r w:rsidRPr="00794F45">
        <w:rPr>
          <w:sz w:val="20"/>
          <w:lang w:val="fr-CA"/>
        </w:rPr>
        <w:tab/>
      </w:r>
      <w:r w:rsidRPr="00742072">
        <w:rPr>
          <w:rStyle w:val="reportcitation"/>
          <w:sz w:val="20"/>
          <w:lang w:val="fr-CA"/>
        </w:rPr>
        <w:t>En l’espèce, il appert du dossier que le ministre a dûment examiné et mis en balance les éléments pertinents en ce qui a trait à la situation de S et de N</w:t>
      </w:r>
      <w:r w:rsidRPr="00794F45">
        <w:rPr>
          <w:sz w:val="20"/>
          <w:lang w:val="fr-CA"/>
        </w:rPr>
        <w:t xml:space="preserve">.  Il </w:t>
      </w:r>
      <w:r w:rsidRPr="00742072">
        <w:rPr>
          <w:rStyle w:val="reportcitation"/>
          <w:sz w:val="20"/>
          <w:lang w:val="fr-CA"/>
        </w:rPr>
        <w:t xml:space="preserve">ne tient pas pour déterminant le fait qu’aucune accusation n’a été portée contre eux au Canada, et il effectue un examen indépendant des éléments de </w:t>
      </w:r>
      <w:proofErr w:type="spellStart"/>
      <w:r w:rsidRPr="00742072">
        <w:rPr>
          <w:rStyle w:val="reportcitation"/>
          <w:i/>
          <w:sz w:val="20"/>
          <w:lang w:val="fr-CA"/>
        </w:rPr>
        <w:t>Cotroni</w:t>
      </w:r>
      <w:proofErr w:type="spellEnd"/>
      <w:r w:rsidRPr="00742072">
        <w:rPr>
          <w:rStyle w:val="reportcitation"/>
          <w:sz w:val="20"/>
          <w:lang w:val="fr-CA"/>
        </w:rPr>
        <w:t xml:space="preserve">.  Sa conclusion selon laquelle les liens avec les </w:t>
      </w:r>
      <w:proofErr w:type="spellStart"/>
      <w:r w:rsidRPr="00742072">
        <w:rPr>
          <w:rStyle w:val="reportcitation"/>
          <w:sz w:val="20"/>
          <w:lang w:val="fr-CA"/>
        </w:rPr>
        <w:t>États</w:t>
      </w:r>
      <w:r w:rsidRPr="00742072">
        <w:rPr>
          <w:rStyle w:val="reportcitation"/>
          <w:sz w:val="20"/>
          <w:lang w:val="fr-CA"/>
        </w:rPr>
        <w:noBreakHyphen/>
        <w:t>Unis</w:t>
      </w:r>
      <w:proofErr w:type="spellEnd"/>
      <w:r w:rsidRPr="00742072">
        <w:rPr>
          <w:rStyle w:val="reportcitation"/>
          <w:sz w:val="20"/>
          <w:lang w:val="fr-CA"/>
        </w:rPr>
        <w:t xml:space="preserve"> suffisent à justifier l’extradition découle de cet examen indépendant, et il n’a pas été démontré qu’elle est déraisonnable eu égard à la preuve.</w:t>
      </w:r>
    </w:p>
    <w:p w:rsidR="00742072" w:rsidRDefault="00742072" w:rsidP="00742072">
      <w:pPr>
        <w:pStyle w:val="SCCNormalDoubleSpacing"/>
        <w:spacing w:line="240" w:lineRule="auto"/>
        <w:rPr>
          <w:sz w:val="20"/>
          <w:lang w:val="fr-CA"/>
        </w:rPr>
      </w:pPr>
    </w:p>
    <w:p w:rsidR="00742072" w:rsidRPr="00794F45" w:rsidRDefault="00742072" w:rsidP="00742072">
      <w:pPr>
        <w:pStyle w:val="SCCNormalDoubleSpacing"/>
        <w:spacing w:line="240" w:lineRule="auto"/>
        <w:rPr>
          <w:sz w:val="20"/>
          <w:lang w:val="fr-CA"/>
        </w:rPr>
      </w:pPr>
      <w:r w:rsidRPr="00794F45">
        <w:rPr>
          <w:sz w:val="20"/>
          <w:lang w:val="fr-CA"/>
        </w:rPr>
        <w:tab/>
        <w:t xml:space="preserve">La preuve de l’iniquité procédurale alléguée n’a pas été faite.  La requête de S et de N visant la communication du rapport du Service des poursuites pénales du Canada sur l’opportunité de poursuites au Canada constitue une tentative à peine voilée de contester l’exercice légitime du pouvoir discrétionnaire de l’État d’engager des poursuites.  L’équité procédurale n’exige pas du ministre qu’il obtienne puis communique chacun des documents susceptibles d’avoir un lien indirect avec la procédure au terme de laquelle est prise la décision d’extrader les intéressés.   </w:t>
      </w:r>
    </w:p>
    <w:p w:rsidR="00742072" w:rsidRDefault="00742072" w:rsidP="00742072">
      <w:pPr>
        <w:pStyle w:val="SCCNormalDoubleSpacing"/>
        <w:spacing w:line="240" w:lineRule="auto"/>
        <w:rPr>
          <w:sz w:val="20"/>
          <w:lang w:val="fr-CA"/>
        </w:rPr>
      </w:pPr>
    </w:p>
    <w:p w:rsidR="00742072" w:rsidRDefault="00742072" w:rsidP="00742072">
      <w:pPr>
        <w:pStyle w:val="SCCNormalDoubleSpacing"/>
        <w:spacing w:line="240" w:lineRule="auto"/>
        <w:rPr>
          <w:sz w:val="20"/>
          <w:lang w:val="fr-CA"/>
        </w:rPr>
      </w:pPr>
      <w:r w:rsidRPr="00794F45">
        <w:rPr>
          <w:sz w:val="20"/>
          <w:lang w:val="fr-CA"/>
        </w:rPr>
        <w:tab/>
        <w:t xml:space="preserve">S et N contestent la constitutionnalité des dispositions canadiennes sur le terrorisme qui correspondent aux infractions pour lesquelles les </w:t>
      </w:r>
      <w:proofErr w:type="spellStart"/>
      <w:r w:rsidRPr="00794F45">
        <w:rPr>
          <w:sz w:val="20"/>
          <w:lang w:val="fr-CA"/>
        </w:rPr>
        <w:t>États</w:t>
      </w:r>
      <w:r w:rsidRPr="00794F45">
        <w:rPr>
          <w:sz w:val="20"/>
          <w:lang w:val="fr-CA"/>
        </w:rPr>
        <w:noBreakHyphen/>
        <w:t>Unis</w:t>
      </w:r>
      <w:proofErr w:type="spellEnd"/>
      <w:r w:rsidRPr="00794F45">
        <w:rPr>
          <w:sz w:val="20"/>
          <w:lang w:val="fr-CA"/>
        </w:rPr>
        <w:t xml:space="preserve"> demandent leur extradition.  Ce motif d’appel est examiné et rejeté dans le pourvoi connexe </w:t>
      </w:r>
      <w:r w:rsidRPr="00794F45">
        <w:rPr>
          <w:i/>
          <w:sz w:val="20"/>
          <w:lang w:val="fr-CA"/>
        </w:rPr>
        <w:t xml:space="preserve">R. c. </w:t>
      </w:r>
      <w:proofErr w:type="spellStart"/>
      <w:r w:rsidRPr="00794F45">
        <w:rPr>
          <w:i/>
          <w:sz w:val="20"/>
          <w:lang w:val="fr-CA"/>
        </w:rPr>
        <w:t>Khawaja</w:t>
      </w:r>
      <w:proofErr w:type="spellEnd"/>
      <w:r w:rsidRPr="00794F45">
        <w:rPr>
          <w:sz w:val="20"/>
          <w:lang w:val="fr-CA"/>
        </w:rPr>
        <w:t>, 2012 CSC 69.</w:t>
      </w:r>
    </w:p>
    <w:p w:rsidR="00742072" w:rsidRDefault="00742072" w:rsidP="00742072">
      <w:pPr>
        <w:pStyle w:val="SCCNormalDoubleSpacing"/>
        <w:spacing w:line="240" w:lineRule="auto"/>
        <w:rPr>
          <w:sz w:val="20"/>
          <w:lang w:val="fr-CA"/>
        </w:rPr>
      </w:pPr>
    </w:p>
    <w:p w:rsidR="00742072" w:rsidRPr="00794F45" w:rsidRDefault="00742072" w:rsidP="00742072">
      <w:pPr>
        <w:pStyle w:val="SCCNormalDoubleSpacing"/>
        <w:spacing w:line="240" w:lineRule="auto"/>
        <w:rPr>
          <w:sz w:val="20"/>
          <w:lang w:val="fr-CA"/>
        </w:rPr>
      </w:pPr>
      <w:r w:rsidRPr="00794F45">
        <w:rPr>
          <w:sz w:val="20"/>
          <w:lang w:val="fr-CA"/>
        </w:rPr>
        <w:tab/>
        <w:t xml:space="preserve">POURVOI contre un arrêt de la Cour d’appel de l’Ontario (les juges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r w:rsidRPr="00794F45">
        <w:rPr>
          <w:sz w:val="20"/>
          <w:lang w:val="fr-CA"/>
        </w:rPr>
        <w:t xml:space="preserve">Doherty, </w:t>
      </w:r>
      <w:proofErr w:type="spellStart"/>
      <w:r w:rsidRPr="00794F45">
        <w:rPr>
          <w:sz w:val="20"/>
          <w:lang w:val="fr-CA"/>
        </w:rPr>
        <w:t>Moldaver</w:t>
      </w:r>
      <w:proofErr w:type="spellEnd"/>
      <w:r w:rsidRPr="00794F45">
        <w:rPr>
          <w:sz w:val="20"/>
          <w:lang w:val="fr-CA"/>
        </w:rPr>
        <w:t xml:space="preserve"> et </w:t>
      </w:r>
      <w:proofErr w:type="spellStart"/>
      <w:r w:rsidRPr="00794F45">
        <w:rPr>
          <w:sz w:val="20"/>
          <w:lang w:val="fr-CA"/>
        </w:rPr>
        <w:t>Cronk</w:t>
      </w:r>
      <w:proofErr w:type="spellEnd"/>
      <w:r w:rsidRPr="00794F45">
        <w:rPr>
          <w:sz w:val="20"/>
          <w:lang w:val="fr-CA"/>
        </w:rPr>
        <w:t xml:space="preserve">),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r w:rsidRPr="00794F45">
        <w:rPr>
          <w:sz w:val="20"/>
          <w:lang w:val="fr-CA"/>
        </w:rPr>
        <w:t xml:space="preserve">2010 ONCA 859, 109 O.R. (3d) 662, 278 O.A.C. 1, 266 C.C.C. (3d) 447, 81 C.R. (6th) 285, [2010] O.J. No. 5473 (QL), 2010 </w:t>
      </w:r>
      <w:proofErr w:type="spellStart"/>
      <w:r w:rsidRPr="00794F45">
        <w:rPr>
          <w:sz w:val="20"/>
          <w:lang w:val="fr-CA"/>
        </w:rPr>
        <w:t>CarswellOnt</w:t>
      </w:r>
      <w:proofErr w:type="spellEnd"/>
      <w:r w:rsidRPr="00794F45">
        <w:rPr>
          <w:sz w:val="20"/>
          <w:lang w:val="fr-CA"/>
        </w:rPr>
        <w:t xml:space="preserve"> 9667, qui a confirmé une ordonnance d’incarcération du juge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proofErr w:type="spellStart"/>
      <w:r w:rsidRPr="00794F45">
        <w:rPr>
          <w:sz w:val="20"/>
          <w:lang w:val="fr-CA"/>
        </w:rPr>
        <w:t>Pattillo</w:t>
      </w:r>
      <w:proofErr w:type="spellEnd"/>
      <w:r w:rsidRPr="00794F45">
        <w:rPr>
          <w:sz w:val="20"/>
          <w:lang w:val="fr-CA"/>
        </w:rPr>
        <w:t xml:space="preserve">,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r w:rsidRPr="00794F45">
        <w:rPr>
          <w:sz w:val="20"/>
          <w:lang w:val="fr-CA"/>
        </w:rPr>
        <w:t xml:space="preserve">2009 </w:t>
      </w:r>
      <w:proofErr w:type="spellStart"/>
      <w:r w:rsidRPr="00794F45">
        <w:rPr>
          <w:sz w:val="20"/>
          <w:lang w:val="fr-CA"/>
        </w:rPr>
        <w:t>CanLII</w:t>
      </w:r>
      <w:proofErr w:type="spellEnd"/>
      <w:r w:rsidRPr="00794F45">
        <w:rPr>
          <w:sz w:val="20"/>
          <w:lang w:val="fr-CA"/>
        </w:rPr>
        <w:t xml:space="preserve"> 9482, 95 O.R. (3d) 514, 243 C.C.C. (3d) 281, [2009] O.J. No. 946 (QL), 2009 </w:t>
      </w:r>
      <w:proofErr w:type="spellStart"/>
      <w:r w:rsidRPr="00794F45">
        <w:rPr>
          <w:sz w:val="20"/>
          <w:lang w:val="fr-CA"/>
        </w:rPr>
        <w:t>CarswellOnt</w:t>
      </w:r>
      <w:proofErr w:type="spellEnd"/>
      <w:r w:rsidRPr="00794F45">
        <w:rPr>
          <w:sz w:val="20"/>
          <w:lang w:val="fr-CA"/>
        </w:rPr>
        <w:t xml:space="preserve"> 1524, et une décision du ministre de la Justice en date du 17 novembre 2009 ordonnant l’extradition de l’appelant vers les </w:t>
      </w:r>
      <w:proofErr w:type="spellStart"/>
      <w:r w:rsidRPr="00794F45">
        <w:rPr>
          <w:sz w:val="20"/>
          <w:lang w:val="fr-CA"/>
        </w:rPr>
        <w:t>États</w:t>
      </w:r>
      <w:r w:rsidRPr="00794F45">
        <w:rPr>
          <w:sz w:val="20"/>
          <w:lang w:val="fr-CA"/>
        </w:rPr>
        <w:noBreakHyphen/>
        <w:t>Unis</w:t>
      </w:r>
      <w:proofErr w:type="spellEnd"/>
      <w:r w:rsidRPr="00794F45">
        <w:rPr>
          <w:sz w:val="20"/>
          <w:lang w:val="fr-CA"/>
        </w:rPr>
        <w:t xml:space="preserve"> d’Amérique.  Pourvoi rejeté.</w:t>
      </w:r>
    </w:p>
    <w:p w:rsidR="00742072" w:rsidRDefault="00742072" w:rsidP="00742072">
      <w:pPr>
        <w:pStyle w:val="SCCNormalDoubleSpacing"/>
        <w:spacing w:line="240" w:lineRule="auto"/>
        <w:rPr>
          <w:sz w:val="20"/>
          <w:lang w:val="fr-CA"/>
        </w:rPr>
      </w:pPr>
    </w:p>
    <w:p w:rsidR="00742072" w:rsidRPr="00794F45" w:rsidRDefault="00742072" w:rsidP="00742072">
      <w:pPr>
        <w:pStyle w:val="SCCNormalDoubleSpacing"/>
        <w:spacing w:line="240" w:lineRule="auto"/>
        <w:rPr>
          <w:sz w:val="20"/>
          <w:lang w:val="fr-CA"/>
        </w:rPr>
      </w:pPr>
      <w:r w:rsidRPr="00794F45">
        <w:rPr>
          <w:sz w:val="20"/>
          <w:lang w:val="fr-CA"/>
        </w:rPr>
        <w:tab/>
        <w:t xml:space="preserve">POURVOI contre un arrêt de la Cour d’appel de l’Ontario (les juges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r w:rsidRPr="00794F45">
        <w:rPr>
          <w:sz w:val="20"/>
          <w:lang w:val="fr-CA"/>
        </w:rPr>
        <w:t xml:space="preserve">Doherty, </w:t>
      </w:r>
      <w:proofErr w:type="spellStart"/>
      <w:r w:rsidRPr="00794F45">
        <w:rPr>
          <w:sz w:val="20"/>
          <w:lang w:val="fr-CA"/>
        </w:rPr>
        <w:t>Moldaver</w:t>
      </w:r>
      <w:proofErr w:type="spellEnd"/>
      <w:r w:rsidRPr="00794F45">
        <w:rPr>
          <w:sz w:val="20"/>
          <w:lang w:val="fr-CA"/>
        </w:rPr>
        <w:t xml:space="preserve"> et </w:t>
      </w:r>
      <w:proofErr w:type="spellStart"/>
      <w:r w:rsidRPr="00794F45">
        <w:rPr>
          <w:sz w:val="20"/>
          <w:lang w:val="fr-CA"/>
        </w:rPr>
        <w:t>Cronk</w:t>
      </w:r>
      <w:proofErr w:type="spellEnd"/>
      <w:r w:rsidRPr="00794F45">
        <w:rPr>
          <w:sz w:val="20"/>
          <w:lang w:val="fr-CA"/>
        </w:rPr>
        <w:t xml:space="preserve">),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r w:rsidRPr="00794F45">
        <w:rPr>
          <w:sz w:val="20"/>
          <w:lang w:val="fr-CA"/>
        </w:rPr>
        <w:t xml:space="preserve">2010 ONCA 857, 109 O.R. (3d) 680, 275 O.A.C. 121, 266 C.C.C. (3d) 435, 223 C.R.R. (2d) 339, [2010] O.J. No. 5474 (QL), 2010 </w:t>
      </w:r>
      <w:proofErr w:type="spellStart"/>
      <w:r w:rsidRPr="00794F45">
        <w:rPr>
          <w:sz w:val="20"/>
          <w:lang w:val="fr-CA"/>
        </w:rPr>
        <w:t>CarswellOnt</w:t>
      </w:r>
      <w:proofErr w:type="spellEnd"/>
      <w:r w:rsidRPr="00794F45">
        <w:rPr>
          <w:sz w:val="20"/>
          <w:lang w:val="fr-CA"/>
        </w:rPr>
        <w:t xml:space="preserve"> 9674, qui a confirmé une ordonnance d’incarcération du juge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proofErr w:type="spellStart"/>
      <w:r w:rsidRPr="00794F45">
        <w:rPr>
          <w:sz w:val="20"/>
          <w:lang w:val="fr-CA"/>
        </w:rPr>
        <w:t>Pattillo</w:t>
      </w:r>
      <w:proofErr w:type="spellEnd"/>
      <w:r w:rsidRPr="00794F45">
        <w:rPr>
          <w:sz w:val="20"/>
          <w:lang w:val="fr-CA"/>
        </w:rPr>
        <w:t xml:space="preserve">, </w:t>
      </w:r>
      <w:r w:rsidR="00D32E73" w:rsidRPr="00794F45">
        <w:rPr>
          <w:sz w:val="20"/>
        </w:rPr>
        <w:fldChar w:fldCharType="begin"/>
      </w:r>
      <w:r w:rsidRPr="00794F45">
        <w:rPr>
          <w:sz w:val="20"/>
          <w:lang w:val="fr-CA"/>
        </w:rPr>
        <w:instrText xml:space="preserve"> SEQ CHAPTER \h \r 1</w:instrText>
      </w:r>
      <w:r w:rsidR="00D32E73" w:rsidRPr="00794F45">
        <w:rPr>
          <w:sz w:val="20"/>
        </w:rPr>
        <w:fldChar w:fldCharType="end"/>
      </w:r>
      <w:r w:rsidRPr="00794F45">
        <w:rPr>
          <w:sz w:val="20"/>
          <w:lang w:val="fr-CA"/>
        </w:rPr>
        <w:t xml:space="preserve">2009 </w:t>
      </w:r>
      <w:proofErr w:type="spellStart"/>
      <w:r w:rsidRPr="00794F45">
        <w:rPr>
          <w:sz w:val="20"/>
          <w:lang w:val="fr-CA"/>
        </w:rPr>
        <w:t>CanLII</w:t>
      </w:r>
      <w:proofErr w:type="spellEnd"/>
      <w:r w:rsidRPr="00794F45">
        <w:rPr>
          <w:sz w:val="20"/>
          <w:lang w:val="fr-CA"/>
        </w:rPr>
        <w:t xml:space="preserve"> 9482, 95 O.R. (3d) 514, 243 C.C.C. (3d) 281, [2009] O.J. No. 946 (QL), 2009 </w:t>
      </w:r>
      <w:proofErr w:type="spellStart"/>
      <w:r w:rsidRPr="00794F45">
        <w:rPr>
          <w:sz w:val="20"/>
          <w:lang w:val="fr-CA"/>
        </w:rPr>
        <w:t>CarswellOnt</w:t>
      </w:r>
      <w:proofErr w:type="spellEnd"/>
      <w:r w:rsidRPr="00794F45">
        <w:rPr>
          <w:sz w:val="20"/>
          <w:lang w:val="fr-CA"/>
        </w:rPr>
        <w:t xml:space="preserve"> 1524, et une décision du ministre de la Justice en date du 17 novembre 2009 ordonnant l’extradition de l’appelant vers les </w:t>
      </w:r>
      <w:proofErr w:type="spellStart"/>
      <w:r w:rsidRPr="00794F45">
        <w:rPr>
          <w:sz w:val="20"/>
          <w:lang w:val="fr-CA"/>
        </w:rPr>
        <w:t>États</w:t>
      </w:r>
      <w:r w:rsidRPr="00794F45">
        <w:rPr>
          <w:sz w:val="20"/>
          <w:lang w:val="fr-CA"/>
        </w:rPr>
        <w:noBreakHyphen/>
        <w:t>Unis</w:t>
      </w:r>
      <w:proofErr w:type="spellEnd"/>
      <w:r w:rsidRPr="00794F45">
        <w:rPr>
          <w:sz w:val="20"/>
          <w:lang w:val="fr-CA"/>
        </w:rPr>
        <w:t xml:space="preserve"> d’Amérique.  Pourvoi rejeté.</w:t>
      </w:r>
    </w:p>
    <w:p w:rsidR="00742072" w:rsidRDefault="00742072" w:rsidP="00742072">
      <w:pPr>
        <w:pStyle w:val="SCCNormalDoubleSpacing"/>
        <w:spacing w:line="240" w:lineRule="auto"/>
        <w:rPr>
          <w:i/>
          <w:sz w:val="20"/>
          <w:lang w:val="fr-CA"/>
        </w:rPr>
      </w:pPr>
    </w:p>
    <w:p w:rsidR="00742072" w:rsidRPr="00794F45" w:rsidRDefault="00742072" w:rsidP="00742072">
      <w:pPr>
        <w:pStyle w:val="SCCNormalDoubleSpacing"/>
        <w:spacing w:line="240" w:lineRule="auto"/>
        <w:rPr>
          <w:sz w:val="20"/>
          <w:lang w:val="fr-CA"/>
        </w:rPr>
      </w:pPr>
      <w:r w:rsidRPr="00794F45">
        <w:rPr>
          <w:i/>
          <w:sz w:val="20"/>
          <w:lang w:val="fr-CA"/>
        </w:rPr>
        <w:tab/>
        <w:t>John Norris</w:t>
      </w:r>
      <w:r w:rsidRPr="00794F45">
        <w:rPr>
          <w:sz w:val="20"/>
          <w:lang w:val="fr-CA"/>
        </w:rPr>
        <w:t xml:space="preserve">, </w:t>
      </w:r>
      <w:proofErr w:type="spellStart"/>
      <w:r w:rsidRPr="00794F45">
        <w:rPr>
          <w:i/>
          <w:sz w:val="20"/>
          <w:lang w:val="fr-CA"/>
        </w:rPr>
        <w:t>Breese</w:t>
      </w:r>
      <w:proofErr w:type="spellEnd"/>
      <w:r w:rsidRPr="00794F45">
        <w:rPr>
          <w:i/>
          <w:sz w:val="20"/>
          <w:lang w:val="fr-CA"/>
        </w:rPr>
        <w:t xml:space="preserve"> Davies</w:t>
      </w:r>
      <w:r w:rsidRPr="00794F45">
        <w:rPr>
          <w:sz w:val="20"/>
          <w:lang w:val="fr-CA"/>
        </w:rPr>
        <w:t xml:space="preserve">, </w:t>
      </w:r>
      <w:proofErr w:type="spellStart"/>
      <w:r w:rsidRPr="00794F45">
        <w:rPr>
          <w:i/>
          <w:sz w:val="20"/>
          <w:lang w:val="fr-CA"/>
        </w:rPr>
        <w:t>Brydie</w:t>
      </w:r>
      <w:proofErr w:type="spellEnd"/>
      <w:r w:rsidRPr="00794F45">
        <w:rPr>
          <w:i/>
          <w:sz w:val="20"/>
          <w:lang w:val="fr-CA"/>
        </w:rPr>
        <w:t xml:space="preserve"> </w:t>
      </w:r>
      <w:proofErr w:type="spellStart"/>
      <w:r w:rsidRPr="00794F45">
        <w:rPr>
          <w:i/>
          <w:sz w:val="20"/>
          <w:lang w:val="fr-CA"/>
        </w:rPr>
        <w:t>Bethell</w:t>
      </w:r>
      <w:proofErr w:type="spellEnd"/>
      <w:r w:rsidRPr="00794F45">
        <w:rPr>
          <w:i/>
          <w:sz w:val="20"/>
          <w:lang w:val="fr-CA"/>
        </w:rPr>
        <w:t xml:space="preserve"> </w:t>
      </w:r>
      <w:r w:rsidRPr="00794F45">
        <w:rPr>
          <w:sz w:val="20"/>
          <w:lang w:val="fr-CA"/>
        </w:rPr>
        <w:t>et</w:t>
      </w:r>
      <w:r w:rsidRPr="00794F45">
        <w:rPr>
          <w:i/>
          <w:sz w:val="20"/>
          <w:lang w:val="fr-CA"/>
        </w:rPr>
        <w:t xml:space="preserve"> Erin </w:t>
      </w:r>
      <w:proofErr w:type="spellStart"/>
      <w:r w:rsidRPr="00794F45">
        <w:rPr>
          <w:i/>
          <w:sz w:val="20"/>
          <w:lang w:val="fr-CA"/>
        </w:rPr>
        <w:t>Dann</w:t>
      </w:r>
      <w:proofErr w:type="spellEnd"/>
      <w:r w:rsidRPr="00794F45">
        <w:rPr>
          <w:sz w:val="20"/>
          <w:lang w:val="fr-CA"/>
        </w:rPr>
        <w:t>, pour les appelants.</w:t>
      </w:r>
    </w:p>
    <w:p w:rsidR="00742072" w:rsidRDefault="00742072" w:rsidP="00742072">
      <w:pPr>
        <w:pStyle w:val="SCCNormalDoubleSpacing"/>
        <w:spacing w:line="240" w:lineRule="auto"/>
        <w:rPr>
          <w:i/>
          <w:sz w:val="20"/>
          <w:lang w:val="fr-CA"/>
        </w:rPr>
      </w:pPr>
    </w:p>
    <w:p w:rsidR="00742072" w:rsidRPr="00794F45" w:rsidRDefault="00742072" w:rsidP="00742072">
      <w:pPr>
        <w:pStyle w:val="SCCNormalDoubleSpacing"/>
        <w:spacing w:line="240" w:lineRule="auto"/>
        <w:rPr>
          <w:sz w:val="20"/>
          <w:lang w:val="fr-CA"/>
        </w:rPr>
      </w:pPr>
      <w:r w:rsidRPr="00794F45">
        <w:rPr>
          <w:i/>
          <w:sz w:val="20"/>
          <w:lang w:val="fr-CA"/>
        </w:rPr>
        <w:tab/>
      </w:r>
      <w:proofErr w:type="spellStart"/>
      <w:r w:rsidRPr="00794F45">
        <w:rPr>
          <w:i/>
          <w:sz w:val="20"/>
          <w:lang w:val="fr-CA"/>
        </w:rPr>
        <w:t>Croft</w:t>
      </w:r>
      <w:proofErr w:type="spellEnd"/>
      <w:r w:rsidRPr="00794F45">
        <w:rPr>
          <w:i/>
          <w:sz w:val="20"/>
          <w:lang w:val="fr-CA"/>
        </w:rPr>
        <w:t xml:space="preserve"> </w:t>
      </w:r>
      <w:proofErr w:type="spellStart"/>
      <w:r w:rsidRPr="00794F45">
        <w:rPr>
          <w:i/>
          <w:sz w:val="20"/>
          <w:lang w:val="fr-CA"/>
        </w:rPr>
        <w:t>Michaelson</w:t>
      </w:r>
      <w:proofErr w:type="spellEnd"/>
      <w:r w:rsidRPr="00794F45">
        <w:rPr>
          <w:sz w:val="20"/>
          <w:lang w:val="fr-CA"/>
        </w:rPr>
        <w:t xml:space="preserve">, </w:t>
      </w:r>
      <w:r w:rsidRPr="00794F45">
        <w:rPr>
          <w:i/>
          <w:sz w:val="20"/>
          <w:lang w:val="fr-CA"/>
        </w:rPr>
        <w:t xml:space="preserve">Nancy </w:t>
      </w:r>
      <w:proofErr w:type="spellStart"/>
      <w:r w:rsidRPr="00794F45">
        <w:rPr>
          <w:i/>
          <w:sz w:val="20"/>
          <w:lang w:val="fr-CA"/>
        </w:rPr>
        <w:t>Dennison</w:t>
      </w:r>
      <w:proofErr w:type="spellEnd"/>
      <w:r w:rsidRPr="00794F45">
        <w:rPr>
          <w:i/>
          <w:sz w:val="20"/>
          <w:lang w:val="fr-CA"/>
        </w:rPr>
        <w:t xml:space="preserve"> </w:t>
      </w:r>
      <w:r w:rsidRPr="00794F45">
        <w:rPr>
          <w:sz w:val="20"/>
          <w:lang w:val="fr-CA"/>
        </w:rPr>
        <w:t xml:space="preserve">et </w:t>
      </w:r>
      <w:r w:rsidRPr="00794F45">
        <w:rPr>
          <w:i/>
          <w:sz w:val="20"/>
          <w:lang w:val="fr-CA"/>
        </w:rPr>
        <w:t>Sean Gaudet</w:t>
      </w:r>
      <w:r w:rsidRPr="00794F45">
        <w:rPr>
          <w:sz w:val="20"/>
          <w:lang w:val="fr-CA"/>
        </w:rPr>
        <w:t>, pour les intimés.</w:t>
      </w:r>
    </w:p>
    <w:p w:rsidR="00742072" w:rsidRDefault="00742072" w:rsidP="00742072">
      <w:pPr>
        <w:pStyle w:val="SCCNormalDoubleSpacing"/>
        <w:spacing w:line="240" w:lineRule="auto"/>
        <w:rPr>
          <w:i/>
          <w:sz w:val="20"/>
          <w:lang w:val="fr-CA"/>
        </w:rPr>
      </w:pPr>
    </w:p>
    <w:p w:rsidR="00742072" w:rsidRPr="00794F45" w:rsidRDefault="00742072" w:rsidP="00742072">
      <w:pPr>
        <w:pStyle w:val="SCCNormalDoubleSpacing"/>
        <w:spacing w:line="240" w:lineRule="auto"/>
        <w:rPr>
          <w:sz w:val="20"/>
          <w:lang w:val="fr-CA"/>
        </w:rPr>
      </w:pPr>
      <w:r w:rsidRPr="00794F45">
        <w:rPr>
          <w:i/>
          <w:sz w:val="20"/>
          <w:lang w:val="fr-CA"/>
        </w:rPr>
        <w:tab/>
        <w:t>Michael Bernstein</w:t>
      </w:r>
      <w:r w:rsidRPr="00794F45">
        <w:rPr>
          <w:sz w:val="20"/>
          <w:lang w:val="fr-CA"/>
        </w:rPr>
        <w:t>, pour l’intervenant le procureur général de l’Ontario.</w:t>
      </w:r>
    </w:p>
    <w:p w:rsidR="00742072" w:rsidRDefault="00742072" w:rsidP="00742072">
      <w:pPr>
        <w:pStyle w:val="SCCNormalDoubleSpacing"/>
        <w:spacing w:line="240" w:lineRule="auto"/>
        <w:rPr>
          <w:i/>
          <w:sz w:val="20"/>
          <w:lang w:val="fr-CA"/>
        </w:rPr>
      </w:pPr>
    </w:p>
    <w:p w:rsidR="00742072" w:rsidRPr="00794F45" w:rsidRDefault="00742072" w:rsidP="00742072">
      <w:pPr>
        <w:pStyle w:val="SCCNormalDoubleSpacing"/>
        <w:spacing w:line="240" w:lineRule="auto"/>
        <w:rPr>
          <w:sz w:val="20"/>
          <w:lang w:val="fr-CA"/>
        </w:rPr>
      </w:pPr>
      <w:r w:rsidRPr="00794F45">
        <w:rPr>
          <w:i/>
          <w:sz w:val="20"/>
          <w:lang w:val="fr-CA"/>
        </w:rPr>
        <w:tab/>
        <w:t>Anil K. Kapoor</w:t>
      </w:r>
      <w:r w:rsidRPr="00794F45">
        <w:rPr>
          <w:sz w:val="20"/>
          <w:lang w:val="fr-CA"/>
        </w:rPr>
        <w:t xml:space="preserve"> et </w:t>
      </w:r>
      <w:r w:rsidRPr="00794F45">
        <w:rPr>
          <w:i/>
          <w:sz w:val="20"/>
          <w:lang w:val="fr-CA"/>
        </w:rPr>
        <w:t xml:space="preserve">Lindsay L. </w:t>
      </w:r>
      <w:proofErr w:type="spellStart"/>
      <w:r w:rsidRPr="00794F45">
        <w:rPr>
          <w:i/>
          <w:sz w:val="20"/>
          <w:lang w:val="fr-CA"/>
        </w:rPr>
        <w:t>Daviau</w:t>
      </w:r>
      <w:proofErr w:type="spellEnd"/>
      <w:r w:rsidRPr="00794F45">
        <w:rPr>
          <w:sz w:val="20"/>
          <w:lang w:val="fr-CA"/>
        </w:rPr>
        <w:t>, pour l’intervenante l’Association canadienne des libertés civiles.</w:t>
      </w:r>
    </w:p>
    <w:p w:rsidR="00742072" w:rsidRDefault="00742072" w:rsidP="00742072">
      <w:pPr>
        <w:pStyle w:val="SCCNormalDoubleSpacing"/>
        <w:spacing w:line="240" w:lineRule="auto"/>
        <w:rPr>
          <w:i/>
          <w:sz w:val="20"/>
          <w:lang w:val="fr-CA"/>
        </w:rPr>
      </w:pPr>
    </w:p>
    <w:p w:rsidR="00742072" w:rsidRPr="00794F45" w:rsidRDefault="00742072" w:rsidP="00742072">
      <w:pPr>
        <w:pStyle w:val="SCCNormalDoubleSpacing"/>
        <w:spacing w:line="240" w:lineRule="auto"/>
        <w:rPr>
          <w:sz w:val="20"/>
          <w:lang w:val="fr-CA"/>
        </w:rPr>
      </w:pPr>
      <w:r w:rsidRPr="00794F45">
        <w:rPr>
          <w:i/>
          <w:sz w:val="20"/>
          <w:lang w:val="fr-CA"/>
        </w:rPr>
        <w:tab/>
        <w:t xml:space="preserve">Kent </w:t>
      </w:r>
      <w:proofErr w:type="spellStart"/>
      <w:r w:rsidRPr="00794F45">
        <w:rPr>
          <w:i/>
          <w:sz w:val="20"/>
          <w:lang w:val="fr-CA"/>
        </w:rPr>
        <w:t>Roach</w:t>
      </w:r>
      <w:proofErr w:type="spellEnd"/>
      <w:r w:rsidRPr="00794F45">
        <w:rPr>
          <w:sz w:val="20"/>
          <w:lang w:val="fr-CA"/>
        </w:rPr>
        <w:t xml:space="preserve"> et </w:t>
      </w:r>
      <w:r w:rsidRPr="00794F45">
        <w:rPr>
          <w:i/>
          <w:sz w:val="20"/>
          <w:lang w:val="fr-CA"/>
        </w:rPr>
        <w:t xml:space="preserve">Michael </w:t>
      </w:r>
      <w:proofErr w:type="spellStart"/>
      <w:r w:rsidRPr="00794F45">
        <w:rPr>
          <w:i/>
          <w:sz w:val="20"/>
          <w:lang w:val="fr-CA"/>
        </w:rPr>
        <w:t>Fenrick</w:t>
      </w:r>
      <w:proofErr w:type="spellEnd"/>
      <w:r w:rsidRPr="00794F45">
        <w:rPr>
          <w:sz w:val="20"/>
          <w:lang w:val="fr-CA"/>
        </w:rPr>
        <w:t xml:space="preserve">, pour l’intervenante l’Association des libertés civiles de la </w:t>
      </w:r>
      <w:proofErr w:type="spellStart"/>
      <w:r w:rsidRPr="00794F45">
        <w:rPr>
          <w:sz w:val="20"/>
          <w:lang w:val="fr-CA"/>
        </w:rPr>
        <w:t>Colombie</w:t>
      </w:r>
      <w:r w:rsidRPr="00794F45">
        <w:rPr>
          <w:sz w:val="20"/>
          <w:lang w:val="fr-CA"/>
        </w:rPr>
        <w:noBreakHyphen/>
        <w:t>Britannique</w:t>
      </w:r>
      <w:proofErr w:type="spellEnd"/>
      <w:r w:rsidRPr="00794F45">
        <w:rPr>
          <w:sz w:val="20"/>
          <w:lang w:val="fr-CA"/>
        </w:rPr>
        <w:t>.</w:t>
      </w:r>
    </w:p>
    <w:p w:rsidR="00742072" w:rsidRDefault="00742072" w:rsidP="00742072">
      <w:pPr>
        <w:pStyle w:val="SCCLawFirm"/>
        <w:spacing w:line="240" w:lineRule="auto"/>
        <w:rPr>
          <w:sz w:val="20"/>
          <w:lang w:val="fr-CA"/>
        </w:rPr>
      </w:pPr>
    </w:p>
    <w:p w:rsidR="00742072" w:rsidRDefault="00742072">
      <w:pPr>
        <w:rPr>
          <w:rFonts w:eastAsia="Times New Roman" w:cs="Times New Roman"/>
          <w:i/>
          <w:sz w:val="20"/>
          <w:szCs w:val="20"/>
          <w:lang w:val="fr-CA" w:eastAsia="en-CA"/>
        </w:rPr>
      </w:pPr>
      <w:r>
        <w:rPr>
          <w:sz w:val="20"/>
          <w:lang w:val="fr-CA"/>
        </w:rPr>
        <w:br w:type="page"/>
      </w:r>
    </w:p>
    <w:p w:rsidR="00742072" w:rsidRPr="00794F45" w:rsidRDefault="00742072" w:rsidP="00742072">
      <w:pPr>
        <w:pStyle w:val="SCCLawFirm"/>
        <w:spacing w:line="240" w:lineRule="auto"/>
        <w:rPr>
          <w:sz w:val="20"/>
          <w:lang w:val="fr-CA"/>
        </w:rPr>
      </w:pPr>
      <w:r w:rsidRPr="00794F45">
        <w:rPr>
          <w:sz w:val="20"/>
          <w:lang w:val="fr-CA"/>
        </w:rPr>
        <w:lastRenderedPageBreak/>
        <w:tab/>
        <w:t xml:space="preserve">Procureurs des appelants : John Norris, Toronto; </w:t>
      </w:r>
      <w:proofErr w:type="spellStart"/>
      <w:r w:rsidRPr="00794F45">
        <w:rPr>
          <w:sz w:val="20"/>
          <w:lang w:val="fr-CA"/>
        </w:rPr>
        <w:t>Breese</w:t>
      </w:r>
      <w:proofErr w:type="spellEnd"/>
      <w:r w:rsidRPr="00794F45">
        <w:rPr>
          <w:sz w:val="20"/>
          <w:lang w:val="fr-CA"/>
        </w:rPr>
        <w:t xml:space="preserve"> Davies Law, Toronto.</w:t>
      </w:r>
    </w:p>
    <w:p w:rsidR="00742072" w:rsidRDefault="00742072" w:rsidP="00742072">
      <w:pPr>
        <w:pStyle w:val="SCCLawFirm"/>
        <w:spacing w:line="240" w:lineRule="auto"/>
        <w:rPr>
          <w:sz w:val="20"/>
          <w:lang w:val="fr-CA"/>
        </w:rPr>
      </w:pPr>
    </w:p>
    <w:p w:rsidR="00742072" w:rsidRPr="00794F45" w:rsidRDefault="00742072" w:rsidP="00742072">
      <w:pPr>
        <w:pStyle w:val="SCCLawFirm"/>
        <w:spacing w:line="240" w:lineRule="auto"/>
        <w:rPr>
          <w:sz w:val="20"/>
          <w:lang w:val="fr-CA"/>
        </w:rPr>
      </w:pPr>
      <w:r w:rsidRPr="00794F45">
        <w:rPr>
          <w:sz w:val="20"/>
          <w:lang w:val="fr-CA"/>
        </w:rPr>
        <w:tab/>
        <w:t>Procureur des intimés : Procureur général du Canada, Toronto; Procureur général du Canada, Toronto.</w:t>
      </w:r>
    </w:p>
    <w:p w:rsidR="00742072" w:rsidRDefault="00742072" w:rsidP="00742072">
      <w:pPr>
        <w:pStyle w:val="SCCLawFirm"/>
        <w:spacing w:line="240" w:lineRule="auto"/>
        <w:rPr>
          <w:sz w:val="20"/>
          <w:lang w:val="fr-CA"/>
        </w:rPr>
      </w:pPr>
    </w:p>
    <w:p w:rsidR="00742072" w:rsidRPr="00794F45" w:rsidRDefault="00742072" w:rsidP="00742072">
      <w:pPr>
        <w:pStyle w:val="SCCLawFirm"/>
        <w:spacing w:line="240" w:lineRule="auto"/>
        <w:rPr>
          <w:sz w:val="20"/>
          <w:lang w:val="fr-CA"/>
        </w:rPr>
      </w:pPr>
      <w:r w:rsidRPr="00794F45">
        <w:rPr>
          <w:sz w:val="20"/>
          <w:lang w:val="fr-CA"/>
        </w:rPr>
        <w:tab/>
        <w:t>Procureur de l’intervenant le procureur général de l’Ontario : Procureur général de l’Ontario, Toronto.</w:t>
      </w:r>
    </w:p>
    <w:p w:rsidR="00742072" w:rsidRDefault="00742072" w:rsidP="00742072">
      <w:pPr>
        <w:pStyle w:val="SCCLawFirm"/>
        <w:spacing w:line="240" w:lineRule="auto"/>
        <w:rPr>
          <w:sz w:val="20"/>
          <w:lang w:val="fr-CA"/>
        </w:rPr>
      </w:pPr>
    </w:p>
    <w:p w:rsidR="00742072" w:rsidRPr="00794F45" w:rsidRDefault="00742072" w:rsidP="00742072">
      <w:pPr>
        <w:pStyle w:val="SCCLawFirm"/>
        <w:spacing w:line="240" w:lineRule="auto"/>
        <w:rPr>
          <w:sz w:val="20"/>
          <w:lang w:val="fr-CA"/>
        </w:rPr>
      </w:pPr>
      <w:r w:rsidRPr="00794F45">
        <w:rPr>
          <w:sz w:val="20"/>
          <w:lang w:val="fr-CA"/>
        </w:rPr>
        <w:tab/>
        <w:t xml:space="preserve">Procureurs de l’intervenante l’Association canadienne des libertés civiles : Kapoor </w:t>
      </w:r>
      <w:proofErr w:type="spellStart"/>
      <w:r w:rsidRPr="00794F45">
        <w:rPr>
          <w:sz w:val="20"/>
          <w:lang w:val="fr-CA"/>
        </w:rPr>
        <w:t>Barristers</w:t>
      </w:r>
      <w:proofErr w:type="spellEnd"/>
      <w:r w:rsidRPr="00794F45">
        <w:rPr>
          <w:sz w:val="20"/>
          <w:lang w:val="fr-CA"/>
        </w:rPr>
        <w:t>, Toronto.</w:t>
      </w:r>
    </w:p>
    <w:p w:rsidR="00742072" w:rsidRDefault="00742072" w:rsidP="00742072">
      <w:pPr>
        <w:pStyle w:val="SCCLawFirm"/>
        <w:spacing w:line="240" w:lineRule="auto"/>
        <w:contextualSpacing/>
        <w:rPr>
          <w:sz w:val="20"/>
          <w:lang w:val="fr-CA"/>
        </w:rPr>
      </w:pPr>
    </w:p>
    <w:p w:rsidR="00742072" w:rsidRDefault="00742072" w:rsidP="00742072">
      <w:pPr>
        <w:pStyle w:val="SCCLawFirm"/>
        <w:spacing w:line="240" w:lineRule="auto"/>
        <w:contextualSpacing/>
        <w:rPr>
          <w:sz w:val="20"/>
          <w:lang w:val="fr-CA"/>
        </w:rPr>
      </w:pPr>
      <w:r w:rsidRPr="00794F45">
        <w:rPr>
          <w:sz w:val="20"/>
          <w:lang w:val="fr-CA"/>
        </w:rPr>
        <w:tab/>
        <w:t xml:space="preserve">Procureurs de l’intervenante l’Association des libertés civiles de la </w:t>
      </w:r>
      <w:proofErr w:type="spellStart"/>
      <w:r w:rsidRPr="00794F45">
        <w:rPr>
          <w:sz w:val="20"/>
          <w:lang w:val="fr-CA"/>
        </w:rPr>
        <w:t>Colombie</w:t>
      </w:r>
      <w:r w:rsidRPr="00794F45">
        <w:rPr>
          <w:sz w:val="20"/>
          <w:lang w:val="fr-CA"/>
        </w:rPr>
        <w:noBreakHyphen/>
        <w:t>Britannique</w:t>
      </w:r>
      <w:proofErr w:type="spellEnd"/>
      <w:r w:rsidRPr="00794F45">
        <w:rPr>
          <w:sz w:val="20"/>
          <w:lang w:val="fr-CA"/>
        </w:rPr>
        <w:t> : </w:t>
      </w:r>
      <w:proofErr w:type="spellStart"/>
      <w:r w:rsidRPr="00794F45">
        <w:rPr>
          <w:sz w:val="20"/>
          <w:lang w:val="fr-CA"/>
        </w:rPr>
        <w:t>Paliare</w:t>
      </w:r>
      <w:proofErr w:type="spellEnd"/>
      <w:r w:rsidRPr="00794F45">
        <w:rPr>
          <w:sz w:val="20"/>
          <w:lang w:val="fr-CA"/>
        </w:rPr>
        <w:t xml:space="preserve">, Roland, Rosenberg, </w:t>
      </w:r>
      <w:proofErr w:type="spellStart"/>
      <w:r w:rsidRPr="00794F45">
        <w:rPr>
          <w:sz w:val="20"/>
          <w:lang w:val="fr-CA"/>
        </w:rPr>
        <w:t>Rothstein</w:t>
      </w:r>
      <w:proofErr w:type="spellEnd"/>
      <w:r w:rsidRPr="00794F45">
        <w:rPr>
          <w:sz w:val="20"/>
          <w:lang w:val="fr-CA"/>
        </w:rPr>
        <w:t>, Toronto.</w:t>
      </w:r>
    </w:p>
    <w:p w:rsidR="00B95D9D" w:rsidRPr="00742072" w:rsidRDefault="00B95D9D" w:rsidP="00B95D9D">
      <w:pPr>
        <w:rPr>
          <w:sz w:val="20"/>
          <w:szCs w:val="20"/>
          <w:lang w:val="fr-CA"/>
        </w:rPr>
      </w:pPr>
    </w:p>
    <w:p w:rsidR="00B95D9D" w:rsidRDefault="00D32E73" w:rsidP="00B95D9D">
      <w:pPr>
        <w:rPr>
          <w:rFonts w:cs="Times New Roman"/>
          <w:sz w:val="20"/>
          <w:szCs w:val="20"/>
          <w:lang w:val="fr-CA"/>
        </w:rPr>
      </w:pPr>
      <w:r w:rsidRPr="00D32E73">
        <w:rPr>
          <w:rFonts w:cs="Times New Roman"/>
          <w:sz w:val="20"/>
          <w:szCs w:val="20"/>
          <w:lang w:val="fr-CA"/>
        </w:rPr>
        <w:pict>
          <v:rect id="_x0000_i1080" style="width:144.3pt;height:1pt" o:hrpct="300" o:hralign="center" o:hrstd="t" o:hrnoshade="t" o:hr="t" fillcolor="black [3213]" stroked="f"/>
        </w:pict>
      </w:r>
    </w:p>
    <w:p w:rsidR="00B95D9D" w:rsidRDefault="00B95D9D" w:rsidP="00B95D9D">
      <w:pPr>
        <w:rPr>
          <w:sz w:val="20"/>
          <w:szCs w:val="20"/>
        </w:rPr>
      </w:pPr>
    </w:p>
    <w:p w:rsidR="00B95D9D" w:rsidRPr="003F4721" w:rsidRDefault="00B95D9D"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091FA6" w:rsidRPr="002E0C7E" w:rsidRDefault="00D32E73"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8F6F4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F6F48">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F6F48">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DECEMBER - DÉCEMBRE</w:t>
            </w:r>
          </w:p>
        </w:tc>
      </w:tr>
      <w:tr w:rsidR="00091FA6" w:rsidRPr="002E0C7E" w:rsidTr="008F6F4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r>
      <w:tr w:rsidR="00091FA6" w:rsidRPr="002E0C7E" w:rsidTr="008F6F4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w:t>
            </w:r>
          </w:p>
        </w:tc>
      </w:tr>
      <w:tr w:rsidR="00091FA6" w:rsidRPr="002E0C7E" w:rsidTr="008F6F48">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8F6F48">
            <w:pPr>
              <w:widowControl w:val="0"/>
              <w:jc w:val="center"/>
              <w:rPr>
                <w:rFonts w:ascii="Arial" w:hAnsi="Arial"/>
                <w:b/>
                <w:sz w:val="14"/>
              </w:rPr>
            </w:pPr>
            <w:r w:rsidRPr="000C583B">
              <w:rPr>
                <w:rFonts w:ascii="Arial" w:hAnsi="Arial"/>
                <w:b/>
                <w:sz w:val="14"/>
              </w:rPr>
              <w:t>H</w:t>
            </w:r>
          </w:p>
          <w:p w:rsidR="00091FA6" w:rsidRPr="002E0C7E" w:rsidRDefault="00091FA6" w:rsidP="008F6F48">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8F6F48">
            <w:pPr>
              <w:widowControl w:val="0"/>
              <w:jc w:val="center"/>
              <w:rPr>
                <w:rFonts w:ascii="Arial" w:hAnsi="Arial"/>
                <w:b/>
                <w:sz w:val="14"/>
              </w:rPr>
            </w:pPr>
            <w:r w:rsidRPr="000C583B">
              <w:rPr>
                <w:rFonts w:ascii="Arial" w:hAnsi="Arial"/>
                <w:b/>
                <w:sz w:val="14"/>
              </w:rPr>
              <w:t>M</w:t>
            </w:r>
          </w:p>
          <w:p w:rsidR="00091FA6" w:rsidRPr="002E0C7E" w:rsidRDefault="00091FA6" w:rsidP="008F6F48">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M</w:t>
            </w:r>
          </w:p>
          <w:p w:rsidR="00091FA6" w:rsidRPr="002E0C7E" w:rsidRDefault="00091FA6" w:rsidP="008F6F48">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M</w:t>
            </w:r>
          </w:p>
          <w:p w:rsidR="00091FA6" w:rsidRPr="002E0C7E" w:rsidRDefault="00091FA6" w:rsidP="008F6F48">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8</w:t>
            </w:r>
          </w:p>
        </w:tc>
      </w:tr>
      <w:tr w:rsidR="00091FA6" w:rsidRPr="002E0C7E" w:rsidTr="008F6F4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8F6F48">
            <w:pPr>
              <w:widowControl w:val="0"/>
              <w:jc w:val="center"/>
              <w:rPr>
                <w:rFonts w:ascii="Arial" w:hAnsi="Arial"/>
                <w:b/>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8F6F48">
            <w:pPr>
              <w:widowControl w:val="0"/>
              <w:jc w:val="center"/>
              <w:rPr>
                <w:rFonts w:ascii="Arial" w:hAnsi="Arial"/>
                <w:sz w:val="14"/>
              </w:rPr>
            </w:pPr>
            <w:r>
              <w:rPr>
                <w:rFonts w:ascii="Arial" w:hAnsi="Arial"/>
                <w:b/>
                <w:sz w:val="14"/>
              </w:rPr>
              <w:t>H</w:t>
            </w: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8F6F4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8F6F48">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Pr>
                <w:rFonts w:ascii="Arial" w:hAnsi="Arial"/>
                <w:sz w:val="14"/>
              </w:rPr>
              <w:t>23</w:t>
            </w:r>
          </w:p>
          <w:p w:rsidR="00091FA6" w:rsidRPr="002E0C7E" w:rsidRDefault="00091FA6" w:rsidP="008F6F48">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Pr>
                <w:rFonts w:ascii="Arial" w:hAnsi="Arial"/>
                <w:sz w:val="14"/>
              </w:rPr>
              <w:t>24</w:t>
            </w:r>
          </w:p>
          <w:p w:rsidR="00091FA6" w:rsidRPr="002E0C7E" w:rsidRDefault="00091FA6" w:rsidP="008F6F48">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H</w:t>
            </w: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8F6F4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F6F48">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F6F4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MARCH - MARS</w:t>
            </w:r>
          </w:p>
        </w:tc>
      </w:tr>
      <w:tr w:rsidR="00091FA6" w:rsidRPr="002E0C7E" w:rsidTr="008F6F48">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r>
      <w:tr w:rsidR="00091FA6" w:rsidRPr="002E0C7E" w:rsidTr="008F6F4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8F6F48">
            <w:pPr>
              <w:widowControl w:val="0"/>
              <w:jc w:val="center"/>
              <w:rPr>
                <w:rFonts w:ascii="Arial" w:hAnsi="Arial"/>
                <w:b/>
                <w:sz w:val="14"/>
              </w:rPr>
            </w:pPr>
            <w:r>
              <w:rPr>
                <w:rFonts w:ascii="Arial" w:hAnsi="Arial"/>
                <w:b/>
                <w:sz w:val="14"/>
              </w:rPr>
              <w:t>H</w:t>
            </w:r>
          </w:p>
          <w:p w:rsidR="00091FA6" w:rsidRPr="002E0C7E" w:rsidRDefault="00091FA6" w:rsidP="008F6F48">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r>
      <w:tr w:rsidR="00091FA6" w:rsidRPr="002E0C7E" w:rsidTr="008F6F4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r>
      <w:tr w:rsidR="00091FA6" w:rsidRPr="002E0C7E" w:rsidTr="008F6F48">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8F6F48">
            <w:pPr>
              <w:widowControl w:val="0"/>
              <w:jc w:val="center"/>
              <w:rPr>
                <w:rFonts w:ascii="Arial" w:hAnsi="Arial"/>
                <w:b/>
                <w:sz w:val="14"/>
              </w:rPr>
            </w:pPr>
            <w:r>
              <w:rPr>
                <w:rFonts w:ascii="Arial" w:hAnsi="Arial"/>
                <w:b/>
                <w:sz w:val="14"/>
              </w:rPr>
              <w:t>M</w:t>
            </w: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8F6F48">
            <w:pPr>
              <w:widowControl w:val="0"/>
              <w:jc w:val="center"/>
              <w:rPr>
                <w:rFonts w:ascii="Arial" w:hAnsi="Arial"/>
                <w:b/>
                <w:sz w:val="14"/>
              </w:rPr>
            </w:pPr>
            <w:r>
              <w:rPr>
                <w:rFonts w:ascii="Arial" w:hAnsi="Arial"/>
                <w:b/>
                <w:sz w:val="14"/>
              </w:rPr>
              <w:t>M</w:t>
            </w: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8F6F4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8F6F48">
            <w:pPr>
              <w:widowControl w:val="0"/>
              <w:jc w:val="center"/>
              <w:rPr>
                <w:rFonts w:ascii="Arial" w:hAnsi="Arial"/>
                <w:b/>
                <w:sz w:val="14"/>
              </w:rPr>
            </w:pPr>
            <w:r>
              <w:rPr>
                <w:rFonts w:ascii="Arial" w:hAnsi="Arial"/>
                <w:b/>
                <w:sz w:val="14"/>
              </w:rPr>
              <w:t>M</w:t>
            </w: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8F6F48">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Pr>
                <w:rFonts w:ascii="Arial" w:hAnsi="Arial"/>
                <w:sz w:val="14"/>
              </w:rPr>
              <w:t>24</w:t>
            </w:r>
          </w:p>
          <w:p w:rsidR="00091FA6" w:rsidRPr="002E0C7E" w:rsidRDefault="00091FA6" w:rsidP="008F6F48">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8F6F48">
            <w:pPr>
              <w:widowControl w:val="0"/>
              <w:jc w:val="center"/>
              <w:rPr>
                <w:rFonts w:ascii="Arial" w:hAnsi="Arial"/>
                <w:b/>
                <w:sz w:val="14"/>
              </w:rPr>
            </w:pPr>
            <w:r w:rsidRPr="00261B35">
              <w:rPr>
                <w:rFonts w:ascii="Arial" w:hAnsi="Arial"/>
                <w:b/>
                <w:sz w:val="14"/>
              </w:rPr>
              <w:t>H</w:t>
            </w:r>
          </w:p>
          <w:p w:rsidR="00091FA6" w:rsidRPr="002E0C7E" w:rsidRDefault="00091FA6" w:rsidP="008F6F48">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8F6F4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F6F4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F6F48">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8F6F48">
            <w:pPr>
              <w:widowControl w:val="0"/>
              <w:jc w:val="center"/>
              <w:rPr>
                <w:rFonts w:ascii="Arial" w:hAnsi="Arial"/>
                <w:sz w:val="14"/>
              </w:rPr>
            </w:pPr>
            <w:r w:rsidRPr="002E0C7E">
              <w:rPr>
                <w:rFonts w:ascii="Arial" w:hAnsi="Arial"/>
                <w:b/>
                <w:sz w:val="14"/>
              </w:rPr>
              <w:t>JUNE - JUIN</w:t>
            </w:r>
          </w:p>
        </w:tc>
      </w:tr>
      <w:tr w:rsidR="00091FA6" w:rsidRPr="002E0C7E" w:rsidTr="008F6F48">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M</w:t>
            </w:r>
          </w:p>
          <w:p w:rsidR="00091FA6" w:rsidRPr="002E0C7E" w:rsidRDefault="00091FA6" w:rsidP="008F6F4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W</w:t>
            </w:r>
          </w:p>
          <w:p w:rsidR="00091FA6" w:rsidRPr="002E0C7E" w:rsidRDefault="00091FA6" w:rsidP="008F6F4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T</w:t>
            </w:r>
          </w:p>
          <w:p w:rsidR="00091FA6" w:rsidRPr="002E0C7E" w:rsidRDefault="00091FA6" w:rsidP="008F6F4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F</w:t>
            </w:r>
          </w:p>
          <w:p w:rsidR="00091FA6" w:rsidRPr="002E0C7E" w:rsidRDefault="00091FA6" w:rsidP="008F6F4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sidRPr="002E0C7E">
              <w:rPr>
                <w:rFonts w:ascii="Arial" w:hAnsi="Arial"/>
                <w:sz w:val="14"/>
              </w:rPr>
              <w:t>s</w:t>
            </w:r>
          </w:p>
          <w:p w:rsidR="00091FA6" w:rsidRPr="002E0C7E" w:rsidRDefault="00091FA6" w:rsidP="008F6F48">
            <w:pPr>
              <w:widowControl w:val="0"/>
              <w:jc w:val="center"/>
              <w:rPr>
                <w:rFonts w:ascii="Arial" w:hAnsi="Arial"/>
                <w:sz w:val="14"/>
              </w:rPr>
            </w:pPr>
            <w:r w:rsidRPr="002E0C7E">
              <w:rPr>
                <w:rFonts w:ascii="Arial" w:hAnsi="Arial"/>
                <w:sz w:val="14"/>
              </w:rPr>
              <w:t>s</w:t>
            </w:r>
          </w:p>
        </w:tc>
      </w:tr>
      <w:tr w:rsidR="00091FA6" w:rsidRPr="002E0C7E" w:rsidTr="008F6F48">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8F6F48">
            <w:pPr>
              <w:widowControl w:val="0"/>
              <w:jc w:val="center"/>
              <w:rPr>
                <w:rFonts w:ascii="Arial" w:hAnsi="Arial"/>
                <w:b/>
                <w:sz w:val="14"/>
              </w:rPr>
            </w:pPr>
            <w:r w:rsidRPr="002453E3">
              <w:rPr>
                <w:rFonts w:ascii="Arial" w:hAnsi="Arial"/>
                <w:b/>
                <w:sz w:val="14"/>
              </w:rPr>
              <w:t>H</w:t>
            </w:r>
          </w:p>
          <w:p w:rsidR="00091FA6" w:rsidRPr="002E0C7E" w:rsidRDefault="00091FA6" w:rsidP="008F6F4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b/>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w:t>
            </w:r>
          </w:p>
        </w:tc>
      </w:tr>
      <w:tr w:rsidR="00091FA6" w:rsidRPr="002E0C7E" w:rsidTr="008F6F4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8F6F48">
            <w:pPr>
              <w:widowControl w:val="0"/>
              <w:jc w:val="center"/>
              <w:rPr>
                <w:rFonts w:ascii="Arial" w:hAnsi="Arial"/>
                <w:b/>
                <w:sz w:val="14"/>
              </w:rPr>
            </w:pPr>
          </w:p>
          <w:p w:rsidR="00091FA6" w:rsidRPr="002E0C7E" w:rsidRDefault="00091FA6" w:rsidP="008F6F4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8</w:t>
            </w:r>
          </w:p>
        </w:tc>
      </w:tr>
      <w:tr w:rsidR="00091FA6" w:rsidRPr="002E0C7E" w:rsidTr="008F6F48">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8F6F48">
            <w:pPr>
              <w:widowControl w:val="0"/>
              <w:jc w:val="center"/>
              <w:rPr>
                <w:rFonts w:ascii="Arial" w:hAnsi="Arial"/>
                <w:b/>
                <w:sz w:val="14"/>
              </w:rPr>
            </w:pPr>
            <w:r w:rsidRPr="00DB5777">
              <w:rPr>
                <w:rFonts w:ascii="Arial" w:hAnsi="Arial"/>
                <w:b/>
                <w:sz w:val="14"/>
              </w:rPr>
              <w:t>M</w:t>
            </w: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8F6F48">
            <w:pPr>
              <w:widowControl w:val="0"/>
              <w:jc w:val="center"/>
              <w:rPr>
                <w:rFonts w:ascii="Arial" w:hAnsi="Arial"/>
                <w:b/>
                <w:sz w:val="14"/>
              </w:rPr>
            </w:pPr>
            <w:r w:rsidRPr="002453E3">
              <w:rPr>
                <w:rFonts w:ascii="Arial" w:hAnsi="Arial"/>
                <w:b/>
                <w:sz w:val="14"/>
              </w:rPr>
              <w:t>M</w:t>
            </w: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8F6F48">
            <w:pPr>
              <w:widowControl w:val="0"/>
              <w:jc w:val="center"/>
              <w:rPr>
                <w:rFonts w:ascii="Arial" w:hAnsi="Arial"/>
                <w:b/>
                <w:sz w:val="14"/>
              </w:rPr>
            </w:pPr>
            <w:r w:rsidRPr="006A1E8D">
              <w:rPr>
                <w:rFonts w:ascii="Arial" w:hAnsi="Arial"/>
                <w:b/>
                <w:sz w:val="14"/>
              </w:rPr>
              <w:t>M</w:t>
            </w: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8F6F4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8F6F48">
            <w:pPr>
              <w:widowControl w:val="0"/>
              <w:jc w:val="center"/>
              <w:rPr>
                <w:rFonts w:ascii="Arial" w:hAnsi="Arial"/>
                <w:b/>
                <w:sz w:val="14"/>
              </w:rPr>
            </w:pPr>
            <w:r>
              <w:rPr>
                <w:rFonts w:ascii="Arial" w:hAnsi="Arial"/>
                <w:b/>
                <w:sz w:val="14"/>
              </w:rPr>
              <w:t>H</w:t>
            </w: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8F6F48">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r>
              <w:rPr>
                <w:rFonts w:ascii="Arial" w:hAnsi="Arial"/>
                <w:sz w:val="14"/>
              </w:rPr>
              <w:t>23</w:t>
            </w:r>
          </w:p>
          <w:p w:rsidR="00091FA6" w:rsidRPr="002E0C7E" w:rsidRDefault="00091FA6" w:rsidP="008F6F48">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F6F48">
            <w:pPr>
              <w:widowControl w:val="0"/>
              <w:jc w:val="center"/>
              <w:rPr>
                <w:rFonts w:ascii="Arial" w:hAnsi="Arial"/>
                <w:sz w:val="14"/>
              </w:rPr>
            </w:pPr>
          </w:p>
          <w:p w:rsidR="00091FA6" w:rsidRPr="002E0C7E" w:rsidRDefault="00091FA6" w:rsidP="008F6F4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8F6F48">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8F6F48">
            <w:pPr>
              <w:widowControl w:val="0"/>
              <w:rPr>
                <w:rFonts w:ascii="Arial" w:hAnsi="Arial"/>
                <w:sz w:val="16"/>
              </w:rPr>
            </w:pPr>
            <w:r w:rsidRPr="002E0C7E">
              <w:rPr>
                <w:rFonts w:ascii="Arial" w:hAnsi="Arial"/>
                <w:sz w:val="16"/>
              </w:rPr>
              <w:t>Sittings of the court:</w:t>
            </w:r>
          </w:p>
          <w:p w:rsidR="00091FA6" w:rsidRPr="002E0C7E" w:rsidRDefault="00091FA6" w:rsidP="008F6F4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8F6F48">
            <w:pPr>
              <w:widowControl w:val="0"/>
              <w:rPr>
                <w:rFonts w:ascii="Arial" w:hAnsi="Arial"/>
                <w:sz w:val="16"/>
              </w:rPr>
            </w:pPr>
          </w:p>
          <w:p w:rsidR="00091FA6" w:rsidRPr="002E0C7E" w:rsidRDefault="00091FA6" w:rsidP="008F6F4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8F6F4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8F6F4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8F6F48">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8F6F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48" w:rsidRDefault="008F6F48" w:rsidP="00A87207">
      <w:r>
        <w:separator/>
      </w:r>
    </w:p>
  </w:endnote>
  <w:endnote w:type="continuationSeparator" w:id="0">
    <w:p w:rsidR="008F6F48" w:rsidRDefault="008F6F4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pPr>
      <w:pStyle w:val="Footer"/>
      <w:rPr>
        <w:lang w:val="fr-CA"/>
      </w:rPr>
    </w:pPr>
    <w:r w:rsidRPr="00D32E73">
      <w:rPr>
        <w:lang w:val="fr-CA"/>
      </w:rPr>
      <w:pict>
        <v:rect id="_x0000_i1057" style="width:480.95pt;height:1pt" o:hralign="center" o:hrstd="t" o:hrnoshade="t" o:hr="t" fillcolor="black [3213]" stroked="f"/>
      </w:pict>
    </w:r>
  </w:p>
  <w:p w:rsidR="008F6F48" w:rsidRDefault="008F6F48" w:rsidP="00245129">
    <w:pPr>
      <w:tabs>
        <w:tab w:val="center" w:pos="4680"/>
      </w:tabs>
    </w:pPr>
    <w:r>
      <w:tab/>
    </w:r>
    <w:r w:rsidRPr="0009648D">
      <w:t xml:space="preserve">- </w:t>
    </w:r>
    <w:fldSimple w:instr=" PAGE   \* MERGEFORMAT ">
      <w:r w:rsidR="000D1758">
        <w:rPr>
          <w:noProof/>
        </w:rPr>
        <w:t>1942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6F48" w:rsidRDefault="008F6F4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755F22">
    <w:pPr>
      <w:tabs>
        <w:tab w:val="left" w:pos="-1440"/>
        <w:tab w:val="left" w:pos="-720"/>
      </w:tabs>
    </w:pPr>
    <w:r>
      <w:pict>
        <v:rect id="_x0000_i1060" style="width:480.95pt;height:1pt" o:hralign="center" o:hrstd="t" o:hrnoshade="t" o:hr="t" fillcolor="black [3213]" stroked="f"/>
      </w:pict>
    </w:r>
  </w:p>
  <w:p w:rsidR="008F6F48" w:rsidRDefault="008F6F48" w:rsidP="00EB2B90">
    <w:pPr>
      <w:tabs>
        <w:tab w:val="center" w:pos="4680"/>
      </w:tabs>
    </w:pPr>
    <w:r>
      <w:tab/>
      <w:t xml:space="preserve">- </w:t>
    </w:r>
    <w:fldSimple w:instr=" PAGE   \* MERGEFORMAT ">
      <w:r w:rsidR="000D1758">
        <w:rPr>
          <w:noProof/>
        </w:rPr>
        <w:t>1959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EB2B90">
    <w:pPr>
      <w:tabs>
        <w:tab w:val="center" w:pos="4680"/>
      </w:tabs>
    </w:pPr>
    <w:r>
      <w:pict>
        <v:rect id="_x0000_i1061" style="width:480.95pt;height:1pt" o:hralign="center" o:hrstd="t" o:hrnoshade="t" o:hr="t" fillcolor="black [3213]" stroked="f"/>
      </w:pict>
    </w:r>
  </w:p>
  <w:p w:rsidR="008F6F48" w:rsidRPr="0031432F" w:rsidRDefault="008F6F48" w:rsidP="00EB2B90">
    <w:pPr>
      <w:tabs>
        <w:tab w:val="center" w:pos="4680"/>
      </w:tabs>
    </w:pPr>
    <w:r>
      <w:tab/>
      <w:t xml:space="preserve">- </w:t>
    </w:r>
    <w:fldSimple w:instr=" PAGE   \* MERGEFORMAT ">
      <w:r w:rsidR="000D1758">
        <w:rPr>
          <w:noProof/>
        </w:rPr>
        <w:t>1957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6F48" w:rsidRDefault="008F6F4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732DB7">
    <w:r>
      <w:pict>
        <v:rect id="_x0000_i1067" style="width:480.95pt;height:1pt" o:hralign="center" o:hrstd="t" o:hrnoshade="t" o:hr="t" fillcolor="black" stroked="f"/>
      </w:pict>
    </w:r>
  </w:p>
  <w:p w:rsidR="008F6F48" w:rsidRDefault="008F6F48">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pPr>
      <w:pStyle w:val="Footer"/>
    </w:pPr>
    <w:r>
      <w:pict>
        <v:rect id="_x0000_i1068" style="width:480.95pt;height:1pt" o:hralign="center" o:hrstd="t" o:hrnoshade="t" o:hr="t" fillcolor="black" stroked="f"/>
      </w:pict>
    </w:r>
  </w:p>
  <w:p w:rsidR="008F6F48" w:rsidRPr="00283C52" w:rsidRDefault="008F6F48">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6F48" w:rsidRDefault="008F6F4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732DB7">
    <w:r>
      <w:pict>
        <v:rect id="_x0000_i1073" style="width:480.95pt;height:1pt" o:hralign="center" o:hrstd="t" o:hrnoshade="t" o:hr="t" fillcolor="black" stroked="f"/>
      </w:pict>
    </w:r>
  </w:p>
  <w:p w:rsidR="008F6F48" w:rsidRDefault="008F6F48">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pPr>
      <w:pStyle w:val="Footer"/>
    </w:pPr>
    <w:r>
      <w:pict>
        <v:rect id="_x0000_i1074" style="width:480.95pt;height:1pt" o:hralign="center" o:hrstd="t" o:hrnoshade="t" o:hr="t" fillcolor="black [3213]" stroked="f"/>
      </w:pict>
    </w:r>
  </w:p>
  <w:p w:rsidR="008F6F48" w:rsidRPr="003C2C0F" w:rsidRDefault="008F6F48" w:rsidP="00697C62">
    <w:pPr>
      <w:tabs>
        <w:tab w:val="center" w:pos="4680"/>
      </w:tabs>
    </w:pPr>
    <w:r>
      <w:tab/>
      <w:t xml:space="preserve">- </w:t>
    </w:r>
    <w:fldSimple w:instr=" PAGE   \* MERGEFORMAT ">
      <w:r w:rsidR="000D1758">
        <w:rPr>
          <w:noProof/>
        </w:rPr>
        <w:t>1965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6F48" w:rsidRDefault="008F6F48">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F6F48" w:rsidRDefault="00D32E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8F6F48" w:rsidRDefault="008F6F48" w:rsidP="00782AE4">
    <w:pPr>
      <w:tabs>
        <w:tab w:val="center" w:pos="4680"/>
      </w:tabs>
    </w:pPr>
    <w:r>
      <w:tab/>
      <w:t xml:space="preserve">- </w:t>
    </w:r>
    <w:r w:rsidR="00D32E73" w:rsidRPr="001775C1">
      <w:rPr>
        <w:szCs w:val="24"/>
      </w:rPr>
      <w:fldChar w:fldCharType="begin"/>
    </w:r>
    <w:r w:rsidRPr="001775C1">
      <w:rPr>
        <w:szCs w:val="24"/>
      </w:rPr>
      <w:instrText xml:space="preserve"> PAGE   \* MERGEFORMAT </w:instrText>
    </w:r>
    <w:r w:rsidR="00D32E73" w:rsidRPr="001775C1">
      <w:rPr>
        <w:szCs w:val="24"/>
      </w:rPr>
      <w:fldChar w:fldCharType="separate"/>
    </w:r>
    <w:r w:rsidR="000D1758">
      <w:rPr>
        <w:noProof/>
        <w:szCs w:val="24"/>
      </w:rPr>
      <w:t>1983</w:t>
    </w:r>
    <w:r w:rsidR="00D32E73"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782AE4">
    <w:pPr>
      <w:tabs>
        <w:tab w:val="center" w:pos="4680"/>
      </w:tabs>
    </w:pPr>
    <w:r>
      <w:pict>
        <v:rect id="_x0000_i1082" style="width:480.95pt;height:1pt" o:hralign="center" o:hrstd="t" o:hrnoshade="t" o:hr="t" fillcolor="black [3213]" stroked="f"/>
      </w:pict>
    </w:r>
  </w:p>
  <w:p w:rsidR="008F6F48" w:rsidRDefault="008F6F48" w:rsidP="00782AE4">
    <w:pPr>
      <w:tabs>
        <w:tab w:val="center" w:pos="4680"/>
      </w:tabs>
    </w:pPr>
    <w:r>
      <w:tab/>
      <w:t xml:space="preserve">- </w:t>
    </w:r>
    <w:r w:rsidR="00D32E73" w:rsidRPr="001775C1">
      <w:rPr>
        <w:szCs w:val="24"/>
      </w:rPr>
      <w:fldChar w:fldCharType="begin"/>
    </w:r>
    <w:r w:rsidRPr="001775C1">
      <w:rPr>
        <w:szCs w:val="24"/>
      </w:rPr>
      <w:instrText xml:space="preserve"> PAGE   \* MERGEFORMAT </w:instrText>
    </w:r>
    <w:r w:rsidR="00D32E73" w:rsidRPr="001775C1">
      <w:rPr>
        <w:szCs w:val="24"/>
      </w:rPr>
      <w:fldChar w:fldCharType="separate"/>
    </w:r>
    <w:r w:rsidR="000D1758">
      <w:rPr>
        <w:noProof/>
        <w:szCs w:val="24"/>
      </w:rPr>
      <w:t>1967</w:t>
    </w:r>
    <w:r w:rsidR="00D32E73"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Pr="00924065" w:rsidRDefault="008F6F48"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A87207">
    <w:pPr>
      <w:pStyle w:val="Footer"/>
    </w:pPr>
    <w:r>
      <w:pict>
        <v:rect id="_x0000_i1035" style="width:480.95pt;height:1pt" o:hralign="center" o:hrstd="t" o:hrnoshade="t" o:hr="t" fillcolor="black [3213]" stroked="f"/>
      </w:pict>
    </w:r>
  </w:p>
  <w:p w:rsidR="008F6F48" w:rsidRPr="00B7374B" w:rsidRDefault="008F6F48" w:rsidP="00B7374B">
    <w:pPr>
      <w:tabs>
        <w:tab w:val="center" w:pos="4680"/>
      </w:tabs>
      <w:rPr>
        <w:szCs w:val="24"/>
      </w:rPr>
    </w:pPr>
    <w:r w:rsidRPr="00954D22">
      <w:rPr>
        <w:szCs w:val="24"/>
      </w:rPr>
      <w:tab/>
      <w:t xml:space="preserve">- </w:t>
    </w:r>
    <w:r w:rsidR="00D32E73" w:rsidRPr="00954D22">
      <w:rPr>
        <w:szCs w:val="24"/>
      </w:rPr>
      <w:fldChar w:fldCharType="begin"/>
    </w:r>
    <w:r w:rsidRPr="00954D22">
      <w:rPr>
        <w:szCs w:val="24"/>
      </w:rPr>
      <w:instrText xml:space="preserve"> PAGE   \* MERGEFORMAT </w:instrText>
    </w:r>
    <w:r w:rsidR="00D32E73" w:rsidRPr="00954D22">
      <w:rPr>
        <w:szCs w:val="24"/>
      </w:rPr>
      <w:fldChar w:fldCharType="separate"/>
    </w:r>
    <w:r w:rsidR="000D1758">
      <w:rPr>
        <w:noProof/>
        <w:szCs w:val="24"/>
      </w:rPr>
      <w:t>1940</w:t>
    </w:r>
    <w:r w:rsidR="00D32E7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755F22">
    <w:pPr>
      <w:tabs>
        <w:tab w:val="left" w:pos="-1440"/>
        <w:tab w:val="left" w:pos="-720"/>
      </w:tabs>
    </w:pPr>
    <w:r>
      <w:pict>
        <v:rect id="_x0000_i1036" style="width:480.95pt;height:1pt" o:hralign="center" o:hrstd="t" o:hrnoshade="t" o:hr="t" fillcolor="black [3213]" stroked="f"/>
      </w:pict>
    </w:r>
  </w:p>
  <w:p w:rsidR="008F6F48" w:rsidRPr="00954D22" w:rsidRDefault="008F6F48" w:rsidP="00B7374B">
    <w:pPr>
      <w:tabs>
        <w:tab w:val="center" w:pos="4680"/>
      </w:tabs>
      <w:rPr>
        <w:szCs w:val="24"/>
      </w:rPr>
    </w:pPr>
    <w:r w:rsidRPr="00954D22">
      <w:rPr>
        <w:szCs w:val="24"/>
      </w:rPr>
      <w:tab/>
      <w:t xml:space="preserve">- </w:t>
    </w:r>
    <w:r w:rsidR="00D32E73">
      <w:rPr>
        <w:szCs w:val="24"/>
      </w:rPr>
      <w:fldChar w:fldCharType="begin"/>
    </w:r>
    <w:r>
      <w:rPr>
        <w:szCs w:val="24"/>
      </w:rPr>
      <w:instrText xml:space="preserve"> PAGE   \* MERGEFORMAT </w:instrText>
    </w:r>
    <w:r w:rsidR="00D32E73">
      <w:rPr>
        <w:szCs w:val="24"/>
      </w:rPr>
      <w:fldChar w:fldCharType="separate"/>
    </w:r>
    <w:r w:rsidR="000D1758">
      <w:rPr>
        <w:noProof/>
        <w:szCs w:val="24"/>
      </w:rPr>
      <w:t>1939</w:t>
    </w:r>
    <w:r w:rsidR="00D32E73">
      <w:rPr>
        <w:szCs w:val="24"/>
      </w:rPr>
      <w:fldChar w:fldCharType="end"/>
    </w:r>
    <w:r w:rsidRPr="00954D22">
      <w:rPr>
        <w:szCs w:val="24"/>
      </w:rPr>
      <w:t xml:space="preserve"> -</w:t>
    </w:r>
  </w:p>
  <w:p w:rsidR="008F6F48" w:rsidRDefault="008F6F4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A87207">
    <w:pPr>
      <w:pStyle w:val="Footer"/>
    </w:pPr>
    <w:r>
      <w:pict>
        <v:rect id="_x0000_i1038" style="width:480.95pt;height:1pt" o:hralign="center" o:hrstd="t" o:hrnoshade="t" o:hr="t" fillcolor="black [3213]" stroked="f"/>
      </w:pict>
    </w:r>
  </w:p>
  <w:p w:rsidR="008F6F48" w:rsidRPr="00B7374B" w:rsidRDefault="008F6F48" w:rsidP="00B7374B">
    <w:pPr>
      <w:tabs>
        <w:tab w:val="center" w:pos="4680"/>
      </w:tabs>
      <w:rPr>
        <w:szCs w:val="24"/>
      </w:rPr>
    </w:pPr>
    <w:r w:rsidRPr="00954D22">
      <w:rPr>
        <w:szCs w:val="24"/>
      </w:rPr>
      <w:tab/>
      <w:t xml:space="preserve">- </w:t>
    </w:r>
    <w:r w:rsidR="00D32E73" w:rsidRPr="00954D22">
      <w:rPr>
        <w:szCs w:val="24"/>
      </w:rPr>
      <w:fldChar w:fldCharType="begin"/>
    </w:r>
    <w:r w:rsidRPr="00954D22">
      <w:rPr>
        <w:szCs w:val="24"/>
      </w:rPr>
      <w:instrText xml:space="preserve"> PAGE   \* MERGEFORMAT </w:instrText>
    </w:r>
    <w:r w:rsidR="00D32E73" w:rsidRPr="00954D22">
      <w:rPr>
        <w:szCs w:val="24"/>
      </w:rPr>
      <w:fldChar w:fldCharType="separate"/>
    </w:r>
    <w:r>
      <w:rPr>
        <w:noProof/>
        <w:szCs w:val="24"/>
      </w:rPr>
      <w:t>1942</w:t>
    </w:r>
    <w:r w:rsidR="00D32E7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8F6F48" w:rsidRPr="00954D22" w:rsidRDefault="008F6F48" w:rsidP="00B7374B">
    <w:pPr>
      <w:tabs>
        <w:tab w:val="center" w:pos="4680"/>
      </w:tabs>
      <w:rPr>
        <w:szCs w:val="24"/>
      </w:rPr>
    </w:pPr>
    <w:r w:rsidRPr="00954D22">
      <w:rPr>
        <w:szCs w:val="24"/>
      </w:rPr>
      <w:tab/>
      <w:t xml:space="preserve">- </w:t>
    </w:r>
    <w:r w:rsidR="00D32E73" w:rsidRPr="00954D22">
      <w:rPr>
        <w:szCs w:val="24"/>
      </w:rPr>
      <w:fldChar w:fldCharType="begin"/>
    </w:r>
    <w:r w:rsidRPr="00954D22">
      <w:rPr>
        <w:szCs w:val="24"/>
      </w:rPr>
      <w:instrText xml:space="preserve"> PAGE   \* MERGEFORMAT </w:instrText>
    </w:r>
    <w:r w:rsidR="00D32E73" w:rsidRPr="00954D22">
      <w:rPr>
        <w:szCs w:val="24"/>
      </w:rPr>
      <w:fldChar w:fldCharType="separate"/>
    </w:r>
    <w:r w:rsidR="000D1758">
      <w:rPr>
        <w:noProof/>
        <w:szCs w:val="24"/>
      </w:rPr>
      <w:t>1941</w:t>
    </w:r>
    <w:r w:rsidR="00D32E7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F6F48" w:rsidRDefault="008F6F4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D32E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32E73">
      <w:rPr>
        <w:lang w:val="fr-CA"/>
      </w:rPr>
      <w:pict>
        <v:rect id="_x0000_i1056" style="width:480.95pt;height:1pt" o:hralign="center" o:hrstd="t" o:hrnoshade="t" o:hr="t" fillcolor="black [3213]" stroked="f"/>
      </w:pict>
    </w:r>
  </w:p>
  <w:p w:rsidR="008F6F48" w:rsidRPr="0009648D" w:rsidRDefault="008F6F48" w:rsidP="00ED7E83">
    <w:pPr>
      <w:tabs>
        <w:tab w:val="center" w:pos="4680"/>
      </w:tabs>
    </w:pPr>
    <w:r>
      <w:tab/>
    </w:r>
    <w:r w:rsidRPr="0009648D">
      <w:t xml:space="preserve">- </w:t>
    </w:r>
    <w:fldSimple w:instr=" PAGE   \* MERGEFORMAT ">
      <w:r w:rsidR="000D1758">
        <w:rPr>
          <w:noProof/>
        </w:rPr>
        <w:t>1956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48" w:rsidRDefault="008F6F48" w:rsidP="00A87207">
      <w:r>
        <w:separator/>
      </w:r>
    </w:p>
  </w:footnote>
  <w:footnote w:type="continuationSeparator" w:id="0">
    <w:p w:rsidR="008F6F48" w:rsidRDefault="008F6F4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F6F48">
      <w:tc>
        <w:tcPr>
          <w:tcW w:w="423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F6F48"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F6F48"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F6F48">
      <w:trPr>
        <w:gridAfter w:val="2"/>
        <w:wAfter w:w="5250" w:type="dxa"/>
      </w:trPr>
      <w:tc>
        <w:tcPr>
          <w:tcW w:w="4230" w:type="dxa"/>
          <w:tcMar>
            <w:left w:w="0" w:type="dxa"/>
            <w:right w:w="0" w:type="dxa"/>
          </w:tcMar>
        </w:tcPr>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F6F48" w:rsidRPr="00755F22" w:rsidTr="00245129">
      <w:tc>
        <w:tcPr>
          <w:tcW w:w="4230" w:type="dxa"/>
          <w:tcMar>
            <w:left w:w="0" w:type="dxa"/>
            <w:right w:w="0" w:type="dxa"/>
          </w:tcMar>
        </w:tcPr>
        <w:p w:rsidR="008F6F48" w:rsidRPr="00755F22" w:rsidRDefault="008F6F48" w:rsidP="00831CA9">
          <w:pPr>
            <w:keepNext/>
            <w:keepLines/>
            <w:rPr>
              <w:sz w:val="20"/>
              <w:szCs w:val="20"/>
            </w:rPr>
          </w:pPr>
          <w:r w:rsidRPr="00755F22">
            <w:rPr>
              <w:sz w:val="20"/>
              <w:szCs w:val="20"/>
            </w:rPr>
            <w:t>MOTIONS</w:t>
          </w:r>
        </w:p>
      </w:tc>
      <w:tc>
        <w:tcPr>
          <w:tcW w:w="1170" w:type="dxa"/>
          <w:tcMar>
            <w:left w:w="0" w:type="dxa"/>
            <w:right w:w="0" w:type="dxa"/>
          </w:tcMar>
        </w:tcPr>
        <w:p w:rsidR="008F6F48" w:rsidRPr="00755F22" w:rsidRDefault="008F6F48" w:rsidP="00831CA9">
          <w:pPr>
            <w:keepLines/>
            <w:jc w:val="center"/>
            <w:rPr>
              <w:sz w:val="20"/>
              <w:szCs w:val="20"/>
            </w:rPr>
          </w:pPr>
        </w:p>
        <w:p w:rsidR="008F6F48" w:rsidRPr="00755F22" w:rsidRDefault="008F6F48" w:rsidP="00831CA9">
          <w:pPr>
            <w:keepLines/>
            <w:tabs>
              <w:tab w:val="left" w:pos="-1440"/>
              <w:tab w:val="left" w:pos="-720"/>
            </w:tabs>
            <w:jc w:val="center"/>
            <w:rPr>
              <w:sz w:val="20"/>
              <w:szCs w:val="20"/>
            </w:rPr>
          </w:pPr>
        </w:p>
      </w:tc>
      <w:tc>
        <w:tcPr>
          <w:tcW w:w="4080" w:type="dxa"/>
          <w:tcMar>
            <w:left w:w="0" w:type="dxa"/>
            <w:right w:w="0" w:type="dxa"/>
          </w:tcMar>
        </w:tcPr>
        <w:p w:rsidR="008F6F48" w:rsidRPr="00BA6468" w:rsidRDefault="008F6F48" w:rsidP="00BA6468">
          <w:pPr>
            <w:keepLines/>
            <w:rPr>
              <w:sz w:val="20"/>
              <w:szCs w:val="20"/>
              <w:lang w:val="fr-CA"/>
            </w:rPr>
          </w:pPr>
          <w:r w:rsidRPr="00BA6468">
            <w:rPr>
              <w:sz w:val="20"/>
              <w:szCs w:val="20"/>
              <w:lang w:val="fr-CA"/>
            </w:rPr>
            <w:t>REQUÊTES</w:t>
          </w:r>
        </w:p>
      </w:tc>
    </w:tr>
  </w:tbl>
  <w:p w:rsidR="008F6F48" w:rsidRDefault="008F6F4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F6F48" w:rsidRPr="005C0B5F">
      <w:tc>
        <w:tcPr>
          <w:tcW w:w="420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F6F48" w:rsidRPr="00283C52"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F6F48" w:rsidRPr="00283C52"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F6F48" w:rsidRPr="00283C52"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F6F48" w:rsidRPr="005C0B5F" w:rsidTr="00245129">
      <w:tc>
        <w:tcPr>
          <w:tcW w:w="4200" w:type="dxa"/>
          <w:tcMar>
            <w:left w:w="0" w:type="dxa"/>
            <w:right w:w="0" w:type="dxa"/>
          </w:tcMar>
        </w:tcPr>
        <w:p w:rsidR="008F6F48" w:rsidRPr="00732DB7" w:rsidRDefault="008F6F4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F6F48" w:rsidRPr="00732DB7" w:rsidRDefault="008F6F48" w:rsidP="00732DB7">
          <w:pPr>
            <w:keepNext/>
            <w:keepLines/>
            <w:tabs>
              <w:tab w:val="left" w:pos="-1440"/>
              <w:tab w:val="left" w:pos="-720"/>
            </w:tabs>
            <w:jc w:val="center"/>
            <w:rPr>
              <w:sz w:val="20"/>
              <w:szCs w:val="20"/>
            </w:rPr>
          </w:pPr>
        </w:p>
        <w:p w:rsidR="008F6F48" w:rsidRPr="00732DB7" w:rsidRDefault="008F6F48" w:rsidP="00732DB7">
          <w:pPr>
            <w:keepNext/>
            <w:keepLines/>
            <w:tabs>
              <w:tab w:val="left" w:pos="-1440"/>
              <w:tab w:val="left" w:pos="-720"/>
            </w:tabs>
            <w:jc w:val="center"/>
            <w:rPr>
              <w:sz w:val="20"/>
              <w:szCs w:val="20"/>
            </w:rPr>
          </w:pPr>
        </w:p>
        <w:p w:rsidR="008F6F48" w:rsidRPr="00732DB7" w:rsidRDefault="008F6F48" w:rsidP="00732DB7">
          <w:pPr>
            <w:keepNext/>
            <w:keepLines/>
            <w:tabs>
              <w:tab w:val="left" w:pos="-1440"/>
              <w:tab w:val="left" w:pos="-720"/>
            </w:tabs>
            <w:jc w:val="center"/>
            <w:rPr>
              <w:sz w:val="20"/>
              <w:szCs w:val="20"/>
            </w:rPr>
          </w:pPr>
        </w:p>
      </w:tc>
      <w:tc>
        <w:tcPr>
          <w:tcW w:w="4080" w:type="dxa"/>
          <w:tcMar>
            <w:left w:w="0" w:type="dxa"/>
            <w:right w:w="0" w:type="dxa"/>
          </w:tcMar>
        </w:tcPr>
        <w:p w:rsidR="008F6F48" w:rsidRPr="00732DB7" w:rsidRDefault="008F6F4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F6F48" w:rsidRPr="00283C52" w:rsidRDefault="008F6F4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F6F48" w:rsidRPr="005C0B5F">
      <w:tc>
        <w:tcPr>
          <w:tcW w:w="420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F6F48" w:rsidRPr="003C2C0F"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F6F48" w:rsidRPr="003C2C0F"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F6F48" w:rsidRPr="003C2C0F"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F6F48" w:rsidRPr="005C0B5F" w:rsidTr="00245129">
      <w:tc>
        <w:tcPr>
          <w:tcW w:w="4200" w:type="dxa"/>
          <w:tcMar>
            <w:left w:w="0" w:type="dxa"/>
            <w:right w:w="0" w:type="dxa"/>
          </w:tcMar>
        </w:tcPr>
        <w:p w:rsidR="008F6F48" w:rsidRPr="00FF6EEC" w:rsidRDefault="008F6F48" w:rsidP="00FF6EEC">
          <w:pPr>
            <w:rPr>
              <w:sz w:val="20"/>
              <w:szCs w:val="20"/>
            </w:rPr>
          </w:pPr>
          <w:r w:rsidRPr="00FF6EEC">
            <w:rPr>
              <w:sz w:val="20"/>
              <w:szCs w:val="20"/>
            </w:rPr>
            <w:t>PRONOUNCEMENTS OF APPEALS RESERVED</w:t>
          </w:r>
        </w:p>
      </w:tc>
      <w:tc>
        <w:tcPr>
          <w:tcW w:w="1200" w:type="dxa"/>
          <w:tcMar>
            <w:left w:w="0" w:type="dxa"/>
            <w:right w:w="0" w:type="dxa"/>
          </w:tcMar>
        </w:tcPr>
        <w:p w:rsidR="008F6F48" w:rsidRPr="00FF6EEC" w:rsidRDefault="008F6F48" w:rsidP="00FF6EEC">
          <w:pPr>
            <w:jc w:val="center"/>
            <w:rPr>
              <w:sz w:val="20"/>
              <w:szCs w:val="20"/>
            </w:rPr>
          </w:pPr>
        </w:p>
        <w:p w:rsidR="008F6F48" w:rsidRPr="00FF6EEC" w:rsidRDefault="008F6F48" w:rsidP="00FF6EEC">
          <w:pPr>
            <w:jc w:val="center"/>
            <w:rPr>
              <w:sz w:val="20"/>
              <w:szCs w:val="20"/>
            </w:rPr>
          </w:pPr>
        </w:p>
        <w:p w:rsidR="008F6F48" w:rsidRPr="00FF6EEC" w:rsidRDefault="008F6F48" w:rsidP="00FF6EEC">
          <w:pPr>
            <w:jc w:val="center"/>
            <w:rPr>
              <w:sz w:val="20"/>
              <w:szCs w:val="20"/>
            </w:rPr>
          </w:pPr>
        </w:p>
      </w:tc>
      <w:tc>
        <w:tcPr>
          <w:tcW w:w="4080" w:type="dxa"/>
          <w:tcMar>
            <w:left w:w="0" w:type="dxa"/>
            <w:right w:w="0" w:type="dxa"/>
          </w:tcMar>
        </w:tcPr>
        <w:p w:rsidR="008F6F48" w:rsidRPr="00FF6EEC" w:rsidRDefault="008F6F48" w:rsidP="00FF6EEC">
          <w:pPr>
            <w:rPr>
              <w:sz w:val="20"/>
              <w:szCs w:val="20"/>
              <w:lang w:val="fr-CA"/>
            </w:rPr>
          </w:pPr>
          <w:r w:rsidRPr="00FF6EEC">
            <w:rPr>
              <w:sz w:val="20"/>
              <w:szCs w:val="20"/>
              <w:lang w:val="fr-CA"/>
            </w:rPr>
            <w:t>JUGEMENTS RENDUS SUR LES APPELS EN DÉLIBÉRÉ</w:t>
          </w:r>
        </w:p>
      </w:tc>
    </w:tr>
  </w:tbl>
  <w:p w:rsidR="008F6F48" w:rsidRPr="003C2C0F" w:rsidRDefault="008F6F4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F6F48">
      <w:tc>
        <w:tcPr>
          <w:tcW w:w="423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F6F48"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F6F48"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F6F48" w:rsidRPr="00782AE4" w:rsidTr="00245129">
      <w:tc>
        <w:tcPr>
          <w:tcW w:w="4230" w:type="dxa"/>
          <w:tcMar>
            <w:left w:w="0" w:type="dxa"/>
            <w:right w:w="0" w:type="dxa"/>
          </w:tcMar>
        </w:tcPr>
        <w:p w:rsidR="008F6F48" w:rsidRPr="00782AE4" w:rsidRDefault="008F6F48" w:rsidP="00102926">
          <w:pPr>
            <w:keepNext/>
            <w:keepLines/>
            <w:tabs>
              <w:tab w:val="left" w:pos="-1440"/>
              <w:tab w:val="left" w:pos="-720"/>
            </w:tabs>
            <w:rPr>
              <w:sz w:val="20"/>
              <w:szCs w:val="20"/>
            </w:rPr>
          </w:pPr>
          <w:r w:rsidRPr="00782AE4">
            <w:rPr>
              <w:sz w:val="20"/>
              <w:szCs w:val="20"/>
            </w:rPr>
            <w:t xml:space="preserve">HEADNOTES OF RECENT </w:t>
          </w:r>
        </w:p>
        <w:p w:rsidR="008F6F48" w:rsidRPr="00782AE4"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F6F48" w:rsidRDefault="008F6F48" w:rsidP="00102926">
          <w:pPr>
            <w:keepNext/>
            <w:keepLines/>
            <w:tabs>
              <w:tab w:val="left" w:pos="-1440"/>
              <w:tab w:val="left" w:pos="-720"/>
            </w:tabs>
            <w:jc w:val="center"/>
            <w:rPr>
              <w:sz w:val="20"/>
              <w:szCs w:val="20"/>
            </w:rPr>
          </w:pPr>
        </w:p>
        <w:p w:rsidR="008F6F48" w:rsidRDefault="008F6F48" w:rsidP="00102926">
          <w:pPr>
            <w:keepNext/>
            <w:keepLines/>
            <w:tabs>
              <w:tab w:val="left" w:pos="-1440"/>
              <w:tab w:val="left" w:pos="-720"/>
            </w:tabs>
            <w:jc w:val="center"/>
            <w:rPr>
              <w:sz w:val="20"/>
              <w:szCs w:val="20"/>
            </w:rPr>
          </w:pPr>
        </w:p>
        <w:p w:rsidR="008F6F48" w:rsidRPr="00782AE4" w:rsidRDefault="008F6F48" w:rsidP="00102926">
          <w:pPr>
            <w:keepNext/>
            <w:keepLines/>
            <w:tabs>
              <w:tab w:val="left" w:pos="-1440"/>
              <w:tab w:val="left" w:pos="-720"/>
            </w:tabs>
            <w:jc w:val="center"/>
            <w:rPr>
              <w:sz w:val="20"/>
              <w:szCs w:val="20"/>
            </w:rPr>
          </w:pPr>
        </w:p>
      </w:tc>
      <w:tc>
        <w:tcPr>
          <w:tcW w:w="4080" w:type="dxa"/>
          <w:tcMar>
            <w:left w:w="0" w:type="dxa"/>
            <w:right w:w="0" w:type="dxa"/>
          </w:tcMar>
        </w:tcPr>
        <w:p w:rsidR="008F6F48" w:rsidRPr="00102926"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F6F48" w:rsidRPr="00782AE4" w:rsidRDefault="008F6F48" w:rsidP="00102926">
          <w:pPr>
            <w:keepLines/>
            <w:tabs>
              <w:tab w:val="left" w:pos="-1440"/>
              <w:tab w:val="left" w:pos="-720"/>
            </w:tabs>
            <w:rPr>
              <w:sz w:val="20"/>
              <w:szCs w:val="20"/>
            </w:rPr>
          </w:pPr>
          <w:r w:rsidRPr="00102926">
            <w:rPr>
              <w:sz w:val="20"/>
              <w:szCs w:val="20"/>
              <w:lang w:val="fr-CA"/>
            </w:rPr>
            <w:t>RÉCENTS</w:t>
          </w:r>
        </w:p>
      </w:tc>
    </w:tr>
  </w:tbl>
  <w:p w:rsidR="008F6F48" w:rsidRDefault="008F6F4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F6F48" w:rsidRPr="0044776A" w:rsidTr="00245129">
      <w:tc>
        <w:tcPr>
          <w:tcW w:w="4290" w:type="dxa"/>
          <w:tcMar>
            <w:left w:w="0" w:type="dxa"/>
            <w:right w:w="0" w:type="dxa"/>
          </w:tcMar>
        </w:tcPr>
        <w:p w:rsidR="008F6F48" w:rsidRPr="0044776A" w:rsidRDefault="008F6F4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F6F48" w:rsidRPr="0044776A" w:rsidRDefault="008F6F48" w:rsidP="002E2327">
          <w:pPr>
            <w:keepNext/>
            <w:keepLines/>
            <w:tabs>
              <w:tab w:val="left" w:pos="-1440"/>
              <w:tab w:val="left" w:pos="-720"/>
            </w:tabs>
            <w:jc w:val="center"/>
            <w:rPr>
              <w:sz w:val="20"/>
              <w:szCs w:val="20"/>
            </w:rPr>
          </w:pPr>
        </w:p>
        <w:p w:rsidR="008F6F48" w:rsidRPr="0044776A" w:rsidRDefault="008F6F48" w:rsidP="002E2327">
          <w:pPr>
            <w:keepNext/>
            <w:keepLines/>
            <w:tabs>
              <w:tab w:val="left" w:pos="-1440"/>
              <w:tab w:val="left" w:pos="-720"/>
            </w:tabs>
            <w:jc w:val="center"/>
            <w:rPr>
              <w:sz w:val="20"/>
              <w:szCs w:val="20"/>
            </w:rPr>
          </w:pPr>
        </w:p>
        <w:p w:rsidR="008F6F48" w:rsidRPr="0044776A" w:rsidRDefault="008F6F48" w:rsidP="002E2327">
          <w:pPr>
            <w:keepNext/>
            <w:keepLines/>
            <w:tabs>
              <w:tab w:val="left" w:pos="-1440"/>
              <w:tab w:val="left" w:pos="-720"/>
            </w:tabs>
            <w:jc w:val="center"/>
            <w:rPr>
              <w:sz w:val="20"/>
              <w:szCs w:val="20"/>
            </w:rPr>
          </w:pPr>
        </w:p>
      </w:tc>
      <w:tc>
        <w:tcPr>
          <w:tcW w:w="4320" w:type="dxa"/>
          <w:tcMar>
            <w:left w:w="0" w:type="dxa"/>
            <w:right w:w="0" w:type="dxa"/>
          </w:tcMar>
        </w:tcPr>
        <w:p w:rsidR="008F6F48" w:rsidRPr="0044776A" w:rsidRDefault="008F6F48" w:rsidP="002E2327">
          <w:pPr>
            <w:keepLines/>
            <w:rPr>
              <w:sz w:val="20"/>
              <w:szCs w:val="20"/>
              <w:lang w:val="fr-CA"/>
            </w:rPr>
          </w:pPr>
          <w:r w:rsidRPr="0044776A">
            <w:rPr>
              <w:sz w:val="20"/>
              <w:szCs w:val="20"/>
              <w:lang w:val="fr-CA"/>
            </w:rPr>
            <w:t>DEMANDES D'AUTORISATION D'APPEL DÉPOSÉES</w:t>
          </w:r>
        </w:p>
      </w:tc>
    </w:tr>
  </w:tbl>
  <w:p w:rsidR="008F6F48" w:rsidRDefault="008F6F4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F6F48" w:rsidRPr="005C0B5F" w:rsidTr="00245129">
      <w:tc>
        <w:tcPr>
          <w:tcW w:w="4200" w:type="dxa"/>
          <w:tcMar>
            <w:left w:w="0" w:type="dxa"/>
            <w:right w:w="0" w:type="dxa"/>
          </w:tcMar>
        </w:tcPr>
        <w:p w:rsidR="008F6F48" w:rsidRPr="0044776A" w:rsidRDefault="008F6F48" w:rsidP="0044776A">
          <w:pPr>
            <w:keepNext/>
            <w:keepLines/>
            <w:widowControl w:val="0"/>
            <w:rPr>
              <w:sz w:val="20"/>
              <w:szCs w:val="20"/>
            </w:rPr>
          </w:pPr>
          <w:r>
            <w:rPr>
              <w:sz w:val="20"/>
              <w:szCs w:val="20"/>
            </w:rPr>
            <w:t>APPLICATIONS FOR LEAVE</w:t>
          </w:r>
        </w:p>
        <w:p w:rsidR="008F6F48" w:rsidRPr="0044776A" w:rsidRDefault="008F6F4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F6F48" w:rsidRPr="0044776A" w:rsidRDefault="008F6F48" w:rsidP="0044776A">
          <w:pPr>
            <w:keepNext/>
            <w:keepLines/>
            <w:widowControl w:val="0"/>
            <w:jc w:val="center"/>
            <w:rPr>
              <w:sz w:val="20"/>
              <w:szCs w:val="20"/>
            </w:rPr>
          </w:pPr>
        </w:p>
        <w:p w:rsidR="008F6F48" w:rsidRPr="0044776A" w:rsidRDefault="008F6F48" w:rsidP="0044776A">
          <w:pPr>
            <w:keepNext/>
            <w:keepLines/>
            <w:widowControl w:val="0"/>
            <w:jc w:val="center"/>
            <w:rPr>
              <w:sz w:val="20"/>
              <w:szCs w:val="20"/>
            </w:rPr>
          </w:pPr>
        </w:p>
        <w:p w:rsidR="008F6F48" w:rsidRPr="0044776A" w:rsidRDefault="008F6F48" w:rsidP="0044776A">
          <w:pPr>
            <w:keepNext/>
            <w:keepLines/>
            <w:widowControl w:val="0"/>
            <w:jc w:val="center"/>
            <w:rPr>
              <w:sz w:val="20"/>
              <w:szCs w:val="20"/>
            </w:rPr>
          </w:pPr>
        </w:p>
      </w:tc>
      <w:tc>
        <w:tcPr>
          <w:tcW w:w="4080" w:type="dxa"/>
          <w:tcMar>
            <w:left w:w="0" w:type="dxa"/>
            <w:right w:w="0" w:type="dxa"/>
          </w:tcMar>
        </w:tcPr>
        <w:p w:rsidR="008F6F48" w:rsidRPr="0044776A" w:rsidRDefault="008F6F48" w:rsidP="0044776A">
          <w:pPr>
            <w:keepLines/>
            <w:widowControl w:val="0"/>
            <w:rPr>
              <w:sz w:val="20"/>
              <w:szCs w:val="20"/>
              <w:lang w:val="fr-CA"/>
            </w:rPr>
          </w:pPr>
          <w:r w:rsidRPr="0044776A">
            <w:rPr>
              <w:sz w:val="20"/>
              <w:szCs w:val="20"/>
              <w:lang w:val="fr-CA"/>
            </w:rPr>
            <w:t>DEMANDES SOUMISES À LA COUR DEPUIS LA DERNIÈRE PARUTION</w:t>
          </w:r>
        </w:p>
        <w:p w:rsidR="008F6F48" w:rsidRPr="0044776A" w:rsidRDefault="008F6F48" w:rsidP="0044776A">
          <w:pPr>
            <w:widowControl w:val="0"/>
            <w:rPr>
              <w:sz w:val="20"/>
              <w:szCs w:val="20"/>
              <w:lang w:val="fr-CA"/>
            </w:rPr>
          </w:pPr>
        </w:p>
      </w:tc>
    </w:tr>
  </w:tbl>
  <w:p w:rsidR="008F6F48" w:rsidRPr="002E2327" w:rsidRDefault="008F6F4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48" w:rsidRDefault="008F6F4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F6F48" w:rsidRPr="005C0B5F">
      <w:tc>
        <w:tcPr>
          <w:tcW w:w="4200" w:type="dxa"/>
          <w:tcMar>
            <w:left w:w="0" w:type="dxa"/>
            <w:right w:w="0" w:type="dxa"/>
          </w:tcMar>
        </w:tcPr>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F6F48"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F6F48"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F6F48" w:rsidRPr="00FF6BA5"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F6F48" w:rsidRPr="00FF6BA5"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F6F48" w:rsidRPr="00FF6BA5"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F6F48" w:rsidRPr="00FF6BA5" w:rsidRDefault="008F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F6F48" w:rsidRPr="005C0B5F" w:rsidTr="00245129">
      <w:tc>
        <w:tcPr>
          <w:tcW w:w="4200" w:type="dxa"/>
          <w:tcMar>
            <w:left w:w="0" w:type="dxa"/>
            <w:right w:w="0" w:type="dxa"/>
          </w:tcMar>
        </w:tcPr>
        <w:p w:rsidR="008F6F48" w:rsidRPr="00755F22"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F6F48" w:rsidRPr="00755F22" w:rsidRDefault="008F6F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F6F48" w:rsidRPr="00755F22" w:rsidRDefault="008F6F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F6F48" w:rsidRPr="00755F22" w:rsidRDefault="008F6F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F6F48" w:rsidRPr="00755F22" w:rsidRDefault="008F6F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F6F48" w:rsidRPr="00755F22" w:rsidRDefault="008F6F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F6F48" w:rsidRPr="00FF6BA5" w:rsidRDefault="008F6F4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65C4"/>
    <w:multiLevelType w:val="hybridMultilevel"/>
    <w:tmpl w:val="EB0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440D4"/>
    <w:multiLevelType w:val="hybridMultilevel"/>
    <w:tmpl w:val="C6262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6341D5"/>
    <w:multiLevelType w:val="hybridMultilevel"/>
    <w:tmpl w:val="EB0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83EE8"/>
    <w:multiLevelType w:val="multilevel"/>
    <w:tmpl w:val="355A3922"/>
    <w:lvl w:ilvl="0">
      <w:start w:val="1"/>
      <w:numFmt w:val="decimal"/>
      <w:pStyle w:val="ParaNoNdepar-AltN"/>
      <w:lvlText w:val="[%1]"/>
      <w:lvlJc w:val="left"/>
      <w:pPr>
        <w:tabs>
          <w:tab w:val="num" w:pos="1332"/>
        </w:tabs>
        <w:ind w:left="18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01C3B34"/>
    <w:multiLevelType w:val="hybridMultilevel"/>
    <w:tmpl w:val="C6262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759"/>
  </w:hdrShapeDefaults>
  <w:footnotePr>
    <w:footnote w:id="-1"/>
    <w:footnote w:id="0"/>
  </w:footnotePr>
  <w:endnotePr>
    <w:endnote w:id="-1"/>
    <w:endnote w:id="0"/>
  </w:endnotePr>
  <w:compat/>
  <w:rsids>
    <w:rsidRoot w:val="008D5464"/>
    <w:rsid w:val="0003223B"/>
    <w:rsid w:val="000327B2"/>
    <w:rsid w:val="00091FA6"/>
    <w:rsid w:val="00096BD9"/>
    <w:rsid w:val="000B3C9A"/>
    <w:rsid w:val="000B40A2"/>
    <w:rsid w:val="000B4624"/>
    <w:rsid w:val="000C0ACD"/>
    <w:rsid w:val="000D1758"/>
    <w:rsid w:val="00102926"/>
    <w:rsid w:val="0010587F"/>
    <w:rsid w:val="00111C6B"/>
    <w:rsid w:val="0012102B"/>
    <w:rsid w:val="00122948"/>
    <w:rsid w:val="0013369E"/>
    <w:rsid w:val="00164E6D"/>
    <w:rsid w:val="001B157C"/>
    <w:rsid w:val="001B5C23"/>
    <w:rsid w:val="001D0D5F"/>
    <w:rsid w:val="001D6B8C"/>
    <w:rsid w:val="001F1F83"/>
    <w:rsid w:val="002021A9"/>
    <w:rsid w:val="002139A7"/>
    <w:rsid w:val="00215F7C"/>
    <w:rsid w:val="0022323B"/>
    <w:rsid w:val="002410B8"/>
    <w:rsid w:val="00242AEE"/>
    <w:rsid w:val="00245129"/>
    <w:rsid w:val="00245879"/>
    <w:rsid w:val="00267FD5"/>
    <w:rsid w:val="002868D0"/>
    <w:rsid w:val="002A27D1"/>
    <w:rsid w:val="002A4AFA"/>
    <w:rsid w:val="002B516C"/>
    <w:rsid w:val="002C1715"/>
    <w:rsid w:val="002D72EB"/>
    <w:rsid w:val="002E2327"/>
    <w:rsid w:val="002E3583"/>
    <w:rsid w:val="002E5576"/>
    <w:rsid w:val="00331B52"/>
    <w:rsid w:val="003359D3"/>
    <w:rsid w:val="0034619F"/>
    <w:rsid w:val="00355967"/>
    <w:rsid w:val="003576FF"/>
    <w:rsid w:val="00382C47"/>
    <w:rsid w:val="00384384"/>
    <w:rsid w:val="003866AE"/>
    <w:rsid w:val="003B3977"/>
    <w:rsid w:val="00427F66"/>
    <w:rsid w:val="00432989"/>
    <w:rsid w:val="00440E24"/>
    <w:rsid w:val="0044776A"/>
    <w:rsid w:val="00460AFC"/>
    <w:rsid w:val="0047471F"/>
    <w:rsid w:val="004B195E"/>
    <w:rsid w:val="004B66B4"/>
    <w:rsid w:val="004B7F60"/>
    <w:rsid w:val="004C1AAC"/>
    <w:rsid w:val="004C4064"/>
    <w:rsid w:val="004E1E0A"/>
    <w:rsid w:val="004F090E"/>
    <w:rsid w:val="00522D9B"/>
    <w:rsid w:val="00527CC7"/>
    <w:rsid w:val="00571CA4"/>
    <w:rsid w:val="00582136"/>
    <w:rsid w:val="005C0B5F"/>
    <w:rsid w:val="005C6840"/>
    <w:rsid w:val="005F263E"/>
    <w:rsid w:val="005F5E8C"/>
    <w:rsid w:val="00600252"/>
    <w:rsid w:val="00612A40"/>
    <w:rsid w:val="0062714A"/>
    <w:rsid w:val="00647B44"/>
    <w:rsid w:val="00663803"/>
    <w:rsid w:val="00675479"/>
    <w:rsid w:val="00675F6C"/>
    <w:rsid w:val="00680709"/>
    <w:rsid w:val="00694896"/>
    <w:rsid w:val="00696BF9"/>
    <w:rsid w:val="00697C62"/>
    <w:rsid w:val="006A329B"/>
    <w:rsid w:val="006A7EB8"/>
    <w:rsid w:val="006B6926"/>
    <w:rsid w:val="006C3F47"/>
    <w:rsid w:val="006C5554"/>
    <w:rsid w:val="006C5F7A"/>
    <w:rsid w:val="006E06AF"/>
    <w:rsid w:val="006F350F"/>
    <w:rsid w:val="007315FA"/>
    <w:rsid w:val="00732DB7"/>
    <w:rsid w:val="00742072"/>
    <w:rsid w:val="0074238B"/>
    <w:rsid w:val="007424E4"/>
    <w:rsid w:val="00745EF7"/>
    <w:rsid w:val="00755F22"/>
    <w:rsid w:val="00766E4A"/>
    <w:rsid w:val="007820CE"/>
    <w:rsid w:val="00782AE4"/>
    <w:rsid w:val="0079724F"/>
    <w:rsid w:val="007A3EAE"/>
    <w:rsid w:val="007C04FC"/>
    <w:rsid w:val="007D3E0F"/>
    <w:rsid w:val="007E4282"/>
    <w:rsid w:val="007F387B"/>
    <w:rsid w:val="00802863"/>
    <w:rsid w:val="00815B3C"/>
    <w:rsid w:val="0082783A"/>
    <w:rsid w:val="00831CA9"/>
    <w:rsid w:val="00850E1F"/>
    <w:rsid w:val="0085476B"/>
    <w:rsid w:val="00890FEB"/>
    <w:rsid w:val="008D292F"/>
    <w:rsid w:val="008D5464"/>
    <w:rsid w:val="008E03DC"/>
    <w:rsid w:val="008F6F48"/>
    <w:rsid w:val="009137C1"/>
    <w:rsid w:val="00924065"/>
    <w:rsid w:val="00930D68"/>
    <w:rsid w:val="00932DB4"/>
    <w:rsid w:val="00941A4B"/>
    <w:rsid w:val="00946242"/>
    <w:rsid w:val="0095096B"/>
    <w:rsid w:val="00970CD3"/>
    <w:rsid w:val="009723FA"/>
    <w:rsid w:val="00984546"/>
    <w:rsid w:val="00996510"/>
    <w:rsid w:val="009A1EA9"/>
    <w:rsid w:val="009D1F15"/>
    <w:rsid w:val="009D555E"/>
    <w:rsid w:val="009E124A"/>
    <w:rsid w:val="009F3024"/>
    <w:rsid w:val="00A0355E"/>
    <w:rsid w:val="00A375D1"/>
    <w:rsid w:val="00A51D10"/>
    <w:rsid w:val="00A52A83"/>
    <w:rsid w:val="00A6552C"/>
    <w:rsid w:val="00A87207"/>
    <w:rsid w:val="00A935AA"/>
    <w:rsid w:val="00AB2201"/>
    <w:rsid w:val="00AB3FC1"/>
    <w:rsid w:val="00AD3259"/>
    <w:rsid w:val="00AF1715"/>
    <w:rsid w:val="00AF3904"/>
    <w:rsid w:val="00B010C0"/>
    <w:rsid w:val="00B250F9"/>
    <w:rsid w:val="00B4740D"/>
    <w:rsid w:val="00B61629"/>
    <w:rsid w:val="00B7374B"/>
    <w:rsid w:val="00B90DC0"/>
    <w:rsid w:val="00B95D9D"/>
    <w:rsid w:val="00BA116A"/>
    <w:rsid w:val="00BA5582"/>
    <w:rsid w:val="00BA6468"/>
    <w:rsid w:val="00BB1D44"/>
    <w:rsid w:val="00BD06DA"/>
    <w:rsid w:val="00BD4217"/>
    <w:rsid w:val="00BF25F3"/>
    <w:rsid w:val="00C1697B"/>
    <w:rsid w:val="00C21CB5"/>
    <w:rsid w:val="00C364C5"/>
    <w:rsid w:val="00C50A5C"/>
    <w:rsid w:val="00C50FDF"/>
    <w:rsid w:val="00C63381"/>
    <w:rsid w:val="00C73D06"/>
    <w:rsid w:val="00C73E1B"/>
    <w:rsid w:val="00C759B4"/>
    <w:rsid w:val="00C77713"/>
    <w:rsid w:val="00C85BB7"/>
    <w:rsid w:val="00CB43D5"/>
    <w:rsid w:val="00CC4D84"/>
    <w:rsid w:val="00CE198A"/>
    <w:rsid w:val="00D32E73"/>
    <w:rsid w:val="00D4101F"/>
    <w:rsid w:val="00D64901"/>
    <w:rsid w:val="00D76BDF"/>
    <w:rsid w:val="00D862C1"/>
    <w:rsid w:val="00D93B50"/>
    <w:rsid w:val="00D94670"/>
    <w:rsid w:val="00DA46F6"/>
    <w:rsid w:val="00DD0B49"/>
    <w:rsid w:val="00E06DFA"/>
    <w:rsid w:val="00E128DB"/>
    <w:rsid w:val="00E20A0A"/>
    <w:rsid w:val="00E356C7"/>
    <w:rsid w:val="00E45FE4"/>
    <w:rsid w:val="00E64FA7"/>
    <w:rsid w:val="00E770CB"/>
    <w:rsid w:val="00E903A1"/>
    <w:rsid w:val="00E940EB"/>
    <w:rsid w:val="00E9703F"/>
    <w:rsid w:val="00EA6107"/>
    <w:rsid w:val="00EB01AF"/>
    <w:rsid w:val="00EB2B90"/>
    <w:rsid w:val="00ED7E83"/>
    <w:rsid w:val="00EF4B63"/>
    <w:rsid w:val="00F0068D"/>
    <w:rsid w:val="00F0576D"/>
    <w:rsid w:val="00F14E6D"/>
    <w:rsid w:val="00F15EA8"/>
    <w:rsid w:val="00F16C8D"/>
    <w:rsid w:val="00F26C61"/>
    <w:rsid w:val="00F33CCE"/>
    <w:rsid w:val="00F40249"/>
    <w:rsid w:val="00F526C8"/>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2">
    <w:name w:val="Table Grid2"/>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C171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424E4"/>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owerCourtNameLowercase">
    <w:name w:val="SCC.LowerCourtNameLowercase"/>
    <w:basedOn w:val="SCCNormalDoubleSpacing"/>
    <w:next w:val="SCCNormalDoubleSpacing"/>
    <w:rsid w:val="00C364C5"/>
    <w:pPr>
      <w:tabs>
        <w:tab w:val="left" w:pos="1168"/>
      </w:tabs>
    </w:pPr>
    <w:rPr>
      <w:smallCaps/>
    </w:rPr>
  </w:style>
  <w:style w:type="character" w:customStyle="1" w:styleId="reference1">
    <w:name w:val="reference1"/>
    <w:basedOn w:val="DefaultParagraphFont"/>
    <w:rsid w:val="00C364C5"/>
  </w:style>
  <w:style w:type="paragraph" w:customStyle="1" w:styleId="ParaNoNdepar-AltN">
    <w:name w:val="Para. No. / Nº de par. - Alt N"/>
    <w:qFormat/>
    <w:rsid w:val="004C4064"/>
    <w:pPr>
      <w:numPr>
        <w:numId w:val="6"/>
      </w:numPr>
      <w:tabs>
        <w:tab w:val="left" w:pos="1152"/>
      </w:tabs>
      <w:spacing w:before="480" w:after="480" w:line="480" w:lineRule="auto"/>
      <w:jc w:val="both"/>
    </w:pPr>
    <w:rPr>
      <w:rFonts w:eastAsiaTheme="minorEastAsia"/>
      <w:lang w:val="en-CA"/>
    </w:rPr>
  </w:style>
  <w:style w:type="character" w:customStyle="1" w:styleId="reportcitation">
    <w:name w:val="reportcitation"/>
    <w:basedOn w:val="DefaultParagraphFont"/>
    <w:rsid w:val="007420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21019</Words>
  <Characters>119809</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2012-12-21T18:19:00Z</dcterms:created>
  <dcterms:modified xsi:type="dcterms:W3CDTF">2012-12-21T18:19:00Z</dcterms:modified>
</cp:coreProperties>
</file>