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8380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8380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8380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8380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83800" w:rsidTr="002E5576">
        <w:tc>
          <w:tcPr>
            <w:tcW w:w="4518" w:type="dxa"/>
          </w:tcPr>
          <w:p w:rsidR="00BF25F3" w:rsidRPr="002E2327" w:rsidRDefault="00F008A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008A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8380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8380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07396"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Pr>
          <w:lang w:val="fr-CA"/>
        </w:rPr>
        <w:t>1</w:t>
      </w:r>
      <w:r w:rsidR="00440E24" w:rsidRPr="00675479">
        <w:rPr>
          <w:lang w:val="fr-CA"/>
        </w:rPr>
        <w:t>, 201</w:t>
      </w:r>
      <w:r w:rsidR="00F761A3">
        <w:rPr>
          <w:lang w:val="fr-CA"/>
        </w:rPr>
        <w:t>3</w:t>
      </w:r>
      <w:r w:rsidR="00F0068D" w:rsidRPr="00675479">
        <w:rPr>
          <w:lang w:val="fr-CA"/>
        </w:rPr>
        <w:tab/>
        <w:t>1</w:t>
      </w:r>
      <w:r>
        <w:rPr>
          <w:lang w:val="fr-CA"/>
        </w:rPr>
        <w:t>78</w:t>
      </w:r>
      <w:r w:rsidR="00F0068D" w:rsidRPr="00675479">
        <w:rPr>
          <w:lang w:val="fr-CA"/>
        </w:rPr>
        <w:t xml:space="preserve"> - </w:t>
      </w:r>
      <w:r w:rsidR="002D6870">
        <w:rPr>
          <w:lang w:val="fr-CA"/>
        </w:rPr>
        <w:t>223</w:t>
      </w:r>
      <w:r w:rsidR="00440E24" w:rsidRPr="00675479">
        <w:rPr>
          <w:lang w:val="fr-CA"/>
        </w:rPr>
        <w:tab/>
      </w:r>
      <w:r w:rsidR="00440E24" w:rsidRPr="002E2327">
        <w:rPr>
          <w:lang w:val="fr-CA"/>
        </w:rPr>
        <w:t>Le</w:t>
      </w:r>
      <w:r w:rsidR="00C73D06">
        <w:rPr>
          <w:lang w:val="fr-CA"/>
        </w:rPr>
        <w:t xml:space="preserve"> </w:t>
      </w:r>
      <w:r>
        <w:rPr>
          <w:lang w:val="fr-CA"/>
        </w:rPr>
        <w:t>1</w:t>
      </w:r>
      <w:r w:rsidRPr="00C07396">
        <w:rPr>
          <w:vertAlign w:val="superscript"/>
          <w:lang w:val="fr-CA"/>
        </w:rPr>
        <w:t>er</w:t>
      </w:r>
      <w:r>
        <w:rPr>
          <w:lang w:val="fr-CA"/>
        </w:rPr>
        <w:t xml:space="preserve">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C07396" w:rsidRDefault="00440E24" w:rsidP="00440E24">
      <w:pPr>
        <w:pBdr>
          <w:bottom w:val="single" w:sz="6" w:space="1" w:color="auto"/>
        </w:pBdr>
        <w:tabs>
          <w:tab w:val="right" w:pos="9360"/>
        </w:tabs>
        <w:rPr>
          <w:sz w:val="18"/>
          <w:szCs w:val="18"/>
          <w:lang w:val="fr-CA"/>
        </w:rPr>
      </w:pPr>
      <w:r w:rsidRPr="00C07396">
        <w:rPr>
          <w:sz w:val="18"/>
          <w:szCs w:val="18"/>
          <w:lang w:val="fr-CA"/>
        </w:rPr>
        <w:t xml:space="preserve">© </w:t>
      </w:r>
      <w:proofErr w:type="spellStart"/>
      <w:r w:rsidRPr="00C07396">
        <w:rPr>
          <w:sz w:val="18"/>
          <w:szCs w:val="18"/>
          <w:lang w:val="fr-CA"/>
        </w:rPr>
        <w:t>Supreme</w:t>
      </w:r>
      <w:proofErr w:type="spellEnd"/>
      <w:r w:rsidRPr="00C07396">
        <w:rPr>
          <w:sz w:val="18"/>
          <w:szCs w:val="18"/>
          <w:lang w:val="fr-CA"/>
        </w:rPr>
        <w:t xml:space="preserve"> Court of Canada (201</w:t>
      </w:r>
      <w:r w:rsidR="00F761A3" w:rsidRPr="00C07396">
        <w:rPr>
          <w:sz w:val="18"/>
          <w:szCs w:val="18"/>
          <w:lang w:val="fr-CA"/>
        </w:rPr>
        <w:t>3</w:t>
      </w:r>
      <w:r w:rsidRPr="00C07396">
        <w:rPr>
          <w:sz w:val="18"/>
          <w:szCs w:val="18"/>
          <w:lang w:val="fr-CA"/>
        </w:rPr>
        <w:t>)</w:t>
      </w:r>
      <w:r w:rsidRPr="00C07396">
        <w:rPr>
          <w:sz w:val="18"/>
          <w:szCs w:val="18"/>
          <w:lang w:val="fr-CA"/>
        </w:rPr>
        <w:tab/>
        <w:t>© Cour suprême du Canada (201</w:t>
      </w:r>
      <w:r w:rsidR="00F761A3" w:rsidRPr="00C07396">
        <w:rPr>
          <w:sz w:val="18"/>
          <w:szCs w:val="18"/>
          <w:lang w:val="fr-CA"/>
        </w:rPr>
        <w:t>3</w:t>
      </w:r>
      <w:r w:rsidRPr="00C07396">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48380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1D3202">
            <w:pPr>
              <w:tabs>
                <w:tab w:val="right" w:pos="9360"/>
              </w:tabs>
              <w:rPr>
                <w:rFonts w:cs="Times New Roman"/>
                <w:sz w:val="20"/>
                <w:szCs w:val="20"/>
              </w:rPr>
            </w:pPr>
          </w:p>
        </w:tc>
        <w:tc>
          <w:tcPr>
            <w:tcW w:w="1980" w:type="dxa"/>
          </w:tcPr>
          <w:p w:rsidR="0095096B" w:rsidRPr="002E2327" w:rsidRDefault="00C07396" w:rsidP="0095096B">
            <w:pPr>
              <w:jc w:val="center"/>
              <w:rPr>
                <w:rFonts w:cs="Times New Roman"/>
                <w:sz w:val="20"/>
                <w:szCs w:val="20"/>
              </w:rPr>
            </w:pPr>
            <w:r>
              <w:rPr>
                <w:rFonts w:cs="Times New Roman"/>
                <w:sz w:val="20"/>
                <w:szCs w:val="20"/>
              </w:rPr>
              <w:t xml:space="preserve">178 </w:t>
            </w:r>
            <w:r w:rsidR="00F008AC" w:rsidRPr="002E2327">
              <w:rPr>
                <w:rFonts w:cs="Times New Roman"/>
                <w:sz w:val="20"/>
                <w:szCs w:val="20"/>
              </w:rPr>
              <w:fldChar w:fldCharType="begin"/>
            </w:r>
            <w:r w:rsidR="0095096B" w:rsidRPr="002E2327">
              <w:rPr>
                <w:rFonts w:cs="Times New Roman"/>
                <w:sz w:val="20"/>
                <w:szCs w:val="20"/>
              </w:rPr>
              <w:instrText xml:space="preserve"> SEQ CHAPTER \h \r 1</w:instrText>
            </w:r>
            <w:r w:rsidR="00F008AC" w:rsidRPr="002E2327">
              <w:rPr>
                <w:rFonts w:cs="Times New Roman"/>
                <w:sz w:val="20"/>
                <w:szCs w:val="20"/>
              </w:rPr>
              <w:fldChar w:fldCharType="end"/>
            </w:r>
            <w:r w:rsidR="0095096B" w:rsidRPr="002E2327">
              <w:rPr>
                <w:rFonts w:cs="Times New Roman"/>
                <w:sz w:val="20"/>
                <w:szCs w:val="20"/>
              </w:rPr>
              <w:t>-</w:t>
            </w:r>
            <w:r w:rsidR="005A4934">
              <w:rPr>
                <w:rFonts w:cs="Times New Roman"/>
                <w:sz w:val="20"/>
                <w:szCs w:val="20"/>
              </w:rPr>
              <w:t xml:space="preserve"> 179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A4934" w:rsidP="0095096B">
            <w:pPr>
              <w:jc w:val="center"/>
              <w:rPr>
                <w:rFonts w:cs="Times New Roman"/>
                <w:sz w:val="20"/>
                <w:szCs w:val="20"/>
              </w:rPr>
            </w:pPr>
            <w:r>
              <w:rPr>
                <w:rFonts w:cs="Times New Roman"/>
                <w:sz w:val="20"/>
                <w:szCs w:val="20"/>
              </w:rPr>
              <w:t>180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E3A8A" w:rsidP="0095096B">
            <w:pPr>
              <w:jc w:val="center"/>
              <w:rPr>
                <w:rFonts w:cs="Times New Roman"/>
                <w:sz w:val="20"/>
                <w:szCs w:val="20"/>
              </w:rPr>
            </w:pPr>
            <w:r>
              <w:rPr>
                <w:rFonts w:cs="Times New Roman"/>
                <w:sz w:val="20"/>
                <w:szCs w:val="20"/>
              </w:rPr>
              <w:t xml:space="preserve">181 </w:t>
            </w:r>
            <w:r w:rsidR="0095096B" w:rsidRPr="002E2327">
              <w:rPr>
                <w:rFonts w:cs="Times New Roman"/>
                <w:sz w:val="20"/>
                <w:szCs w:val="20"/>
              </w:rPr>
              <w:t>-</w:t>
            </w:r>
            <w:r w:rsidR="009954A4">
              <w:rPr>
                <w:rFonts w:cs="Times New Roman"/>
                <w:sz w:val="20"/>
                <w:szCs w:val="20"/>
              </w:rPr>
              <w:t xml:space="preserve"> 184</w:t>
            </w:r>
          </w:p>
          <w:p w:rsidR="0095096B" w:rsidRPr="002E2327" w:rsidRDefault="0095096B" w:rsidP="0095096B">
            <w:pPr>
              <w:jc w:val="center"/>
              <w:rPr>
                <w:rFonts w:cs="Times New Roman"/>
                <w:sz w:val="20"/>
                <w:szCs w:val="20"/>
              </w:rPr>
            </w:pPr>
          </w:p>
          <w:p w:rsidR="0095096B" w:rsidRPr="002E2327" w:rsidRDefault="00E6427E" w:rsidP="0095096B">
            <w:pPr>
              <w:jc w:val="center"/>
              <w:rPr>
                <w:rFonts w:cs="Times New Roman"/>
                <w:sz w:val="20"/>
                <w:szCs w:val="20"/>
              </w:rPr>
            </w:pPr>
            <w:r>
              <w:rPr>
                <w:rFonts w:cs="Times New Roman"/>
                <w:sz w:val="20"/>
                <w:szCs w:val="20"/>
              </w:rPr>
              <w:t>185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427E" w:rsidP="0095096B">
            <w:pPr>
              <w:jc w:val="center"/>
              <w:rPr>
                <w:rFonts w:cs="Times New Roman"/>
                <w:sz w:val="20"/>
                <w:szCs w:val="20"/>
              </w:rPr>
            </w:pPr>
            <w:r>
              <w:rPr>
                <w:rFonts w:cs="Times New Roman"/>
                <w:sz w:val="20"/>
                <w:szCs w:val="20"/>
              </w:rPr>
              <w:t>186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427E" w:rsidP="0095096B">
            <w:pPr>
              <w:jc w:val="center"/>
              <w:rPr>
                <w:rFonts w:cs="Times New Roman"/>
                <w:sz w:val="20"/>
                <w:szCs w:val="20"/>
              </w:rPr>
            </w:pPr>
            <w:r>
              <w:rPr>
                <w:rFonts w:cs="Times New Roman"/>
                <w:sz w:val="20"/>
                <w:szCs w:val="20"/>
              </w:rPr>
              <w:t xml:space="preserve">187 </w:t>
            </w:r>
            <w:r w:rsidR="0095096B" w:rsidRPr="002E2327">
              <w:rPr>
                <w:rFonts w:cs="Times New Roman"/>
                <w:sz w:val="20"/>
                <w:szCs w:val="20"/>
              </w:rPr>
              <w:t>-</w:t>
            </w:r>
            <w:r w:rsidR="002D6870">
              <w:rPr>
                <w:rFonts w:cs="Times New Roman"/>
                <w:sz w:val="20"/>
                <w:szCs w:val="20"/>
              </w:rPr>
              <w:t xml:space="preserve"> 199</w:t>
            </w:r>
          </w:p>
          <w:p w:rsidR="0095096B" w:rsidRPr="002E2327" w:rsidRDefault="0095096B" w:rsidP="0095096B">
            <w:pPr>
              <w:jc w:val="center"/>
              <w:rPr>
                <w:rFonts w:cs="Times New Roman"/>
                <w:sz w:val="20"/>
                <w:szCs w:val="20"/>
              </w:rPr>
            </w:pPr>
          </w:p>
          <w:p w:rsidR="0095096B" w:rsidRPr="002E2327" w:rsidRDefault="002D6870" w:rsidP="0095096B">
            <w:pPr>
              <w:jc w:val="center"/>
              <w:rPr>
                <w:rFonts w:cs="Times New Roman"/>
                <w:sz w:val="20"/>
                <w:szCs w:val="20"/>
              </w:rPr>
            </w:pPr>
            <w:r>
              <w:rPr>
                <w:rFonts w:cs="Times New Roman"/>
                <w:sz w:val="20"/>
                <w:szCs w:val="20"/>
              </w:rPr>
              <w:t>200</w:t>
            </w:r>
          </w:p>
          <w:p w:rsidR="0095096B" w:rsidRPr="002E2327" w:rsidRDefault="0095096B" w:rsidP="0095096B">
            <w:pPr>
              <w:jc w:val="center"/>
              <w:rPr>
                <w:rFonts w:cs="Times New Roman"/>
                <w:sz w:val="20"/>
                <w:szCs w:val="20"/>
              </w:rPr>
            </w:pPr>
          </w:p>
          <w:p w:rsidR="0095096B" w:rsidRPr="002E2327" w:rsidRDefault="002D6870" w:rsidP="0095096B">
            <w:pPr>
              <w:jc w:val="center"/>
              <w:rPr>
                <w:rFonts w:cs="Times New Roman"/>
                <w:sz w:val="20"/>
                <w:szCs w:val="20"/>
              </w:rPr>
            </w:pPr>
            <w:r>
              <w:rPr>
                <w:rFonts w:cs="Times New Roman"/>
                <w:sz w:val="20"/>
                <w:szCs w:val="20"/>
              </w:rPr>
              <w:t xml:space="preserve">201 </w:t>
            </w:r>
            <w:r w:rsidR="0095096B" w:rsidRPr="002E2327">
              <w:rPr>
                <w:rFonts w:cs="Times New Roman"/>
                <w:sz w:val="20"/>
                <w:szCs w:val="20"/>
              </w:rPr>
              <w:t>-</w:t>
            </w:r>
            <w:r>
              <w:rPr>
                <w:rFonts w:cs="Times New Roman"/>
                <w:sz w:val="20"/>
                <w:szCs w:val="20"/>
              </w:rPr>
              <w:t xml:space="preserve"> 222</w:t>
            </w:r>
          </w:p>
          <w:p w:rsidR="0095096B" w:rsidRPr="002E2327" w:rsidRDefault="0095096B" w:rsidP="0095096B">
            <w:pPr>
              <w:jc w:val="center"/>
              <w:rPr>
                <w:rFonts w:cs="Times New Roman"/>
                <w:sz w:val="20"/>
                <w:szCs w:val="20"/>
              </w:rPr>
            </w:pPr>
          </w:p>
          <w:p w:rsidR="0095096B" w:rsidRPr="002E2327" w:rsidRDefault="002D6870" w:rsidP="0095096B">
            <w:pPr>
              <w:jc w:val="center"/>
              <w:rPr>
                <w:rFonts w:cs="Times New Roman"/>
                <w:sz w:val="20"/>
                <w:szCs w:val="20"/>
              </w:rPr>
            </w:pPr>
            <w:r>
              <w:rPr>
                <w:rFonts w:cs="Times New Roman"/>
                <w:sz w:val="20"/>
                <w:szCs w:val="20"/>
              </w:rPr>
              <w:t>223</w:t>
            </w:r>
          </w:p>
          <w:p w:rsidR="00A87207" w:rsidRPr="002E2327" w:rsidRDefault="00A87207" w:rsidP="005E3A8A">
            <w:pPr>
              <w:jc w:val="center"/>
              <w:rPr>
                <w:rFonts w:cs="Times New Roman"/>
                <w:sz w:val="20"/>
                <w:szCs w:val="20"/>
              </w:rPr>
            </w:pPr>
          </w:p>
        </w:tc>
        <w:tc>
          <w:tcPr>
            <w:tcW w:w="3888" w:type="dxa"/>
          </w:tcPr>
          <w:p w:rsidR="0095096B" w:rsidRPr="002E2327" w:rsidRDefault="00F008A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1D3202">
            <w:pPr>
              <w:tabs>
                <w:tab w:val="right" w:pos="9360"/>
              </w:tabs>
              <w:rPr>
                <w:rFonts w:cs="Times New Roman"/>
                <w:sz w:val="20"/>
                <w:szCs w:val="20"/>
                <w:lang w:val="fr-CA"/>
              </w:rPr>
            </w:pPr>
          </w:p>
        </w:tc>
      </w:tr>
    </w:tbl>
    <w:p w:rsidR="0095096B" w:rsidRDefault="0095096B" w:rsidP="0095096B">
      <w:pPr>
        <w:tabs>
          <w:tab w:val="right" w:pos="9360"/>
        </w:tabs>
        <w:rPr>
          <w:lang w:val="fr-CA"/>
        </w:rPr>
      </w:pPr>
    </w:p>
    <w:p w:rsidR="005E3A8A" w:rsidRDefault="005E3A8A" w:rsidP="0095096B">
      <w:pPr>
        <w:tabs>
          <w:tab w:val="right" w:pos="9360"/>
        </w:tabs>
        <w:rPr>
          <w:lang w:val="fr-CA"/>
        </w:rPr>
      </w:pPr>
    </w:p>
    <w:p w:rsidR="005E3A8A" w:rsidRDefault="005E3A8A" w:rsidP="0095096B">
      <w:pPr>
        <w:tabs>
          <w:tab w:val="right" w:pos="9360"/>
        </w:tabs>
        <w:rPr>
          <w:lang w:val="fr-CA"/>
        </w:rPr>
      </w:pPr>
    </w:p>
    <w:p w:rsidR="005E3A8A" w:rsidRDefault="005E3A8A" w:rsidP="0095096B">
      <w:pPr>
        <w:tabs>
          <w:tab w:val="right" w:pos="9360"/>
        </w:tabs>
        <w:rPr>
          <w:lang w:val="fr-CA"/>
        </w:rPr>
      </w:pPr>
    </w:p>
    <w:p w:rsidR="005E3A8A" w:rsidRDefault="005E3A8A" w:rsidP="0095096B">
      <w:pPr>
        <w:tabs>
          <w:tab w:val="right" w:pos="9360"/>
        </w:tabs>
        <w:rPr>
          <w:lang w:val="fr-CA"/>
        </w:rPr>
      </w:pPr>
    </w:p>
    <w:p w:rsidR="005E3A8A" w:rsidRPr="00967CEA" w:rsidRDefault="005E3A8A" w:rsidP="0095096B">
      <w:pPr>
        <w:tabs>
          <w:tab w:val="right" w:pos="9360"/>
        </w:tabs>
        <w:rPr>
          <w:lang w:val="fr-CA"/>
        </w:rPr>
      </w:pPr>
    </w:p>
    <w:tbl>
      <w:tblPr>
        <w:tblStyle w:val="TableGrid"/>
        <w:tblW w:w="0" w:type="auto"/>
        <w:tblLook w:val="04A0"/>
      </w:tblPr>
      <w:tblGrid>
        <w:gridCol w:w="9576"/>
      </w:tblGrid>
      <w:tr w:rsidR="0079724F" w:rsidRPr="0048380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421D07" w:rsidP="003B3977">
            <w:pPr>
              <w:rPr>
                <w:b/>
                <w:sz w:val="20"/>
                <w:szCs w:val="20"/>
              </w:rPr>
            </w:pPr>
            <w:r>
              <w:rPr>
                <w:b/>
                <w:sz w:val="20"/>
                <w:szCs w:val="20"/>
              </w:rPr>
              <w:t xml:space="preserve">Robert G. </w:t>
            </w:r>
            <w:proofErr w:type="spellStart"/>
            <w:r>
              <w:rPr>
                <w:b/>
                <w:sz w:val="20"/>
                <w:szCs w:val="20"/>
              </w:rPr>
              <w:t>Leonidas</w:t>
            </w:r>
            <w:proofErr w:type="spellEnd"/>
          </w:p>
          <w:p w:rsidR="00242AEE" w:rsidRPr="00A935AA" w:rsidRDefault="00242AEE" w:rsidP="003B3977">
            <w:pPr>
              <w:tabs>
                <w:tab w:val="left" w:pos="-1440"/>
                <w:tab w:val="left" w:pos="-720"/>
              </w:tabs>
              <w:rPr>
                <w:sz w:val="20"/>
                <w:szCs w:val="20"/>
              </w:rPr>
            </w:pPr>
            <w:r w:rsidRPr="00A935AA">
              <w:rPr>
                <w:sz w:val="20"/>
                <w:szCs w:val="20"/>
              </w:rPr>
              <w:tab/>
            </w:r>
            <w:r w:rsidR="00421D07">
              <w:rPr>
                <w:sz w:val="20"/>
                <w:szCs w:val="20"/>
              </w:rPr>
              <w:t>John M. Rosen</w:t>
            </w:r>
          </w:p>
          <w:p w:rsidR="00242AEE" w:rsidRPr="00A935AA" w:rsidRDefault="00242AEE" w:rsidP="003B3977">
            <w:pPr>
              <w:tabs>
                <w:tab w:val="left" w:pos="-1440"/>
                <w:tab w:val="left" w:pos="-720"/>
              </w:tabs>
              <w:rPr>
                <w:sz w:val="20"/>
                <w:szCs w:val="20"/>
              </w:rPr>
            </w:pPr>
            <w:r w:rsidRPr="00A935AA">
              <w:rPr>
                <w:sz w:val="20"/>
                <w:szCs w:val="20"/>
              </w:rPr>
              <w:tab/>
            </w:r>
            <w:r w:rsidR="00421D07">
              <w:rPr>
                <w:sz w:val="20"/>
                <w:szCs w:val="20"/>
              </w:rPr>
              <w:t xml:space="preserve">Rosen </w:t>
            </w:r>
            <w:proofErr w:type="spellStart"/>
            <w:r w:rsidR="00421D07">
              <w:rPr>
                <w:sz w:val="20"/>
                <w:szCs w:val="20"/>
              </w:rPr>
              <w:t>Naster</w:t>
            </w:r>
            <w:proofErr w:type="spellEnd"/>
            <w:r w:rsidR="00421D07">
              <w:rPr>
                <w:sz w:val="20"/>
                <w:szCs w:val="20"/>
              </w:rPr>
              <w:t xml:space="preserve">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6D7D71">
              <w:rPr>
                <w:sz w:val="20"/>
                <w:szCs w:val="20"/>
              </w:rPr>
              <w:t>5</w:t>
            </w:r>
            <w:r w:rsidR="00421D07">
              <w:rPr>
                <w:sz w:val="20"/>
                <w:szCs w:val="20"/>
              </w:rPr>
              <w:t>160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421D07" w:rsidP="003B3977">
            <w:pPr>
              <w:tabs>
                <w:tab w:val="left" w:pos="-1440"/>
                <w:tab w:val="left" w:pos="-720"/>
              </w:tabs>
              <w:rPr>
                <w:b/>
                <w:sz w:val="20"/>
                <w:szCs w:val="20"/>
              </w:rPr>
            </w:pPr>
            <w:r>
              <w:rPr>
                <w:b/>
                <w:sz w:val="20"/>
                <w:szCs w:val="20"/>
              </w:rPr>
              <w:t xml:space="preserve">Treat America Limited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421D07">
              <w:rPr>
                <w:sz w:val="20"/>
                <w:szCs w:val="20"/>
              </w:rPr>
              <w:t>Darryl T. Mann</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421D07">
              <w:rPr>
                <w:sz w:val="20"/>
                <w:szCs w:val="20"/>
              </w:rPr>
              <w:t>Torkin</w:t>
            </w:r>
            <w:proofErr w:type="spellEnd"/>
            <w:r w:rsidR="00421D07">
              <w:rPr>
                <w:sz w:val="20"/>
                <w:szCs w:val="20"/>
              </w:rPr>
              <w:t xml:space="preserve"> Manes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421D07">
              <w:rPr>
                <w:sz w:val="20"/>
                <w:szCs w:val="20"/>
              </w:rPr>
              <w:t>08</w:t>
            </w:r>
            <w:r w:rsidRPr="00A935AA">
              <w:rPr>
                <w:sz w:val="20"/>
                <w:szCs w:val="20"/>
              </w:rPr>
              <w:t>.0</w:t>
            </w:r>
            <w:r w:rsidR="006D7D71">
              <w:rPr>
                <w:sz w:val="20"/>
                <w:szCs w:val="20"/>
              </w:rPr>
              <w:t>1</w:t>
            </w:r>
            <w:r w:rsidRPr="00A935AA">
              <w:rPr>
                <w:sz w:val="20"/>
                <w:szCs w:val="20"/>
              </w:rPr>
              <w:t>.201</w:t>
            </w:r>
            <w:r w:rsidR="006D7D71">
              <w:rPr>
                <w:sz w:val="20"/>
                <w:szCs w:val="20"/>
              </w:rPr>
              <w:t>3</w:t>
            </w:r>
          </w:p>
          <w:p w:rsidR="00242AEE" w:rsidRPr="00A935AA" w:rsidRDefault="00F008AC" w:rsidP="003B3977">
            <w:pPr>
              <w:rPr>
                <w:sz w:val="20"/>
                <w:szCs w:val="20"/>
              </w:rPr>
            </w:pPr>
            <w:r w:rsidRPr="00F008A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421D07" w:rsidRPr="00A935AA" w:rsidRDefault="00421D07"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421D07" w:rsidP="003B3977">
            <w:pPr>
              <w:keepNext/>
              <w:keepLines/>
              <w:tabs>
                <w:tab w:val="left" w:pos="-1440"/>
                <w:tab w:val="left" w:pos="-720"/>
              </w:tabs>
              <w:rPr>
                <w:b/>
                <w:sz w:val="20"/>
                <w:szCs w:val="20"/>
              </w:rPr>
            </w:pPr>
            <w:r>
              <w:rPr>
                <w:b/>
                <w:sz w:val="20"/>
                <w:szCs w:val="20"/>
              </w:rPr>
              <w:t xml:space="preserve">Julie </w:t>
            </w:r>
            <w:proofErr w:type="spellStart"/>
            <w:r>
              <w:rPr>
                <w:b/>
                <w:sz w:val="20"/>
                <w:szCs w:val="20"/>
              </w:rPr>
              <w:t>Willmot</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421D07">
              <w:rPr>
                <w:sz w:val="20"/>
                <w:szCs w:val="20"/>
              </w:rPr>
              <w:t xml:space="preserve">Julie </w:t>
            </w:r>
            <w:proofErr w:type="spellStart"/>
            <w:r w:rsidR="00421D07">
              <w:rPr>
                <w:sz w:val="20"/>
                <w:szCs w:val="20"/>
              </w:rPr>
              <w:t>Willmot</w:t>
            </w:r>
            <w:proofErr w:type="spellEnd"/>
          </w:p>
          <w:p w:rsidR="00242AEE" w:rsidRPr="00A935AA" w:rsidRDefault="00242AEE" w:rsidP="003B3977">
            <w:pPr>
              <w:keepNext/>
              <w:keepLines/>
              <w:tabs>
                <w:tab w:val="left" w:pos="-1440"/>
                <w:tab w:val="left" w:pos="-720"/>
              </w:tabs>
              <w:rPr>
                <w:sz w:val="20"/>
                <w:szCs w:val="20"/>
              </w:rPr>
            </w:pPr>
          </w:p>
          <w:p w:rsidR="00242AEE" w:rsidRPr="00421D07" w:rsidRDefault="00242AEE" w:rsidP="003B3977">
            <w:pPr>
              <w:keepNext/>
              <w:keepLines/>
              <w:tabs>
                <w:tab w:val="left" w:pos="-1440"/>
                <w:tab w:val="left" w:pos="-720"/>
              </w:tabs>
              <w:rPr>
                <w:sz w:val="20"/>
                <w:szCs w:val="20"/>
              </w:rPr>
            </w:pPr>
            <w:r w:rsidRPr="00A935AA">
              <w:rPr>
                <w:sz w:val="20"/>
                <w:szCs w:val="20"/>
              </w:rPr>
              <w:tab/>
            </w:r>
            <w:r w:rsidRPr="00421D07">
              <w:rPr>
                <w:sz w:val="20"/>
                <w:szCs w:val="20"/>
              </w:rPr>
              <w:t>v. (3</w:t>
            </w:r>
            <w:r w:rsidR="006D7D71" w:rsidRPr="00421D07">
              <w:rPr>
                <w:sz w:val="20"/>
                <w:szCs w:val="20"/>
              </w:rPr>
              <w:t>5</w:t>
            </w:r>
            <w:r w:rsidR="00421D07">
              <w:rPr>
                <w:sz w:val="20"/>
                <w:szCs w:val="20"/>
              </w:rPr>
              <w:t>171</w:t>
            </w:r>
            <w:r w:rsidRPr="00421D07">
              <w:rPr>
                <w:sz w:val="20"/>
                <w:szCs w:val="20"/>
              </w:rPr>
              <w:t>)</w:t>
            </w:r>
          </w:p>
          <w:p w:rsidR="00242AEE" w:rsidRPr="00421D07" w:rsidRDefault="00242AEE" w:rsidP="003B3977">
            <w:pPr>
              <w:keepNext/>
              <w:keepLines/>
              <w:tabs>
                <w:tab w:val="left" w:pos="-1440"/>
                <w:tab w:val="left" w:pos="-720"/>
              </w:tabs>
              <w:rPr>
                <w:sz w:val="20"/>
                <w:szCs w:val="20"/>
              </w:rPr>
            </w:pPr>
          </w:p>
          <w:p w:rsidR="00242AEE" w:rsidRPr="00421D07" w:rsidRDefault="00421D07" w:rsidP="003B3977">
            <w:pPr>
              <w:keepNext/>
              <w:keepLines/>
              <w:tabs>
                <w:tab w:val="left" w:pos="-1440"/>
                <w:tab w:val="left" w:pos="-720"/>
              </w:tabs>
              <w:rPr>
                <w:b/>
                <w:sz w:val="20"/>
                <w:szCs w:val="20"/>
              </w:rPr>
            </w:pPr>
            <w:r>
              <w:rPr>
                <w:b/>
                <w:sz w:val="20"/>
                <w:szCs w:val="20"/>
              </w:rPr>
              <w:t xml:space="preserve">Committee of Adjustment for the Corporation of the City of </w:t>
            </w:r>
            <w:proofErr w:type="spellStart"/>
            <w:r>
              <w:rPr>
                <w:b/>
                <w:sz w:val="20"/>
                <w:szCs w:val="20"/>
              </w:rPr>
              <w:t>Quinte</w:t>
            </w:r>
            <w:proofErr w:type="spellEnd"/>
            <w:r>
              <w:rPr>
                <w:b/>
                <w:sz w:val="20"/>
                <w:szCs w:val="20"/>
              </w:rPr>
              <w:t xml:space="preserve"> West et al. </w:t>
            </w:r>
            <w:r w:rsidR="00242AEE" w:rsidRPr="00421D07">
              <w:rPr>
                <w:b/>
                <w:sz w:val="20"/>
                <w:szCs w:val="20"/>
              </w:rPr>
              <w:t>(Ont.)</w:t>
            </w:r>
          </w:p>
          <w:p w:rsidR="00242AEE" w:rsidRPr="00421D07" w:rsidRDefault="00242AEE" w:rsidP="003B3977">
            <w:pPr>
              <w:keepNext/>
              <w:keepLines/>
              <w:tabs>
                <w:tab w:val="left" w:pos="-1440"/>
                <w:tab w:val="left" w:pos="-720"/>
              </w:tabs>
              <w:rPr>
                <w:sz w:val="20"/>
                <w:szCs w:val="20"/>
              </w:rPr>
            </w:pPr>
            <w:r w:rsidRPr="00421D07">
              <w:rPr>
                <w:sz w:val="20"/>
                <w:szCs w:val="20"/>
              </w:rPr>
              <w:tab/>
            </w:r>
            <w:r w:rsidR="00421D07">
              <w:rPr>
                <w:sz w:val="20"/>
                <w:szCs w:val="20"/>
              </w:rPr>
              <w:t xml:space="preserve">David W. </w:t>
            </w:r>
            <w:proofErr w:type="spellStart"/>
            <w:r w:rsidR="00421D07">
              <w:rPr>
                <w:sz w:val="20"/>
                <w:szCs w:val="20"/>
              </w:rPr>
              <w:t>Demille</w:t>
            </w:r>
            <w:proofErr w:type="spellEnd"/>
          </w:p>
          <w:p w:rsidR="00242AEE" w:rsidRPr="00421D07" w:rsidRDefault="00242AEE" w:rsidP="003B3977">
            <w:pPr>
              <w:keepNext/>
              <w:keepLines/>
              <w:tabs>
                <w:tab w:val="left" w:pos="-1440"/>
                <w:tab w:val="left" w:pos="-720"/>
              </w:tabs>
              <w:rPr>
                <w:sz w:val="20"/>
                <w:szCs w:val="20"/>
              </w:rPr>
            </w:pPr>
            <w:r w:rsidRPr="00421D07">
              <w:rPr>
                <w:sz w:val="20"/>
                <w:szCs w:val="20"/>
              </w:rPr>
              <w:tab/>
            </w:r>
            <w:proofErr w:type="spellStart"/>
            <w:r w:rsidR="00421D07">
              <w:rPr>
                <w:sz w:val="20"/>
                <w:szCs w:val="20"/>
              </w:rPr>
              <w:t>Templeman</w:t>
            </w:r>
            <w:proofErr w:type="spellEnd"/>
            <w:r w:rsidR="00421D07">
              <w:rPr>
                <w:sz w:val="20"/>
                <w:szCs w:val="20"/>
              </w:rPr>
              <w:t xml:space="preserve"> </w:t>
            </w:r>
            <w:proofErr w:type="spellStart"/>
            <w:r w:rsidR="00421D07">
              <w:rPr>
                <w:sz w:val="20"/>
                <w:szCs w:val="20"/>
              </w:rPr>
              <w:t>Menninga</w:t>
            </w:r>
            <w:proofErr w:type="spellEnd"/>
            <w:r w:rsidR="00421D07">
              <w:rPr>
                <w:sz w:val="20"/>
                <w:szCs w:val="20"/>
              </w:rPr>
              <w:t xml:space="preserve"> LLP</w:t>
            </w:r>
          </w:p>
          <w:p w:rsidR="00242AEE" w:rsidRPr="00421D07" w:rsidRDefault="00242AEE" w:rsidP="003B3977">
            <w:pPr>
              <w:keepNext/>
              <w:keepLines/>
              <w:tabs>
                <w:tab w:val="left" w:pos="-1440"/>
                <w:tab w:val="left" w:pos="-720"/>
              </w:tabs>
              <w:rPr>
                <w:sz w:val="20"/>
                <w:szCs w:val="20"/>
              </w:rPr>
            </w:pPr>
          </w:p>
          <w:p w:rsidR="00242AEE" w:rsidRPr="00A935AA" w:rsidRDefault="00242AEE" w:rsidP="00421D07">
            <w:pPr>
              <w:rPr>
                <w:sz w:val="20"/>
                <w:szCs w:val="20"/>
              </w:rPr>
            </w:pPr>
            <w:r w:rsidRPr="00A935AA">
              <w:rPr>
                <w:sz w:val="20"/>
                <w:szCs w:val="20"/>
              </w:rPr>
              <w:t xml:space="preserve">FILING DATE: </w:t>
            </w:r>
            <w:r w:rsidR="00421D07">
              <w:rPr>
                <w:sz w:val="20"/>
                <w:szCs w:val="20"/>
              </w:rPr>
              <w:t>0</w:t>
            </w:r>
            <w:r w:rsidRPr="00A935AA">
              <w:rPr>
                <w:sz w:val="20"/>
                <w:szCs w:val="20"/>
              </w:rPr>
              <w:t>8.0</w:t>
            </w:r>
            <w:r w:rsidR="006D7D71">
              <w:rPr>
                <w:sz w:val="20"/>
                <w:szCs w:val="20"/>
              </w:rPr>
              <w:t>1</w:t>
            </w:r>
            <w:r w:rsidRPr="00A935AA">
              <w:rPr>
                <w:sz w:val="20"/>
                <w:szCs w:val="20"/>
              </w:rPr>
              <w:t>.201</w:t>
            </w:r>
            <w:r w:rsidR="006D7D71">
              <w:rPr>
                <w:sz w:val="20"/>
                <w:szCs w:val="20"/>
              </w:rPr>
              <w:t>3</w:t>
            </w:r>
            <w:r w:rsidR="00F008AC" w:rsidRPr="00F008AC">
              <w:rPr>
                <w:sz w:val="20"/>
                <w:szCs w:val="20"/>
                <w:lang w:val="fr-CA"/>
              </w:rPr>
              <w:pict>
                <v:rect id="_x0000_i1026" style="width:108pt;height:1pt" o:hrpct="0" o:hralign="center" o:hrstd="t" o:hrnoshade="t" o:hr="t" fillcolor="black [3213]" stroked="f"/>
              </w:pict>
            </w:r>
          </w:p>
        </w:tc>
      </w:tr>
      <w:tr w:rsidR="006D7D71" w:rsidRPr="00A935AA" w:rsidTr="003B3977">
        <w:tc>
          <w:tcPr>
            <w:tcW w:w="4320" w:type="dxa"/>
            <w:shd w:val="clear" w:color="auto" w:fill="auto"/>
          </w:tcPr>
          <w:p w:rsidR="006D7D71" w:rsidRPr="00A935AA" w:rsidRDefault="00421D07" w:rsidP="007224FE">
            <w:pPr>
              <w:rPr>
                <w:b/>
                <w:sz w:val="20"/>
                <w:szCs w:val="20"/>
              </w:rPr>
            </w:pPr>
            <w:proofErr w:type="spellStart"/>
            <w:r>
              <w:rPr>
                <w:b/>
                <w:sz w:val="20"/>
                <w:szCs w:val="20"/>
              </w:rPr>
              <w:t>Pi</w:t>
            </w:r>
            <w:r w:rsidR="006A2F1E">
              <w:rPr>
                <w:b/>
                <w:sz w:val="20"/>
                <w:szCs w:val="20"/>
              </w:rPr>
              <w:t>k</w:t>
            </w:r>
            <w:r>
              <w:rPr>
                <w:b/>
                <w:sz w:val="20"/>
                <w:szCs w:val="20"/>
              </w:rPr>
              <w:t>angikum</w:t>
            </w:r>
            <w:proofErr w:type="spellEnd"/>
            <w:r>
              <w:rPr>
                <w:b/>
                <w:sz w:val="20"/>
                <w:szCs w:val="20"/>
              </w:rPr>
              <w:t xml:space="preserve"> First Nation</w:t>
            </w:r>
          </w:p>
          <w:p w:rsidR="006D7D71" w:rsidRPr="00A935AA" w:rsidRDefault="006D7D71" w:rsidP="007224FE">
            <w:pPr>
              <w:tabs>
                <w:tab w:val="left" w:pos="-1440"/>
                <w:tab w:val="left" w:pos="-720"/>
              </w:tabs>
              <w:rPr>
                <w:sz w:val="20"/>
                <w:szCs w:val="20"/>
              </w:rPr>
            </w:pPr>
            <w:r w:rsidRPr="00A935AA">
              <w:rPr>
                <w:sz w:val="20"/>
                <w:szCs w:val="20"/>
              </w:rPr>
              <w:tab/>
            </w:r>
            <w:r w:rsidR="00421D07">
              <w:rPr>
                <w:sz w:val="20"/>
                <w:szCs w:val="20"/>
              </w:rPr>
              <w:t xml:space="preserve">Andrew K. </w:t>
            </w:r>
            <w:proofErr w:type="spellStart"/>
            <w:r w:rsidR="00421D07">
              <w:rPr>
                <w:sz w:val="20"/>
                <w:szCs w:val="20"/>
              </w:rPr>
              <w:t>Lokan</w:t>
            </w:r>
            <w:proofErr w:type="spellEnd"/>
          </w:p>
          <w:p w:rsidR="006D7D71" w:rsidRPr="00A935AA" w:rsidRDefault="006D7D71" w:rsidP="007224FE">
            <w:pPr>
              <w:tabs>
                <w:tab w:val="left" w:pos="-1440"/>
                <w:tab w:val="left" w:pos="-720"/>
              </w:tabs>
              <w:rPr>
                <w:sz w:val="20"/>
                <w:szCs w:val="20"/>
              </w:rPr>
            </w:pPr>
            <w:r w:rsidRPr="00A935AA">
              <w:rPr>
                <w:sz w:val="20"/>
                <w:szCs w:val="20"/>
              </w:rPr>
              <w:tab/>
            </w:r>
            <w:proofErr w:type="spellStart"/>
            <w:r w:rsidR="00421D07">
              <w:rPr>
                <w:sz w:val="20"/>
                <w:szCs w:val="20"/>
              </w:rPr>
              <w:t>Paliare</w:t>
            </w:r>
            <w:proofErr w:type="spellEnd"/>
            <w:r w:rsidR="00421D07">
              <w:rPr>
                <w:sz w:val="20"/>
                <w:szCs w:val="20"/>
              </w:rPr>
              <w:t xml:space="preserve">, Roland, Rosenberg, Rothstein, </w:t>
            </w:r>
            <w:r w:rsidR="00421D07">
              <w:rPr>
                <w:sz w:val="20"/>
                <w:szCs w:val="20"/>
              </w:rPr>
              <w:tab/>
              <w:t>LLP</w:t>
            </w:r>
          </w:p>
          <w:p w:rsidR="006D7D71" w:rsidRPr="00A935AA" w:rsidRDefault="006D7D71" w:rsidP="007224FE">
            <w:pPr>
              <w:tabs>
                <w:tab w:val="left" w:pos="-1440"/>
                <w:tab w:val="left" w:pos="-720"/>
              </w:tabs>
              <w:rPr>
                <w:sz w:val="20"/>
                <w:szCs w:val="20"/>
              </w:rPr>
            </w:pPr>
          </w:p>
          <w:p w:rsidR="006D7D71" w:rsidRPr="00CA2CE2" w:rsidRDefault="006D7D71" w:rsidP="007224FE">
            <w:pPr>
              <w:tabs>
                <w:tab w:val="left" w:pos="-1440"/>
                <w:tab w:val="left" w:pos="-720"/>
              </w:tabs>
              <w:rPr>
                <w:sz w:val="20"/>
                <w:szCs w:val="20"/>
              </w:rPr>
            </w:pPr>
            <w:r w:rsidRPr="00A935AA">
              <w:rPr>
                <w:sz w:val="20"/>
                <w:szCs w:val="20"/>
              </w:rPr>
              <w:tab/>
            </w:r>
            <w:r w:rsidRPr="00CA2CE2">
              <w:rPr>
                <w:sz w:val="20"/>
                <w:szCs w:val="20"/>
              </w:rPr>
              <w:t>v. (35</w:t>
            </w:r>
            <w:r w:rsidR="00421D07" w:rsidRPr="00CA2CE2">
              <w:rPr>
                <w:sz w:val="20"/>
                <w:szCs w:val="20"/>
              </w:rPr>
              <w:t>162</w:t>
            </w:r>
            <w:r w:rsidRPr="00CA2CE2">
              <w:rPr>
                <w:sz w:val="20"/>
                <w:szCs w:val="20"/>
              </w:rPr>
              <w:t>)</w:t>
            </w:r>
          </w:p>
          <w:p w:rsidR="006D7D71" w:rsidRPr="00CA2CE2" w:rsidRDefault="006D7D71" w:rsidP="007224FE">
            <w:pPr>
              <w:tabs>
                <w:tab w:val="left" w:pos="-1440"/>
                <w:tab w:val="left" w:pos="-720"/>
              </w:tabs>
              <w:rPr>
                <w:sz w:val="20"/>
                <w:szCs w:val="20"/>
              </w:rPr>
            </w:pPr>
          </w:p>
          <w:p w:rsidR="006D7D71" w:rsidRPr="00835214" w:rsidRDefault="00421D07" w:rsidP="007224FE">
            <w:pPr>
              <w:tabs>
                <w:tab w:val="left" w:pos="-1440"/>
                <w:tab w:val="left" w:pos="-720"/>
              </w:tabs>
              <w:rPr>
                <w:b/>
                <w:sz w:val="20"/>
                <w:szCs w:val="20"/>
              </w:rPr>
            </w:pPr>
            <w:r w:rsidRPr="00465162">
              <w:rPr>
                <w:b/>
                <w:sz w:val="20"/>
                <w:szCs w:val="20"/>
                <w:lang w:val="fr-CA"/>
              </w:rPr>
              <w:t xml:space="preserve">Robert D. Nault </w:t>
            </w:r>
            <w:r w:rsidR="00465162" w:rsidRPr="00465162">
              <w:rPr>
                <w:b/>
                <w:sz w:val="20"/>
                <w:szCs w:val="20"/>
                <w:lang w:val="fr-CA"/>
              </w:rPr>
              <w:t>et al.</w:t>
            </w:r>
            <w:r w:rsidR="00465162">
              <w:rPr>
                <w:b/>
                <w:sz w:val="20"/>
                <w:szCs w:val="20"/>
                <w:lang w:val="fr-CA"/>
              </w:rPr>
              <w:t xml:space="preserve"> </w:t>
            </w:r>
            <w:r w:rsidR="006D7D71" w:rsidRPr="00835214">
              <w:rPr>
                <w:b/>
                <w:sz w:val="20"/>
                <w:szCs w:val="20"/>
              </w:rPr>
              <w:t>(</w:t>
            </w:r>
            <w:r w:rsidRPr="00835214">
              <w:rPr>
                <w:b/>
                <w:sz w:val="20"/>
                <w:szCs w:val="20"/>
              </w:rPr>
              <w:t>Ont</w:t>
            </w:r>
            <w:r w:rsidR="006D7D71" w:rsidRPr="00835214">
              <w:rPr>
                <w:b/>
                <w:sz w:val="20"/>
                <w:szCs w:val="20"/>
              </w:rPr>
              <w:t>.)</w:t>
            </w:r>
          </w:p>
          <w:p w:rsidR="006D7D71" w:rsidRPr="00A935AA" w:rsidRDefault="006D7D71" w:rsidP="007224FE">
            <w:pPr>
              <w:tabs>
                <w:tab w:val="left" w:pos="-1440"/>
                <w:tab w:val="left" w:pos="-720"/>
              </w:tabs>
              <w:rPr>
                <w:sz w:val="20"/>
                <w:szCs w:val="20"/>
              </w:rPr>
            </w:pPr>
            <w:r w:rsidRPr="00835214">
              <w:rPr>
                <w:sz w:val="20"/>
                <w:szCs w:val="20"/>
              </w:rPr>
              <w:tab/>
            </w:r>
            <w:r w:rsidR="00421D07">
              <w:rPr>
                <w:sz w:val="20"/>
                <w:szCs w:val="20"/>
              </w:rPr>
              <w:t xml:space="preserve">John S. </w:t>
            </w:r>
            <w:proofErr w:type="spellStart"/>
            <w:r w:rsidR="00421D07">
              <w:rPr>
                <w:sz w:val="20"/>
                <w:szCs w:val="20"/>
              </w:rPr>
              <w:t>Tyhurst</w:t>
            </w:r>
            <w:proofErr w:type="spellEnd"/>
          </w:p>
          <w:p w:rsidR="006D7D71" w:rsidRPr="00A935AA" w:rsidRDefault="006D7D71" w:rsidP="007224FE">
            <w:pPr>
              <w:tabs>
                <w:tab w:val="left" w:pos="-1440"/>
                <w:tab w:val="left" w:pos="-720"/>
              </w:tabs>
              <w:rPr>
                <w:sz w:val="20"/>
                <w:szCs w:val="20"/>
              </w:rPr>
            </w:pPr>
            <w:r w:rsidRPr="00A935AA">
              <w:rPr>
                <w:sz w:val="20"/>
                <w:szCs w:val="20"/>
              </w:rPr>
              <w:tab/>
            </w:r>
            <w:r w:rsidR="00421D07">
              <w:rPr>
                <w:sz w:val="20"/>
                <w:szCs w:val="20"/>
              </w:rPr>
              <w:t>A.G. of Canada</w:t>
            </w:r>
          </w:p>
          <w:p w:rsidR="006D7D71" w:rsidRPr="00A935AA" w:rsidRDefault="006D7D71" w:rsidP="007224FE">
            <w:pPr>
              <w:tabs>
                <w:tab w:val="left" w:pos="-1440"/>
                <w:tab w:val="left" w:pos="-720"/>
              </w:tabs>
              <w:rPr>
                <w:sz w:val="20"/>
                <w:szCs w:val="20"/>
              </w:rPr>
            </w:pPr>
          </w:p>
          <w:p w:rsidR="006D7D71" w:rsidRPr="00A935AA" w:rsidRDefault="006D7D71" w:rsidP="007224FE">
            <w:pPr>
              <w:rPr>
                <w:sz w:val="20"/>
                <w:szCs w:val="20"/>
              </w:rPr>
            </w:pPr>
            <w:r w:rsidRPr="00A935AA">
              <w:rPr>
                <w:sz w:val="20"/>
                <w:szCs w:val="20"/>
              </w:rPr>
              <w:t xml:space="preserve">FILING DATE: </w:t>
            </w:r>
            <w:r w:rsidR="00421D07">
              <w:rPr>
                <w:sz w:val="20"/>
                <w:szCs w:val="20"/>
              </w:rPr>
              <w:t>09</w:t>
            </w:r>
            <w:r w:rsidRPr="00A935AA">
              <w:rPr>
                <w:sz w:val="20"/>
                <w:szCs w:val="20"/>
              </w:rPr>
              <w:t>.0</w:t>
            </w:r>
            <w:r>
              <w:rPr>
                <w:sz w:val="20"/>
                <w:szCs w:val="20"/>
              </w:rPr>
              <w:t>1</w:t>
            </w:r>
            <w:r w:rsidRPr="00A935AA">
              <w:rPr>
                <w:sz w:val="20"/>
                <w:szCs w:val="20"/>
              </w:rPr>
              <w:t>.201</w:t>
            </w:r>
            <w:r>
              <w:rPr>
                <w:sz w:val="20"/>
                <w:szCs w:val="20"/>
              </w:rPr>
              <w:t>3</w:t>
            </w:r>
          </w:p>
          <w:p w:rsidR="006D7D71" w:rsidRPr="00A935AA" w:rsidRDefault="00F008AC" w:rsidP="007224FE">
            <w:pPr>
              <w:rPr>
                <w:sz w:val="20"/>
                <w:szCs w:val="20"/>
              </w:rPr>
            </w:pPr>
            <w:r w:rsidRPr="00F008A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p w:rsidR="006D7D71" w:rsidRPr="00A935AA" w:rsidRDefault="006D7D71" w:rsidP="00242AEE">
            <w:pPr>
              <w:jc w:val="center"/>
              <w:rPr>
                <w:sz w:val="20"/>
                <w:szCs w:val="20"/>
              </w:rPr>
            </w:pPr>
          </w:p>
        </w:tc>
        <w:tc>
          <w:tcPr>
            <w:tcW w:w="4320" w:type="dxa"/>
            <w:shd w:val="clear" w:color="auto" w:fill="auto"/>
          </w:tcPr>
          <w:p w:rsidR="006D7D71" w:rsidRPr="00A935AA" w:rsidRDefault="00421D07" w:rsidP="007224FE">
            <w:pPr>
              <w:keepNext/>
              <w:keepLines/>
              <w:tabs>
                <w:tab w:val="left" w:pos="-1440"/>
                <w:tab w:val="left" w:pos="-720"/>
              </w:tabs>
              <w:rPr>
                <w:b/>
                <w:sz w:val="20"/>
                <w:szCs w:val="20"/>
              </w:rPr>
            </w:pPr>
            <w:r>
              <w:rPr>
                <w:b/>
                <w:sz w:val="20"/>
                <w:szCs w:val="20"/>
              </w:rPr>
              <w:t>Attorney General of Ontario</w:t>
            </w:r>
          </w:p>
          <w:p w:rsidR="006D7D71" w:rsidRPr="00A935AA" w:rsidRDefault="006D7D71" w:rsidP="007224FE">
            <w:pPr>
              <w:keepNext/>
              <w:keepLines/>
              <w:tabs>
                <w:tab w:val="left" w:pos="-1440"/>
                <w:tab w:val="left" w:pos="-720"/>
              </w:tabs>
              <w:rPr>
                <w:sz w:val="20"/>
                <w:szCs w:val="20"/>
              </w:rPr>
            </w:pPr>
            <w:r w:rsidRPr="00A935AA">
              <w:rPr>
                <w:sz w:val="20"/>
                <w:szCs w:val="20"/>
              </w:rPr>
              <w:tab/>
            </w:r>
            <w:r w:rsidR="00421D07">
              <w:rPr>
                <w:sz w:val="20"/>
                <w:szCs w:val="20"/>
              </w:rPr>
              <w:t>Christine Bartlett-Hughes</w:t>
            </w:r>
          </w:p>
          <w:p w:rsidR="006D7D71" w:rsidRPr="00A935AA" w:rsidRDefault="006D7D71" w:rsidP="007224FE">
            <w:pPr>
              <w:keepNext/>
              <w:keepLines/>
              <w:tabs>
                <w:tab w:val="left" w:pos="-1440"/>
                <w:tab w:val="left" w:pos="-720"/>
              </w:tabs>
              <w:rPr>
                <w:sz w:val="20"/>
                <w:szCs w:val="20"/>
              </w:rPr>
            </w:pPr>
            <w:r w:rsidRPr="00A935AA">
              <w:rPr>
                <w:sz w:val="20"/>
                <w:szCs w:val="20"/>
              </w:rPr>
              <w:tab/>
            </w:r>
            <w:r w:rsidR="00421D07">
              <w:rPr>
                <w:sz w:val="20"/>
                <w:szCs w:val="20"/>
              </w:rPr>
              <w:t>A.G. of Ontario</w:t>
            </w:r>
          </w:p>
          <w:p w:rsidR="006D7D71" w:rsidRPr="00A935AA" w:rsidRDefault="006D7D71" w:rsidP="007224FE">
            <w:pPr>
              <w:keepNext/>
              <w:keepLines/>
              <w:tabs>
                <w:tab w:val="left" w:pos="-1440"/>
                <w:tab w:val="left" w:pos="-720"/>
              </w:tabs>
              <w:rPr>
                <w:sz w:val="20"/>
                <w:szCs w:val="20"/>
              </w:rPr>
            </w:pPr>
          </w:p>
          <w:p w:rsidR="006D7D71" w:rsidRPr="00421D07" w:rsidRDefault="006D7D71" w:rsidP="007224FE">
            <w:pPr>
              <w:keepNext/>
              <w:keepLines/>
              <w:tabs>
                <w:tab w:val="left" w:pos="-1440"/>
                <w:tab w:val="left" w:pos="-720"/>
              </w:tabs>
              <w:rPr>
                <w:sz w:val="20"/>
                <w:szCs w:val="20"/>
              </w:rPr>
            </w:pPr>
            <w:r w:rsidRPr="00A935AA">
              <w:rPr>
                <w:sz w:val="20"/>
                <w:szCs w:val="20"/>
              </w:rPr>
              <w:tab/>
            </w:r>
            <w:r w:rsidRPr="00421D07">
              <w:rPr>
                <w:sz w:val="20"/>
                <w:szCs w:val="20"/>
              </w:rPr>
              <w:t>v. (35</w:t>
            </w:r>
            <w:r w:rsidR="00421D07">
              <w:rPr>
                <w:sz w:val="20"/>
                <w:szCs w:val="20"/>
              </w:rPr>
              <w:t>165</w:t>
            </w:r>
            <w:r w:rsidRPr="00421D07">
              <w:rPr>
                <w:sz w:val="20"/>
                <w:szCs w:val="20"/>
              </w:rPr>
              <w:t>)</w:t>
            </w:r>
          </w:p>
          <w:p w:rsidR="006D7D71" w:rsidRPr="00421D07" w:rsidRDefault="006D7D71" w:rsidP="007224FE">
            <w:pPr>
              <w:keepNext/>
              <w:keepLines/>
              <w:tabs>
                <w:tab w:val="left" w:pos="-1440"/>
                <w:tab w:val="left" w:pos="-720"/>
              </w:tabs>
              <w:rPr>
                <w:sz w:val="20"/>
                <w:szCs w:val="20"/>
              </w:rPr>
            </w:pPr>
          </w:p>
          <w:p w:rsidR="006D7D71" w:rsidRPr="00421D07" w:rsidRDefault="00421D07" w:rsidP="007224FE">
            <w:pPr>
              <w:keepNext/>
              <w:keepLines/>
              <w:tabs>
                <w:tab w:val="left" w:pos="-1440"/>
                <w:tab w:val="left" w:pos="-720"/>
              </w:tabs>
              <w:rPr>
                <w:b/>
                <w:sz w:val="20"/>
                <w:szCs w:val="20"/>
              </w:rPr>
            </w:pPr>
            <w:r>
              <w:rPr>
                <w:b/>
                <w:sz w:val="20"/>
                <w:szCs w:val="20"/>
              </w:rPr>
              <w:t xml:space="preserve">Thomas John </w:t>
            </w:r>
            <w:proofErr w:type="spellStart"/>
            <w:r>
              <w:rPr>
                <w:b/>
                <w:sz w:val="20"/>
                <w:szCs w:val="20"/>
              </w:rPr>
              <w:t>Wierzbicki</w:t>
            </w:r>
            <w:proofErr w:type="spellEnd"/>
            <w:r>
              <w:rPr>
                <w:b/>
                <w:sz w:val="20"/>
                <w:szCs w:val="20"/>
              </w:rPr>
              <w:t xml:space="preserve"> </w:t>
            </w:r>
            <w:r w:rsidR="006D7D71" w:rsidRPr="00421D07">
              <w:rPr>
                <w:b/>
                <w:sz w:val="20"/>
                <w:szCs w:val="20"/>
              </w:rPr>
              <w:t>(Ont.)</w:t>
            </w:r>
          </w:p>
          <w:p w:rsidR="006D7D71" w:rsidRPr="00421D07" w:rsidRDefault="006D7D71" w:rsidP="007224FE">
            <w:pPr>
              <w:keepNext/>
              <w:keepLines/>
              <w:tabs>
                <w:tab w:val="left" w:pos="-1440"/>
                <w:tab w:val="left" w:pos="-720"/>
              </w:tabs>
              <w:rPr>
                <w:sz w:val="20"/>
                <w:szCs w:val="20"/>
              </w:rPr>
            </w:pPr>
            <w:r w:rsidRPr="00421D07">
              <w:rPr>
                <w:sz w:val="20"/>
                <w:szCs w:val="20"/>
              </w:rPr>
              <w:tab/>
            </w:r>
            <w:r w:rsidR="00421D07" w:rsidRPr="00421D07">
              <w:rPr>
                <w:sz w:val="20"/>
                <w:szCs w:val="20"/>
              </w:rPr>
              <w:t xml:space="preserve">Andrew </w:t>
            </w:r>
            <w:proofErr w:type="spellStart"/>
            <w:r w:rsidR="00421D07" w:rsidRPr="00421D07">
              <w:rPr>
                <w:sz w:val="20"/>
                <w:szCs w:val="20"/>
              </w:rPr>
              <w:t>Furgiuele</w:t>
            </w:r>
            <w:proofErr w:type="spellEnd"/>
          </w:p>
          <w:p w:rsidR="006D7D71" w:rsidRPr="00421D07" w:rsidRDefault="006D7D71" w:rsidP="007224FE">
            <w:pPr>
              <w:keepNext/>
              <w:keepLines/>
              <w:tabs>
                <w:tab w:val="left" w:pos="-1440"/>
                <w:tab w:val="left" w:pos="-720"/>
              </w:tabs>
              <w:rPr>
                <w:sz w:val="20"/>
                <w:szCs w:val="20"/>
              </w:rPr>
            </w:pPr>
            <w:r w:rsidRPr="00421D07">
              <w:rPr>
                <w:sz w:val="20"/>
                <w:szCs w:val="20"/>
              </w:rPr>
              <w:tab/>
            </w:r>
            <w:proofErr w:type="spellStart"/>
            <w:r w:rsidR="00421D07">
              <w:rPr>
                <w:sz w:val="20"/>
                <w:szCs w:val="20"/>
              </w:rPr>
              <w:t>Addario</w:t>
            </w:r>
            <w:proofErr w:type="spellEnd"/>
            <w:r w:rsidR="00421D07">
              <w:rPr>
                <w:sz w:val="20"/>
                <w:szCs w:val="20"/>
              </w:rPr>
              <w:t xml:space="preserve"> Law Group</w:t>
            </w:r>
          </w:p>
          <w:p w:rsidR="006D7D71" w:rsidRPr="00421D07" w:rsidRDefault="006D7D71" w:rsidP="007224FE">
            <w:pPr>
              <w:keepNext/>
              <w:keepLines/>
              <w:tabs>
                <w:tab w:val="left" w:pos="-1440"/>
                <w:tab w:val="left" w:pos="-720"/>
              </w:tabs>
              <w:rPr>
                <w:sz w:val="20"/>
                <w:szCs w:val="20"/>
              </w:rPr>
            </w:pPr>
          </w:p>
          <w:p w:rsidR="006D7D71" w:rsidRPr="00A935AA" w:rsidRDefault="006D7D71" w:rsidP="00421D07">
            <w:pPr>
              <w:rPr>
                <w:sz w:val="20"/>
                <w:szCs w:val="20"/>
              </w:rPr>
            </w:pPr>
            <w:r w:rsidRPr="00A935AA">
              <w:rPr>
                <w:sz w:val="20"/>
                <w:szCs w:val="20"/>
              </w:rPr>
              <w:t xml:space="preserve">FILING DATE: </w:t>
            </w:r>
            <w:r w:rsidR="00421D07">
              <w:rPr>
                <w:sz w:val="20"/>
                <w:szCs w:val="20"/>
              </w:rPr>
              <w:t>11</w:t>
            </w:r>
            <w:r w:rsidRPr="00A935AA">
              <w:rPr>
                <w:sz w:val="20"/>
                <w:szCs w:val="20"/>
              </w:rPr>
              <w:t>.0</w:t>
            </w:r>
            <w:r>
              <w:rPr>
                <w:sz w:val="20"/>
                <w:szCs w:val="20"/>
              </w:rPr>
              <w:t>1</w:t>
            </w:r>
            <w:r w:rsidRPr="00A935AA">
              <w:rPr>
                <w:sz w:val="20"/>
                <w:szCs w:val="20"/>
              </w:rPr>
              <w:t>.201</w:t>
            </w:r>
            <w:r>
              <w:rPr>
                <w:sz w:val="20"/>
                <w:szCs w:val="20"/>
              </w:rPr>
              <w:t>3</w:t>
            </w:r>
            <w:r w:rsidR="00F008AC" w:rsidRPr="00F008AC">
              <w:rPr>
                <w:sz w:val="20"/>
                <w:szCs w:val="20"/>
                <w:lang w:val="fr-CA"/>
              </w:rPr>
              <w:pict>
                <v:rect id="_x0000_i1028" style="width:108pt;height:1pt" o:hrpct="0" o:hralign="center" o:hrstd="t" o:hrnoshade="t" o:hr="t" fillcolor="black [3213]" stroked="f"/>
              </w:pict>
            </w:r>
          </w:p>
        </w:tc>
      </w:tr>
      <w:tr w:rsidR="00F74E3B" w:rsidRPr="00A935AA" w:rsidTr="003B3977">
        <w:tc>
          <w:tcPr>
            <w:tcW w:w="4320" w:type="dxa"/>
            <w:shd w:val="clear" w:color="auto" w:fill="auto"/>
          </w:tcPr>
          <w:p w:rsidR="00F74E3B" w:rsidRDefault="00F74E3B" w:rsidP="007224FE">
            <w:pPr>
              <w:rPr>
                <w:b/>
                <w:sz w:val="20"/>
                <w:szCs w:val="20"/>
              </w:rPr>
            </w:pPr>
          </w:p>
          <w:p w:rsidR="00F74E3B" w:rsidRPr="00835214" w:rsidRDefault="00F74E3B" w:rsidP="007224FE">
            <w:pPr>
              <w:rPr>
                <w:sz w:val="20"/>
                <w:szCs w:val="20"/>
                <w:lang w:val="fr-CA"/>
              </w:rPr>
            </w:pPr>
            <w:proofErr w:type="spellStart"/>
            <w:r w:rsidRPr="00835214">
              <w:rPr>
                <w:b/>
                <w:sz w:val="20"/>
                <w:szCs w:val="20"/>
                <w:lang w:val="fr-CA"/>
              </w:rPr>
              <w:t>Nouredine</w:t>
            </w:r>
            <w:proofErr w:type="spellEnd"/>
            <w:r w:rsidRPr="00835214">
              <w:rPr>
                <w:b/>
                <w:sz w:val="20"/>
                <w:szCs w:val="20"/>
                <w:lang w:val="fr-CA"/>
              </w:rPr>
              <w:t xml:space="preserve"> Philip </w:t>
            </w:r>
            <w:proofErr w:type="spellStart"/>
            <w:r w:rsidRPr="00835214">
              <w:rPr>
                <w:b/>
                <w:sz w:val="20"/>
                <w:szCs w:val="20"/>
                <w:lang w:val="fr-CA"/>
              </w:rPr>
              <w:t>Fakhri</w:t>
            </w:r>
            <w:proofErr w:type="spellEnd"/>
          </w:p>
          <w:p w:rsidR="00F74E3B" w:rsidRPr="00F74E3B" w:rsidRDefault="00F74E3B" w:rsidP="00F74E3B">
            <w:pPr>
              <w:keepNext/>
              <w:keepLines/>
              <w:tabs>
                <w:tab w:val="left" w:pos="-1440"/>
                <w:tab w:val="left" w:pos="-720"/>
              </w:tabs>
              <w:rPr>
                <w:sz w:val="20"/>
                <w:szCs w:val="20"/>
                <w:lang w:val="fr-CA"/>
              </w:rPr>
            </w:pPr>
            <w:r w:rsidRPr="00835214">
              <w:rPr>
                <w:sz w:val="20"/>
                <w:szCs w:val="20"/>
                <w:lang w:val="fr-CA"/>
              </w:rPr>
              <w:tab/>
            </w:r>
            <w:proofErr w:type="spellStart"/>
            <w:r w:rsidRPr="00F74E3B">
              <w:rPr>
                <w:sz w:val="20"/>
                <w:szCs w:val="20"/>
                <w:lang w:val="fr-CA"/>
              </w:rPr>
              <w:t>Nouredine</w:t>
            </w:r>
            <w:proofErr w:type="spellEnd"/>
            <w:r w:rsidRPr="00F74E3B">
              <w:rPr>
                <w:sz w:val="20"/>
                <w:szCs w:val="20"/>
                <w:lang w:val="fr-CA"/>
              </w:rPr>
              <w:t xml:space="preserve"> Philip </w:t>
            </w:r>
            <w:proofErr w:type="spellStart"/>
            <w:r w:rsidRPr="00F74E3B">
              <w:rPr>
                <w:sz w:val="20"/>
                <w:szCs w:val="20"/>
                <w:lang w:val="fr-CA"/>
              </w:rPr>
              <w:t>Fakhri</w:t>
            </w:r>
            <w:proofErr w:type="spellEnd"/>
          </w:p>
          <w:p w:rsidR="00F74E3B" w:rsidRPr="00F74E3B" w:rsidRDefault="00F74E3B" w:rsidP="00F74E3B">
            <w:pPr>
              <w:keepNext/>
              <w:keepLines/>
              <w:tabs>
                <w:tab w:val="left" w:pos="-1440"/>
                <w:tab w:val="left" w:pos="-720"/>
              </w:tabs>
              <w:rPr>
                <w:sz w:val="20"/>
                <w:szCs w:val="20"/>
                <w:lang w:val="fr-CA"/>
              </w:rPr>
            </w:pPr>
          </w:p>
          <w:p w:rsidR="00F74E3B" w:rsidRPr="00F74E3B" w:rsidRDefault="00F74E3B" w:rsidP="00F74E3B">
            <w:pPr>
              <w:keepNext/>
              <w:keepLines/>
              <w:tabs>
                <w:tab w:val="left" w:pos="-1440"/>
                <w:tab w:val="left" w:pos="-720"/>
              </w:tabs>
              <w:rPr>
                <w:sz w:val="20"/>
                <w:szCs w:val="20"/>
                <w:lang w:val="fr-CA"/>
              </w:rPr>
            </w:pPr>
            <w:r w:rsidRPr="00F74E3B">
              <w:rPr>
                <w:sz w:val="20"/>
                <w:szCs w:val="20"/>
                <w:lang w:val="fr-CA"/>
              </w:rPr>
              <w:tab/>
              <w:t>c. (35172)</w:t>
            </w:r>
          </w:p>
          <w:p w:rsidR="00F74E3B" w:rsidRPr="00F74E3B" w:rsidRDefault="00F74E3B" w:rsidP="00F74E3B">
            <w:pPr>
              <w:keepNext/>
              <w:keepLines/>
              <w:tabs>
                <w:tab w:val="left" w:pos="-1440"/>
                <w:tab w:val="left" w:pos="-720"/>
              </w:tabs>
              <w:rPr>
                <w:sz w:val="20"/>
                <w:szCs w:val="20"/>
                <w:lang w:val="fr-CA"/>
              </w:rPr>
            </w:pPr>
          </w:p>
          <w:p w:rsidR="00F74E3B" w:rsidRPr="00F74E3B" w:rsidRDefault="00F74E3B" w:rsidP="00F74E3B">
            <w:pPr>
              <w:keepNext/>
              <w:keepLines/>
              <w:tabs>
                <w:tab w:val="left" w:pos="-1440"/>
                <w:tab w:val="left" w:pos="-720"/>
              </w:tabs>
              <w:rPr>
                <w:b/>
                <w:sz w:val="20"/>
                <w:szCs w:val="20"/>
                <w:lang w:val="fr-CA"/>
              </w:rPr>
            </w:pPr>
            <w:proofErr w:type="spellStart"/>
            <w:r w:rsidRPr="00F74E3B">
              <w:rPr>
                <w:b/>
                <w:sz w:val="20"/>
                <w:szCs w:val="20"/>
                <w:lang w:val="fr-CA"/>
              </w:rPr>
              <w:t>Seaport</w:t>
            </w:r>
            <w:proofErr w:type="spellEnd"/>
            <w:r w:rsidRPr="00F74E3B">
              <w:rPr>
                <w:b/>
                <w:sz w:val="20"/>
                <w:szCs w:val="20"/>
                <w:lang w:val="fr-CA"/>
              </w:rPr>
              <w:t xml:space="preserve"> Group LLC et autre (</w:t>
            </w:r>
            <w:proofErr w:type="spellStart"/>
            <w:r w:rsidRPr="00F74E3B">
              <w:rPr>
                <w:b/>
                <w:sz w:val="20"/>
                <w:szCs w:val="20"/>
                <w:lang w:val="fr-CA"/>
              </w:rPr>
              <w:t>Qc</w:t>
            </w:r>
            <w:proofErr w:type="spellEnd"/>
            <w:r w:rsidRPr="00F74E3B">
              <w:rPr>
                <w:b/>
                <w:sz w:val="20"/>
                <w:szCs w:val="20"/>
                <w:lang w:val="fr-CA"/>
              </w:rPr>
              <w:t>)</w:t>
            </w:r>
          </w:p>
          <w:p w:rsidR="00F74E3B" w:rsidRPr="00F74E3B" w:rsidRDefault="00F74E3B" w:rsidP="00F74E3B">
            <w:pPr>
              <w:keepNext/>
              <w:keepLines/>
              <w:tabs>
                <w:tab w:val="left" w:pos="-1440"/>
                <w:tab w:val="left" w:pos="-720"/>
              </w:tabs>
              <w:rPr>
                <w:sz w:val="20"/>
                <w:szCs w:val="20"/>
              </w:rPr>
            </w:pPr>
            <w:r w:rsidRPr="00F74E3B">
              <w:rPr>
                <w:sz w:val="20"/>
                <w:szCs w:val="20"/>
                <w:lang w:val="fr-CA"/>
              </w:rPr>
              <w:tab/>
            </w:r>
            <w:proofErr w:type="spellStart"/>
            <w:r w:rsidRPr="00F74E3B">
              <w:rPr>
                <w:sz w:val="20"/>
                <w:szCs w:val="20"/>
              </w:rPr>
              <w:t>Keriane</w:t>
            </w:r>
            <w:proofErr w:type="spellEnd"/>
            <w:r w:rsidRPr="00F74E3B">
              <w:rPr>
                <w:sz w:val="20"/>
                <w:szCs w:val="20"/>
              </w:rPr>
              <w:t xml:space="preserve"> Wilson</w:t>
            </w:r>
          </w:p>
          <w:p w:rsidR="00F74E3B" w:rsidRPr="00F74E3B" w:rsidRDefault="00F74E3B" w:rsidP="00F74E3B">
            <w:pPr>
              <w:keepNext/>
              <w:keepLines/>
              <w:tabs>
                <w:tab w:val="left" w:pos="-1440"/>
                <w:tab w:val="left" w:pos="-720"/>
              </w:tabs>
              <w:rPr>
                <w:sz w:val="20"/>
                <w:szCs w:val="20"/>
              </w:rPr>
            </w:pPr>
            <w:r w:rsidRPr="00F74E3B">
              <w:rPr>
                <w:sz w:val="20"/>
                <w:szCs w:val="20"/>
              </w:rPr>
              <w:tab/>
              <w:t xml:space="preserve">Osler, </w:t>
            </w:r>
            <w:proofErr w:type="spellStart"/>
            <w:r w:rsidRPr="00F74E3B">
              <w:rPr>
                <w:sz w:val="20"/>
                <w:szCs w:val="20"/>
              </w:rPr>
              <w:t>Hoskin</w:t>
            </w:r>
            <w:proofErr w:type="spellEnd"/>
            <w:r w:rsidRPr="00F74E3B">
              <w:rPr>
                <w:sz w:val="20"/>
                <w:szCs w:val="20"/>
              </w:rPr>
              <w:t xml:space="preserve"> &amp; Harcourt LLP</w:t>
            </w:r>
          </w:p>
          <w:p w:rsidR="00F74E3B" w:rsidRPr="00F74E3B" w:rsidRDefault="00F74E3B" w:rsidP="00F74E3B">
            <w:pPr>
              <w:keepNext/>
              <w:keepLines/>
              <w:tabs>
                <w:tab w:val="left" w:pos="-1440"/>
                <w:tab w:val="left" w:pos="-720"/>
              </w:tabs>
              <w:rPr>
                <w:sz w:val="20"/>
                <w:szCs w:val="20"/>
              </w:rPr>
            </w:pPr>
          </w:p>
          <w:p w:rsidR="00F74E3B" w:rsidRDefault="00F74E3B" w:rsidP="00F74E3B">
            <w:pPr>
              <w:rPr>
                <w:sz w:val="20"/>
                <w:szCs w:val="20"/>
              </w:rPr>
            </w:pPr>
            <w:r w:rsidRPr="00A935AA">
              <w:rPr>
                <w:sz w:val="20"/>
                <w:szCs w:val="20"/>
              </w:rPr>
              <w:t>DATE</w:t>
            </w:r>
            <w:r>
              <w:rPr>
                <w:sz w:val="20"/>
                <w:szCs w:val="20"/>
              </w:rPr>
              <w:t xml:space="preserve"> DE PRODUCTION</w:t>
            </w:r>
            <w:r w:rsidRPr="00A935AA">
              <w:rPr>
                <w:sz w:val="20"/>
                <w:szCs w:val="20"/>
              </w:rPr>
              <w:t xml:space="preserve">: </w:t>
            </w:r>
            <w:r>
              <w:rPr>
                <w:sz w:val="20"/>
                <w:szCs w:val="20"/>
              </w:rPr>
              <w:t>11</w:t>
            </w:r>
            <w:r w:rsidRPr="00A935AA">
              <w:rPr>
                <w:sz w:val="20"/>
                <w:szCs w:val="20"/>
              </w:rPr>
              <w:t>.0</w:t>
            </w:r>
            <w:r>
              <w:rPr>
                <w:sz w:val="20"/>
                <w:szCs w:val="20"/>
              </w:rPr>
              <w:t>1</w:t>
            </w:r>
            <w:r w:rsidRPr="00A935AA">
              <w:rPr>
                <w:sz w:val="20"/>
                <w:szCs w:val="20"/>
              </w:rPr>
              <w:t>.201</w:t>
            </w:r>
            <w:r>
              <w:rPr>
                <w:sz w:val="20"/>
                <w:szCs w:val="20"/>
              </w:rPr>
              <w:t>3</w:t>
            </w:r>
          </w:p>
          <w:p w:rsidR="00F74E3B" w:rsidRPr="00F74E3B" w:rsidRDefault="00F008AC" w:rsidP="00F74E3B">
            <w:pPr>
              <w:rPr>
                <w:sz w:val="20"/>
                <w:szCs w:val="20"/>
              </w:rPr>
            </w:pPr>
            <w:r w:rsidRPr="00F008A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Default="00F74E3B" w:rsidP="00242AEE">
            <w:pPr>
              <w:jc w:val="center"/>
              <w:rPr>
                <w:sz w:val="20"/>
                <w:szCs w:val="20"/>
              </w:rPr>
            </w:pPr>
          </w:p>
          <w:p w:rsidR="00F74E3B" w:rsidRDefault="00F74E3B" w:rsidP="00242AEE">
            <w:pPr>
              <w:jc w:val="center"/>
              <w:rPr>
                <w:sz w:val="20"/>
                <w:szCs w:val="20"/>
              </w:rPr>
            </w:pPr>
          </w:p>
          <w:p w:rsidR="00F74E3B" w:rsidRPr="00A935AA" w:rsidRDefault="00F74E3B" w:rsidP="00242AEE">
            <w:pPr>
              <w:jc w:val="center"/>
              <w:rPr>
                <w:sz w:val="20"/>
                <w:szCs w:val="20"/>
              </w:rPr>
            </w:pPr>
          </w:p>
        </w:tc>
        <w:tc>
          <w:tcPr>
            <w:tcW w:w="4320" w:type="dxa"/>
            <w:shd w:val="clear" w:color="auto" w:fill="auto"/>
          </w:tcPr>
          <w:p w:rsidR="00F74E3B" w:rsidRPr="00A935AA" w:rsidRDefault="00F74E3B" w:rsidP="00F74E3B">
            <w:pPr>
              <w:keepNext/>
              <w:keepLines/>
              <w:tabs>
                <w:tab w:val="left" w:pos="-1440"/>
                <w:tab w:val="left" w:pos="-720"/>
              </w:tabs>
              <w:rPr>
                <w:b/>
                <w:sz w:val="20"/>
                <w:szCs w:val="20"/>
              </w:rPr>
            </w:pPr>
            <w:r>
              <w:rPr>
                <w:b/>
                <w:sz w:val="20"/>
                <w:szCs w:val="20"/>
              </w:rPr>
              <w:t>K.A.D.</w:t>
            </w:r>
          </w:p>
          <w:p w:rsidR="00F74E3B" w:rsidRPr="00A935AA" w:rsidRDefault="00F74E3B" w:rsidP="00F74E3B">
            <w:pPr>
              <w:tabs>
                <w:tab w:val="left" w:pos="-1440"/>
                <w:tab w:val="left" w:pos="-720"/>
              </w:tabs>
              <w:rPr>
                <w:sz w:val="20"/>
                <w:szCs w:val="20"/>
              </w:rPr>
            </w:pPr>
            <w:r w:rsidRPr="00A935AA">
              <w:rPr>
                <w:sz w:val="20"/>
                <w:szCs w:val="20"/>
              </w:rPr>
              <w:tab/>
            </w:r>
            <w:r>
              <w:rPr>
                <w:sz w:val="20"/>
                <w:szCs w:val="20"/>
              </w:rPr>
              <w:t>Jill R. Presser</w:t>
            </w:r>
          </w:p>
          <w:p w:rsidR="00F74E3B" w:rsidRPr="00A935AA" w:rsidRDefault="00F74E3B" w:rsidP="00F74E3B">
            <w:pPr>
              <w:tabs>
                <w:tab w:val="left" w:pos="-1440"/>
                <w:tab w:val="left" w:pos="-720"/>
              </w:tabs>
              <w:rPr>
                <w:sz w:val="20"/>
                <w:szCs w:val="20"/>
              </w:rPr>
            </w:pPr>
            <w:r w:rsidRPr="00A935AA">
              <w:rPr>
                <w:sz w:val="20"/>
                <w:szCs w:val="20"/>
              </w:rPr>
              <w:tab/>
            </w:r>
            <w:proofErr w:type="spellStart"/>
            <w:r>
              <w:rPr>
                <w:sz w:val="20"/>
                <w:szCs w:val="20"/>
              </w:rPr>
              <w:t>Schreck</w:t>
            </w:r>
            <w:proofErr w:type="spellEnd"/>
            <w:r>
              <w:rPr>
                <w:sz w:val="20"/>
                <w:szCs w:val="20"/>
              </w:rPr>
              <w:t xml:space="preserve"> Presser LLP</w:t>
            </w:r>
          </w:p>
          <w:p w:rsidR="00F74E3B" w:rsidRPr="00A935AA" w:rsidRDefault="00F74E3B" w:rsidP="00F74E3B">
            <w:pPr>
              <w:tabs>
                <w:tab w:val="left" w:pos="-1440"/>
                <w:tab w:val="left" w:pos="-720"/>
              </w:tabs>
              <w:rPr>
                <w:sz w:val="20"/>
                <w:szCs w:val="20"/>
              </w:rPr>
            </w:pPr>
          </w:p>
          <w:p w:rsidR="00F74E3B" w:rsidRPr="00A935AA" w:rsidRDefault="00F74E3B" w:rsidP="00F74E3B">
            <w:pPr>
              <w:tabs>
                <w:tab w:val="left" w:pos="-1440"/>
                <w:tab w:val="left" w:pos="-720"/>
              </w:tabs>
              <w:rPr>
                <w:sz w:val="20"/>
                <w:szCs w:val="20"/>
              </w:rPr>
            </w:pPr>
            <w:r w:rsidRPr="00A935AA">
              <w:rPr>
                <w:sz w:val="20"/>
                <w:szCs w:val="20"/>
              </w:rPr>
              <w:tab/>
              <w:t>v. (3</w:t>
            </w:r>
            <w:r>
              <w:rPr>
                <w:sz w:val="20"/>
                <w:szCs w:val="20"/>
              </w:rPr>
              <w:t>5170</w:t>
            </w:r>
            <w:r w:rsidRPr="00A935AA">
              <w:rPr>
                <w:sz w:val="20"/>
                <w:szCs w:val="20"/>
              </w:rPr>
              <w:t>)</w:t>
            </w:r>
          </w:p>
          <w:p w:rsidR="00F74E3B" w:rsidRPr="00A935AA" w:rsidRDefault="00F74E3B" w:rsidP="00F74E3B">
            <w:pPr>
              <w:tabs>
                <w:tab w:val="left" w:pos="-1440"/>
                <w:tab w:val="left" w:pos="-720"/>
              </w:tabs>
              <w:rPr>
                <w:sz w:val="20"/>
                <w:szCs w:val="20"/>
              </w:rPr>
            </w:pPr>
          </w:p>
          <w:p w:rsidR="00F74E3B" w:rsidRPr="00A935AA" w:rsidRDefault="00F74E3B" w:rsidP="00F74E3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F74E3B" w:rsidRPr="00A935AA" w:rsidRDefault="00F74E3B" w:rsidP="00F74E3B">
            <w:pPr>
              <w:tabs>
                <w:tab w:val="left" w:pos="-1440"/>
                <w:tab w:val="left" w:pos="-720"/>
              </w:tabs>
              <w:rPr>
                <w:sz w:val="20"/>
                <w:szCs w:val="20"/>
              </w:rPr>
            </w:pPr>
            <w:r w:rsidRPr="00A935AA">
              <w:rPr>
                <w:sz w:val="20"/>
                <w:szCs w:val="20"/>
              </w:rPr>
              <w:tab/>
            </w:r>
            <w:proofErr w:type="spellStart"/>
            <w:r>
              <w:rPr>
                <w:sz w:val="20"/>
                <w:szCs w:val="20"/>
              </w:rPr>
              <w:t>Avene</w:t>
            </w:r>
            <w:proofErr w:type="spellEnd"/>
            <w:r>
              <w:rPr>
                <w:sz w:val="20"/>
                <w:szCs w:val="20"/>
              </w:rPr>
              <w:t xml:space="preserve"> </w:t>
            </w:r>
            <w:proofErr w:type="spellStart"/>
            <w:r>
              <w:rPr>
                <w:sz w:val="20"/>
                <w:szCs w:val="20"/>
              </w:rPr>
              <w:t>Derwa</w:t>
            </w:r>
            <w:proofErr w:type="spellEnd"/>
          </w:p>
          <w:p w:rsidR="00F74E3B" w:rsidRPr="00A935AA" w:rsidRDefault="00F74E3B" w:rsidP="00F74E3B">
            <w:pPr>
              <w:tabs>
                <w:tab w:val="left" w:pos="-1440"/>
                <w:tab w:val="left" w:pos="-720"/>
              </w:tabs>
              <w:rPr>
                <w:sz w:val="20"/>
                <w:szCs w:val="20"/>
              </w:rPr>
            </w:pPr>
            <w:r w:rsidRPr="00A935AA">
              <w:rPr>
                <w:sz w:val="20"/>
                <w:szCs w:val="20"/>
              </w:rPr>
              <w:tab/>
            </w:r>
            <w:r>
              <w:rPr>
                <w:sz w:val="20"/>
                <w:szCs w:val="20"/>
              </w:rPr>
              <w:t>A.G. of Ontario</w:t>
            </w:r>
          </w:p>
          <w:p w:rsidR="00F74E3B" w:rsidRPr="00A935AA" w:rsidRDefault="00F74E3B" w:rsidP="00F74E3B">
            <w:pPr>
              <w:tabs>
                <w:tab w:val="left" w:pos="-1440"/>
                <w:tab w:val="left" w:pos="-720"/>
              </w:tabs>
              <w:rPr>
                <w:sz w:val="20"/>
                <w:szCs w:val="20"/>
              </w:rPr>
            </w:pPr>
          </w:p>
          <w:p w:rsidR="00F74E3B" w:rsidRPr="00A935AA" w:rsidRDefault="00F74E3B" w:rsidP="00F74E3B">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1</w:t>
            </w:r>
            <w:r w:rsidRPr="00A935AA">
              <w:rPr>
                <w:sz w:val="20"/>
                <w:szCs w:val="20"/>
              </w:rPr>
              <w:t>.201</w:t>
            </w:r>
            <w:r>
              <w:rPr>
                <w:sz w:val="20"/>
                <w:szCs w:val="20"/>
              </w:rPr>
              <w:t>3</w:t>
            </w:r>
          </w:p>
          <w:p w:rsidR="00F74E3B" w:rsidRPr="00A935AA" w:rsidRDefault="00F008AC" w:rsidP="00F74E3B">
            <w:pPr>
              <w:rPr>
                <w:sz w:val="20"/>
                <w:szCs w:val="20"/>
              </w:rPr>
            </w:pPr>
            <w:r w:rsidRPr="00F008AC">
              <w:rPr>
                <w:sz w:val="20"/>
                <w:szCs w:val="20"/>
                <w:lang w:val="fr-CA"/>
              </w:rPr>
              <w:pict>
                <v:rect id="_x0000_i1030" style="width:108pt;height:1pt" o:hrpct="0" o:hralign="center" o:hrstd="t" o:hrnoshade="t" o:hr="t" fillcolor="black [3213]" stroked="f"/>
              </w:pict>
            </w:r>
          </w:p>
        </w:tc>
      </w:tr>
      <w:tr w:rsidR="00F74E3B" w:rsidRPr="00A935AA" w:rsidTr="003B3977">
        <w:trPr>
          <w:cantSplit/>
        </w:trPr>
        <w:tc>
          <w:tcPr>
            <w:tcW w:w="4320" w:type="dxa"/>
            <w:shd w:val="clear" w:color="auto" w:fill="auto"/>
          </w:tcPr>
          <w:p w:rsidR="00F74E3B" w:rsidRPr="00A935AA" w:rsidRDefault="00F74E3B" w:rsidP="007224FE">
            <w:pPr>
              <w:rPr>
                <w:b/>
                <w:sz w:val="20"/>
                <w:szCs w:val="20"/>
              </w:rPr>
            </w:pPr>
            <w:proofErr w:type="spellStart"/>
            <w:r>
              <w:rPr>
                <w:b/>
                <w:sz w:val="20"/>
                <w:szCs w:val="20"/>
              </w:rPr>
              <w:t>Steffan</w:t>
            </w:r>
            <w:proofErr w:type="spellEnd"/>
            <w:r>
              <w:rPr>
                <w:b/>
                <w:sz w:val="20"/>
                <w:szCs w:val="20"/>
              </w:rPr>
              <w:t xml:space="preserve"> </w:t>
            </w:r>
            <w:proofErr w:type="spellStart"/>
            <w:r>
              <w:rPr>
                <w:b/>
                <w:sz w:val="20"/>
                <w:szCs w:val="20"/>
              </w:rPr>
              <w:t>Stanislav</w:t>
            </w:r>
            <w:proofErr w:type="spellEnd"/>
            <w:r>
              <w:rPr>
                <w:b/>
                <w:sz w:val="20"/>
                <w:szCs w:val="20"/>
              </w:rPr>
              <w:t xml:space="preserve"> </w:t>
            </w:r>
            <w:proofErr w:type="spellStart"/>
            <w:r>
              <w:rPr>
                <w:b/>
                <w:sz w:val="20"/>
                <w:szCs w:val="20"/>
              </w:rPr>
              <w:t>Ranauta</w:t>
            </w:r>
            <w:proofErr w:type="spellEnd"/>
          </w:p>
          <w:p w:rsidR="00F74E3B" w:rsidRPr="00A935AA" w:rsidRDefault="00F74E3B" w:rsidP="007224FE">
            <w:pPr>
              <w:tabs>
                <w:tab w:val="left" w:pos="-1440"/>
                <w:tab w:val="left" w:pos="-720"/>
              </w:tabs>
              <w:rPr>
                <w:sz w:val="20"/>
                <w:szCs w:val="20"/>
              </w:rPr>
            </w:pPr>
            <w:r w:rsidRPr="00A935AA">
              <w:rPr>
                <w:sz w:val="20"/>
                <w:szCs w:val="20"/>
              </w:rPr>
              <w:tab/>
            </w:r>
            <w:r>
              <w:rPr>
                <w:sz w:val="20"/>
                <w:szCs w:val="20"/>
              </w:rPr>
              <w:t xml:space="preserve">Dale M. </w:t>
            </w:r>
            <w:proofErr w:type="spellStart"/>
            <w:r>
              <w:rPr>
                <w:sz w:val="20"/>
                <w:szCs w:val="20"/>
              </w:rPr>
              <w:t>Knisely</w:t>
            </w:r>
            <w:proofErr w:type="spellEnd"/>
          </w:p>
          <w:p w:rsidR="00F74E3B" w:rsidRPr="00A935AA" w:rsidRDefault="00F74E3B" w:rsidP="007224FE">
            <w:pPr>
              <w:tabs>
                <w:tab w:val="left" w:pos="-1440"/>
                <w:tab w:val="left" w:pos="-720"/>
              </w:tabs>
              <w:rPr>
                <w:sz w:val="20"/>
                <w:szCs w:val="20"/>
              </w:rPr>
            </w:pPr>
            <w:r w:rsidRPr="00A935AA">
              <w:rPr>
                <w:sz w:val="20"/>
                <w:szCs w:val="20"/>
              </w:rPr>
              <w:tab/>
            </w:r>
            <w:proofErr w:type="spellStart"/>
            <w:r>
              <w:rPr>
                <w:sz w:val="20"/>
                <w:szCs w:val="20"/>
              </w:rPr>
              <w:t>Knisely</w:t>
            </w:r>
            <w:proofErr w:type="spellEnd"/>
            <w:r>
              <w:rPr>
                <w:sz w:val="20"/>
                <w:szCs w:val="20"/>
              </w:rPr>
              <w:t xml:space="preserve"> </w:t>
            </w:r>
            <w:proofErr w:type="spellStart"/>
            <w:r>
              <w:rPr>
                <w:sz w:val="20"/>
                <w:szCs w:val="20"/>
              </w:rPr>
              <w:t>Shipanoff</w:t>
            </w:r>
            <w:proofErr w:type="spellEnd"/>
            <w:r>
              <w:rPr>
                <w:sz w:val="20"/>
                <w:szCs w:val="20"/>
              </w:rPr>
              <w:t xml:space="preserve"> LLP</w:t>
            </w:r>
          </w:p>
          <w:p w:rsidR="00F74E3B" w:rsidRPr="00A935AA" w:rsidRDefault="00F74E3B" w:rsidP="007224FE">
            <w:pPr>
              <w:tabs>
                <w:tab w:val="left" w:pos="-1440"/>
                <w:tab w:val="left" w:pos="-720"/>
              </w:tabs>
              <w:rPr>
                <w:sz w:val="20"/>
                <w:szCs w:val="20"/>
              </w:rPr>
            </w:pPr>
          </w:p>
          <w:p w:rsidR="00F74E3B" w:rsidRPr="00A935AA" w:rsidRDefault="00F74E3B" w:rsidP="007224FE">
            <w:pPr>
              <w:tabs>
                <w:tab w:val="left" w:pos="-1440"/>
                <w:tab w:val="left" w:pos="-720"/>
              </w:tabs>
              <w:rPr>
                <w:sz w:val="20"/>
                <w:szCs w:val="20"/>
              </w:rPr>
            </w:pPr>
            <w:r w:rsidRPr="00A935AA">
              <w:rPr>
                <w:sz w:val="20"/>
                <w:szCs w:val="20"/>
              </w:rPr>
              <w:tab/>
              <w:t>v. (3</w:t>
            </w:r>
            <w:r>
              <w:rPr>
                <w:sz w:val="20"/>
                <w:szCs w:val="20"/>
              </w:rPr>
              <w:t>5166</w:t>
            </w:r>
            <w:r w:rsidRPr="00A935AA">
              <w:rPr>
                <w:sz w:val="20"/>
                <w:szCs w:val="20"/>
              </w:rPr>
              <w:t>)</w:t>
            </w:r>
          </w:p>
          <w:p w:rsidR="00F74E3B" w:rsidRPr="00A935AA" w:rsidRDefault="00F74E3B" w:rsidP="007224FE">
            <w:pPr>
              <w:tabs>
                <w:tab w:val="left" w:pos="-1440"/>
                <w:tab w:val="left" w:pos="-720"/>
              </w:tabs>
              <w:rPr>
                <w:sz w:val="20"/>
                <w:szCs w:val="20"/>
              </w:rPr>
            </w:pPr>
          </w:p>
          <w:p w:rsidR="00F74E3B" w:rsidRPr="00A935AA" w:rsidRDefault="00F74E3B" w:rsidP="007224F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F74E3B" w:rsidRPr="00A935AA" w:rsidRDefault="00F74E3B" w:rsidP="007224FE">
            <w:pPr>
              <w:tabs>
                <w:tab w:val="left" w:pos="-1440"/>
                <w:tab w:val="left" w:pos="-720"/>
              </w:tabs>
              <w:rPr>
                <w:sz w:val="20"/>
                <w:szCs w:val="20"/>
              </w:rPr>
            </w:pPr>
            <w:r w:rsidRPr="00A935AA">
              <w:rPr>
                <w:sz w:val="20"/>
                <w:szCs w:val="20"/>
              </w:rPr>
              <w:tab/>
            </w:r>
            <w:r>
              <w:rPr>
                <w:sz w:val="20"/>
                <w:szCs w:val="20"/>
              </w:rPr>
              <w:t>David C. Marriott, Q.C.</w:t>
            </w:r>
          </w:p>
          <w:p w:rsidR="00F74E3B" w:rsidRPr="00A935AA" w:rsidRDefault="00F74E3B" w:rsidP="007224FE">
            <w:pPr>
              <w:tabs>
                <w:tab w:val="left" w:pos="-1440"/>
                <w:tab w:val="left" w:pos="-720"/>
              </w:tabs>
              <w:rPr>
                <w:sz w:val="20"/>
                <w:szCs w:val="20"/>
              </w:rPr>
            </w:pPr>
            <w:r w:rsidRPr="00A935AA">
              <w:rPr>
                <w:sz w:val="20"/>
                <w:szCs w:val="20"/>
              </w:rPr>
              <w:tab/>
            </w:r>
            <w:r>
              <w:rPr>
                <w:sz w:val="20"/>
                <w:szCs w:val="20"/>
              </w:rPr>
              <w:t>A.G. of Alberta</w:t>
            </w:r>
          </w:p>
          <w:p w:rsidR="00F74E3B" w:rsidRPr="00A935AA" w:rsidRDefault="00F74E3B" w:rsidP="007224FE">
            <w:pPr>
              <w:tabs>
                <w:tab w:val="left" w:pos="-1440"/>
                <w:tab w:val="left" w:pos="-720"/>
              </w:tabs>
              <w:rPr>
                <w:sz w:val="20"/>
                <w:szCs w:val="20"/>
              </w:rPr>
            </w:pPr>
          </w:p>
          <w:p w:rsidR="00F74E3B" w:rsidRPr="00A935AA" w:rsidRDefault="00F74E3B" w:rsidP="007224FE">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1</w:t>
            </w:r>
            <w:r w:rsidRPr="00A935AA">
              <w:rPr>
                <w:sz w:val="20"/>
                <w:szCs w:val="20"/>
              </w:rPr>
              <w:t>.201</w:t>
            </w:r>
            <w:r>
              <w:rPr>
                <w:sz w:val="20"/>
                <w:szCs w:val="20"/>
              </w:rPr>
              <w:t>3</w:t>
            </w:r>
          </w:p>
          <w:p w:rsidR="00F74E3B" w:rsidRPr="00A935AA" w:rsidRDefault="00F008AC" w:rsidP="007224FE">
            <w:pPr>
              <w:rPr>
                <w:sz w:val="20"/>
                <w:szCs w:val="20"/>
              </w:rPr>
            </w:pPr>
            <w:r w:rsidRPr="00F008A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tc>
        <w:tc>
          <w:tcPr>
            <w:tcW w:w="4320" w:type="dxa"/>
            <w:shd w:val="clear" w:color="auto" w:fill="auto"/>
          </w:tcPr>
          <w:p w:rsidR="00F74E3B" w:rsidRPr="00A935AA" w:rsidRDefault="00F74E3B" w:rsidP="00F74E3B">
            <w:pPr>
              <w:keepNext/>
              <w:keepLines/>
              <w:tabs>
                <w:tab w:val="left" w:pos="-1440"/>
                <w:tab w:val="left" w:pos="-720"/>
              </w:tabs>
              <w:rPr>
                <w:b/>
                <w:sz w:val="20"/>
                <w:szCs w:val="20"/>
              </w:rPr>
            </w:pPr>
            <w:r>
              <w:rPr>
                <w:b/>
                <w:sz w:val="20"/>
                <w:szCs w:val="20"/>
              </w:rPr>
              <w:t>Lauren Richards</w:t>
            </w:r>
          </w:p>
          <w:p w:rsidR="00F74E3B" w:rsidRPr="00A935AA" w:rsidRDefault="00F74E3B" w:rsidP="00F74E3B">
            <w:pPr>
              <w:keepNext/>
              <w:keepLines/>
              <w:tabs>
                <w:tab w:val="left" w:pos="-1440"/>
                <w:tab w:val="left" w:pos="-720"/>
              </w:tabs>
              <w:rPr>
                <w:sz w:val="20"/>
                <w:szCs w:val="20"/>
              </w:rPr>
            </w:pPr>
            <w:r w:rsidRPr="00A935AA">
              <w:rPr>
                <w:sz w:val="20"/>
                <w:szCs w:val="20"/>
              </w:rPr>
              <w:tab/>
            </w:r>
            <w:r>
              <w:rPr>
                <w:sz w:val="20"/>
                <w:szCs w:val="20"/>
              </w:rPr>
              <w:t>Robert C. Taylor</w:t>
            </w:r>
          </w:p>
          <w:p w:rsidR="00F74E3B" w:rsidRPr="00A935AA" w:rsidRDefault="00F74E3B" w:rsidP="00F74E3B">
            <w:pPr>
              <w:keepNext/>
              <w:keepLines/>
              <w:tabs>
                <w:tab w:val="left" w:pos="-1440"/>
                <w:tab w:val="left" w:pos="-720"/>
              </w:tabs>
              <w:rPr>
                <w:sz w:val="20"/>
                <w:szCs w:val="20"/>
              </w:rPr>
            </w:pPr>
            <w:r w:rsidRPr="00A935AA">
              <w:rPr>
                <w:sz w:val="20"/>
                <w:szCs w:val="20"/>
              </w:rPr>
              <w:tab/>
            </w:r>
            <w:r>
              <w:rPr>
                <w:sz w:val="20"/>
                <w:szCs w:val="20"/>
              </w:rPr>
              <w:t>Levitt LLP</w:t>
            </w:r>
          </w:p>
          <w:p w:rsidR="00F74E3B" w:rsidRPr="00A935AA" w:rsidRDefault="00F74E3B" w:rsidP="00F74E3B">
            <w:pPr>
              <w:keepNext/>
              <w:keepLines/>
              <w:tabs>
                <w:tab w:val="left" w:pos="-1440"/>
                <w:tab w:val="left" w:pos="-720"/>
              </w:tabs>
              <w:rPr>
                <w:sz w:val="20"/>
                <w:szCs w:val="20"/>
              </w:rPr>
            </w:pPr>
          </w:p>
          <w:p w:rsidR="00F74E3B" w:rsidRPr="00835214" w:rsidRDefault="00F74E3B" w:rsidP="00F74E3B">
            <w:pPr>
              <w:keepNext/>
              <w:keepLines/>
              <w:tabs>
                <w:tab w:val="left" w:pos="-1440"/>
                <w:tab w:val="left" w:pos="-720"/>
              </w:tabs>
              <w:rPr>
                <w:sz w:val="20"/>
                <w:szCs w:val="20"/>
                <w:lang w:val="fr-CA"/>
              </w:rPr>
            </w:pPr>
            <w:r w:rsidRPr="00A935AA">
              <w:rPr>
                <w:sz w:val="20"/>
                <w:szCs w:val="20"/>
              </w:rPr>
              <w:tab/>
            </w:r>
            <w:r w:rsidRPr="00835214">
              <w:rPr>
                <w:sz w:val="20"/>
                <w:szCs w:val="20"/>
                <w:lang w:val="fr-CA"/>
              </w:rPr>
              <w:t>v. (35167)</w:t>
            </w:r>
          </w:p>
          <w:p w:rsidR="00F74E3B" w:rsidRPr="00835214" w:rsidRDefault="00F74E3B" w:rsidP="00F74E3B">
            <w:pPr>
              <w:keepNext/>
              <w:keepLines/>
              <w:tabs>
                <w:tab w:val="left" w:pos="-1440"/>
                <w:tab w:val="left" w:pos="-720"/>
              </w:tabs>
              <w:rPr>
                <w:sz w:val="20"/>
                <w:szCs w:val="20"/>
                <w:lang w:val="fr-CA"/>
              </w:rPr>
            </w:pPr>
          </w:p>
          <w:p w:rsidR="00F74E3B" w:rsidRPr="00F74E3B" w:rsidRDefault="00F74E3B" w:rsidP="00F74E3B">
            <w:pPr>
              <w:keepNext/>
              <w:keepLines/>
              <w:tabs>
                <w:tab w:val="left" w:pos="-1440"/>
                <w:tab w:val="left" w:pos="-720"/>
              </w:tabs>
              <w:rPr>
                <w:b/>
                <w:sz w:val="20"/>
                <w:szCs w:val="20"/>
              </w:rPr>
            </w:pPr>
            <w:r w:rsidRPr="00F74E3B">
              <w:rPr>
                <w:b/>
                <w:sz w:val="20"/>
                <w:szCs w:val="20"/>
                <w:lang w:val="fr-CA"/>
              </w:rPr>
              <w:t xml:space="preserve">Media Experts M.H.S. Inc. et al. </w:t>
            </w:r>
            <w:r w:rsidRPr="00F74E3B">
              <w:rPr>
                <w:b/>
                <w:sz w:val="20"/>
                <w:szCs w:val="20"/>
              </w:rPr>
              <w:t>(Ont.)</w:t>
            </w:r>
          </w:p>
          <w:p w:rsidR="00F74E3B" w:rsidRPr="00F74E3B" w:rsidRDefault="00F74E3B" w:rsidP="00F74E3B">
            <w:pPr>
              <w:keepNext/>
              <w:keepLines/>
              <w:tabs>
                <w:tab w:val="left" w:pos="-1440"/>
                <w:tab w:val="left" w:pos="-720"/>
              </w:tabs>
              <w:rPr>
                <w:sz w:val="20"/>
                <w:szCs w:val="20"/>
              </w:rPr>
            </w:pPr>
            <w:r w:rsidRPr="00F74E3B">
              <w:rPr>
                <w:sz w:val="20"/>
                <w:szCs w:val="20"/>
              </w:rPr>
              <w:tab/>
            </w:r>
            <w:r>
              <w:rPr>
                <w:sz w:val="20"/>
                <w:szCs w:val="20"/>
              </w:rPr>
              <w:t>Linda Rothstein</w:t>
            </w:r>
          </w:p>
          <w:p w:rsidR="00F74E3B" w:rsidRPr="00F74E3B" w:rsidRDefault="00F74E3B" w:rsidP="00F74E3B">
            <w:pPr>
              <w:keepNext/>
              <w:keepLines/>
              <w:tabs>
                <w:tab w:val="left" w:pos="-1440"/>
                <w:tab w:val="left" w:pos="-720"/>
              </w:tabs>
              <w:rPr>
                <w:sz w:val="20"/>
                <w:szCs w:val="20"/>
              </w:rPr>
            </w:pPr>
            <w:r w:rsidRPr="00F74E3B">
              <w:rPr>
                <w:sz w:val="20"/>
                <w:szCs w:val="20"/>
              </w:rPr>
              <w:tab/>
            </w:r>
            <w:proofErr w:type="spellStart"/>
            <w:r>
              <w:rPr>
                <w:sz w:val="20"/>
                <w:szCs w:val="20"/>
              </w:rPr>
              <w:t>Paliare</w:t>
            </w:r>
            <w:proofErr w:type="spellEnd"/>
            <w:r>
              <w:rPr>
                <w:sz w:val="20"/>
                <w:szCs w:val="20"/>
              </w:rPr>
              <w:t>, Roland, Rosenberg, Rothstein,</w:t>
            </w:r>
            <w:r>
              <w:rPr>
                <w:sz w:val="20"/>
                <w:szCs w:val="20"/>
              </w:rPr>
              <w:tab/>
              <w:t>LLP</w:t>
            </w:r>
          </w:p>
          <w:p w:rsidR="00F74E3B" w:rsidRPr="00F74E3B" w:rsidRDefault="00F74E3B" w:rsidP="00F74E3B">
            <w:pPr>
              <w:keepNext/>
              <w:keepLines/>
              <w:tabs>
                <w:tab w:val="left" w:pos="-1440"/>
                <w:tab w:val="left" w:pos="-720"/>
              </w:tabs>
              <w:rPr>
                <w:sz w:val="20"/>
                <w:szCs w:val="20"/>
              </w:rPr>
            </w:pPr>
          </w:p>
          <w:p w:rsidR="00F74E3B" w:rsidRPr="00A935AA" w:rsidRDefault="00F74E3B" w:rsidP="00F74E3B">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1</w:t>
            </w:r>
            <w:r w:rsidRPr="00A935AA">
              <w:rPr>
                <w:sz w:val="20"/>
                <w:szCs w:val="20"/>
              </w:rPr>
              <w:t>.201</w:t>
            </w:r>
            <w:r>
              <w:rPr>
                <w:sz w:val="20"/>
                <w:szCs w:val="20"/>
              </w:rPr>
              <w:t>3</w:t>
            </w:r>
            <w:r w:rsidR="00F008AC" w:rsidRPr="00F008AC">
              <w:rPr>
                <w:sz w:val="20"/>
                <w:szCs w:val="20"/>
                <w:lang w:val="fr-CA"/>
              </w:rPr>
              <w:pict>
                <v:rect id="_x0000_i1032" style="width:108pt;height:1pt" o:hrpct="0" o:hralign="center" o:hrstd="t" o:hrnoshade="t" o:hr="t" fillcolor="black [3213]" stroked="f"/>
              </w:pict>
            </w:r>
          </w:p>
        </w:tc>
      </w:tr>
      <w:tr w:rsidR="00F74E3B" w:rsidRPr="00A935AA" w:rsidTr="003B3977">
        <w:trPr>
          <w:cantSplit/>
        </w:trPr>
        <w:tc>
          <w:tcPr>
            <w:tcW w:w="4320" w:type="dxa"/>
            <w:shd w:val="clear" w:color="auto" w:fill="auto"/>
          </w:tcPr>
          <w:p w:rsidR="00F74E3B" w:rsidRPr="00F74E3B" w:rsidRDefault="00F74E3B" w:rsidP="007224FE">
            <w:pPr>
              <w:rPr>
                <w:b/>
                <w:sz w:val="20"/>
                <w:szCs w:val="20"/>
                <w:lang w:val="fr-CA"/>
              </w:rPr>
            </w:pPr>
            <w:r w:rsidRPr="00F74E3B">
              <w:rPr>
                <w:b/>
                <w:sz w:val="20"/>
                <w:szCs w:val="20"/>
                <w:lang w:val="fr-CA"/>
              </w:rPr>
              <w:lastRenderedPageBreak/>
              <w:t>Michel Dumont et autre</w:t>
            </w:r>
          </w:p>
          <w:p w:rsidR="00F74E3B" w:rsidRPr="00F74E3B" w:rsidRDefault="00F74E3B" w:rsidP="007224FE">
            <w:pPr>
              <w:tabs>
                <w:tab w:val="left" w:pos="-1440"/>
                <w:tab w:val="left" w:pos="-720"/>
              </w:tabs>
              <w:rPr>
                <w:sz w:val="20"/>
                <w:szCs w:val="20"/>
                <w:lang w:val="fr-CA"/>
              </w:rPr>
            </w:pPr>
            <w:r w:rsidRPr="00F74E3B">
              <w:rPr>
                <w:sz w:val="20"/>
                <w:szCs w:val="20"/>
                <w:lang w:val="fr-CA"/>
              </w:rPr>
              <w:tab/>
            </w:r>
            <w:r w:rsidR="00E03758">
              <w:rPr>
                <w:sz w:val="20"/>
                <w:szCs w:val="20"/>
                <w:lang w:val="fr-CA"/>
              </w:rPr>
              <w:t xml:space="preserve">Jean-François </w:t>
            </w:r>
            <w:proofErr w:type="spellStart"/>
            <w:r w:rsidR="00E03758">
              <w:rPr>
                <w:sz w:val="20"/>
                <w:szCs w:val="20"/>
                <w:lang w:val="fr-CA"/>
              </w:rPr>
              <w:t>Longtin</w:t>
            </w:r>
            <w:proofErr w:type="spellEnd"/>
          </w:p>
          <w:p w:rsidR="00F74E3B" w:rsidRPr="00F74E3B" w:rsidRDefault="00F74E3B" w:rsidP="007224FE">
            <w:pPr>
              <w:tabs>
                <w:tab w:val="left" w:pos="-1440"/>
                <w:tab w:val="left" w:pos="-720"/>
              </w:tabs>
              <w:rPr>
                <w:sz w:val="20"/>
                <w:szCs w:val="20"/>
                <w:lang w:val="fr-CA"/>
              </w:rPr>
            </w:pPr>
            <w:r w:rsidRPr="00F74E3B">
              <w:rPr>
                <w:sz w:val="20"/>
                <w:szCs w:val="20"/>
                <w:lang w:val="fr-CA"/>
              </w:rPr>
              <w:tab/>
            </w:r>
            <w:r w:rsidR="00E03758">
              <w:rPr>
                <w:sz w:val="20"/>
                <w:szCs w:val="20"/>
                <w:lang w:val="fr-CA"/>
              </w:rPr>
              <w:t xml:space="preserve">Bélanger </w:t>
            </w:r>
            <w:proofErr w:type="spellStart"/>
            <w:r w:rsidR="00E03758">
              <w:rPr>
                <w:sz w:val="20"/>
                <w:szCs w:val="20"/>
                <w:lang w:val="fr-CA"/>
              </w:rPr>
              <w:t>Longtin</w:t>
            </w:r>
            <w:proofErr w:type="spellEnd"/>
          </w:p>
          <w:p w:rsidR="00F74E3B" w:rsidRPr="00F74E3B" w:rsidRDefault="00F74E3B" w:rsidP="007224FE">
            <w:pPr>
              <w:tabs>
                <w:tab w:val="left" w:pos="-1440"/>
                <w:tab w:val="left" w:pos="-720"/>
              </w:tabs>
              <w:rPr>
                <w:sz w:val="20"/>
                <w:szCs w:val="20"/>
                <w:lang w:val="fr-CA"/>
              </w:rPr>
            </w:pPr>
          </w:p>
          <w:p w:rsidR="00F74E3B" w:rsidRPr="00F74E3B" w:rsidRDefault="00F74E3B" w:rsidP="007224FE">
            <w:pPr>
              <w:tabs>
                <w:tab w:val="left" w:pos="-1440"/>
                <w:tab w:val="left" w:pos="-720"/>
              </w:tabs>
              <w:rPr>
                <w:sz w:val="20"/>
                <w:szCs w:val="20"/>
                <w:lang w:val="fr-CA"/>
              </w:rPr>
            </w:pPr>
            <w:r w:rsidRPr="00F74E3B">
              <w:rPr>
                <w:sz w:val="20"/>
                <w:szCs w:val="20"/>
                <w:lang w:val="fr-CA"/>
              </w:rPr>
              <w:tab/>
            </w:r>
            <w:r w:rsidR="00E03758">
              <w:rPr>
                <w:sz w:val="20"/>
                <w:szCs w:val="20"/>
                <w:lang w:val="fr-CA"/>
              </w:rPr>
              <w:t>c</w:t>
            </w:r>
            <w:r w:rsidRPr="00F74E3B">
              <w:rPr>
                <w:sz w:val="20"/>
                <w:szCs w:val="20"/>
                <w:lang w:val="fr-CA"/>
              </w:rPr>
              <w:t>. (35</w:t>
            </w:r>
            <w:r>
              <w:rPr>
                <w:sz w:val="20"/>
                <w:szCs w:val="20"/>
                <w:lang w:val="fr-CA"/>
              </w:rPr>
              <w:t>168</w:t>
            </w:r>
            <w:r w:rsidRPr="00F74E3B">
              <w:rPr>
                <w:sz w:val="20"/>
                <w:szCs w:val="20"/>
                <w:lang w:val="fr-CA"/>
              </w:rPr>
              <w:t>)</w:t>
            </w:r>
          </w:p>
          <w:p w:rsidR="00F74E3B" w:rsidRPr="00F74E3B" w:rsidRDefault="00F74E3B" w:rsidP="007224FE">
            <w:pPr>
              <w:tabs>
                <w:tab w:val="left" w:pos="-1440"/>
                <w:tab w:val="left" w:pos="-720"/>
              </w:tabs>
              <w:rPr>
                <w:sz w:val="20"/>
                <w:szCs w:val="20"/>
                <w:lang w:val="fr-CA"/>
              </w:rPr>
            </w:pPr>
          </w:p>
          <w:p w:rsidR="00F74E3B" w:rsidRPr="00E03758" w:rsidRDefault="00E03758" w:rsidP="007224FE">
            <w:pPr>
              <w:tabs>
                <w:tab w:val="left" w:pos="-1440"/>
                <w:tab w:val="left" w:pos="-720"/>
              </w:tabs>
              <w:rPr>
                <w:b/>
                <w:sz w:val="20"/>
                <w:szCs w:val="20"/>
                <w:lang w:val="fr-CA"/>
              </w:rPr>
            </w:pPr>
            <w:r w:rsidRPr="00E03758">
              <w:rPr>
                <w:b/>
                <w:sz w:val="20"/>
                <w:szCs w:val="20"/>
                <w:lang w:val="fr-CA"/>
              </w:rPr>
              <w:t xml:space="preserve">Procureur général du Québec et autre </w:t>
            </w:r>
            <w:r w:rsidR="00F74E3B" w:rsidRPr="00E03758">
              <w:rPr>
                <w:b/>
                <w:sz w:val="20"/>
                <w:szCs w:val="20"/>
                <w:lang w:val="fr-CA"/>
              </w:rPr>
              <w:t>(</w:t>
            </w:r>
            <w:proofErr w:type="spellStart"/>
            <w:r w:rsidRPr="00E03758">
              <w:rPr>
                <w:b/>
                <w:sz w:val="20"/>
                <w:szCs w:val="20"/>
                <w:lang w:val="fr-CA"/>
              </w:rPr>
              <w:t>Qc</w:t>
            </w:r>
            <w:proofErr w:type="spellEnd"/>
            <w:r w:rsidRPr="00E03758">
              <w:rPr>
                <w:b/>
                <w:sz w:val="20"/>
                <w:szCs w:val="20"/>
                <w:lang w:val="fr-CA"/>
              </w:rPr>
              <w:t>)</w:t>
            </w:r>
          </w:p>
          <w:p w:rsidR="00F74E3B" w:rsidRPr="00E03758" w:rsidRDefault="00F74E3B" w:rsidP="007224FE">
            <w:pPr>
              <w:tabs>
                <w:tab w:val="left" w:pos="-1440"/>
                <w:tab w:val="left" w:pos="-720"/>
              </w:tabs>
              <w:rPr>
                <w:sz w:val="20"/>
                <w:szCs w:val="20"/>
                <w:lang w:val="fr-CA"/>
              </w:rPr>
            </w:pPr>
            <w:r w:rsidRPr="00E03758">
              <w:rPr>
                <w:sz w:val="20"/>
                <w:szCs w:val="20"/>
                <w:lang w:val="fr-CA"/>
              </w:rPr>
              <w:tab/>
            </w:r>
            <w:r w:rsidR="00E03758">
              <w:rPr>
                <w:sz w:val="20"/>
                <w:szCs w:val="20"/>
                <w:lang w:val="fr-CA"/>
              </w:rPr>
              <w:t xml:space="preserve">Michel </w:t>
            </w:r>
            <w:proofErr w:type="spellStart"/>
            <w:r w:rsidR="00E03758">
              <w:rPr>
                <w:sz w:val="20"/>
                <w:szCs w:val="20"/>
                <w:lang w:val="fr-CA"/>
              </w:rPr>
              <w:t>Déom</w:t>
            </w:r>
            <w:proofErr w:type="spellEnd"/>
          </w:p>
          <w:p w:rsidR="00F74E3B" w:rsidRPr="00E03758" w:rsidRDefault="00F74E3B" w:rsidP="007224FE">
            <w:pPr>
              <w:tabs>
                <w:tab w:val="left" w:pos="-1440"/>
                <w:tab w:val="left" w:pos="-720"/>
              </w:tabs>
              <w:rPr>
                <w:sz w:val="20"/>
                <w:szCs w:val="20"/>
                <w:lang w:val="fr-CA"/>
              </w:rPr>
            </w:pPr>
            <w:r w:rsidRPr="00E03758">
              <w:rPr>
                <w:sz w:val="20"/>
                <w:szCs w:val="20"/>
                <w:lang w:val="fr-CA"/>
              </w:rPr>
              <w:tab/>
            </w:r>
            <w:r w:rsidR="00E03758">
              <w:rPr>
                <w:sz w:val="20"/>
                <w:szCs w:val="20"/>
                <w:lang w:val="fr-CA"/>
              </w:rPr>
              <w:t>P.G. du Québec</w:t>
            </w:r>
          </w:p>
          <w:p w:rsidR="00F74E3B" w:rsidRPr="00E03758" w:rsidRDefault="00F74E3B" w:rsidP="007224FE">
            <w:pPr>
              <w:tabs>
                <w:tab w:val="left" w:pos="-1440"/>
                <w:tab w:val="left" w:pos="-720"/>
              </w:tabs>
              <w:rPr>
                <w:sz w:val="20"/>
                <w:szCs w:val="20"/>
                <w:lang w:val="fr-CA"/>
              </w:rPr>
            </w:pPr>
          </w:p>
          <w:p w:rsidR="00F74E3B" w:rsidRPr="00A935AA" w:rsidRDefault="00F74E3B" w:rsidP="007224FE">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15</w:t>
            </w:r>
            <w:r w:rsidRPr="00A935AA">
              <w:rPr>
                <w:sz w:val="20"/>
                <w:szCs w:val="20"/>
              </w:rPr>
              <w:t>.0</w:t>
            </w:r>
            <w:r>
              <w:rPr>
                <w:sz w:val="20"/>
                <w:szCs w:val="20"/>
              </w:rPr>
              <w:t>1</w:t>
            </w:r>
            <w:r w:rsidRPr="00A935AA">
              <w:rPr>
                <w:sz w:val="20"/>
                <w:szCs w:val="20"/>
              </w:rPr>
              <w:t>.201</w:t>
            </w:r>
            <w:r>
              <w:rPr>
                <w:sz w:val="20"/>
                <w:szCs w:val="20"/>
              </w:rPr>
              <w:t>3</w:t>
            </w:r>
          </w:p>
          <w:p w:rsidR="00F74E3B" w:rsidRPr="00A935AA" w:rsidRDefault="00F008AC" w:rsidP="007224FE">
            <w:pPr>
              <w:rPr>
                <w:sz w:val="20"/>
                <w:szCs w:val="20"/>
              </w:rPr>
            </w:pPr>
            <w:r w:rsidRPr="00F008A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F74E3B" w:rsidRPr="00A935AA" w:rsidRDefault="00F74E3B" w:rsidP="00242AEE">
            <w:pPr>
              <w:jc w:val="center"/>
              <w:rPr>
                <w:sz w:val="20"/>
                <w:szCs w:val="20"/>
              </w:rPr>
            </w:pPr>
          </w:p>
          <w:p w:rsidR="00D06571" w:rsidRPr="00A935AA" w:rsidRDefault="00D06571" w:rsidP="00242AEE">
            <w:pPr>
              <w:jc w:val="center"/>
              <w:rPr>
                <w:sz w:val="20"/>
                <w:szCs w:val="20"/>
              </w:rPr>
            </w:pPr>
          </w:p>
          <w:p w:rsidR="00F74E3B" w:rsidRPr="00A935AA" w:rsidRDefault="00F74E3B" w:rsidP="00242AEE">
            <w:pPr>
              <w:jc w:val="center"/>
              <w:rPr>
                <w:sz w:val="20"/>
                <w:szCs w:val="20"/>
              </w:rPr>
            </w:pPr>
          </w:p>
        </w:tc>
        <w:tc>
          <w:tcPr>
            <w:tcW w:w="4320" w:type="dxa"/>
            <w:shd w:val="clear" w:color="auto" w:fill="auto"/>
          </w:tcPr>
          <w:p w:rsidR="00F74E3B" w:rsidRDefault="00574B4A" w:rsidP="00E03758">
            <w:pPr>
              <w:rPr>
                <w:sz w:val="20"/>
                <w:szCs w:val="20"/>
              </w:rPr>
            </w:pPr>
            <w:proofErr w:type="spellStart"/>
            <w:r>
              <w:rPr>
                <w:b/>
                <w:sz w:val="20"/>
                <w:szCs w:val="20"/>
              </w:rPr>
              <w:t>Pluri</w:t>
            </w:r>
            <w:proofErr w:type="spellEnd"/>
            <w:r>
              <w:rPr>
                <w:b/>
                <w:sz w:val="20"/>
                <w:szCs w:val="20"/>
              </w:rPr>
              <w:t xml:space="preserve"> </w:t>
            </w:r>
            <w:proofErr w:type="spellStart"/>
            <w:r>
              <w:rPr>
                <w:b/>
                <w:sz w:val="20"/>
                <w:szCs w:val="20"/>
              </w:rPr>
              <w:t>Vox</w:t>
            </w:r>
            <w:proofErr w:type="spellEnd"/>
            <w:r>
              <w:rPr>
                <w:b/>
                <w:sz w:val="20"/>
                <w:szCs w:val="20"/>
              </w:rPr>
              <w:t xml:space="preserve"> Media Corp</w:t>
            </w:r>
            <w:r w:rsidR="00EC704F">
              <w:rPr>
                <w:b/>
                <w:sz w:val="20"/>
                <w:szCs w:val="20"/>
              </w:rPr>
              <w:t>.</w:t>
            </w:r>
          </w:p>
          <w:p w:rsidR="00574B4A" w:rsidRPr="00A935AA" w:rsidRDefault="00574B4A" w:rsidP="00574B4A">
            <w:pPr>
              <w:tabs>
                <w:tab w:val="left" w:pos="-1440"/>
                <w:tab w:val="left" w:pos="-720"/>
              </w:tabs>
              <w:rPr>
                <w:sz w:val="20"/>
                <w:szCs w:val="20"/>
              </w:rPr>
            </w:pPr>
            <w:r>
              <w:rPr>
                <w:sz w:val="20"/>
                <w:szCs w:val="20"/>
              </w:rPr>
              <w:tab/>
              <w:t xml:space="preserve">Martin </w:t>
            </w:r>
            <w:proofErr w:type="spellStart"/>
            <w:r>
              <w:rPr>
                <w:sz w:val="20"/>
                <w:szCs w:val="20"/>
              </w:rPr>
              <w:t>Reesink</w:t>
            </w:r>
            <w:proofErr w:type="spellEnd"/>
          </w:p>
          <w:p w:rsidR="00574B4A" w:rsidRPr="00A935AA" w:rsidRDefault="00574B4A" w:rsidP="00574B4A">
            <w:pPr>
              <w:tabs>
                <w:tab w:val="left" w:pos="-1440"/>
                <w:tab w:val="left" w:pos="-720"/>
              </w:tabs>
              <w:rPr>
                <w:sz w:val="20"/>
                <w:szCs w:val="20"/>
              </w:rPr>
            </w:pPr>
          </w:p>
          <w:p w:rsidR="00574B4A" w:rsidRPr="00A935AA" w:rsidRDefault="00574B4A" w:rsidP="00574B4A">
            <w:pPr>
              <w:tabs>
                <w:tab w:val="left" w:pos="-1440"/>
                <w:tab w:val="left" w:pos="-720"/>
              </w:tabs>
              <w:rPr>
                <w:sz w:val="20"/>
                <w:szCs w:val="20"/>
              </w:rPr>
            </w:pPr>
            <w:r w:rsidRPr="00A935AA">
              <w:rPr>
                <w:sz w:val="20"/>
                <w:szCs w:val="20"/>
              </w:rPr>
              <w:tab/>
              <w:t>v. (3</w:t>
            </w:r>
            <w:r>
              <w:rPr>
                <w:sz w:val="20"/>
                <w:szCs w:val="20"/>
              </w:rPr>
              <w:t>5174</w:t>
            </w:r>
            <w:r w:rsidRPr="00A935AA">
              <w:rPr>
                <w:sz w:val="20"/>
                <w:szCs w:val="20"/>
              </w:rPr>
              <w:t>)</w:t>
            </w:r>
          </w:p>
          <w:p w:rsidR="00574B4A" w:rsidRPr="00A935AA" w:rsidRDefault="00574B4A" w:rsidP="00574B4A">
            <w:pPr>
              <w:tabs>
                <w:tab w:val="left" w:pos="-1440"/>
                <w:tab w:val="left" w:pos="-720"/>
              </w:tabs>
              <w:rPr>
                <w:sz w:val="20"/>
                <w:szCs w:val="20"/>
              </w:rPr>
            </w:pPr>
          </w:p>
          <w:p w:rsidR="00574B4A" w:rsidRPr="00A935AA" w:rsidRDefault="00574B4A" w:rsidP="00574B4A">
            <w:pPr>
              <w:tabs>
                <w:tab w:val="left" w:pos="-1440"/>
                <w:tab w:val="left" w:pos="-720"/>
              </w:tabs>
              <w:rPr>
                <w:b/>
                <w:sz w:val="20"/>
                <w:szCs w:val="20"/>
              </w:rPr>
            </w:pPr>
            <w:r>
              <w:rPr>
                <w:b/>
                <w:sz w:val="20"/>
                <w:szCs w:val="20"/>
              </w:rPr>
              <w:t>Her Majesty the Queen et al.</w:t>
            </w:r>
            <w:r w:rsidR="00882A4C">
              <w:rPr>
                <w:b/>
                <w:sz w:val="20"/>
                <w:szCs w:val="20"/>
              </w:rPr>
              <w:t xml:space="preserve"> </w:t>
            </w:r>
            <w:r w:rsidRPr="00A935AA">
              <w:rPr>
                <w:b/>
                <w:sz w:val="20"/>
                <w:szCs w:val="20"/>
              </w:rPr>
              <w:t>(</w:t>
            </w:r>
            <w:r>
              <w:rPr>
                <w:b/>
                <w:sz w:val="20"/>
                <w:szCs w:val="20"/>
              </w:rPr>
              <w:t>F</w:t>
            </w:r>
            <w:r w:rsidRPr="00A935AA">
              <w:rPr>
                <w:b/>
                <w:sz w:val="20"/>
                <w:szCs w:val="20"/>
              </w:rPr>
              <w:t>.C.)</w:t>
            </w:r>
          </w:p>
          <w:p w:rsidR="00574B4A" w:rsidRPr="00A935AA" w:rsidRDefault="00574B4A" w:rsidP="00574B4A">
            <w:pPr>
              <w:tabs>
                <w:tab w:val="left" w:pos="-1440"/>
                <w:tab w:val="left" w:pos="-720"/>
              </w:tabs>
              <w:rPr>
                <w:sz w:val="20"/>
                <w:szCs w:val="20"/>
              </w:rPr>
            </w:pPr>
            <w:r w:rsidRPr="00A935AA">
              <w:rPr>
                <w:sz w:val="20"/>
                <w:szCs w:val="20"/>
              </w:rPr>
              <w:tab/>
            </w:r>
            <w:r>
              <w:rPr>
                <w:sz w:val="20"/>
                <w:szCs w:val="20"/>
              </w:rPr>
              <w:t>Tamara Watters</w:t>
            </w:r>
          </w:p>
          <w:p w:rsidR="00574B4A" w:rsidRPr="00A935AA" w:rsidRDefault="00574B4A" w:rsidP="00574B4A">
            <w:pPr>
              <w:tabs>
                <w:tab w:val="left" w:pos="-1440"/>
                <w:tab w:val="left" w:pos="-720"/>
              </w:tabs>
              <w:rPr>
                <w:sz w:val="20"/>
                <w:szCs w:val="20"/>
              </w:rPr>
            </w:pPr>
            <w:r w:rsidRPr="00A935AA">
              <w:rPr>
                <w:sz w:val="20"/>
                <w:szCs w:val="20"/>
              </w:rPr>
              <w:tab/>
            </w:r>
            <w:r>
              <w:rPr>
                <w:sz w:val="20"/>
                <w:szCs w:val="20"/>
              </w:rPr>
              <w:t>A.G. of Canada</w:t>
            </w:r>
          </w:p>
          <w:p w:rsidR="00574B4A" w:rsidRPr="00A935AA" w:rsidRDefault="00574B4A" w:rsidP="00574B4A">
            <w:pPr>
              <w:tabs>
                <w:tab w:val="left" w:pos="-1440"/>
                <w:tab w:val="left" w:pos="-720"/>
              </w:tabs>
              <w:rPr>
                <w:sz w:val="20"/>
                <w:szCs w:val="20"/>
              </w:rPr>
            </w:pPr>
          </w:p>
          <w:p w:rsidR="00574B4A" w:rsidRPr="00A935AA" w:rsidRDefault="00574B4A" w:rsidP="00574B4A">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1</w:t>
            </w:r>
            <w:r w:rsidRPr="00A935AA">
              <w:rPr>
                <w:sz w:val="20"/>
                <w:szCs w:val="20"/>
              </w:rPr>
              <w:t>.201</w:t>
            </w:r>
            <w:r>
              <w:rPr>
                <w:sz w:val="20"/>
                <w:szCs w:val="20"/>
              </w:rPr>
              <w:t>3</w:t>
            </w:r>
          </w:p>
          <w:p w:rsidR="00574B4A" w:rsidRPr="00574B4A" w:rsidRDefault="00F008AC" w:rsidP="00E03758">
            <w:pPr>
              <w:rPr>
                <w:sz w:val="20"/>
                <w:szCs w:val="20"/>
              </w:rPr>
            </w:pPr>
            <w:r w:rsidRPr="00F008AC">
              <w:rPr>
                <w:sz w:val="20"/>
                <w:szCs w:val="20"/>
                <w:lang w:val="fr-CA"/>
              </w:rPr>
              <w:pict>
                <v:rect id="_x0000_i1034" style="width:108pt;height:1pt" o:hrpct="0" o:hralign="center" o:hrstd="t" o:hrnoshade="t" o:hr="t" fillcolor="black [3213]" stroked="f"/>
              </w:pict>
            </w:r>
          </w:p>
        </w:tc>
      </w:tr>
      <w:tr w:rsidR="00574B4A" w:rsidRPr="00A935AA" w:rsidTr="003B3977">
        <w:trPr>
          <w:cantSplit/>
        </w:trPr>
        <w:tc>
          <w:tcPr>
            <w:tcW w:w="4320" w:type="dxa"/>
            <w:shd w:val="clear" w:color="auto" w:fill="auto"/>
          </w:tcPr>
          <w:p w:rsidR="00574B4A" w:rsidRDefault="00574B4A" w:rsidP="00574B4A">
            <w:pPr>
              <w:rPr>
                <w:b/>
                <w:sz w:val="20"/>
                <w:szCs w:val="20"/>
              </w:rPr>
            </w:pPr>
          </w:p>
          <w:p w:rsidR="00574B4A" w:rsidRPr="00A935AA" w:rsidRDefault="00574B4A" w:rsidP="00574B4A">
            <w:pPr>
              <w:rPr>
                <w:b/>
                <w:sz w:val="20"/>
                <w:szCs w:val="20"/>
              </w:rPr>
            </w:pPr>
            <w:r>
              <w:rPr>
                <w:b/>
                <w:sz w:val="20"/>
                <w:szCs w:val="20"/>
              </w:rPr>
              <w:t>Her Majesty the Queen</w:t>
            </w:r>
          </w:p>
          <w:p w:rsidR="00574B4A" w:rsidRPr="00A935AA" w:rsidRDefault="00574B4A" w:rsidP="00574B4A">
            <w:pPr>
              <w:tabs>
                <w:tab w:val="left" w:pos="-1440"/>
                <w:tab w:val="left" w:pos="-720"/>
              </w:tabs>
              <w:rPr>
                <w:sz w:val="20"/>
                <w:szCs w:val="20"/>
              </w:rPr>
            </w:pPr>
            <w:r w:rsidRPr="00A935AA">
              <w:rPr>
                <w:sz w:val="20"/>
                <w:szCs w:val="20"/>
              </w:rPr>
              <w:tab/>
            </w:r>
            <w:r>
              <w:rPr>
                <w:sz w:val="20"/>
                <w:szCs w:val="20"/>
              </w:rPr>
              <w:t xml:space="preserve">Jamie C. </w:t>
            </w:r>
            <w:proofErr w:type="spellStart"/>
            <w:r>
              <w:rPr>
                <w:sz w:val="20"/>
                <w:szCs w:val="20"/>
              </w:rPr>
              <w:t>Klukach</w:t>
            </w:r>
            <w:proofErr w:type="spellEnd"/>
          </w:p>
          <w:p w:rsidR="00574B4A" w:rsidRPr="00A935AA" w:rsidRDefault="00574B4A" w:rsidP="00574B4A">
            <w:pPr>
              <w:tabs>
                <w:tab w:val="left" w:pos="-1440"/>
                <w:tab w:val="left" w:pos="-720"/>
              </w:tabs>
              <w:rPr>
                <w:sz w:val="20"/>
                <w:szCs w:val="20"/>
              </w:rPr>
            </w:pPr>
            <w:r w:rsidRPr="00A935AA">
              <w:rPr>
                <w:sz w:val="20"/>
                <w:szCs w:val="20"/>
              </w:rPr>
              <w:tab/>
            </w:r>
            <w:r>
              <w:rPr>
                <w:sz w:val="20"/>
                <w:szCs w:val="20"/>
              </w:rPr>
              <w:t>A.G. of Ontario</w:t>
            </w:r>
          </w:p>
          <w:p w:rsidR="00574B4A" w:rsidRPr="00A935AA" w:rsidRDefault="00574B4A" w:rsidP="00574B4A">
            <w:pPr>
              <w:tabs>
                <w:tab w:val="left" w:pos="-1440"/>
                <w:tab w:val="left" w:pos="-720"/>
              </w:tabs>
              <w:rPr>
                <w:sz w:val="20"/>
                <w:szCs w:val="20"/>
              </w:rPr>
            </w:pPr>
          </w:p>
          <w:p w:rsidR="00574B4A" w:rsidRPr="00A935AA" w:rsidRDefault="00574B4A" w:rsidP="00574B4A">
            <w:pPr>
              <w:tabs>
                <w:tab w:val="left" w:pos="-1440"/>
                <w:tab w:val="left" w:pos="-720"/>
              </w:tabs>
              <w:rPr>
                <w:sz w:val="20"/>
                <w:szCs w:val="20"/>
              </w:rPr>
            </w:pPr>
            <w:r w:rsidRPr="00A935AA">
              <w:rPr>
                <w:sz w:val="20"/>
                <w:szCs w:val="20"/>
              </w:rPr>
              <w:tab/>
              <w:t>v. (3</w:t>
            </w:r>
            <w:r>
              <w:rPr>
                <w:sz w:val="20"/>
                <w:szCs w:val="20"/>
              </w:rPr>
              <w:t>5175</w:t>
            </w:r>
            <w:r w:rsidRPr="00A935AA">
              <w:rPr>
                <w:sz w:val="20"/>
                <w:szCs w:val="20"/>
              </w:rPr>
              <w:t>)</w:t>
            </w:r>
          </w:p>
          <w:p w:rsidR="00574B4A" w:rsidRPr="00A935AA" w:rsidRDefault="00574B4A" w:rsidP="00574B4A">
            <w:pPr>
              <w:tabs>
                <w:tab w:val="left" w:pos="-1440"/>
                <w:tab w:val="left" w:pos="-720"/>
              </w:tabs>
              <w:rPr>
                <w:sz w:val="20"/>
                <w:szCs w:val="20"/>
              </w:rPr>
            </w:pPr>
          </w:p>
          <w:p w:rsidR="00574B4A" w:rsidRPr="00A935AA" w:rsidRDefault="00574B4A" w:rsidP="00574B4A">
            <w:pPr>
              <w:tabs>
                <w:tab w:val="left" w:pos="-1440"/>
                <w:tab w:val="left" w:pos="-720"/>
              </w:tabs>
              <w:rPr>
                <w:b/>
                <w:sz w:val="20"/>
                <w:szCs w:val="20"/>
              </w:rPr>
            </w:pPr>
            <w:r>
              <w:rPr>
                <w:b/>
                <w:sz w:val="20"/>
                <w:szCs w:val="20"/>
              </w:rPr>
              <w:t xml:space="preserve">Kenneth Allan Docherty </w:t>
            </w:r>
            <w:r w:rsidRPr="00A935AA">
              <w:rPr>
                <w:b/>
                <w:sz w:val="20"/>
                <w:szCs w:val="20"/>
              </w:rPr>
              <w:t>(</w:t>
            </w:r>
            <w:r>
              <w:rPr>
                <w:b/>
                <w:sz w:val="20"/>
                <w:szCs w:val="20"/>
              </w:rPr>
              <w:t>Ont</w:t>
            </w:r>
            <w:r w:rsidRPr="00A935AA">
              <w:rPr>
                <w:b/>
                <w:sz w:val="20"/>
                <w:szCs w:val="20"/>
              </w:rPr>
              <w:t>.)</w:t>
            </w:r>
          </w:p>
          <w:p w:rsidR="00574B4A" w:rsidRPr="00A935AA" w:rsidRDefault="00574B4A" w:rsidP="00574B4A">
            <w:pPr>
              <w:tabs>
                <w:tab w:val="left" w:pos="-1440"/>
                <w:tab w:val="left" w:pos="-720"/>
              </w:tabs>
              <w:rPr>
                <w:sz w:val="20"/>
                <w:szCs w:val="20"/>
              </w:rPr>
            </w:pPr>
            <w:r w:rsidRPr="00A935AA">
              <w:rPr>
                <w:sz w:val="20"/>
                <w:szCs w:val="20"/>
              </w:rPr>
              <w:tab/>
            </w:r>
            <w:proofErr w:type="spellStart"/>
            <w:r>
              <w:rPr>
                <w:sz w:val="20"/>
                <w:szCs w:val="20"/>
              </w:rPr>
              <w:t>Catriona</w:t>
            </w:r>
            <w:proofErr w:type="spellEnd"/>
            <w:r>
              <w:rPr>
                <w:sz w:val="20"/>
                <w:szCs w:val="20"/>
              </w:rPr>
              <w:t xml:space="preserve"> </w:t>
            </w:r>
            <w:proofErr w:type="spellStart"/>
            <w:r>
              <w:rPr>
                <w:sz w:val="20"/>
                <w:szCs w:val="20"/>
              </w:rPr>
              <w:t>Verner</w:t>
            </w:r>
            <w:proofErr w:type="spellEnd"/>
          </w:p>
          <w:p w:rsidR="00574B4A" w:rsidRPr="00A935AA" w:rsidRDefault="00574B4A" w:rsidP="00574B4A">
            <w:pPr>
              <w:tabs>
                <w:tab w:val="left" w:pos="-1440"/>
                <w:tab w:val="left" w:pos="-720"/>
              </w:tabs>
              <w:rPr>
                <w:sz w:val="20"/>
                <w:szCs w:val="20"/>
              </w:rPr>
            </w:pPr>
            <w:r w:rsidRPr="00A935AA">
              <w:rPr>
                <w:sz w:val="20"/>
                <w:szCs w:val="20"/>
              </w:rPr>
              <w:tab/>
            </w:r>
            <w:r>
              <w:rPr>
                <w:sz w:val="20"/>
                <w:szCs w:val="20"/>
              </w:rPr>
              <w:t>Hicks Adams LLP</w:t>
            </w:r>
          </w:p>
          <w:p w:rsidR="00574B4A" w:rsidRPr="00A935AA" w:rsidRDefault="00574B4A" w:rsidP="00574B4A">
            <w:pPr>
              <w:tabs>
                <w:tab w:val="left" w:pos="-1440"/>
                <w:tab w:val="left" w:pos="-720"/>
              </w:tabs>
              <w:rPr>
                <w:sz w:val="20"/>
                <w:szCs w:val="20"/>
              </w:rPr>
            </w:pPr>
          </w:p>
          <w:p w:rsidR="00574B4A" w:rsidRPr="00A935AA" w:rsidRDefault="00574B4A" w:rsidP="00574B4A">
            <w:pPr>
              <w:rPr>
                <w:sz w:val="20"/>
                <w:szCs w:val="20"/>
              </w:rPr>
            </w:pPr>
            <w:r w:rsidRPr="00A935AA">
              <w:rPr>
                <w:sz w:val="20"/>
                <w:szCs w:val="20"/>
              </w:rPr>
              <w:t xml:space="preserve">FILING DATE: </w:t>
            </w:r>
            <w:r>
              <w:rPr>
                <w:sz w:val="20"/>
                <w:szCs w:val="20"/>
              </w:rPr>
              <w:t>1</w:t>
            </w:r>
            <w:r w:rsidRPr="00A935AA">
              <w:rPr>
                <w:sz w:val="20"/>
                <w:szCs w:val="20"/>
              </w:rPr>
              <w:t>7.0</w:t>
            </w:r>
            <w:r>
              <w:rPr>
                <w:sz w:val="20"/>
                <w:szCs w:val="20"/>
              </w:rPr>
              <w:t>1</w:t>
            </w:r>
            <w:r w:rsidRPr="00A935AA">
              <w:rPr>
                <w:sz w:val="20"/>
                <w:szCs w:val="20"/>
              </w:rPr>
              <w:t>.201</w:t>
            </w:r>
            <w:r>
              <w:rPr>
                <w:sz w:val="20"/>
                <w:szCs w:val="20"/>
              </w:rPr>
              <w:t>3</w:t>
            </w:r>
          </w:p>
          <w:p w:rsidR="00574B4A" w:rsidRPr="00A935AA" w:rsidRDefault="00F008AC" w:rsidP="00574B4A">
            <w:pPr>
              <w:rPr>
                <w:sz w:val="20"/>
                <w:szCs w:val="20"/>
              </w:rPr>
            </w:pPr>
            <w:r w:rsidRPr="00F008A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p w:rsidR="00574B4A" w:rsidRPr="00A935AA" w:rsidRDefault="00574B4A" w:rsidP="00242AEE">
            <w:pPr>
              <w:jc w:val="center"/>
              <w:rPr>
                <w:sz w:val="20"/>
                <w:szCs w:val="20"/>
              </w:rPr>
            </w:pPr>
          </w:p>
        </w:tc>
        <w:tc>
          <w:tcPr>
            <w:tcW w:w="4320" w:type="dxa"/>
            <w:shd w:val="clear" w:color="auto" w:fill="auto"/>
          </w:tcPr>
          <w:p w:rsidR="00574B4A" w:rsidRPr="00A935AA" w:rsidRDefault="00574B4A" w:rsidP="007224FE">
            <w:pPr>
              <w:keepNext/>
              <w:keepLines/>
              <w:tabs>
                <w:tab w:val="left" w:pos="-1440"/>
                <w:tab w:val="left" w:pos="-720"/>
              </w:tabs>
              <w:rPr>
                <w:b/>
                <w:sz w:val="20"/>
                <w:szCs w:val="20"/>
              </w:rPr>
            </w:pPr>
            <w:r>
              <w:rPr>
                <w:b/>
                <w:sz w:val="20"/>
                <w:szCs w:val="20"/>
              </w:rPr>
              <w:t>Karl Wilson</w:t>
            </w:r>
          </w:p>
          <w:p w:rsidR="00574B4A" w:rsidRPr="00A935AA" w:rsidRDefault="00574B4A" w:rsidP="007224FE">
            <w:pPr>
              <w:keepNext/>
              <w:keepLines/>
              <w:tabs>
                <w:tab w:val="left" w:pos="-1440"/>
                <w:tab w:val="left" w:pos="-720"/>
              </w:tabs>
              <w:rPr>
                <w:sz w:val="20"/>
                <w:szCs w:val="20"/>
              </w:rPr>
            </w:pPr>
            <w:r w:rsidRPr="00A935AA">
              <w:rPr>
                <w:sz w:val="20"/>
                <w:szCs w:val="20"/>
              </w:rPr>
              <w:tab/>
            </w:r>
            <w:r>
              <w:rPr>
                <w:sz w:val="20"/>
                <w:szCs w:val="20"/>
              </w:rPr>
              <w:t xml:space="preserve">Robert M. </w:t>
            </w:r>
            <w:proofErr w:type="spellStart"/>
            <w:r>
              <w:rPr>
                <w:sz w:val="20"/>
                <w:szCs w:val="20"/>
              </w:rPr>
              <w:t>Gregan</w:t>
            </w:r>
            <w:proofErr w:type="spellEnd"/>
          </w:p>
          <w:p w:rsidR="00574B4A" w:rsidRPr="00A935AA" w:rsidRDefault="00574B4A" w:rsidP="007224FE">
            <w:pPr>
              <w:keepNext/>
              <w:keepLines/>
              <w:tabs>
                <w:tab w:val="left" w:pos="-1440"/>
                <w:tab w:val="left" w:pos="-720"/>
              </w:tabs>
              <w:rPr>
                <w:sz w:val="20"/>
                <w:szCs w:val="20"/>
              </w:rPr>
            </w:pPr>
            <w:r w:rsidRPr="00A935AA">
              <w:rPr>
                <w:sz w:val="20"/>
                <w:szCs w:val="20"/>
              </w:rPr>
              <w:tab/>
            </w:r>
            <w:r>
              <w:rPr>
                <w:sz w:val="20"/>
                <w:szCs w:val="20"/>
              </w:rPr>
              <w:t>Nova Scotia Legal Aid</w:t>
            </w:r>
          </w:p>
          <w:p w:rsidR="00574B4A" w:rsidRPr="00A935AA" w:rsidRDefault="00574B4A" w:rsidP="007224FE">
            <w:pPr>
              <w:keepNext/>
              <w:keepLines/>
              <w:tabs>
                <w:tab w:val="left" w:pos="-1440"/>
                <w:tab w:val="left" w:pos="-720"/>
              </w:tabs>
              <w:rPr>
                <w:sz w:val="20"/>
                <w:szCs w:val="20"/>
              </w:rPr>
            </w:pPr>
          </w:p>
          <w:p w:rsidR="00574B4A" w:rsidRPr="0051187D" w:rsidRDefault="00574B4A" w:rsidP="007224FE">
            <w:pPr>
              <w:keepNext/>
              <w:keepLines/>
              <w:tabs>
                <w:tab w:val="left" w:pos="-1440"/>
                <w:tab w:val="left" w:pos="-720"/>
              </w:tabs>
              <w:rPr>
                <w:sz w:val="20"/>
                <w:szCs w:val="20"/>
              </w:rPr>
            </w:pPr>
            <w:r w:rsidRPr="00A935AA">
              <w:rPr>
                <w:sz w:val="20"/>
                <w:szCs w:val="20"/>
              </w:rPr>
              <w:tab/>
            </w:r>
            <w:r w:rsidRPr="0051187D">
              <w:rPr>
                <w:sz w:val="20"/>
                <w:szCs w:val="20"/>
              </w:rPr>
              <w:t>v. (35173)</w:t>
            </w:r>
          </w:p>
          <w:p w:rsidR="00574B4A" w:rsidRPr="0051187D" w:rsidRDefault="00574B4A" w:rsidP="007224FE">
            <w:pPr>
              <w:keepNext/>
              <w:keepLines/>
              <w:tabs>
                <w:tab w:val="left" w:pos="-1440"/>
                <w:tab w:val="left" w:pos="-720"/>
              </w:tabs>
              <w:rPr>
                <w:sz w:val="20"/>
                <w:szCs w:val="20"/>
              </w:rPr>
            </w:pPr>
          </w:p>
          <w:p w:rsidR="00574B4A" w:rsidRPr="0051187D" w:rsidRDefault="00574B4A" w:rsidP="007224FE">
            <w:pPr>
              <w:keepNext/>
              <w:keepLines/>
              <w:tabs>
                <w:tab w:val="left" w:pos="-1440"/>
                <w:tab w:val="left" w:pos="-720"/>
              </w:tabs>
              <w:rPr>
                <w:b/>
                <w:sz w:val="20"/>
                <w:szCs w:val="20"/>
              </w:rPr>
            </w:pPr>
            <w:r w:rsidRPr="0051187D">
              <w:rPr>
                <w:b/>
                <w:sz w:val="20"/>
                <w:szCs w:val="20"/>
              </w:rPr>
              <w:t>Attorney General of Canada (F.C.)</w:t>
            </w:r>
          </w:p>
          <w:p w:rsidR="00574B4A" w:rsidRPr="0051187D" w:rsidRDefault="00574B4A" w:rsidP="007224FE">
            <w:pPr>
              <w:keepNext/>
              <w:keepLines/>
              <w:tabs>
                <w:tab w:val="left" w:pos="-1440"/>
                <w:tab w:val="left" w:pos="-720"/>
              </w:tabs>
              <w:rPr>
                <w:sz w:val="20"/>
                <w:szCs w:val="20"/>
              </w:rPr>
            </w:pPr>
            <w:r w:rsidRPr="0051187D">
              <w:rPr>
                <w:sz w:val="20"/>
                <w:szCs w:val="20"/>
              </w:rPr>
              <w:tab/>
            </w:r>
            <w:r>
              <w:rPr>
                <w:sz w:val="20"/>
                <w:szCs w:val="20"/>
              </w:rPr>
              <w:t xml:space="preserve">Sarah E. </w:t>
            </w:r>
            <w:proofErr w:type="spellStart"/>
            <w:r>
              <w:rPr>
                <w:sz w:val="20"/>
                <w:szCs w:val="20"/>
              </w:rPr>
              <w:t>Drodge</w:t>
            </w:r>
            <w:proofErr w:type="spellEnd"/>
          </w:p>
          <w:p w:rsidR="00574B4A" w:rsidRPr="0051187D" w:rsidRDefault="00574B4A" w:rsidP="007224FE">
            <w:pPr>
              <w:keepNext/>
              <w:keepLines/>
              <w:tabs>
                <w:tab w:val="left" w:pos="-1440"/>
                <w:tab w:val="left" w:pos="-720"/>
              </w:tabs>
              <w:rPr>
                <w:sz w:val="20"/>
                <w:szCs w:val="20"/>
              </w:rPr>
            </w:pPr>
            <w:r w:rsidRPr="0051187D">
              <w:rPr>
                <w:sz w:val="20"/>
                <w:szCs w:val="20"/>
              </w:rPr>
              <w:tab/>
            </w:r>
            <w:r>
              <w:rPr>
                <w:sz w:val="20"/>
                <w:szCs w:val="20"/>
              </w:rPr>
              <w:t>A.G. of Canada</w:t>
            </w:r>
          </w:p>
          <w:p w:rsidR="00574B4A" w:rsidRPr="0051187D" w:rsidRDefault="00574B4A" w:rsidP="007224FE">
            <w:pPr>
              <w:keepNext/>
              <w:keepLines/>
              <w:tabs>
                <w:tab w:val="left" w:pos="-1440"/>
                <w:tab w:val="left" w:pos="-720"/>
              </w:tabs>
              <w:rPr>
                <w:sz w:val="20"/>
                <w:szCs w:val="20"/>
              </w:rPr>
            </w:pPr>
          </w:p>
          <w:p w:rsidR="00574B4A" w:rsidRPr="00A935AA" w:rsidRDefault="00574B4A" w:rsidP="0051187D">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1</w:t>
            </w:r>
            <w:r w:rsidRPr="00A935AA">
              <w:rPr>
                <w:sz w:val="20"/>
                <w:szCs w:val="20"/>
              </w:rPr>
              <w:t>.201</w:t>
            </w:r>
            <w:r>
              <w:rPr>
                <w:sz w:val="20"/>
                <w:szCs w:val="20"/>
              </w:rPr>
              <w:t>3</w:t>
            </w:r>
            <w:r w:rsidR="00F008AC" w:rsidRPr="00F008AC">
              <w:rPr>
                <w:sz w:val="20"/>
                <w:szCs w:val="20"/>
                <w:lang w:val="fr-CA"/>
              </w:rPr>
              <w:pict>
                <v:rect id="_x0000_i1036" style="width:108pt;height:1pt" o:hrpct="0" o:hralign="center" o:hrstd="t" o:hrnoshade="t" o:hr="t" fillcolor="black [3213]" stroked="f"/>
              </w:pict>
            </w:r>
          </w:p>
        </w:tc>
      </w:tr>
      <w:tr w:rsidR="00B0188E" w:rsidRPr="00A935AA" w:rsidTr="003B3977">
        <w:trPr>
          <w:cantSplit/>
        </w:trPr>
        <w:tc>
          <w:tcPr>
            <w:tcW w:w="4320" w:type="dxa"/>
            <w:shd w:val="clear" w:color="auto" w:fill="auto"/>
          </w:tcPr>
          <w:p w:rsidR="00B0188E" w:rsidRDefault="00B0188E" w:rsidP="005A4934">
            <w:pPr>
              <w:rPr>
                <w:b/>
                <w:sz w:val="20"/>
                <w:szCs w:val="20"/>
              </w:rPr>
            </w:pPr>
          </w:p>
          <w:p w:rsidR="00B0188E" w:rsidRPr="00A935AA" w:rsidRDefault="00B0188E" w:rsidP="005A4934">
            <w:pPr>
              <w:rPr>
                <w:b/>
                <w:sz w:val="20"/>
                <w:szCs w:val="20"/>
              </w:rPr>
            </w:pPr>
            <w:proofErr w:type="spellStart"/>
            <w:r>
              <w:rPr>
                <w:b/>
                <w:sz w:val="20"/>
                <w:szCs w:val="20"/>
              </w:rPr>
              <w:t>Jisheng</w:t>
            </w:r>
            <w:proofErr w:type="spellEnd"/>
            <w:r>
              <w:rPr>
                <w:b/>
                <w:sz w:val="20"/>
                <w:szCs w:val="20"/>
              </w:rPr>
              <w:t xml:space="preserve"> Liu</w:t>
            </w:r>
          </w:p>
          <w:p w:rsidR="00B0188E" w:rsidRPr="00A935AA" w:rsidRDefault="00B0188E" w:rsidP="005A4934">
            <w:pPr>
              <w:tabs>
                <w:tab w:val="left" w:pos="-1440"/>
                <w:tab w:val="left" w:pos="-720"/>
              </w:tabs>
              <w:rPr>
                <w:sz w:val="20"/>
                <w:szCs w:val="20"/>
              </w:rPr>
            </w:pPr>
            <w:r w:rsidRPr="00A935AA">
              <w:rPr>
                <w:sz w:val="20"/>
                <w:szCs w:val="20"/>
              </w:rPr>
              <w:tab/>
            </w:r>
            <w:proofErr w:type="spellStart"/>
            <w:r>
              <w:rPr>
                <w:sz w:val="20"/>
                <w:szCs w:val="20"/>
              </w:rPr>
              <w:t>Jisheng</w:t>
            </w:r>
            <w:proofErr w:type="spellEnd"/>
            <w:r>
              <w:rPr>
                <w:sz w:val="20"/>
                <w:szCs w:val="20"/>
              </w:rPr>
              <w:t xml:space="preserve"> Liu</w:t>
            </w:r>
          </w:p>
          <w:p w:rsidR="00B0188E" w:rsidRPr="00A935AA" w:rsidRDefault="00B0188E" w:rsidP="005A4934">
            <w:pPr>
              <w:tabs>
                <w:tab w:val="left" w:pos="-1440"/>
                <w:tab w:val="left" w:pos="-720"/>
              </w:tabs>
              <w:rPr>
                <w:sz w:val="20"/>
                <w:szCs w:val="20"/>
              </w:rPr>
            </w:pPr>
          </w:p>
          <w:p w:rsidR="00B0188E" w:rsidRPr="00A935AA" w:rsidRDefault="00B0188E" w:rsidP="005A4934">
            <w:pPr>
              <w:tabs>
                <w:tab w:val="left" w:pos="-1440"/>
                <w:tab w:val="left" w:pos="-720"/>
              </w:tabs>
              <w:rPr>
                <w:sz w:val="20"/>
                <w:szCs w:val="20"/>
              </w:rPr>
            </w:pPr>
            <w:r w:rsidRPr="00A935AA">
              <w:rPr>
                <w:sz w:val="20"/>
                <w:szCs w:val="20"/>
              </w:rPr>
              <w:tab/>
              <w:t>v. (3</w:t>
            </w:r>
            <w:r>
              <w:rPr>
                <w:sz w:val="20"/>
                <w:szCs w:val="20"/>
              </w:rPr>
              <w:t>5186</w:t>
            </w:r>
            <w:r w:rsidRPr="00A935AA">
              <w:rPr>
                <w:sz w:val="20"/>
                <w:szCs w:val="20"/>
              </w:rPr>
              <w:t>)</w:t>
            </w:r>
          </w:p>
          <w:p w:rsidR="00B0188E" w:rsidRPr="00A935AA" w:rsidRDefault="00B0188E" w:rsidP="005A4934">
            <w:pPr>
              <w:tabs>
                <w:tab w:val="left" w:pos="-1440"/>
                <w:tab w:val="left" w:pos="-720"/>
              </w:tabs>
              <w:rPr>
                <w:sz w:val="20"/>
                <w:szCs w:val="20"/>
              </w:rPr>
            </w:pPr>
          </w:p>
          <w:p w:rsidR="00B0188E" w:rsidRPr="00A935AA" w:rsidRDefault="00B0188E" w:rsidP="005A4934">
            <w:pPr>
              <w:tabs>
                <w:tab w:val="left" w:pos="-1440"/>
                <w:tab w:val="left" w:pos="-720"/>
              </w:tabs>
              <w:rPr>
                <w:b/>
                <w:sz w:val="20"/>
                <w:szCs w:val="20"/>
              </w:rPr>
            </w:pPr>
            <w:r>
              <w:rPr>
                <w:b/>
                <w:sz w:val="20"/>
                <w:szCs w:val="20"/>
              </w:rPr>
              <w:t xml:space="preserve">McGill University Non-Academic Certified Association </w:t>
            </w:r>
            <w:r w:rsidR="00066AF5">
              <w:rPr>
                <w:b/>
                <w:sz w:val="20"/>
                <w:szCs w:val="20"/>
              </w:rPr>
              <w:t xml:space="preserve">(MUNACA) </w:t>
            </w:r>
            <w:r w:rsidRPr="00A935AA">
              <w:rPr>
                <w:b/>
                <w:sz w:val="20"/>
                <w:szCs w:val="20"/>
              </w:rPr>
              <w:t>(</w:t>
            </w:r>
            <w:r>
              <w:rPr>
                <w:b/>
                <w:sz w:val="20"/>
                <w:szCs w:val="20"/>
              </w:rPr>
              <w:t>Que</w:t>
            </w:r>
            <w:r w:rsidRPr="00A935AA">
              <w:rPr>
                <w:b/>
                <w:sz w:val="20"/>
                <w:szCs w:val="20"/>
              </w:rPr>
              <w:t>.)</w:t>
            </w:r>
          </w:p>
          <w:p w:rsidR="00B0188E" w:rsidRPr="00A935AA" w:rsidRDefault="00B0188E" w:rsidP="005A4934">
            <w:pPr>
              <w:tabs>
                <w:tab w:val="left" w:pos="-1440"/>
                <w:tab w:val="left" w:pos="-720"/>
              </w:tabs>
              <w:rPr>
                <w:sz w:val="20"/>
                <w:szCs w:val="20"/>
              </w:rPr>
            </w:pPr>
            <w:r w:rsidRPr="00A935AA">
              <w:rPr>
                <w:sz w:val="20"/>
                <w:szCs w:val="20"/>
              </w:rPr>
              <w:tab/>
            </w:r>
            <w:proofErr w:type="spellStart"/>
            <w:r>
              <w:rPr>
                <w:sz w:val="20"/>
                <w:szCs w:val="20"/>
              </w:rPr>
              <w:t>Sibel</w:t>
            </w:r>
            <w:proofErr w:type="spellEnd"/>
            <w:r>
              <w:rPr>
                <w:sz w:val="20"/>
                <w:szCs w:val="20"/>
              </w:rPr>
              <w:t xml:space="preserve"> </w:t>
            </w:r>
            <w:proofErr w:type="spellStart"/>
            <w:r>
              <w:rPr>
                <w:sz w:val="20"/>
                <w:szCs w:val="20"/>
              </w:rPr>
              <w:t>Ataogul</w:t>
            </w:r>
            <w:proofErr w:type="spellEnd"/>
          </w:p>
          <w:p w:rsidR="00B0188E" w:rsidRPr="00B0188E" w:rsidRDefault="00B0188E" w:rsidP="005A4934">
            <w:pPr>
              <w:tabs>
                <w:tab w:val="left" w:pos="-1440"/>
                <w:tab w:val="left" w:pos="-720"/>
              </w:tabs>
              <w:rPr>
                <w:sz w:val="20"/>
                <w:szCs w:val="20"/>
                <w:lang w:val="fr-CA"/>
              </w:rPr>
            </w:pPr>
            <w:r w:rsidRPr="00A935AA">
              <w:rPr>
                <w:sz w:val="20"/>
                <w:szCs w:val="20"/>
              </w:rPr>
              <w:tab/>
            </w:r>
            <w:proofErr w:type="spellStart"/>
            <w:r w:rsidRPr="00B0188E">
              <w:rPr>
                <w:sz w:val="20"/>
                <w:szCs w:val="20"/>
                <w:lang w:val="fr-CA"/>
              </w:rPr>
              <w:t>Melançon</w:t>
            </w:r>
            <w:proofErr w:type="spellEnd"/>
            <w:r w:rsidRPr="00B0188E">
              <w:rPr>
                <w:sz w:val="20"/>
                <w:szCs w:val="20"/>
                <w:lang w:val="fr-CA"/>
              </w:rPr>
              <w:t xml:space="preserve">, Marceau, Grenier et </w:t>
            </w:r>
            <w:proofErr w:type="spellStart"/>
            <w:r w:rsidRPr="00B0188E">
              <w:rPr>
                <w:sz w:val="20"/>
                <w:szCs w:val="20"/>
                <w:lang w:val="fr-CA"/>
              </w:rPr>
              <w:t>Sciortino</w:t>
            </w:r>
            <w:proofErr w:type="spellEnd"/>
          </w:p>
          <w:p w:rsidR="00B0188E" w:rsidRPr="00B0188E" w:rsidRDefault="00B0188E" w:rsidP="005A4934">
            <w:pPr>
              <w:tabs>
                <w:tab w:val="left" w:pos="-1440"/>
                <w:tab w:val="left" w:pos="-720"/>
              </w:tabs>
              <w:rPr>
                <w:sz w:val="20"/>
                <w:szCs w:val="20"/>
                <w:lang w:val="fr-CA"/>
              </w:rPr>
            </w:pPr>
          </w:p>
          <w:p w:rsidR="00B0188E" w:rsidRPr="00B0188E" w:rsidRDefault="00B0188E" w:rsidP="005A4934">
            <w:pPr>
              <w:rPr>
                <w:sz w:val="20"/>
                <w:szCs w:val="20"/>
                <w:lang w:val="fr-CA"/>
              </w:rPr>
            </w:pPr>
            <w:r w:rsidRPr="00B0188E">
              <w:rPr>
                <w:sz w:val="20"/>
                <w:szCs w:val="20"/>
                <w:lang w:val="fr-CA"/>
              </w:rPr>
              <w:t>FILING DATE: 18.01.2013</w:t>
            </w:r>
          </w:p>
          <w:p w:rsidR="00B0188E" w:rsidRPr="00A935AA" w:rsidRDefault="00F008AC" w:rsidP="005A4934">
            <w:pPr>
              <w:rPr>
                <w:sz w:val="20"/>
                <w:szCs w:val="20"/>
              </w:rPr>
            </w:pPr>
            <w:r w:rsidRPr="00F008AC">
              <w:rPr>
                <w:sz w:val="20"/>
                <w:szCs w:val="20"/>
                <w:lang w:val="fr-CA"/>
              </w:rPr>
              <w:pict>
                <v:rect id="_x0000_i1037" style="width:108pt;height:1pt" o:hrpct="0" o:hralign="center" o:hrstd="t" o:hrnoshade="t" o:hr="t" fillcolor="black [3213]" stroked="f"/>
              </w:pict>
            </w:r>
          </w:p>
        </w:tc>
        <w:tc>
          <w:tcPr>
            <w:tcW w:w="1181" w:type="dxa"/>
            <w:shd w:val="clear" w:color="auto" w:fill="auto"/>
          </w:tcPr>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Pr="00A935AA" w:rsidRDefault="00B0188E" w:rsidP="00242AEE">
            <w:pPr>
              <w:jc w:val="center"/>
              <w:rPr>
                <w:sz w:val="20"/>
                <w:szCs w:val="20"/>
              </w:rPr>
            </w:pPr>
          </w:p>
        </w:tc>
        <w:tc>
          <w:tcPr>
            <w:tcW w:w="4320" w:type="dxa"/>
            <w:shd w:val="clear" w:color="auto" w:fill="auto"/>
          </w:tcPr>
          <w:p w:rsidR="00B0188E" w:rsidRPr="00A935AA" w:rsidRDefault="00B0188E" w:rsidP="00F74E3B">
            <w:pPr>
              <w:keepNext/>
              <w:keepLines/>
              <w:tabs>
                <w:tab w:val="left" w:pos="-1440"/>
                <w:tab w:val="left" w:pos="-720"/>
              </w:tabs>
              <w:rPr>
                <w:b/>
                <w:sz w:val="20"/>
                <w:szCs w:val="20"/>
              </w:rPr>
            </w:pPr>
            <w:r>
              <w:rPr>
                <w:b/>
                <w:sz w:val="20"/>
                <w:szCs w:val="20"/>
              </w:rPr>
              <w:t>Colleen Louise Barnett</w:t>
            </w:r>
          </w:p>
          <w:p w:rsidR="00B0188E" w:rsidRPr="00A935AA" w:rsidRDefault="00B0188E" w:rsidP="00F74E3B">
            <w:pPr>
              <w:keepNext/>
              <w:keepLines/>
              <w:tabs>
                <w:tab w:val="left" w:pos="-1440"/>
                <w:tab w:val="left" w:pos="-720"/>
              </w:tabs>
              <w:rPr>
                <w:sz w:val="20"/>
                <w:szCs w:val="20"/>
              </w:rPr>
            </w:pPr>
            <w:r w:rsidRPr="00A935AA">
              <w:rPr>
                <w:sz w:val="20"/>
                <w:szCs w:val="20"/>
              </w:rPr>
              <w:tab/>
            </w:r>
            <w:r>
              <w:rPr>
                <w:sz w:val="20"/>
                <w:szCs w:val="20"/>
              </w:rPr>
              <w:t xml:space="preserve">R. Ian </w:t>
            </w:r>
            <w:proofErr w:type="spellStart"/>
            <w:r>
              <w:rPr>
                <w:sz w:val="20"/>
                <w:szCs w:val="20"/>
              </w:rPr>
              <w:t>Histed</w:t>
            </w:r>
            <w:proofErr w:type="spellEnd"/>
          </w:p>
          <w:p w:rsidR="00B0188E" w:rsidRPr="00A935AA" w:rsidRDefault="00B0188E" w:rsidP="00F74E3B">
            <w:pPr>
              <w:keepNext/>
              <w:keepLines/>
              <w:tabs>
                <w:tab w:val="left" w:pos="-1440"/>
                <w:tab w:val="left" w:pos="-720"/>
              </w:tabs>
              <w:rPr>
                <w:sz w:val="20"/>
                <w:szCs w:val="20"/>
              </w:rPr>
            </w:pPr>
            <w:r w:rsidRPr="00A935AA">
              <w:rPr>
                <w:sz w:val="20"/>
                <w:szCs w:val="20"/>
              </w:rPr>
              <w:tab/>
            </w:r>
            <w:r>
              <w:rPr>
                <w:sz w:val="20"/>
                <w:szCs w:val="20"/>
              </w:rPr>
              <w:t>Downtown Legal Action</w:t>
            </w:r>
          </w:p>
          <w:p w:rsidR="00B0188E" w:rsidRPr="00A935AA" w:rsidRDefault="00B0188E" w:rsidP="00F74E3B">
            <w:pPr>
              <w:keepNext/>
              <w:keepLines/>
              <w:tabs>
                <w:tab w:val="left" w:pos="-1440"/>
                <w:tab w:val="left" w:pos="-720"/>
              </w:tabs>
              <w:rPr>
                <w:sz w:val="20"/>
                <w:szCs w:val="20"/>
              </w:rPr>
            </w:pPr>
          </w:p>
          <w:p w:rsidR="00B0188E" w:rsidRPr="0051187D" w:rsidRDefault="00B0188E" w:rsidP="00F74E3B">
            <w:pPr>
              <w:keepNext/>
              <w:keepLines/>
              <w:tabs>
                <w:tab w:val="left" w:pos="-1440"/>
                <w:tab w:val="left" w:pos="-720"/>
              </w:tabs>
              <w:rPr>
                <w:sz w:val="20"/>
                <w:szCs w:val="20"/>
              </w:rPr>
            </w:pPr>
            <w:r w:rsidRPr="00A935AA">
              <w:rPr>
                <w:sz w:val="20"/>
                <w:szCs w:val="20"/>
              </w:rPr>
              <w:tab/>
            </w:r>
            <w:r w:rsidRPr="0051187D">
              <w:rPr>
                <w:sz w:val="20"/>
                <w:szCs w:val="20"/>
              </w:rPr>
              <w:t>v. (35</w:t>
            </w:r>
            <w:r>
              <w:rPr>
                <w:sz w:val="20"/>
                <w:szCs w:val="20"/>
              </w:rPr>
              <w:t>181</w:t>
            </w:r>
            <w:r w:rsidRPr="0051187D">
              <w:rPr>
                <w:sz w:val="20"/>
                <w:szCs w:val="20"/>
              </w:rPr>
              <w:t>)</w:t>
            </w:r>
          </w:p>
          <w:p w:rsidR="00B0188E" w:rsidRPr="0051187D" w:rsidRDefault="00B0188E" w:rsidP="00F74E3B">
            <w:pPr>
              <w:keepNext/>
              <w:keepLines/>
              <w:tabs>
                <w:tab w:val="left" w:pos="-1440"/>
                <w:tab w:val="left" w:pos="-720"/>
              </w:tabs>
              <w:rPr>
                <w:sz w:val="20"/>
                <w:szCs w:val="20"/>
              </w:rPr>
            </w:pPr>
          </w:p>
          <w:p w:rsidR="00B0188E" w:rsidRPr="00835214" w:rsidRDefault="00B0188E" w:rsidP="00F74E3B">
            <w:pPr>
              <w:keepNext/>
              <w:keepLines/>
              <w:tabs>
                <w:tab w:val="left" w:pos="-1440"/>
                <w:tab w:val="left" w:pos="-720"/>
              </w:tabs>
              <w:rPr>
                <w:b/>
                <w:sz w:val="20"/>
                <w:szCs w:val="20"/>
              </w:rPr>
            </w:pPr>
            <w:r w:rsidRPr="00835214">
              <w:rPr>
                <w:b/>
                <w:sz w:val="20"/>
                <w:szCs w:val="20"/>
              </w:rPr>
              <w:t xml:space="preserve">Jack </w:t>
            </w:r>
            <w:proofErr w:type="spellStart"/>
            <w:r w:rsidRPr="00835214">
              <w:rPr>
                <w:b/>
                <w:sz w:val="20"/>
                <w:szCs w:val="20"/>
              </w:rPr>
              <w:t>Ewatski</w:t>
            </w:r>
            <w:proofErr w:type="spellEnd"/>
            <w:r w:rsidRPr="00835214">
              <w:rPr>
                <w:b/>
                <w:sz w:val="20"/>
                <w:szCs w:val="20"/>
              </w:rPr>
              <w:t xml:space="preserve"> et al. (</w:t>
            </w:r>
            <w:r w:rsidR="000137F5" w:rsidRPr="00835214">
              <w:rPr>
                <w:b/>
                <w:sz w:val="20"/>
                <w:szCs w:val="20"/>
              </w:rPr>
              <w:t>Ma</w:t>
            </w:r>
            <w:r w:rsidRPr="00835214">
              <w:rPr>
                <w:b/>
                <w:sz w:val="20"/>
                <w:szCs w:val="20"/>
              </w:rPr>
              <w:t>n.)</w:t>
            </w:r>
          </w:p>
          <w:p w:rsidR="00B0188E" w:rsidRPr="0051187D" w:rsidRDefault="00B0188E" w:rsidP="00F74E3B">
            <w:pPr>
              <w:keepNext/>
              <w:keepLines/>
              <w:tabs>
                <w:tab w:val="left" w:pos="-1440"/>
                <w:tab w:val="left" w:pos="-720"/>
              </w:tabs>
              <w:rPr>
                <w:sz w:val="20"/>
                <w:szCs w:val="20"/>
              </w:rPr>
            </w:pPr>
            <w:r w:rsidRPr="00835214">
              <w:rPr>
                <w:sz w:val="20"/>
                <w:szCs w:val="20"/>
              </w:rPr>
              <w:tab/>
            </w:r>
            <w:r w:rsidRPr="0051187D">
              <w:rPr>
                <w:sz w:val="20"/>
                <w:szCs w:val="20"/>
              </w:rPr>
              <w:t xml:space="preserve">Denise A.M. </w:t>
            </w:r>
            <w:proofErr w:type="spellStart"/>
            <w:r w:rsidRPr="0051187D">
              <w:rPr>
                <w:sz w:val="20"/>
                <w:szCs w:val="20"/>
              </w:rPr>
              <w:t>Pambrun</w:t>
            </w:r>
            <w:proofErr w:type="spellEnd"/>
          </w:p>
          <w:p w:rsidR="00B0188E" w:rsidRPr="0051187D" w:rsidRDefault="00B0188E" w:rsidP="00F74E3B">
            <w:pPr>
              <w:keepNext/>
              <w:keepLines/>
              <w:tabs>
                <w:tab w:val="left" w:pos="-1440"/>
                <w:tab w:val="left" w:pos="-720"/>
              </w:tabs>
              <w:rPr>
                <w:sz w:val="20"/>
                <w:szCs w:val="20"/>
              </w:rPr>
            </w:pPr>
            <w:r w:rsidRPr="0051187D">
              <w:rPr>
                <w:sz w:val="20"/>
                <w:szCs w:val="20"/>
              </w:rPr>
              <w:tab/>
              <w:t>City of Winnipeg</w:t>
            </w:r>
          </w:p>
          <w:p w:rsidR="00B0188E" w:rsidRPr="0051187D" w:rsidRDefault="00B0188E" w:rsidP="00F74E3B">
            <w:pPr>
              <w:keepNext/>
              <w:keepLines/>
              <w:tabs>
                <w:tab w:val="left" w:pos="-1440"/>
                <w:tab w:val="left" w:pos="-720"/>
              </w:tabs>
              <w:rPr>
                <w:sz w:val="20"/>
                <w:szCs w:val="20"/>
              </w:rPr>
            </w:pPr>
          </w:p>
          <w:p w:rsidR="00B0188E" w:rsidRPr="00A935AA" w:rsidRDefault="00B0188E" w:rsidP="00F74E3B">
            <w:pPr>
              <w:rPr>
                <w:sz w:val="20"/>
                <w:szCs w:val="20"/>
              </w:rPr>
            </w:pPr>
            <w:r>
              <w:rPr>
                <w:sz w:val="20"/>
                <w:szCs w:val="20"/>
              </w:rPr>
              <w:t>FILING DATE: 1</w:t>
            </w:r>
            <w:r w:rsidRPr="00A935AA">
              <w:rPr>
                <w:sz w:val="20"/>
                <w:szCs w:val="20"/>
              </w:rPr>
              <w:t>8.0</w:t>
            </w:r>
            <w:r>
              <w:rPr>
                <w:sz w:val="20"/>
                <w:szCs w:val="20"/>
              </w:rPr>
              <w:t>1</w:t>
            </w:r>
            <w:r w:rsidRPr="00A935AA">
              <w:rPr>
                <w:sz w:val="20"/>
                <w:szCs w:val="20"/>
              </w:rPr>
              <w:t>.201</w:t>
            </w:r>
            <w:r>
              <w:rPr>
                <w:sz w:val="20"/>
                <w:szCs w:val="20"/>
              </w:rPr>
              <w:t>3</w:t>
            </w:r>
            <w:r w:rsidR="00F008AC" w:rsidRPr="00F008AC">
              <w:rPr>
                <w:sz w:val="20"/>
                <w:szCs w:val="20"/>
                <w:lang w:val="fr-CA"/>
              </w:rPr>
              <w:pict>
                <v:rect id="_x0000_i1038" style="width:108pt;height:1pt" o:hrpct="0" o:hralign="center" o:hrstd="t" o:hrnoshade="t" o:hr="t" fillcolor="black [3213]" stroked="f"/>
              </w:pict>
            </w:r>
          </w:p>
        </w:tc>
      </w:tr>
      <w:tr w:rsidR="00B0188E" w:rsidRPr="00A935AA" w:rsidTr="003B3977">
        <w:trPr>
          <w:cantSplit/>
        </w:trPr>
        <w:tc>
          <w:tcPr>
            <w:tcW w:w="4320" w:type="dxa"/>
            <w:shd w:val="clear" w:color="auto" w:fill="auto"/>
          </w:tcPr>
          <w:p w:rsidR="00B0188E" w:rsidRDefault="00B0188E" w:rsidP="00F74E3B">
            <w:pPr>
              <w:rPr>
                <w:b/>
                <w:sz w:val="20"/>
                <w:szCs w:val="20"/>
              </w:rPr>
            </w:pPr>
          </w:p>
          <w:p w:rsidR="00B0188E" w:rsidRPr="00A935AA" w:rsidRDefault="00B0188E" w:rsidP="00F74E3B">
            <w:pPr>
              <w:rPr>
                <w:b/>
                <w:sz w:val="20"/>
                <w:szCs w:val="20"/>
              </w:rPr>
            </w:pPr>
            <w:r>
              <w:rPr>
                <w:b/>
                <w:sz w:val="20"/>
                <w:szCs w:val="20"/>
              </w:rPr>
              <w:t xml:space="preserve">Chief James Robert Thomas, aka </w:t>
            </w:r>
            <w:proofErr w:type="spellStart"/>
            <w:r>
              <w:rPr>
                <w:b/>
                <w:sz w:val="20"/>
                <w:szCs w:val="20"/>
              </w:rPr>
              <w:t>Sulsimutstun</w:t>
            </w:r>
            <w:proofErr w:type="spellEnd"/>
            <w:r>
              <w:rPr>
                <w:b/>
                <w:sz w:val="20"/>
                <w:szCs w:val="20"/>
              </w:rPr>
              <w:t xml:space="preserve"> et al. </w:t>
            </w:r>
          </w:p>
          <w:p w:rsidR="00B0188E" w:rsidRPr="00A935AA" w:rsidRDefault="00B0188E" w:rsidP="00F74E3B">
            <w:pPr>
              <w:tabs>
                <w:tab w:val="left" w:pos="-1440"/>
                <w:tab w:val="left" w:pos="-720"/>
              </w:tabs>
              <w:rPr>
                <w:sz w:val="20"/>
                <w:szCs w:val="20"/>
              </w:rPr>
            </w:pPr>
            <w:r w:rsidRPr="00A935AA">
              <w:rPr>
                <w:sz w:val="20"/>
                <w:szCs w:val="20"/>
              </w:rPr>
              <w:tab/>
            </w:r>
            <w:r>
              <w:rPr>
                <w:sz w:val="20"/>
                <w:szCs w:val="20"/>
              </w:rPr>
              <w:t>William J. Andrews</w:t>
            </w:r>
          </w:p>
          <w:p w:rsidR="00B0188E" w:rsidRPr="00A935AA" w:rsidRDefault="00B0188E" w:rsidP="00F74E3B">
            <w:pPr>
              <w:tabs>
                <w:tab w:val="left" w:pos="-1440"/>
                <w:tab w:val="left" w:pos="-720"/>
              </w:tabs>
              <w:rPr>
                <w:sz w:val="20"/>
                <w:szCs w:val="20"/>
              </w:rPr>
            </w:pPr>
          </w:p>
          <w:p w:rsidR="00B0188E" w:rsidRPr="00A935AA" w:rsidRDefault="00B0188E" w:rsidP="00F74E3B">
            <w:pPr>
              <w:tabs>
                <w:tab w:val="left" w:pos="-1440"/>
                <w:tab w:val="left" w:pos="-720"/>
              </w:tabs>
              <w:rPr>
                <w:sz w:val="20"/>
                <w:szCs w:val="20"/>
              </w:rPr>
            </w:pPr>
            <w:r w:rsidRPr="00A935AA">
              <w:rPr>
                <w:sz w:val="20"/>
                <w:szCs w:val="20"/>
              </w:rPr>
              <w:tab/>
              <w:t>v. (3</w:t>
            </w:r>
            <w:r>
              <w:rPr>
                <w:sz w:val="20"/>
                <w:szCs w:val="20"/>
              </w:rPr>
              <w:t>5179</w:t>
            </w:r>
            <w:r w:rsidRPr="00A935AA">
              <w:rPr>
                <w:sz w:val="20"/>
                <w:szCs w:val="20"/>
              </w:rPr>
              <w:t>)</w:t>
            </w:r>
          </w:p>
          <w:p w:rsidR="00B0188E" w:rsidRPr="00A935AA" w:rsidRDefault="00B0188E" w:rsidP="00F74E3B">
            <w:pPr>
              <w:tabs>
                <w:tab w:val="left" w:pos="-1440"/>
                <w:tab w:val="left" w:pos="-720"/>
              </w:tabs>
              <w:rPr>
                <w:sz w:val="20"/>
                <w:szCs w:val="20"/>
              </w:rPr>
            </w:pPr>
          </w:p>
          <w:p w:rsidR="00B0188E" w:rsidRPr="00A935AA" w:rsidRDefault="00B0188E" w:rsidP="00F74E3B">
            <w:pPr>
              <w:tabs>
                <w:tab w:val="left" w:pos="-1440"/>
                <w:tab w:val="left" w:pos="-720"/>
              </w:tabs>
              <w:rPr>
                <w:b/>
                <w:sz w:val="20"/>
                <w:szCs w:val="20"/>
              </w:rPr>
            </w:pPr>
            <w:r>
              <w:rPr>
                <w:b/>
                <w:sz w:val="20"/>
                <w:szCs w:val="20"/>
              </w:rPr>
              <w:t xml:space="preserve">Her Majesty the Queen in Right of the Province of British Columbia, as represented by the Minister of Environment and the Minister of Community Development et al. </w:t>
            </w:r>
            <w:r w:rsidRPr="00A935AA">
              <w:rPr>
                <w:b/>
                <w:sz w:val="20"/>
                <w:szCs w:val="20"/>
              </w:rPr>
              <w:t>(B.C.)</w:t>
            </w:r>
          </w:p>
          <w:p w:rsidR="00B0188E" w:rsidRPr="00A935AA" w:rsidRDefault="00B0188E" w:rsidP="00F74E3B">
            <w:pPr>
              <w:tabs>
                <w:tab w:val="left" w:pos="-1440"/>
                <w:tab w:val="left" w:pos="-720"/>
              </w:tabs>
              <w:rPr>
                <w:sz w:val="20"/>
                <w:szCs w:val="20"/>
              </w:rPr>
            </w:pPr>
            <w:r w:rsidRPr="00A935AA">
              <w:rPr>
                <w:sz w:val="20"/>
                <w:szCs w:val="20"/>
              </w:rPr>
              <w:tab/>
            </w:r>
            <w:r>
              <w:rPr>
                <w:sz w:val="20"/>
                <w:szCs w:val="20"/>
              </w:rPr>
              <w:t xml:space="preserve">Paul E. </w:t>
            </w:r>
            <w:proofErr w:type="spellStart"/>
            <w:r>
              <w:rPr>
                <w:sz w:val="20"/>
                <w:szCs w:val="20"/>
              </w:rPr>
              <w:t>Yearwood</w:t>
            </w:r>
            <w:proofErr w:type="spellEnd"/>
          </w:p>
          <w:p w:rsidR="00B0188E" w:rsidRPr="00A935AA" w:rsidRDefault="00B0188E" w:rsidP="00F74E3B">
            <w:pPr>
              <w:tabs>
                <w:tab w:val="left" w:pos="-1440"/>
                <w:tab w:val="left" w:pos="-720"/>
              </w:tabs>
              <w:rPr>
                <w:sz w:val="20"/>
                <w:szCs w:val="20"/>
              </w:rPr>
            </w:pPr>
            <w:r w:rsidRPr="00A935AA">
              <w:rPr>
                <w:sz w:val="20"/>
                <w:szCs w:val="20"/>
              </w:rPr>
              <w:tab/>
            </w:r>
            <w:r>
              <w:rPr>
                <w:sz w:val="20"/>
                <w:szCs w:val="20"/>
              </w:rPr>
              <w:t>A.G. of British Columbia</w:t>
            </w:r>
          </w:p>
          <w:p w:rsidR="00B0188E" w:rsidRPr="00A935AA" w:rsidRDefault="00B0188E" w:rsidP="00F74E3B">
            <w:pPr>
              <w:tabs>
                <w:tab w:val="left" w:pos="-1440"/>
                <w:tab w:val="left" w:pos="-720"/>
              </w:tabs>
              <w:rPr>
                <w:sz w:val="20"/>
                <w:szCs w:val="20"/>
              </w:rPr>
            </w:pPr>
          </w:p>
          <w:p w:rsidR="00B0188E" w:rsidRPr="00A935AA" w:rsidRDefault="00B0188E" w:rsidP="00F74E3B">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1</w:t>
            </w:r>
            <w:r w:rsidRPr="00A935AA">
              <w:rPr>
                <w:sz w:val="20"/>
                <w:szCs w:val="20"/>
              </w:rPr>
              <w:t>.201</w:t>
            </w:r>
            <w:r>
              <w:rPr>
                <w:sz w:val="20"/>
                <w:szCs w:val="20"/>
              </w:rPr>
              <w:t>3</w:t>
            </w:r>
          </w:p>
          <w:p w:rsidR="00B0188E" w:rsidRPr="00A935AA" w:rsidRDefault="00F008AC" w:rsidP="00F74E3B">
            <w:pPr>
              <w:rPr>
                <w:sz w:val="20"/>
                <w:szCs w:val="20"/>
              </w:rPr>
            </w:pPr>
            <w:r w:rsidRPr="00F008AC">
              <w:rPr>
                <w:sz w:val="20"/>
                <w:szCs w:val="20"/>
                <w:lang w:val="fr-CA"/>
              </w:rPr>
              <w:pict>
                <v:rect id="_x0000_i1039" style="width:108pt;height:1pt" o:hrpct="0" o:hralign="center" o:hrstd="t" o:hrnoshade="t" o:hr="t" fillcolor="black [3213]" stroked="f"/>
              </w:pict>
            </w:r>
          </w:p>
        </w:tc>
        <w:tc>
          <w:tcPr>
            <w:tcW w:w="1181" w:type="dxa"/>
            <w:shd w:val="clear" w:color="auto" w:fill="auto"/>
          </w:tcPr>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Default="00B0188E" w:rsidP="00242AEE">
            <w:pPr>
              <w:jc w:val="center"/>
              <w:rPr>
                <w:sz w:val="20"/>
                <w:szCs w:val="20"/>
              </w:rPr>
            </w:pPr>
          </w:p>
          <w:p w:rsidR="00B0188E" w:rsidRPr="00A935AA" w:rsidRDefault="00B0188E" w:rsidP="00242AEE">
            <w:pPr>
              <w:jc w:val="center"/>
              <w:rPr>
                <w:sz w:val="20"/>
                <w:szCs w:val="20"/>
              </w:rPr>
            </w:pPr>
          </w:p>
        </w:tc>
        <w:tc>
          <w:tcPr>
            <w:tcW w:w="4320" w:type="dxa"/>
            <w:shd w:val="clear" w:color="auto" w:fill="auto"/>
          </w:tcPr>
          <w:p w:rsidR="00B0188E" w:rsidRPr="00A935AA" w:rsidRDefault="00B0188E" w:rsidP="00F74E3B">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D3202">
          <w:headerReference w:type="default" r:id="rId17"/>
          <w:footerReference w:type="default" r:id="rId18"/>
          <w:headerReference w:type="first" r:id="rId19"/>
          <w:footerReference w:type="first" r:id="rId20"/>
          <w:pgSz w:w="12240" w:h="15840"/>
          <w:pgMar w:top="720" w:right="965" w:bottom="1080" w:left="1656" w:header="706" w:footer="706" w:gutter="0"/>
          <w:pgNumType w:start="17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8380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7907CB">
              <w:rPr>
                <w:b/>
                <w:szCs w:val="24"/>
                <w:lang w:val="fr-CA"/>
              </w:rPr>
              <w:t>DEMANDES SOUMISES À LA COUR DEPUIS LA D</w:t>
            </w:r>
            <w:r w:rsidRPr="001D0D5F">
              <w:rPr>
                <w:b/>
                <w:szCs w:val="24"/>
                <w:lang w:val="fr-CA"/>
              </w:rPr>
              <w:t>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6D7D71" w:rsidP="004B7F60">
      <w:pPr>
        <w:widowControl w:val="0"/>
        <w:rPr>
          <w:b/>
          <w:sz w:val="20"/>
          <w:szCs w:val="20"/>
        </w:rPr>
      </w:pPr>
      <w:r>
        <w:rPr>
          <w:b/>
          <w:sz w:val="20"/>
          <w:szCs w:val="20"/>
        </w:rPr>
        <w:t>JAN</w:t>
      </w:r>
      <w:r w:rsidR="00F761A3">
        <w:rPr>
          <w:b/>
          <w:sz w:val="20"/>
          <w:szCs w:val="20"/>
        </w:rPr>
        <w:t xml:space="preserve">UARY </w:t>
      </w:r>
      <w:r>
        <w:rPr>
          <w:b/>
          <w:sz w:val="20"/>
          <w:szCs w:val="20"/>
        </w:rPr>
        <w:t>28</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28</w:t>
      </w:r>
      <w:r w:rsidR="004B7F60">
        <w:rPr>
          <w:b/>
          <w:sz w:val="20"/>
          <w:szCs w:val="20"/>
        </w:rPr>
        <w:t xml:space="preserve"> </w:t>
      </w:r>
      <w:r w:rsidR="00F761A3">
        <w:rPr>
          <w:b/>
          <w:sz w:val="20"/>
          <w:szCs w:val="20"/>
        </w:rPr>
        <w:t>JANVIE</w:t>
      </w:r>
      <w:r w:rsidR="004B7F60">
        <w:rPr>
          <w:b/>
          <w:sz w:val="20"/>
          <w:szCs w:val="20"/>
        </w:rPr>
        <w:t>R</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04EA6" w:rsidRDefault="00C04EA6" w:rsidP="004B7F60">
      <w:pPr>
        <w:pStyle w:val="ListParagraph"/>
        <w:widowControl w:val="0"/>
        <w:numPr>
          <w:ilvl w:val="0"/>
          <w:numId w:val="1"/>
        </w:numPr>
        <w:ind w:hanging="720"/>
        <w:jc w:val="both"/>
        <w:rPr>
          <w:sz w:val="20"/>
          <w:szCs w:val="20"/>
          <w:lang w:val="fr-CA"/>
        </w:rPr>
      </w:pPr>
      <w:r w:rsidRPr="00C04EA6">
        <w:rPr>
          <w:i/>
          <w:sz w:val="20"/>
          <w:szCs w:val="20"/>
          <w:lang w:val="fr-CA"/>
        </w:rPr>
        <w:t xml:space="preserve">Nicole </w:t>
      </w:r>
      <w:proofErr w:type="spellStart"/>
      <w:r w:rsidRPr="00C04EA6">
        <w:rPr>
          <w:i/>
          <w:sz w:val="20"/>
          <w:szCs w:val="20"/>
          <w:lang w:val="fr-CA"/>
        </w:rPr>
        <w:t>Lajeunesse</w:t>
      </w:r>
      <w:proofErr w:type="spellEnd"/>
      <w:r w:rsidRPr="00C04EA6">
        <w:rPr>
          <w:i/>
          <w:sz w:val="20"/>
          <w:szCs w:val="20"/>
          <w:lang w:val="fr-CA"/>
        </w:rPr>
        <w:t xml:space="preserve"> et autre c. Pierre Hamel et autres</w:t>
      </w:r>
      <w:r w:rsidRPr="00C04EA6">
        <w:rPr>
          <w:sz w:val="20"/>
          <w:szCs w:val="20"/>
          <w:lang w:val="fr-CA"/>
        </w:rPr>
        <w:t xml:space="preserve"> (</w:t>
      </w:r>
      <w:proofErr w:type="spellStart"/>
      <w:r w:rsidRPr="00C04EA6">
        <w:rPr>
          <w:sz w:val="20"/>
          <w:szCs w:val="20"/>
          <w:lang w:val="fr-CA"/>
        </w:rPr>
        <w:t>Qc</w:t>
      </w:r>
      <w:proofErr w:type="spellEnd"/>
      <w:r w:rsidRPr="00C04EA6">
        <w:rPr>
          <w:sz w:val="20"/>
          <w:szCs w:val="20"/>
          <w:lang w:val="fr-CA"/>
        </w:rPr>
        <w:t xml:space="preserve">) (Civile) (Autorisation) </w:t>
      </w:r>
      <w:r w:rsidR="004B7F60" w:rsidRPr="00C04EA6">
        <w:rPr>
          <w:sz w:val="20"/>
          <w:szCs w:val="20"/>
          <w:lang w:val="fr-CA"/>
        </w:rPr>
        <w:t>(3</w:t>
      </w:r>
      <w:r w:rsidRPr="00C04EA6">
        <w:rPr>
          <w:sz w:val="20"/>
          <w:szCs w:val="20"/>
          <w:lang w:val="fr-CA"/>
        </w:rPr>
        <w:t>5</w:t>
      </w:r>
      <w:r w:rsidR="004B7F60" w:rsidRPr="00C04EA6">
        <w:rPr>
          <w:sz w:val="20"/>
          <w:szCs w:val="20"/>
          <w:lang w:val="fr-CA"/>
        </w:rPr>
        <w:t>1</w:t>
      </w:r>
      <w:r w:rsidRPr="00C04EA6">
        <w:rPr>
          <w:sz w:val="20"/>
          <w:szCs w:val="20"/>
          <w:lang w:val="fr-CA"/>
        </w:rPr>
        <w:t>11</w:t>
      </w:r>
      <w:r w:rsidR="004B7F60" w:rsidRPr="00C04EA6">
        <w:rPr>
          <w:sz w:val="20"/>
          <w:szCs w:val="20"/>
          <w:lang w:val="fr-CA"/>
        </w:rPr>
        <w:t>)</w:t>
      </w:r>
    </w:p>
    <w:p w:rsidR="004B7F60" w:rsidRPr="00C04EA6" w:rsidRDefault="004B7F60" w:rsidP="004B7F60">
      <w:pPr>
        <w:widowControl w:val="0"/>
        <w:jc w:val="both"/>
        <w:rPr>
          <w:sz w:val="20"/>
          <w:szCs w:val="20"/>
          <w:lang w:val="fr-CA"/>
        </w:rPr>
      </w:pPr>
    </w:p>
    <w:p w:rsidR="004B7F60" w:rsidRPr="00C612D0" w:rsidRDefault="00C04EA6" w:rsidP="004B7F60">
      <w:pPr>
        <w:pStyle w:val="ListParagraph"/>
        <w:widowControl w:val="0"/>
        <w:numPr>
          <w:ilvl w:val="0"/>
          <w:numId w:val="1"/>
        </w:numPr>
        <w:ind w:hanging="720"/>
        <w:jc w:val="both"/>
        <w:rPr>
          <w:sz w:val="20"/>
          <w:szCs w:val="20"/>
        </w:rPr>
      </w:pPr>
      <w:r w:rsidRPr="00C04EA6">
        <w:rPr>
          <w:i/>
          <w:sz w:val="20"/>
          <w:szCs w:val="20"/>
        </w:rPr>
        <w:t>Estate of the Late Zahra (</w:t>
      </w:r>
      <w:proofErr w:type="spellStart"/>
      <w:r w:rsidRPr="00C04EA6">
        <w:rPr>
          <w:i/>
          <w:sz w:val="20"/>
          <w:szCs w:val="20"/>
        </w:rPr>
        <w:t>Ziba</w:t>
      </w:r>
      <w:proofErr w:type="spellEnd"/>
      <w:r w:rsidRPr="00C04EA6">
        <w:rPr>
          <w:i/>
          <w:sz w:val="20"/>
          <w:szCs w:val="20"/>
        </w:rPr>
        <w:t xml:space="preserve">) </w:t>
      </w:r>
      <w:proofErr w:type="spellStart"/>
      <w:r w:rsidRPr="00C04EA6">
        <w:rPr>
          <w:i/>
          <w:sz w:val="20"/>
          <w:szCs w:val="20"/>
        </w:rPr>
        <w:t>Kazemi</w:t>
      </w:r>
      <w:proofErr w:type="spellEnd"/>
      <w:r w:rsidRPr="00C04EA6">
        <w:rPr>
          <w:i/>
          <w:sz w:val="20"/>
          <w:szCs w:val="20"/>
        </w:rPr>
        <w:t xml:space="preserve"> et al. v. Islamic Republic of Iran et al.</w:t>
      </w:r>
      <w:r w:rsidRPr="00C04EA6">
        <w:rPr>
          <w:sz w:val="20"/>
          <w:szCs w:val="20"/>
        </w:rPr>
        <w:t xml:space="preserve"> (Que.) (Civil) (By Leave)</w:t>
      </w:r>
      <w:r w:rsidR="004B7F60" w:rsidRPr="00C612D0">
        <w:rPr>
          <w:sz w:val="20"/>
          <w:szCs w:val="20"/>
        </w:rPr>
        <w:t xml:space="preserve"> (3</w:t>
      </w:r>
      <w:r>
        <w:rPr>
          <w:sz w:val="20"/>
          <w:szCs w:val="20"/>
        </w:rPr>
        <w:t>503</w:t>
      </w:r>
      <w:r w:rsidR="004B7F60" w:rsidRPr="00C612D0">
        <w:rPr>
          <w:sz w:val="20"/>
          <w:szCs w:val="20"/>
        </w:rPr>
        <w:t>4)</w:t>
      </w:r>
    </w:p>
    <w:p w:rsidR="004B7F60" w:rsidRPr="00C612D0" w:rsidRDefault="004B7F60" w:rsidP="004B7F60">
      <w:pPr>
        <w:widowControl w:val="0"/>
        <w:jc w:val="both"/>
        <w:rPr>
          <w:sz w:val="20"/>
          <w:szCs w:val="20"/>
        </w:rPr>
      </w:pPr>
    </w:p>
    <w:p w:rsidR="004B7F60" w:rsidRPr="00C50A5C" w:rsidRDefault="00911D91" w:rsidP="004B7F60">
      <w:pPr>
        <w:pStyle w:val="ListParagraph"/>
        <w:widowControl w:val="0"/>
        <w:numPr>
          <w:ilvl w:val="0"/>
          <w:numId w:val="1"/>
        </w:numPr>
        <w:ind w:hanging="720"/>
        <w:jc w:val="both"/>
        <w:rPr>
          <w:sz w:val="20"/>
          <w:szCs w:val="20"/>
        </w:rPr>
      </w:pPr>
      <w:r w:rsidRPr="00911D91">
        <w:rPr>
          <w:i/>
          <w:sz w:val="20"/>
          <w:szCs w:val="20"/>
        </w:rPr>
        <w:t>Douglas Martin v. Workers' Compensation Board of Alberta et al.</w:t>
      </w:r>
      <w:r w:rsidRPr="00C04EA6">
        <w:rPr>
          <w:sz w:val="20"/>
          <w:szCs w:val="20"/>
        </w:rPr>
        <w:t xml:space="preserve"> (Alta.) (Civil) (By Leave)</w:t>
      </w:r>
      <w:r>
        <w:rPr>
          <w:sz w:val="20"/>
          <w:szCs w:val="20"/>
        </w:rPr>
        <w:t xml:space="preserve"> </w:t>
      </w:r>
      <w:r w:rsidR="004B7F60" w:rsidRPr="00940CAD">
        <w:rPr>
          <w:sz w:val="20"/>
          <w:szCs w:val="20"/>
        </w:rPr>
        <w:t>(3</w:t>
      </w:r>
      <w:r w:rsidR="00C04EA6">
        <w:rPr>
          <w:sz w:val="20"/>
          <w:szCs w:val="20"/>
        </w:rPr>
        <w:t>5052</w:t>
      </w:r>
      <w:r w:rsidR="004B7F60" w:rsidRPr="00940CAD">
        <w:rPr>
          <w:sz w:val="20"/>
          <w:szCs w:val="20"/>
        </w:rPr>
        <w:t>)</w:t>
      </w:r>
    </w:p>
    <w:p w:rsidR="004B7F60" w:rsidRDefault="004B7F60" w:rsidP="004B7F60">
      <w:pPr>
        <w:widowControl w:val="0"/>
        <w:rPr>
          <w:sz w:val="20"/>
          <w:szCs w:val="20"/>
        </w:rPr>
      </w:pPr>
    </w:p>
    <w:p w:rsidR="00C04EA6" w:rsidRDefault="00C04EA6" w:rsidP="004B7F60">
      <w:pPr>
        <w:widowControl w:val="0"/>
        <w:rPr>
          <w:sz w:val="20"/>
          <w:szCs w:val="20"/>
        </w:rPr>
      </w:pPr>
    </w:p>
    <w:p w:rsidR="00C04EA6" w:rsidRPr="00C50A5C" w:rsidRDefault="00C04EA6" w:rsidP="00C04EA6">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C04EA6" w:rsidRPr="00C50A5C" w:rsidRDefault="00C04EA6" w:rsidP="00C04EA6">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04EA6" w:rsidRPr="00C04EA6" w:rsidRDefault="00C04EA6" w:rsidP="004B7F60">
      <w:pPr>
        <w:widowControl w:val="0"/>
        <w:rPr>
          <w:sz w:val="20"/>
          <w:szCs w:val="20"/>
          <w:lang w:val="fr-CA"/>
        </w:rPr>
      </w:pPr>
    </w:p>
    <w:p w:rsidR="004B7F60" w:rsidRPr="00C50A5C" w:rsidRDefault="00911D91" w:rsidP="004B7F60">
      <w:pPr>
        <w:pStyle w:val="ListParagraph"/>
        <w:widowControl w:val="0"/>
        <w:numPr>
          <w:ilvl w:val="0"/>
          <w:numId w:val="1"/>
        </w:numPr>
        <w:ind w:hanging="720"/>
        <w:jc w:val="both"/>
        <w:rPr>
          <w:sz w:val="20"/>
          <w:szCs w:val="20"/>
        </w:rPr>
      </w:pPr>
      <w:r w:rsidRPr="00911D91">
        <w:rPr>
          <w:i/>
          <w:sz w:val="20"/>
          <w:szCs w:val="20"/>
        </w:rPr>
        <w:t xml:space="preserve">Ruby Ann </w:t>
      </w:r>
      <w:proofErr w:type="spellStart"/>
      <w:r w:rsidRPr="00911D91">
        <w:rPr>
          <w:i/>
          <w:sz w:val="20"/>
          <w:szCs w:val="20"/>
        </w:rPr>
        <w:t>Ruffolo</w:t>
      </w:r>
      <w:proofErr w:type="spellEnd"/>
      <w:r w:rsidRPr="00911D91">
        <w:rPr>
          <w:i/>
          <w:sz w:val="20"/>
          <w:szCs w:val="20"/>
        </w:rPr>
        <w:t xml:space="preserve"> v. Her Majesty the Queen</w:t>
      </w:r>
      <w:r w:rsidRPr="00C04EA6">
        <w:rPr>
          <w:sz w:val="20"/>
          <w:szCs w:val="20"/>
        </w:rPr>
        <w:t xml:space="preserve"> (B.C.) (Crim.) (By Leave)</w:t>
      </w:r>
      <w:r w:rsidRPr="00C50A5C">
        <w:rPr>
          <w:sz w:val="20"/>
          <w:szCs w:val="20"/>
        </w:rPr>
        <w:t xml:space="preserve"> </w:t>
      </w:r>
      <w:r w:rsidR="004B7F60" w:rsidRPr="00C50A5C">
        <w:rPr>
          <w:sz w:val="20"/>
          <w:szCs w:val="20"/>
        </w:rPr>
        <w:t>(3</w:t>
      </w:r>
      <w:r w:rsidR="00C04EA6">
        <w:rPr>
          <w:sz w:val="20"/>
          <w:szCs w:val="20"/>
        </w:rPr>
        <w:t>50</w:t>
      </w:r>
      <w:r w:rsidR="004B7F60">
        <w:rPr>
          <w:sz w:val="20"/>
          <w:szCs w:val="20"/>
        </w:rPr>
        <w:t>6</w:t>
      </w:r>
      <w:r w:rsidR="00C04EA6">
        <w:rPr>
          <w:sz w:val="20"/>
          <w:szCs w:val="20"/>
        </w:rPr>
        <w:t>3</w:t>
      </w:r>
      <w:r w:rsidR="004B7F60" w:rsidRPr="00C50A5C">
        <w:rPr>
          <w:sz w:val="20"/>
          <w:szCs w:val="20"/>
        </w:rPr>
        <w:t>)</w:t>
      </w:r>
    </w:p>
    <w:p w:rsidR="004B7F60" w:rsidRPr="00C16CB3" w:rsidRDefault="004B7F60" w:rsidP="004B7F60">
      <w:pPr>
        <w:widowControl w:val="0"/>
        <w:jc w:val="both"/>
        <w:rPr>
          <w:sz w:val="20"/>
          <w:szCs w:val="20"/>
          <w:lang w:val="fr-CA"/>
        </w:rPr>
      </w:pPr>
    </w:p>
    <w:p w:rsidR="004B7F60" w:rsidRPr="00C612D0" w:rsidRDefault="00911D91" w:rsidP="004B7F60">
      <w:pPr>
        <w:pStyle w:val="ListParagraph"/>
        <w:widowControl w:val="0"/>
        <w:numPr>
          <w:ilvl w:val="0"/>
          <w:numId w:val="1"/>
        </w:numPr>
        <w:ind w:hanging="720"/>
        <w:jc w:val="both"/>
        <w:rPr>
          <w:sz w:val="20"/>
          <w:szCs w:val="20"/>
          <w:lang w:val="fr-CA"/>
        </w:rPr>
      </w:pPr>
      <w:r w:rsidRPr="00911D91">
        <w:rPr>
          <w:i/>
          <w:sz w:val="20"/>
          <w:szCs w:val="20"/>
          <w:lang w:val="fr-CA"/>
        </w:rPr>
        <w:t xml:space="preserve">Union </w:t>
      </w:r>
      <w:proofErr w:type="spellStart"/>
      <w:r w:rsidRPr="00911D91">
        <w:rPr>
          <w:i/>
          <w:sz w:val="20"/>
          <w:szCs w:val="20"/>
          <w:lang w:val="fr-CA"/>
        </w:rPr>
        <w:t>Carbide</w:t>
      </w:r>
      <w:proofErr w:type="spellEnd"/>
      <w:r w:rsidRPr="00911D91">
        <w:rPr>
          <w:i/>
          <w:sz w:val="20"/>
          <w:szCs w:val="20"/>
          <w:lang w:val="fr-CA"/>
        </w:rPr>
        <w:t xml:space="preserve"> Canada Inc. et a</w:t>
      </w:r>
      <w:r w:rsidR="007907CB">
        <w:rPr>
          <w:i/>
          <w:sz w:val="20"/>
          <w:szCs w:val="20"/>
          <w:lang w:val="fr-CA"/>
        </w:rPr>
        <w:t>utre</w:t>
      </w:r>
      <w:r w:rsidRPr="00911D91">
        <w:rPr>
          <w:i/>
          <w:sz w:val="20"/>
          <w:szCs w:val="20"/>
          <w:lang w:val="fr-CA"/>
        </w:rPr>
        <w:t xml:space="preserve"> c. Bombardier Inc. et a</w:t>
      </w:r>
      <w:r w:rsidR="007907CB">
        <w:rPr>
          <w:i/>
          <w:sz w:val="20"/>
          <w:szCs w:val="20"/>
          <w:lang w:val="fr-CA"/>
        </w:rPr>
        <w:t>utre</w:t>
      </w:r>
      <w:r w:rsidRPr="00C04EA6">
        <w:rPr>
          <w:sz w:val="20"/>
          <w:szCs w:val="20"/>
          <w:lang w:val="fr-CA"/>
        </w:rPr>
        <w:t xml:space="preserve"> (</w:t>
      </w:r>
      <w:proofErr w:type="spellStart"/>
      <w:r w:rsidRPr="00C04EA6">
        <w:rPr>
          <w:sz w:val="20"/>
          <w:szCs w:val="20"/>
          <w:lang w:val="fr-CA"/>
        </w:rPr>
        <w:t>Qc</w:t>
      </w:r>
      <w:proofErr w:type="spellEnd"/>
      <w:r w:rsidRPr="00C04EA6">
        <w:rPr>
          <w:sz w:val="20"/>
          <w:szCs w:val="20"/>
          <w:lang w:val="fr-CA"/>
        </w:rPr>
        <w:t>) (Civile) (Autorisation)</w:t>
      </w:r>
      <w:r w:rsidRPr="00C612D0">
        <w:rPr>
          <w:sz w:val="20"/>
          <w:szCs w:val="20"/>
          <w:lang w:val="fr-CA"/>
        </w:rPr>
        <w:t xml:space="preserve"> </w:t>
      </w:r>
      <w:r w:rsidR="004B7F60" w:rsidRPr="00C612D0">
        <w:rPr>
          <w:sz w:val="20"/>
          <w:szCs w:val="20"/>
          <w:lang w:val="fr-CA"/>
        </w:rPr>
        <w:t>(3</w:t>
      </w:r>
      <w:r w:rsidR="00C04EA6">
        <w:rPr>
          <w:sz w:val="20"/>
          <w:szCs w:val="20"/>
          <w:lang w:val="fr-CA"/>
        </w:rPr>
        <w:t>5008</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911D91" w:rsidP="004B7F60">
      <w:pPr>
        <w:pStyle w:val="ListParagraph"/>
        <w:widowControl w:val="0"/>
        <w:numPr>
          <w:ilvl w:val="0"/>
          <w:numId w:val="1"/>
        </w:numPr>
        <w:ind w:hanging="720"/>
        <w:jc w:val="both"/>
        <w:rPr>
          <w:sz w:val="20"/>
          <w:szCs w:val="20"/>
          <w:lang w:val="fr-CA"/>
        </w:rPr>
      </w:pPr>
      <w:r w:rsidRPr="00911D91">
        <w:rPr>
          <w:i/>
          <w:sz w:val="20"/>
          <w:szCs w:val="20"/>
          <w:lang w:val="fr-CA"/>
        </w:rPr>
        <w:t>G.F. c. K.G., en sa qualité de personne autorisée par le Directeur de la protection de la jeunesse du centre jeunesse des Laurentides</w:t>
      </w:r>
      <w:r w:rsidRPr="00C04EA6">
        <w:rPr>
          <w:sz w:val="20"/>
          <w:szCs w:val="20"/>
          <w:lang w:val="fr-CA"/>
        </w:rPr>
        <w:t xml:space="preserve"> (</w:t>
      </w:r>
      <w:proofErr w:type="spellStart"/>
      <w:r w:rsidRPr="00C04EA6">
        <w:rPr>
          <w:sz w:val="20"/>
          <w:szCs w:val="20"/>
          <w:lang w:val="fr-CA"/>
        </w:rPr>
        <w:t>Qc</w:t>
      </w:r>
      <w:proofErr w:type="spellEnd"/>
      <w:r w:rsidRPr="00C04EA6">
        <w:rPr>
          <w:sz w:val="20"/>
          <w:szCs w:val="20"/>
          <w:lang w:val="fr-CA"/>
        </w:rPr>
        <w:t>) (Civile) (Autorisation)</w:t>
      </w:r>
      <w:r w:rsidRPr="00115C9E">
        <w:rPr>
          <w:sz w:val="20"/>
          <w:szCs w:val="20"/>
          <w:lang w:val="fr-CA"/>
        </w:rPr>
        <w:t xml:space="preserve"> </w:t>
      </w:r>
      <w:r w:rsidR="004B7F60" w:rsidRPr="00115C9E">
        <w:rPr>
          <w:sz w:val="20"/>
          <w:szCs w:val="20"/>
          <w:lang w:val="fr-CA"/>
        </w:rPr>
        <w:t>(35</w:t>
      </w:r>
      <w:r w:rsidR="00C04EA6">
        <w:rPr>
          <w:sz w:val="20"/>
          <w:szCs w:val="20"/>
          <w:lang w:val="fr-CA"/>
        </w:rPr>
        <w:t>065</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E8339B" w:rsidRDefault="00911D91" w:rsidP="004B7F60">
      <w:pPr>
        <w:pStyle w:val="ListParagraph"/>
        <w:widowControl w:val="0"/>
        <w:numPr>
          <w:ilvl w:val="0"/>
          <w:numId w:val="1"/>
        </w:numPr>
        <w:ind w:hanging="720"/>
        <w:jc w:val="both"/>
        <w:rPr>
          <w:sz w:val="20"/>
          <w:szCs w:val="20"/>
        </w:rPr>
      </w:pPr>
      <w:r w:rsidRPr="00E8339B">
        <w:rPr>
          <w:i/>
          <w:sz w:val="20"/>
          <w:szCs w:val="20"/>
        </w:rPr>
        <w:t xml:space="preserve">Melanie Anne Lay et al. </w:t>
      </w:r>
      <w:r w:rsidR="00E8339B" w:rsidRPr="00E8339B">
        <w:rPr>
          <w:i/>
          <w:sz w:val="20"/>
          <w:szCs w:val="20"/>
        </w:rPr>
        <w:t>v. Bradley Lay et al.</w:t>
      </w:r>
      <w:r w:rsidR="00E8339B" w:rsidRPr="00C04EA6">
        <w:rPr>
          <w:sz w:val="20"/>
          <w:szCs w:val="20"/>
        </w:rPr>
        <w:t xml:space="preserve"> </w:t>
      </w:r>
      <w:r w:rsidRPr="00C04EA6">
        <w:rPr>
          <w:sz w:val="20"/>
          <w:szCs w:val="20"/>
        </w:rPr>
        <w:t>(Alta.) (Civil) (By Leave)</w:t>
      </w:r>
      <w:r>
        <w:rPr>
          <w:sz w:val="20"/>
          <w:szCs w:val="20"/>
        </w:rPr>
        <w:t xml:space="preserve"> </w:t>
      </w:r>
      <w:r w:rsidR="004B7F60" w:rsidRPr="00E8339B">
        <w:rPr>
          <w:sz w:val="20"/>
          <w:szCs w:val="20"/>
        </w:rPr>
        <w:t>(35</w:t>
      </w:r>
      <w:r w:rsidR="00C04EA6" w:rsidRPr="00E8339B">
        <w:rPr>
          <w:sz w:val="20"/>
          <w:szCs w:val="20"/>
        </w:rPr>
        <w:t>112</w:t>
      </w:r>
      <w:r w:rsidR="004B7F60" w:rsidRPr="00E8339B">
        <w:rPr>
          <w:sz w:val="20"/>
          <w:szCs w:val="20"/>
        </w:rPr>
        <w:t>)</w:t>
      </w:r>
    </w:p>
    <w:p w:rsidR="004B7F60" w:rsidRPr="00E8339B" w:rsidRDefault="004B7F60" w:rsidP="004B7F60">
      <w:pPr>
        <w:widowControl w:val="0"/>
        <w:jc w:val="both"/>
        <w:rPr>
          <w:sz w:val="20"/>
          <w:szCs w:val="20"/>
        </w:rPr>
      </w:pPr>
    </w:p>
    <w:p w:rsidR="00C04EA6" w:rsidRPr="00E8339B" w:rsidRDefault="00C04EA6" w:rsidP="004B7F60">
      <w:pPr>
        <w:widowControl w:val="0"/>
        <w:jc w:val="both"/>
        <w:rPr>
          <w:sz w:val="20"/>
          <w:szCs w:val="20"/>
        </w:rPr>
      </w:pPr>
    </w:p>
    <w:p w:rsidR="00C04EA6" w:rsidRPr="00C50A5C" w:rsidRDefault="00C04EA6" w:rsidP="00C04EA6">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C04EA6" w:rsidRPr="00C50A5C" w:rsidRDefault="00C04EA6" w:rsidP="00C04EA6">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C04EA6" w:rsidRPr="00115C9E" w:rsidRDefault="00C04EA6" w:rsidP="004B7F60">
      <w:pPr>
        <w:widowControl w:val="0"/>
        <w:jc w:val="both"/>
        <w:rPr>
          <w:sz w:val="20"/>
          <w:szCs w:val="20"/>
          <w:lang w:val="fr-CA"/>
        </w:rPr>
      </w:pPr>
    </w:p>
    <w:p w:rsidR="004B7F60" w:rsidRPr="00E8339B" w:rsidRDefault="00E8339B" w:rsidP="004B7F60">
      <w:pPr>
        <w:pStyle w:val="ListParagraph"/>
        <w:widowControl w:val="0"/>
        <w:numPr>
          <w:ilvl w:val="0"/>
          <w:numId w:val="1"/>
        </w:numPr>
        <w:ind w:hanging="720"/>
        <w:jc w:val="both"/>
        <w:rPr>
          <w:sz w:val="20"/>
          <w:szCs w:val="20"/>
        </w:rPr>
      </w:pPr>
      <w:proofErr w:type="spellStart"/>
      <w:r w:rsidRPr="00E8339B">
        <w:rPr>
          <w:i/>
          <w:sz w:val="20"/>
          <w:szCs w:val="20"/>
        </w:rPr>
        <w:t>Giuliano</w:t>
      </w:r>
      <w:proofErr w:type="spellEnd"/>
      <w:r w:rsidRPr="00E8339B">
        <w:rPr>
          <w:i/>
          <w:sz w:val="20"/>
          <w:szCs w:val="20"/>
        </w:rPr>
        <w:t xml:space="preserve"> </w:t>
      </w:r>
      <w:proofErr w:type="spellStart"/>
      <w:r w:rsidRPr="00E8339B">
        <w:rPr>
          <w:i/>
          <w:sz w:val="20"/>
          <w:szCs w:val="20"/>
        </w:rPr>
        <w:t>Scaduto</w:t>
      </w:r>
      <w:proofErr w:type="spellEnd"/>
      <w:r w:rsidRPr="00E8339B">
        <w:rPr>
          <w:i/>
          <w:sz w:val="20"/>
          <w:szCs w:val="20"/>
        </w:rPr>
        <w:t xml:space="preserve"> v. Workplace Safety and Insurance Appeals Tribunal</w:t>
      </w:r>
      <w:r w:rsidRPr="00C04EA6">
        <w:rPr>
          <w:sz w:val="20"/>
          <w:szCs w:val="20"/>
        </w:rPr>
        <w:t xml:space="preserve"> (Ont.) (Civil) (By Leave)</w:t>
      </w:r>
      <w:r w:rsidRPr="00E8339B">
        <w:rPr>
          <w:sz w:val="20"/>
          <w:szCs w:val="20"/>
        </w:rPr>
        <w:t xml:space="preserve"> </w:t>
      </w:r>
      <w:r w:rsidR="004B7F60" w:rsidRPr="00E8339B">
        <w:rPr>
          <w:sz w:val="20"/>
          <w:szCs w:val="20"/>
        </w:rPr>
        <w:t>(3</w:t>
      </w:r>
      <w:r w:rsidR="00C04EA6" w:rsidRPr="00E8339B">
        <w:rPr>
          <w:sz w:val="20"/>
          <w:szCs w:val="20"/>
        </w:rPr>
        <w:t>5060</w:t>
      </w:r>
      <w:r w:rsidR="004B7F60" w:rsidRPr="00E8339B">
        <w:rPr>
          <w:sz w:val="20"/>
          <w:szCs w:val="20"/>
        </w:rPr>
        <w:t>)</w:t>
      </w:r>
    </w:p>
    <w:p w:rsidR="004B7F60" w:rsidRPr="00E8339B" w:rsidRDefault="004B7F60" w:rsidP="004B7F60">
      <w:pPr>
        <w:widowControl w:val="0"/>
        <w:rPr>
          <w:sz w:val="20"/>
          <w:szCs w:val="20"/>
        </w:rPr>
      </w:pPr>
    </w:p>
    <w:p w:rsidR="004B7F60" w:rsidRPr="00E8339B" w:rsidRDefault="00E8339B" w:rsidP="004B7F60">
      <w:pPr>
        <w:pStyle w:val="ListParagraph"/>
        <w:widowControl w:val="0"/>
        <w:numPr>
          <w:ilvl w:val="0"/>
          <w:numId w:val="1"/>
        </w:numPr>
        <w:ind w:hanging="720"/>
        <w:jc w:val="both"/>
        <w:rPr>
          <w:sz w:val="20"/>
          <w:szCs w:val="20"/>
        </w:rPr>
      </w:pPr>
      <w:proofErr w:type="spellStart"/>
      <w:r w:rsidRPr="00E8339B">
        <w:rPr>
          <w:i/>
          <w:sz w:val="20"/>
          <w:szCs w:val="20"/>
        </w:rPr>
        <w:t>Mirza</w:t>
      </w:r>
      <w:proofErr w:type="spellEnd"/>
      <w:r w:rsidRPr="00E8339B">
        <w:rPr>
          <w:i/>
          <w:sz w:val="20"/>
          <w:szCs w:val="20"/>
        </w:rPr>
        <w:t xml:space="preserve"> </w:t>
      </w:r>
      <w:proofErr w:type="spellStart"/>
      <w:r w:rsidRPr="00E8339B">
        <w:rPr>
          <w:i/>
          <w:sz w:val="20"/>
          <w:szCs w:val="20"/>
        </w:rPr>
        <w:t>Nammo</w:t>
      </w:r>
      <w:proofErr w:type="spellEnd"/>
      <w:r w:rsidRPr="00E8339B">
        <w:rPr>
          <w:i/>
          <w:sz w:val="20"/>
          <w:szCs w:val="20"/>
        </w:rPr>
        <w:t xml:space="preserve"> v. Law Enforcement Review Board</w:t>
      </w:r>
      <w:r w:rsidRPr="00C04EA6">
        <w:rPr>
          <w:sz w:val="20"/>
          <w:szCs w:val="20"/>
        </w:rPr>
        <w:t xml:space="preserve"> (Alta.) (Civil) (By Leave)</w:t>
      </w:r>
      <w:r w:rsidRPr="00E8339B">
        <w:rPr>
          <w:sz w:val="20"/>
          <w:szCs w:val="20"/>
        </w:rPr>
        <w:t xml:space="preserve"> </w:t>
      </w:r>
      <w:r w:rsidR="004B7F60" w:rsidRPr="00E8339B">
        <w:rPr>
          <w:sz w:val="20"/>
          <w:szCs w:val="20"/>
        </w:rPr>
        <w:t>(3</w:t>
      </w:r>
      <w:r w:rsidR="00C04EA6" w:rsidRPr="00E8339B">
        <w:rPr>
          <w:sz w:val="20"/>
          <w:szCs w:val="20"/>
        </w:rPr>
        <w:t>5075</w:t>
      </w:r>
      <w:r w:rsidR="004B7F60" w:rsidRPr="00E8339B">
        <w:rPr>
          <w:sz w:val="20"/>
          <w:szCs w:val="20"/>
        </w:rPr>
        <w:t>)</w:t>
      </w:r>
    </w:p>
    <w:p w:rsidR="004B7F60" w:rsidRPr="00E8339B" w:rsidRDefault="004B7F60" w:rsidP="004B7F60">
      <w:pPr>
        <w:widowControl w:val="0"/>
        <w:jc w:val="both"/>
        <w:rPr>
          <w:sz w:val="20"/>
          <w:szCs w:val="20"/>
        </w:rPr>
      </w:pPr>
    </w:p>
    <w:p w:rsidR="004B7F60" w:rsidRPr="00115C9E" w:rsidRDefault="00E8339B" w:rsidP="004B7F60">
      <w:pPr>
        <w:pStyle w:val="ListParagraph"/>
        <w:widowControl w:val="0"/>
        <w:numPr>
          <w:ilvl w:val="0"/>
          <w:numId w:val="1"/>
        </w:numPr>
        <w:ind w:hanging="720"/>
        <w:jc w:val="both"/>
        <w:rPr>
          <w:sz w:val="20"/>
          <w:szCs w:val="20"/>
        </w:rPr>
      </w:pPr>
      <w:r w:rsidRPr="00E8339B">
        <w:rPr>
          <w:i/>
          <w:sz w:val="20"/>
          <w:szCs w:val="20"/>
        </w:rPr>
        <w:t xml:space="preserve">Eli Lilly Canada Inc. et al. v. </w:t>
      </w:r>
      <w:proofErr w:type="spellStart"/>
      <w:r w:rsidRPr="00E8339B">
        <w:rPr>
          <w:i/>
          <w:sz w:val="20"/>
          <w:szCs w:val="20"/>
        </w:rPr>
        <w:t>Novopharm</w:t>
      </w:r>
      <w:proofErr w:type="spellEnd"/>
      <w:r w:rsidRPr="00E8339B">
        <w:rPr>
          <w:i/>
          <w:sz w:val="20"/>
          <w:szCs w:val="20"/>
        </w:rPr>
        <w:t xml:space="preserve"> Limited</w:t>
      </w:r>
      <w:r w:rsidRPr="00C04EA6">
        <w:rPr>
          <w:sz w:val="20"/>
          <w:szCs w:val="20"/>
        </w:rPr>
        <w:t xml:space="preserve"> (F.C.) (Civil) (By Leave)</w:t>
      </w:r>
      <w:r w:rsidRPr="00115C9E">
        <w:rPr>
          <w:sz w:val="20"/>
          <w:szCs w:val="20"/>
        </w:rPr>
        <w:t xml:space="preserve"> </w:t>
      </w:r>
      <w:r w:rsidR="004B7F60" w:rsidRPr="00115C9E">
        <w:rPr>
          <w:sz w:val="20"/>
          <w:szCs w:val="20"/>
        </w:rPr>
        <w:t>(3</w:t>
      </w:r>
      <w:r w:rsidR="00C04EA6">
        <w:rPr>
          <w:sz w:val="20"/>
          <w:szCs w:val="20"/>
        </w:rPr>
        <w:t>5</w:t>
      </w:r>
      <w:r w:rsidR="004B7F60" w:rsidRPr="00115C9E">
        <w:rPr>
          <w:sz w:val="20"/>
          <w:szCs w:val="20"/>
        </w:rPr>
        <w:t>0</w:t>
      </w:r>
      <w:r w:rsidR="00C04EA6">
        <w:rPr>
          <w:sz w:val="20"/>
          <w:szCs w:val="20"/>
        </w:rPr>
        <w:t>67</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E8339B" w:rsidP="004B7F60">
      <w:pPr>
        <w:pStyle w:val="ListParagraph"/>
        <w:widowControl w:val="0"/>
        <w:numPr>
          <w:ilvl w:val="0"/>
          <w:numId w:val="1"/>
        </w:numPr>
        <w:ind w:hanging="720"/>
        <w:jc w:val="both"/>
        <w:rPr>
          <w:sz w:val="20"/>
          <w:szCs w:val="20"/>
        </w:rPr>
      </w:pPr>
      <w:r w:rsidRPr="00E8339B">
        <w:rPr>
          <w:i/>
          <w:sz w:val="20"/>
          <w:szCs w:val="20"/>
        </w:rPr>
        <w:t>College of Physical Therapists of Alberta v. Marilyn Fitzpatrick</w:t>
      </w:r>
      <w:r w:rsidRPr="00C04EA6">
        <w:rPr>
          <w:sz w:val="20"/>
          <w:szCs w:val="20"/>
        </w:rPr>
        <w:t xml:space="preserve"> (Alta.) (Civil) (By Leave)</w:t>
      </w:r>
      <w:r w:rsidRPr="00115C9E">
        <w:rPr>
          <w:sz w:val="20"/>
          <w:szCs w:val="20"/>
        </w:rPr>
        <w:t xml:space="preserve"> </w:t>
      </w:r>
      <w:r w:rsidR="004B7F60" w:rsidRPr="00115C9E">
        <w:rPr>
          <w:sz w:val="20"/>
          <w:szCs w:val="20"/>
        </w:rPr>
        <w:t>(34</w:t>
      </w:r>
      <w:r w:rsidR="00C04EA6">
        <w:rPr>
          <w:sz w:val="20"/>
          <w:szCs w:val="20"/>
        </w:rPr>
        <w:t>99</w:t>
      </w:r>
      <w:r w:rsidR="004B7F60" w:rsidRPr="00115C9E">
        <w:rPr>
          <w:sz w:val="20"/>
          <w:szCs w:val="20"/>
        </w:rPr>
        <w:t>3)</w:t>
      </w:r>
    </w:p>
    <w:p w:rsidR="002E2327" w:rsidRPr="001B157C" w:rsidRDefault="002E2327" w:rsidP="002E2327">
      <w:pPr>
        <w:widowControl w:val="0"/>
        <w:rPr>
          <w:sz w:val="20"/>
          <w:szCs w:val="20"/>
        </w:rPr>
      </w:pPr>
    </w:p>
    <w:p w:rsidR="002E2327" w:rsidRPr="00C50A5C" w:rsidRDefault="00F008AC" w:rsidP="002E2327">
      <w:pPr>
        <w:widowControl w:val="0"/>
        <w:rPr>
          <w:sz w:val="20"/>
          <w:szCs w:val="20"/>
        </w:rPr>
      </w:pPr>
      <w:r w:rsidRPr="00F008AC">
        <w:rPr>
          <w:sz w:val="20"/>
          <w:szCs w:val="20"/>
        </w:rPr>
        <w:pict>
          <v:rect id="_x0000_i104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954A4" w:rsidRPr="00E75664" w:rsidRDefault="009954A4" w:rsidP="009954A4">
      <w:pPr>
        <w:tabs>
          <w:tab w:val="left" w:pos="-1440"/>
          <w:tab w:val="left" w:pos="-720"/>
        </w:tabs>
        <w:jc w:val="both"/>
        <w:rPr>
          <w:sz w:val="20"/>
          <w:szCs w:val="20"/>
          <w:lang w:val="fr-CA"/>
        </w:rPr>
      </w:pPr>
      <w:r w:rsidRPr="00E75664">
        <w:rPr>
          <w:sz w:val="20"/>
          <w:szCs w:val="20"/>
          <w:lang w:val="fr-CA"/>
        </w:rPr>
        <w:t>18.01.2013</w: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jc w:val="both"/>
        <w:rPr>
          <w:sz w:val="20"/>
          <w:szCs w:val="20"/>
          <w:lang w:val="fr-CA"/>
        </w:rPr>
      </w:pPr>
      <w:proofErr w:type="spellStart"/>
      <w:r w:rsidRPr="00E75664">
        <w:rPr>
          <w:sz w:val="20"/>
          <w:szCs w:val="20"/>
          <w:lang w:val="fr-CA"/>
        </w:rPr>
        <w:t>Before</w:t>
      </w:r>
      <w:proofErr w:type="spellEnd"/>
      <w:r w:rsidRPr="00E75664">
        <w:rPr>
          <w:sz w:val="20"/>
          <w:szCs w:val="20"/>
          <w:lang w:val="fr-CA"/>
        </w:rPr>
        <w:t xml:space="preserve"> / Devant:   FISH J. / LE JUGE FISH</w:t>
      </w:r>
    </w:p>
    <w:p w:rsidR="009954A4" w:rsidRPr="00E75664" w:rsidRDefault="009954A4" w:rsidP="009954A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9954A4" w:rsidRPr="00E75664" w:rsidTr="00CA2CE2">
        <w:tc>
          <w:tcPr>
            <w:tcW w:w="4338" w:type="dxa"/>
            <w:gridSpan w:val="2"/>
          </w:tcPr>
          <w:p w:rsidR="009954A4" w:rsidRPr="00E75664" w:rsidRDefault="009954A4" w:rsidP="00CA2CE2">
            <w:pPr>
              <w:rPr>
                <w:b/>
                <w:sz w:val="20"/>
                <w:szCs w:val="20"/>
              </w:rPr>
            </w:pPr>
            <w:r w:rsidRPr="00E75664">
              <w:rPr>
                <w:b/>
                <w:sz w:val="20"/>
                <w:szCs w:val="20"/>
              </w:rPr>
              <w:t>Motions for leave to intervene</w:t>
            </w:r>
            <w:r w:rsidRPr="00E75664">
              <w:rPr>
                <w:sz w:val="20"/>
                <w:szCs w:val="20"/>
              </w:rPr>
              <w:t xml:space="preserve"> </w:t>
            </w:r>
            <w:r w:rsidR="00F008AC" w:rsidRPr="00E75664">
              <w:rPr>
                <w:sz w:val="20"/>
                <w:szCs w:val="20"/>
              </w:rPr>
              <w:fldChar w:fldCharType="begin"/>
            </w:r>
            <w:r w:rsidRPr="00E75664">
              <w:rPr>
                <w:sz w:val="20"/>
                <w:szCs w:val="20"/>
              </w:rPr>
              <w:instrText xml:space="preserve"> SEQ CHAPTER \h \r 1</w:instrText>
            </w:r>
            <w:r w:rsidR="00F008AC" w:rsidRPr="00E75664">
              <w:rPr>
                <w:sz w:val="20"/>
                <w:szCs w:val="20"/>
              </w:rPr>
              <w:fldChar w:fldCharType="end"/>
            </w:r>
          </w:p>
        </w:tc>
        <w:tc>
          <w:tcPr>
            <w:tcW w:w="1170" w:type="dxa"/>
          </w:tcPr>
          <w:p w:rsidR="009954A4" w:rsidRPr="00E75664" w:rsidRDefault="009954A4" w:rsidP="00CA2CE2">
            <w:pPr>
              <w:rPr>
                <w:sz w:val="20"/>
                <w:szCs w:val="20"/>
              </w:rPr>
            </w:pPr>
          </w:p>
          <w:p w:rsidR="009954A4" w:rsidRPr="00E75664" w:rsidRDefault="009954A4" w:rsidP="00CA2CE2">
            <w:pPr>
              <w:rPr>
                <w:sz w:val="20"/>
                <w:szCs w:val="20"/>
              </w:rPr>
            </w:pPr>
          </w:p>
        </w:tc>
        <w:tc>
          <w:tcPr>
            <w:tcW w:w="4327" w:type="dxa"/>
          </w:tcPr>
          <w:p w:rsidR="009954A4" w:rsidRPr="00E75664" w:rsidRDefault="009954A4" w:rsidP="00CA2CE2">
            <w:pPr>
              <w:rPr>
                <w:b/>
                <w:sz w:val="20"/>
                <w:szCs w:val="20"/>
              </w:rPr>
            </w:pPr>
            <w:r w:rsidRPr="00E75664">
              <w:rPr>
                <w:b/>
                <w:bCs/>
                <w:sz w:val="20"/>
                <w:szCs w:val="20"/>
                <w:lang w:val="fr-CA"/>
              </w:rPr>
              <w:t>Requêtes en autorisation d’intervenir</w:t>
            </w:r>
            <w:r w:rsidRPr="00E75664">
              <w:rPr>
                <w:sz w:val="20"/>
                <w:szCs w:val="20"/>
              </w:rPr>
              <w:t xml:space="preserve"> </w:t>
            </w:r>
            <w:r w:rsidR="00F008AC" w:rsidRPr="00E75664">
              <w:rPr>
                <w:sz w:val="20"/>
                <w:szCs w:val="20"/>
              </w:rPr>
              <w:fldChar w:fldCharType="begin"/>
            </w:r>
            <w:r w:rsidRPr="00E75664">
              <w:rPr>
                <w:sz w:val="20"/>
                <w:szCs w:val="20"/>
              </w:rPr>
              <w:instrText xml:space="preserve"> SEQ CHAPTER \h \r 1</w:instrText>
            </w:r>
            <w:r w:rsidR="00F008AC" w:rsidRPr="00E75664">
              <w:rPr>
                <w:sz w:val="20"/>
                <w:szCs w:val="20"/>
              </w:rPr>
              <w:fldChar w:fldCharType="end"/>
            </w:r>
          </w:p>
        </w:tc>
      </w:tr>
      <w:tr w:rsidR="009954A4" w:rsidRPr="00E75664" w:rsidTr="00CA2CE2">
        <w:tc>
          <w:tcPr>
            <w:tcW w:w="1458" w:type="dxa"/>
          </w:tcPr>
          <w:p w:rsidR="009954A4" w:rsidRPr="00E75664" w:rsidRDefault="009954A4" w:rsidP="00CA2CE2">
            <w:pPr>
              <w:rPr>
                <w:sz w:val="20"/>
                <w:szCs w:val="20"/>
              </w:rPr>
            </w:pPr>
            <w:r w:rsidRPr="00E75664">
              <w:rPr>
                <w:sz w:val="20"/>
                <w:szCs w:val="20"/>
              </w:rPr>
              <w:t>BY / PAR</w:t>
            </w:r>
          </w:p>
        </w:tc>
        <w:tc>
          <w:tcPr>
            <w:tcW w:w="2880" w:type="dxa"/>
          </w:tcPr>
          <w:p w:rsidR="009954A4" w:rsidRPr="00E75664" w:rsidRDefault="009954A4" w:rsidP="00CA2CE2">
            <w:pPr>
              <w:rPr>
                <w:sz w:val="20"/>
                <w:szCs w:val="20"/>
              </w:rPr>
            </w:pPr>
            <w:r w:rsidRPr="00E75664">
              <w:rPr>
                <w:sz w:val="20"/>
                <w:szCs w:val="20"/>
              </w:rPr>
              <w:t>Ontario Trial Lawyers Association;</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458" w:type="dxa"/>
          </w:tcPr>
          <w:p w:rsidR="009954A4" w:rsidRPr="00E75664" w:rsidRDefault="009954A4" w:rsidP="00CA2CE2">
            <w:pPr>
              <w:rPr>
                <w:sz w:val="20"/>
                <w:szCs w:val="20"/>
              </w:rPr>
            </w:pPr>
          </w:p>
        </w:tc>
        <w:tc>
          <w:tcPr>
            <w:tcW w:w="2880" w:type="dxa"/>
          </w:tcPr>
          <w:p w:rsidR="009954A4" w:rsidRPr="00E75664" w:rsidRDefault="009954A4" w:rsidP="00CA2CE2">
            <w:pPr>
              <w:rPr>
                <w:sz w:val="20"/>
                <w:szCs w:val="20"/>
              </w:rPr>
            </w:pPr>
            <w:r w:rsidRPr="00E75664">
              <w:rPr>
                <w:sz w:val="20"/>
                <w:szCs w:val="20"/>
              </w:rPr>
              <w:t>Canadian Bar Association;</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458" w:type="dxa"/>
          </w:tcPr>
          <w:p w:rsidR="009954A4" w:rsidRPr="00E75664" w:rsidRDefault="009954A4" w:rsidP="00CA2CE2">
            <w:pPr>
              <w:rPr>
                <w:sz w:val="20"/>
                <w:szCs w:val="20"/>
              </w:rPr>
            </w:pPr>
          </w:p>
        </w:tc>
        <w:tc>
          <w:tcPr>
            <w:tcW w:w="2880" w:type="dxa"/>
          </w:tcPr>
          <w:p w:rsidR="009954A4" w:rsidRPr="00E75664" w:rsidRDefault="009954A4" w:rsidP="00CA2CE2">
            <w:pPr>
              <w:rPr>
                <w:sz w:val="20"/>
                <w:szCs w:val="20"/>
              </w:rPr>
            </w:pPr>
            <w:r w:rsidRPr="00E75664">
              <w:rPr>
                <w:sz w:val="20"/>
                <w:szCs w:val="20"/>
              </w:rPr>
              <w:t>Attorney General of Ontario;</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458" w:type="dxa"/>
          </w:tcPr>
          <w:p w:rsidR="009954A4" w:rsidRPr="00E75664" w:rsidRDefault="009954A4" w:rsidP="00CA2CE2">
            <w:pPr>
              <w:rPr>
                <w:sz w:val="20"/>
                <w:szCs w:val="20"/>
              </w:rPr>
            </w:pPr>
          </w:p>
        </w:tc>
        <w:tc>
          <w:tcPr>
            <w:tcW w:w="2880" w:type="dxa"/>
          </w:tcPr>
          <w:p w:rsidR="009954A4" w:rsidRPr="00E75664" w:rsidRDefault="009954A4" w:rsidP="00CA2CE2">
            <w:pPr>
              <w:rPr>
                <w:sz w:val="20"/>
                <w:szCs w:val="20"/>
              </w:rPr>
            </w:pPr>
            <w:r w:rsidRPr="00E75664">
              <w:rPr>
                <w:sz w:val="20"/>
                <w:szCs w:val="20"/>
              </w:rPr>
              <w:t>Advocates' Society</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458" w:type="dxa"/>
          </w:tcPr>
          <w:p w:rsidR="009954A4" w:rsidRPr="00E75664" w:rsidRDefault="009954A4" w:rsidP="00CA2CE2">
            <w:pPr>
              <w:rPr>
                <w:sz w:val="20"/>
                <w:szCs w:val="20"/>
              </w:rPr>
            </w:pPr>
          </w:p>
        </w:tc>
        <w:tc>
          <w:tcPr>
            <w:tcW w:w="2880" w:type="dxa"/>
          </w:tcPr>
          <w:p w:rsidR="009954A4" w:rsidRPr="00E75664" w:rsidRDefault="009954A4" w:rsidP="00CA2CE2">
            <w:pPr>
              <w:rPr>
                <w:sz w:val="20"/>
                <w:szCs w:val="20"/>
              </w:rPr>
            </w:pP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483800" w:rsidTr="00CA2CE2">
        <w:tc>
          <w:tcPr>
            <w:tcW w:w="1458" w:type="dxa"/>
          </w:tcPr>
          <w:p w:rsidR="009954A4" w:rsidRPr="00E75664" w:rsidRDefault="009954A4" w:rsidP="00CA2CE2">
            <w:pPr>
              <w:rPr>
                <w:sz w:val="20"/>
                <w:szCs w:val="20"/>
              </w:rPr>
            </w:pPr>
            <w:r w:rsidRPr="00E75664">
              <w:rPr>
                <w:sz w:val="20"/>
                <w:szCs w:val="20"/>
              </w:rPr>
              <w:t>IN / DANS :</w:t>
            </w:r>
          </w:p>
        </w:tc>
        <w:tc>
          <w:tcPr>
            <w:tcW w:w="2880" w:type="dxa"/>
          </w:tcPr>
          <w:p w:rsidR="009954A4" w:rsidRPr="00E75664" w:rsidRDefault="009954A4" w:rsidP="00CA2CE2">
            <w:pPr>
              <w:rPr>
                <w:sz w:val="20"/>
                <w:szCs w:val="20"/>
                <w:lang w:val="fr-CA"/>
              </w:rPr>
            </w:pPr>
            <w:r w:rsidRPr="00E75664">
              <w:rPr>
                <w:sz w:val="20"/>
                <w:szCs w:val="20"/>
                <w:lang w:val="fr-CA"/>
              </w:rPr>
              <w:t xml:space="preserve">Robert </w:t>
            </w:r>
            <w:proofErr w:type="spellStart"/>
            <w:r w:rsidRPr="00E75664">
              <w:rPr>
                <w:sz w:val="20"/>
                <w:szCs w:val="20"/>
                <w:lang w:val="fr-CA"/>
              </w:rPr>
              <w:t>Hryniak</w:t>
            </w:r>
            <w:proofErr w:type="spellEnd"/>
            <w:r w:rsidRPr="00E75664">
              <w:rPr>
                <w:sz w:val="20"/>
                <w:szCs w:val="20"/>
                <w:lang w:val="fr-CA"/>
              </w:rPr>
              <w:t xml:space="preserve"> </w:t>
            </w:r>
          </w:p>
          <w:p w:rsidR="009954A4" w:rsidRPr="00E75664" w:rsidRDefault="009954A4" w:rsidP="00CA2CE2">
            <w:pPr>
              <w:rPr>
                <w:sz w:val="20"/>
                <w:szCs w:val="20"/>
                <w:lang w:val="fr-CA"/>
              </w:rPr>
            </w:pPr>
          </w:p>
          <w:p w:rsidR="009954A4" w:rsidRPr="00E75664" w:rsidRDefault="009954A4" w:rsidP="00CA2CE2">
            <w:pPr>
              <w:rPr>
                <w:sz w:val="20"/>
                <w:szCs w:val="20"/>
                <w:lang w:val="fr-CA"/>
              </w:rPr>
            </w:pPr>
            <w:r w:rsidRPr="00E75664">
              <w:rPr>
                <w:sz w:val="20"/>
                <w:szCs w:val="20"/>
                <w:lang w:val="fr-CA"/>
              </w:rPr>
              <w:tab/>
              <w:t>v. (34641)</w:t>
            </w:r>
          </w:p>
          <w:p w:rsidR="009954A4" w:rsidRPr="00E75664" w:rsidRDefault="009954A4" w:rsidP="00CA2CE2">
            <w:pPr>
              <w:rPr>
                <w:sz w:val="20"/>
                <w:szCs w:val="20"/>
                <w:lang w:val="fr-CA"/>
              </w:rPr>
            </w:pPr>
          </w:p>
          <w:p w:rsidR="009954A4" w:rsidRPr="00E75664" w:rsidRDefault="009954A4" w:rsidP="00CA2CE2">
            <w:pPr>
              <w:rPr>
                <w:sz w:val="20"/>
                <w:szCs w:val="20"/>
                <w:lang w:val="fr-CA"/>
              </w:rPr>
            </w:pPr>
            <w:r w:rsidRPr="00E75664">
              <w:rPr>
                <w:sz w:val="20"/>
                <w:szCs w:val="20"/>
                <w:lang w:val="fr-CA"/>
              </w:rPr>
              <w:t xml:space="preserve">Fred </w:t>
            </w:r>
            <w:proofErr w:type="spellStart"/>
            <w:r w:rsidRPr="00E75664">
              <w:rPr>
                <w:sz w:val="20"/>
                <w:szCs w:val="20"/>
                <w:lang w:val="fr-CA"/>
              </w:rPr>
              <w:t>Mauldin</w:t>
            </w:r>
            <w:proofErr w:type="spellEnd"/>
            <w:r w:rsidRPr="00E75664">
              <w:rPr>
                <w:sz w:val="20"/>
                <w:szCs w:val="20"/>
                <w:lang w:val="fr-CA"/>
              </w:rPr>
              <w:t xml:space="preserve"> et al (Ont.)</w:t>
            </w:r>
          </w:p>
          <w:p w:rsidR="009954A4" w:rsidRPr="00E75664" w:rsidRDefault="009954A4" w:rsidP="00CA2CE2">
            <w:pPr>
              <w:rPr>
                <w:sz w:val="20"/>
                <w:szCs w:val="20"/>
                <w:lang w:val="fr-CA"/>
              </w:rPr>
            </w:pPr>
          </w:p>
        </w:tc>
        <w:tc>
          <w:tcPr>
            <w:tcW w:w="1170" w:type="dxa"/>
          </w:tcPr>
          <w:p w:rsidR="009954A4" w:rsidRPr="00E75664" w:rsidRDefault="009954A4" w:rsidP="00CA2CE2">
            <w:pPr>
              <w:rPr>
                <w:sz w:val="20"/>
                <w:szCs w:val="20"/>
                <w:lang w:val="fr-CA"/>
              </w:rPr>
            </w:pPr>
          </w:p>
        </w:tc>
        <w:tc>
          <w:tcPr>
            <w:tcW w:w="4327" w:type="dxa"/>
          </w:tcPr>
          <w:p w:rsidR="009954A4" w:rsidRPr="00E75664" w:rsidRDefault="009954A4" w:rsidP="00CA2CE2">
            <w:pPr>
              <w:rPr>
                <w:sz w:val="20"/>
                <w:szCs w:val="20"/>
                <w:lang w:val="fr-CA"/>
              </w:rPr>
            </w:pPr>
          </w:p>
        </w:tc>
      </w:tr>
      <w:tr w:rsidR="009954A4" w:rsidRPr="00E75664" w:rsidTr="00CA2CE2">
        <w:tc>
          <w:tcPr>
            <w:tcW w:w="1458" w:type="dxa"/>
          </w:tcPr>
          <w:p w:rsidR="009954A4" w:rsidRPr="00E75664" w:rsidRDefault="009954A4" w:rsidP="00CA2CE2">
            <w:pPr>
              <w:rPr>
                <w:sz w:val="20"/>
                <w:szCs w:val="20"/>
              </w:rPr>
            </w:pPr>
            <w:r w:rsidRPr="00E75664">
              <w:rPr>
                <w:sz w:val="20"/>
                <w:szCs w:val="20"/>
              </w:rPr>
              <w:t>- and between -</w:t>
            </w:r>
          </w:p>
          <w:p w:rsidR="009954A4" w:rsidRPr="00E75664" w:rsidRDefault="009954A4" w:rsidP="00CA2CE2">
            <w:pPr>
              <w:rPr>
                <w:sz w:val="20"/>
                <w:szCs w:val="20"/>
              </w:rPr>
            </w:pPr>
          </w:p>
        </w:tc>
        <w:tc>
          <w:tcPr>
            <w:tcW w:w="2880" w:type="dxa"/>
          </w:tcPr>
          <w:p w:rsidR="009954A4" w:rsidRPr="00E75664" w:rsidRDefault="009954A4" w:rsidP="00CA2CE2">
            <w:pPr>
              <w:jc w:val="both"/>
              <w:rPr>
                <w:sz w:val="20"/>
                <w:szCs w:val="20"/>
              </w:rPr>
            </w:pP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458" w:type="dxa"/>
          </w:tcPr>
          <w:p w:rsidR="009954A4" w:rsidRPr="00E75664" w:rsidRDefault="009954A4" w:rsidP="00CA2CE2">
            <w:pPr>
              <w:rPr>
                <w:sz w:val="20"/>
                <w:szCs w:val="20"/>
              </w:rPr>
            </w:pPr>
          </w:p>
        </w:tc>
        <w:tc>
          <w:tcPr>
            <w:tcW w:w="2880" w:type="dxa"/>
          </w:tcPr>
          <w:p w:rsidR="009954A4" w:rsidRPr="00E75664" w:rsidRDefault="009954A4" w:rsidP="00CA2CE2">
            <w:pPr>
              <w:rPr>
                <w:sz w:val="20"/>
                <w:szCs w:val="20"/>
              </w:rPr>
            </w:pPr>
            <w:r w:rsidRPr="00E75664">
              <w:rPr>
                <w:sz w:val="20"/>
                <w:szCs w:val="20"/>
              </w:rPr>
              <w:t>Bruno Appliance and Furniture Inc.</w:t>
            </w:r>
          </w:p>
          <w:p w:rsidR="009954A4" w:rsidRPr="00E75664" w:rsidRDefault="009954A4" w:rsidP="00CA2CE2">
            <w:pPr>
              <w:jc w:val="both"/>
              <w:rPr>
                <w:sz w:val="20"/>
                <w:szCs w:val="20"/>
              </w:rPr>
            </w:pPr>
          </w:p>
          <w:p w:rsidR="009954A4" w:rsidRPr="00E75664" w:rsidRDefault="009954A4" w:rsidP="00CA2CE2">
            <w:pPr>
              <w:jc w:val="both"/>
              <w:rPr>
                <w:sz w:val="20"/>
                <w:szCs w:val="20"/>
                <w:lang w:val="fr-CA"/>
              </w:rPr>
            </w:pPr>
            <w:r w:rsidRPr="00E75664">
              <w:rPr>
                <w:sz w:val="20"/>
                <w:szCs w:val="20"/>
              </w:rPr>
              <w:tab/>
            </w:r>
            <w:r w:rsidRPr="00E75664">
              <w:rPr>
                <w:sz w:val="20"/>
                <w:szCs w:val="20"/>
                <w:lang w:val="fr-CA"/>
              </w:rPr>
              <w:t>v. (34645)</w:t>
            </w:r>
          </w:p>
          <w:p w:rsidR="009954A4" w:rsidRPr="00E75664" w:rsidRDefault="009954A4" w:rsidP="00CA2CE2">
            <w:pPr>
              <w:jc w:val="both"/>
              <w:rPr>
                <w:sz w:val="20"/>
                <w:szCs w:val="20"/>
                <w:lang w:val="fr-CA"/>
              </w:rPr>
            </w:pPr>
          </w:p>
          <w:p w:rsidR="009954A4" w:rsidRPr="00E75664" w:rsidRDefault="009954A4" w:rsidP="00CA2CE2">
            <w:pPr>
              <w:jc w:val="both"/>
              <w:rPr>
                <w:sz w:val="20"/>
                <w:szCs w:val="20"/>
              </w:rPr>
            </w:pPr>
            <w:r w:rsidRPr="00E75664">
              <w:rPr>
                <w:sz w:val="20"/>
                <w:szCs w:val="20"/>
                <w:lang w:val="fr-CA"/>
              </w:rPr>
              <w:t xml:space="preserve">Robert </w:t>
            </w:r>
            <w:proofErr w:type="spellStart"/>
            <w:r w:rsidRPr="00E75664">
              <w:rPr>
                <w:sz w:val="20"/>
                <w:szCs w:val="20"/>
                <w:lang w:val="fr-CA"/>
              </w:rPr>
              <w:t>Hryniak</w:t>
            </w:r>
            <w:proofErr w:type="spellEnd"/>
            <w:r w:rsidRPr="00E75664">
              <w:rPr>
                <w:sz w:val="20"/>
                <w:szCs w:val="20"/>
                <w:lang w:val="fr-CA"/>
              </w:rPr>
              <w:t xml:space="preserve"> </w:t>
            </w:r>
            <w:r w:rsidRPr="00E75664">
              <w:rPr>
                <w:sz w:val="20"/>
                <w:szCs w:val="20"/>
              </w:rPr>
              <w:t>(Ont.)</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bl>
    <w:p w:rsidR="009954A4" w:rsidRPr="00E75664" w:rsidRDefault="009954A4" w:rsidP="009954A4">
      <w:pPr>
        <w:jc w:val="both"/>
        <w:rPr>
          <w:sz w:val="20"/>
          <w:szCs w:val="20"/>
        </w:rPr>
      </w:pPr>
    </w:p>
    <w:p w:rsidR="009954A4" w:rsidRPr="00E75664" w:rsidRDefault="009954A4" w:rsidP="009954A4">
      <w:pPr>
        <w:tabs>
          <w:tab w:val="left" w:pos="-1440"/>
          <w:tab w:val="left" w:pos="-720"/>
        </w:tabs>
        <w:jc w:val="both"/>
        <w:rPr>
          <w:sz w:val="20"/>
          <w:szCs w:val="20"/>
        </w:rPr>
      </w:pPr>
      <w:r w:rsidRPr="00E75664">
        <w:rPr>
          <w:b/>
          <w:sz w:val="20"/>
          <w:szCs w:val="20"/>
        </w:rPr>
        <w:t>GRANTED / ACCORDÉES</w: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spacing w:line="233" w:lineRule="auto"/>
        <w:jc w:val="both"/>
        <w:rPr>
          <w:sz w:val="20"/>
          <w:szCs w:val="20"/>
        </w:rPr>
      </w:pPr>
      <w:r w:rsidRPr="00E75664">
        <w:rPr>
          <w:b/>
          <w:bCs/>
          <w:sz w:val="20"/>
          <w:szCs w:val="20"/>
        </w:rPr>
        <w:t xml:space="preserve">UPON APPLICATIONS </w:t>
      </w:r>
      <w:r w:rsidRPr="00E75664">
        <w:rPr>
          <w:sz w:val="20"/>
          <w:szCs w:val="20"/>
        </w:rPr>
        <w:t>by the Ontario Trial Lawyers Association and the Canadian Bar Association for leave to intervene in the above appeals;</w:t>
      </w:r>
    </w:p>
    <w:p w:rsidR="009954A4" w:rsidRPr="00E75664" w:rsidRDefault="009954A4" w:rsidP="009954A4">
      <w:pPr>
        <w:spacing w:line="233" w:lineRule="auto"/>
        <w:jc w:val="both"/>
        <w:rPr>
          <w:sz w:val="20"/>
          <w:szCs w:val="20"/>
        </w:rPr>
      </w:pPr>
    </w:p>
    <w:p w:rsidR="009954A4" w:rsidRPr="00E75664" w:rsidRDefault="009954A4" w:rsidP="009954A4">
      <w:pPr>
        <w:spacing w:line="230" w:lineRule="auto"/>
        <w:jc w:val="both"/>
        <w:rPr>
          <w:i/>
          <w:sz w:val="20"/>
          <w:szCs w:val="20"/>
        </w:rPr>
      </w:pPr>
      <w:r w:rsidRPr="00E75664">
        <w:rPr>
          <w:b/>
          <w:sz w:val="20"/>
          <w:szCs w:val="20"/>
        </w:rPr>
        <w:t>AND</w:t>
      </w:r>
      <w:r w:rsidRPr="00E75664">
        <w:rPr>
          <w:sz w:val="20"/>
          <w:szCs w:val="20"/>
        </w:rPr>
        <w:t xml:space="preserve"> </w:t>
      </w:r>
      <w:r w:rsidRPr="00E75664">
        <w:rPr>
          <w:b/>
          <w:bCs/>
          <w:sz w:val="20"/>
          <w:szCs w:val="20"/>
        </w:rPr>
        <w:t xml:space="preserve">UPON APPLICATIONS </w:t>
      </w:r>
      <w:r w:rsidRPr="00E75664">
        <w:rPr>
          <w:sz w:val="20"/>
          <w:szCs w:val="20"/>
        </w:rPr>
        <w:t xml:space="preserve">by the Attorney General of Ontario and the Advocates' Society for leave to intervene in the appeal of </w:t>
      </w:r>
      <w:r w:rsidRPr="00E75664">
        <w:rPr>
          <w:i/>
          <w:sz w:val="20"/>
          <w:szCs w:val="20"/>
        </w:rPr>
        <w:t xml:space="preserve">Bruno Appliance and Furniture, Inc. v. Robert </w:t>
      </w:r>
      <w:proofErr w:type="spellStart"/>
      <w:r w:rsidRPr="00E75664">
        <w:rPr>
          <w:i/>
          <w:sz w:val="20"/>
          <w:szCs w:val="20"/>
        </w:rPr>
        <w:t>Hryniak</w:t>
      </w:r>
      <w:proofErr w:type="spellEnd"/>
      <w:r w:rsidRPr="00E75664">
        <w:rPr>
          <w:i/>
          <w:sz w:val="20"/>
          <w:szCs w:val="20"/>
        </w:rPr>
        <w:t xml:space="preserve"> </w:t>
      </w:r>
      <w:r w:rsidRPr="00E75664">
        <w:rPr>
          <w:sz w:val="20"/>
          <w:szCs w:val="20"/>
        </w:rPr>
        <w:t>(34645);</w:t>
      </w:r>
    </w:p>
    <w:p w:rsidR="009954A4" w:rsidRPr="00E75664" w:rsidRDefault="009954A4" w:rsidP="009954A4">
      <w:pPr>
        <w:spacing w:line="233" w:lineRule="auto"/>
        <w:jc w:val="both"/>
        <w:rPr>
          <w:b/>
          <w:bCs/>
          <w:sz w:val="20"/>
          <w:szCs w:val="20"/>
        </w:rPr>
      </w:pPr>
    </w:p>
    <w:p w:rsidR="009954A4" w:rsidRPr="00E75664" w:rsidRDefault="009954A4" w:rsidP="009954A4">
      <w:pPr>
        <w:spacing w:line="233" w:lineRule="auto"/>
        <w:jc w:val="both"/>
        <w:rPr>
          <w:sz w:val="20"/>
          <w:szCs w:val="20"/>
        </w:rPr>
      </w:pPr>
      <w:r w:rsidRPr="00E75664">
        <w:rPr>
          <w:b/>
          <w:bCs/>
          <w:sz w:val="20"/>
          <w:szCs w:val="20"/>
        </w:rPr>
        <w:t>AND THE MATERIAL FILED</w:t>
      </w:r>
      <w:r w:rsidRPr="00E75664">
        <w:rPr>
          <w:sz w:val="20"/>
          <w:szCs w:val="20"/>
        </w:rPr>
        <w:t xml:space="preserve"> having been read;</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b/>
          <w:bCs/>
          <w:sz w:val="20"/>
          <w:szCs w:val="20"/>
        </w:rPr>
        <w:t>IT IS HEREBY ORDERED THAT:</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The motions for leave to intervene of the Ontario Trial Lawyers Association and the Canadian Bar Association are granted and the said interveners shall be entitled to serve and file a single factum not to exceed 10 pages in length in these appeals on or before March 12, 2013.</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 xml:space="preserve">The motions for leave to intervene of Attorney General of Ontario and the Advocates' Society are granted and the said interveners shall be entitled to serve and file a factum not to exceed 10 pages in length in the appeal of </w:t>
      </w:r>
      <w:r w:rsidRPr="00E75664">
        <w:rPr>
          <w:i/>
          <w:sz w:val="20"/>
          <w:szCs w:val="20"/>
        </w:rPr>
        <w:t xml:space="preserve">Bruno Appliance and Furniture, Inc. v. Robert </w:t>
      </w:r>
      <w:proofErr w:type="spellStart"/>
      <w:r w:rsidRPr="00E75664">
        <w:rPr>
          <w:i/>
          <w:sz w:val="20"/>
          <w:szCs w:val="20"/>
        </w:rPr>
        <w:t>Hryniak</w:t>
      </w:r>
      <w:proofErr w:type="spellEnd"/>
      <w:r w:rsidRPr="00E75664">
        <w:rPr>
          <w:i/>
          <w:sz w:val="20"/>
          <w:szCs w:val="20"/>
        </w:rPr>
        <w:t xml:space="preserve"> </w:t>
      </w:r>
      <w:r w:rsidRPr="00E75664">
        <w:rPr>
          <w:sz w:val="20"/>
          <w:szCs w:val="20"/>
        </w:rPr>
        <w:t>(34645) on or before March 12, 2013.</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The requests to present oral argument are deferred to a date following receipt and consideration of the written arguments of the parties and the interveners.</w:t>
      </w:r>
    </w:p>
    <w:p w:rsidR="009954A4" w:rsidRPr="00E75664" w:rsidRDefault="009954A4" w:rsidP="009954A4">
      <w:pPr>
        <w:spacing w:line="233" w:lineRule="auto"/>
        <w:jc w:val="both"/>
        <w:rPr>
          <w:sz w:val="20"/>
          <w:szCs w:val="20"/>
        </w:rPr>
      </w:pPr>
    </w:p>
    <w:p w:rsidR="009954A4" w:rsidRDefault="00F008AC" w:rsidP="009954A4">
      <w:pPr>
        <w:spacing w:line="233" w:lineRule="auto"/>
        <w:jc w:val="both"/>
        <w:rPr>
          <w:bCs/>
          <w:sz w:val="20"/>
          <w:szCs w:val="20"/>
        </w:rPr>
      </w:pPr>
      <w:r w:rsidRPr="00E75664">
        <w:rPr>
          <w:sz w:val="20"/>
          <w:szCs w:val="20"/>
        </w:rPr>
        <w:fldChar w:fldCharType="begin"/>
      </w:r>
      <w:r w:rsidR="009954A4" w:rsidRPr="00E75664">
        <w:rPr>
          <w:sz w:val="20"/>
          <w:szCs w:val="20"/>
        </w:rPr>
        <w:instrText xml:space="preserve"> SEQ CHAPTER \h \r 1</w:instrText>
      </w:r>
      <w:r w:rsidRPr="00E75664">
        <w:rPr>
          <w:sz w:val="20"/>
          <w:szCs w:val="20"/>
        </w:rPr>
        <w:fldChar w:fldCharType="end"/>
      </w:r>
      <w:r w:rsidR="009954A4" w:rsidRPr="00E75664">
        <w:rPr>
          <w:bCs/>
          <w:sz w:val="20"/>
          <w:szCs w:val="20"/>
        </w:rPr>
        <w:t>The interveners are not entitled to raise new issues or to adduce further evidence or otherwise to supplement the record of the parties.</w:t>
      </w:r>
    </w:p>
    <w:p w:rsidR="009954A4" w:rsidRPr="00E75664" w:rsidRDefault="009954A4" w:rsidP="009954A4">
      <w:pPr>
        <w:spacing w:line="233" w:lineRule="auto"/>
        <w:jc w:val="both"/>
        <w:rPr>
          <w:sz w:val="20"/>
          <w:szCs w:val="20"/>
        </w:rPr>
      </w:pPr>
    </w:p>
    <w:p w:rsidR="009954A4" w:rsidRPr="00E75664" w:rsidRDefault="009954A4" w:rsidP="009954A4">
      <w:pPr>
        <w:rPr>
          <w:sz w:val="20"/>
          <w:szCs w:val="20"/>
        </w:rPr>
      </w:pPr>
      <w:r w:rsidRPr="00E75664">
        <w:rPr>
          <w:sz w:val="20"/>
          <w:szCs w:val="20"/>
        </w:rPr>
        <w:br w:type="page"/>
      </w:r>
    </w:p>
    <w:p w:rsidR="009954A4" w:rsidRPr="00E75664" w:rsidRDefault="009954A4" w:rsidP="009954A4">
      <w:pPr>
        <w:spacing w:line="233" w:lineRule="auto"/>
        <w:jc w:val="both"/>
        <w:rPr>
          <w:sz w:val="20"/>
          <w:szCs w:val="20"/>
        </w:rPr>
      </w:pPr>
      <w:r w:rsidRPr="00E75664">
        <w:rPr>
          <w:sz w:val="20"/>
          <w:szCs w:val="20"/>
        </w:rPr>
        <w:lastRenderedPageBreak/>
        <w:t>Pursuant to Rule 59(1</w:t>
      </w:r>
      <w:proofErr w:type="gramStart"/>
      <w:r w:rsidRPr="00E75664">
        <w:rPr>
          <w:sz w:val="20"/>
          <w:szCs w:val="20"/>
        </w:rPr>
        <w:t>)(</w:t>
      </w:r>
      <w:proofErr w:type="gramEnd"/>
      <w:r w:rsidRPr="00E75664">
        <w:rPr>
          <w:i/>
          <w:iCs/>
          <w:sz w:val="20"/>
          <w:szCs w:val="20"/>
        </w:rPr>
        <w:t>a</w:t>
      </w:r>
      <w:r w:rsidRPr="00E75664">
        <w:rPr>
          <w:sz w:val="20"/>
          <w:szCs w:val="20"/>
        </w:rPr>
        <w:t xml:space="preserve">) of the </w:t>
      </w:r>
      <w:r w:rsidRPr="00E75664">
        <w:rPr>
          <w:i/>
          <w:iCs/>
          <w:sz w:val="20"/>
          <w:szCs w:val="20"/>
        </w:rPr>
        <w:t>Rules of the Supreme Court of Canada</w:t>
      </w:r>
      <w:r w:rsidRPr="00E75664">
        <w:rPr>
          <w:sz w:val="20"/>
          <w:szCs w:val="20"/>
        </w:rPr>
        <w:t>, the interveners shall pay to the appellants and respondents any additional disbursements occasioned to the appellants and respondents by their interventions.</w:t>
      </w:r>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spacing w:line="233" w:lineRule="auto"/>
        <w:jc w:val="both"/>
        <w:rPr>
          <w:sz w:val="20"/>
          <w:szCs w:val="20"/>
          <w:lang w:val="fr-CA"/>
        </w:rPr>
      </w:pPr>
      <w:r w:rsidRPr="00E75664">
        <w:rPr>
          <w:b/>
          <w:sz w:val="20"/>
          <w:szCs w:val="20"/>
          <w:lang w:val="fr-CA"/>
        </w:rPr>
        <w:t>À LA SUITE DES DEMANDES</w:t>
      </w:r>
      <w:r w:rsidRPr="00E75664">
        <w:rPr>
          <w:sz w:val="20"/>
          <w:szCs w:val="20"/>
          <w:lang w:val="fr-CA"/>
        </w:rPr>
        <w:t xml:space="preserve"> présentées par l’Ontario Trial </w:t>
      </w:r>
      <w:proofErr w:type="spellStart"/>
      <w:r w:rsidRPr="00E75664">
        <w:rPr>
          <w:sz w:val="20"/>
          <w:szCs w:val="20"/>
          <w:lang w:val="fr-CA"/>
        </w:rPr>
        <w:t>Lawyers</w:t>
      </w:r>
      <w:proofErr w:type="spellEnd"/>
      <w:r w:rsidRPr="00E75664">
        <w:rPr>
          <w:sz w:val="20"/>
          <w:szCs w:val="20"/>
          <w:lang w:val="fr-CA"/>
        </w:rPr>
        <w:t xml:space="preserve"> Association et par l’Association du Barreau canadien en autorisation d'intervenir dans les appels;</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b/>
          <w:sz w:val="20"/>
          <w:szCs w:val="20"/>
          <w:lang w:val="fr-CA"/>
        </w:rPr>
        <w:t>ET À LA SUITE DES DEMANDES</w:t>
      </w:r>
      <w:r w:rsidRPr="00E75664">
        <w:rPr>
          <w:sz w:val="20"/>
          <w:szCs w:val="20"/>
          <w:lang w:val="fr-CA"/>
        </w:rPr>
        <w:t xml:space="preserve"> présentées par le procureur général de l’Ontario et par l’</w:t>
      </w:r>
      <w:proofErr w:type="spellStart"/>
      <w:r w:rsidRPr="00E75664">
        <w:rPr>
          <w:sz w:val="20"/>
          <w:szCs w:val="20"/>
          <w:lang w:val="fr-CA"/>
        </w:rPr>
        <w:t>Advocates</w:t>
      </w:r>
      <w:proofErr w:type="spellEnd"/>
      <w:r w:rsidRPr="00E75664">
        <w:rPr>
          <w:sz w:val="20"/>
          <w:szCs w:val="20"/>
          <w:lang w:val="fr-CA"/>
        </w:rPr>
        <w:t xml:space="preserve">' Society en autorisation d'intervenir dans l’appel </w:t>
      </w:r>
      <w:r w:rsidRPr="00E75664">
        <w:rPr>
          <w:i/>
          <w:sz w:val="20"/>
          <w:szCs w:val="20"/>
          <w:lang w:val="fr-CA"/>
        </w:rPr>
        <w:t xml:space="preserve">Bruno Appliance and </w:t>
      </w:r>
      <w:proofErr w:type="spellStart"/>
      <w:r w:rsidRPr="00E75664">
        <w:rPr>
          <w:i/>
          <w:sz w:val="20"/>
          <w:szCs w:val="20"/>
          <w:lang w:val="fr-CA"/>
        </w:rPr>
        <w:t>Furniture</w:t>
      </w:r>
      <w:proofErr w:type="spellEnd"/>
      <w:r w:rsidRPr="00E75664">
        <w:rPr>
          <w:i/>
          <w:sz w:val="20"/>
          <w:szCs w:val="20"/>
          <w:lang w:val="fr-CA"/>
        </w:rPr>
        <w:t xml:space="preserve">, Inc. c. Robert </w:t>
      </w:r>
      <w:proofErr w:type="spellStart"/>
      <w:r w:rsidRPr="00E75664">
        <w:rPr>
          <w:i/>
          <w:sz w:val="20"/>
          <w:szCs w:val="20"/>
          <w:lang w:val="fr-CA"/>
        </w:rPr>
        <w:t>Hryniak</w:t>
      </w:r>
      <w:proofErr w:type="spellEnd"/>
      <w:r w:rsidRPr="00E75664">
        <w:rPr>
          <w:i/>
          <w:sz w:val="20"/>
          <w:szCs w:val="20"/>
          <w:lang w:val="fr-CA"/>
        </w:rPr>
        <w:t xml:space="preserve"> </w:t>
      </w:r>
      <w:r w:rsidRPr="00E75664">
        <w:rPr>
          <w:sz w:val="20"/>
          <w:szCs w:val="20"/>
          <w:lang w:val="fr-CA"/>
        </w:rPr>
        <w:t>(34645)</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b/>
          <w:sz w:val="20"/>
          <w:szCs w:val="20"/>
          <w:lang w:val="fr-CA"/>
        </w:rPr>
        <w:t>ET APRÈS EXAMEN</w:t>
      </w:r>
      <w:r w:rsidRPr="00E75664">
        <w:rPr>
          <w:sz w:val="20"/>
          <w:szCs w:val="20"/>
          <w:lang w:val="fr-CA"/>
        </w:rPr>
        <w:t xml:space="preserve"> des documents déposés;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b/>
          <w:sz w:val="20"/>
          <w:szCs w:val="20"/>
          <w:lang w:val="fr-CA"/>
        </w:rPr>
      </w:pPr>
      <w:r w:rsidRPr="00E75664">
        <w:rPr>
          <w:b/>
          <w:sz w:val="20"/>
          <w:szCs w:val="20"/>
          <w:lang w:val="fr-CA"/>
        </w:rPr>
        <w:t xml:space="preserve">IL EST ORDONNÉ CE QUI SUIT :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 xml:space="preserve">Les requêtes en autorisation d'intervenir présentées par l’Ontario Trial </w:t>
      </w:r>
      <w:proofErr w:type="spellStart"/>
      <w:r w:rsidRPr="00E75664">
        <w:rPr>
          <w:sz w:val="20"/>
          <w:szCs w:val="20"/>
          <w:lang w:val="fr-CA"/>
        </w:rPr>
        <w:t>Lawyers</w:t>
      </w:r>
      <w:proofErr w:type="spellEnd"/>
      <w:r w:rsidRPr="00E75664">
        <w:rPr>
          <w:sz w:val="20"/>
          <w:szCs w:val="20"/>
          <w:lang w:val="fr-CA"/>
        </w:rPr>
        <w:t xml:space="preserve"> Association et par l’Association du Barreau canadien sont accordées et les requérantes pourront signifier et déposer un seul mémoire d'au plus dix (10) pages dans ces appels au plus tard le 12 mars 2013.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Les requêtes en autorisation d'intervenir présentées par le procureur général de l’Ontario et par l’</w:t>
      </w:r>
      <w:proofErr w:type="spellStart"/>
      <w:r w:rsidRPr="00E75664">
        <w:rPr>
          <w:sz w:val="20"/>
          <w:szCs w:val="20"/>
          <w:lang w:val="fr-CA"/>
        </w:rPr>
        <w:t>Advocates</w:t>
      </w:r>
      <w:proofErr w:type="spellEnd"/>
      <w:r w:rsidRPr="00E75664">
        <w:rPr>
          <w:sz w:val="20"/>
          <w:szCs w:val="20"/>
          <w:lang w:val="fr-CA"/>
        </w:rPr>
        <w:t xml:space="preserve">' Society sont accordées et les requérants pourront signifier et déposer un mémoire d'au plus dix (10) pages dans l’appel </w:t>
      </w:r>
      <w:r w:rsidRPr="00E75664">
        <w:rPr>
          <w:i/>
          <w:sz w:val="20"/>
          <w:szCs w:val="20"/>
          <w:lang w:val="fr-CA"/>
        </w:rPr>
        <w:t xml:space="preserve">Bruno Appliance and </w:t>
      </w:r>
      <w:proofErr w:type="spellStart"/>
      <w:r w:rsidRPr="00E75664">
        <w:rPr>
          <w:i/>
          <w:sz w:val="20"/>
          <w:szCs w:val="20"/>
          <w:lang w:val="fr-CA"/>
        </w:rPr>
        <w:t>Furniture</w:t>
      </w:r>
      <w:proofErr w:type="spellEnd"/>
      <w:r w:rsidRPr="00E75664">
        <w:rPr>
          <w:i/>
          <w:sz w:val="20"/>
          <w:szCs w:val="20"/>
          <w:lang w:val="fr-CA"/>
        </w:rPr>
        <w:t xml:space="preserve">, Inc. c. Robert </w:t>
      </w:r>
      <w:proofErr w:type="spellStart"/>
      <w:r w:rsidRPr="00E75664">
        <w:rPr>
          <w:i/>
          <w:sz w:val="20"/>
          <w:szCs w:val="20"/>
          <w:lang w:val="fr-CA"/>
        </w:rPr>
        <w:t>Hryniak</w:t>
      </w:r>
      <w:proofErr w:type="spellEnd"/>
      <w:r w:rsidRPr="00E75664">
        <w:rPr>
          <w:i/>
          <w:sz w:val="20"/>
          <w:szCs w:val="20"/>
          <w:lang w:val="fr-CA"/>
        </w:rPr>
        <w:t xml:space="preserve"> </w:t>
      </w:r>
      <w:r w:rsidRPr="00E75664">
        <w:rPr>
          <w:sz w:val="20"/>
          <w:szCs w:val="20"/>
          <w:lang w:val="fr-CA"/>
        </w:rPr>
        <w:t xml:space="preserve">(34645) au plus tard le 12 mars 2013.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 xml:space="preserve">La décision sur la demande en vue de présenter une plaidoirie orale sera rendue après réception et examen des arguments écrits des parties et des intervenants.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Les intervenants n'ont pas le droit de soulever de nouvelles questions, de produire d'autres éléments de preuve ni de compléter de quelque autre façon le dossier des parties.</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Conformément à l'alinéa 59(1)</w:t>
      </w:r>
      <w:r w:rsidRPr="00E75664">
        <w:rPr>
          <w:i/>
          <w:sz w:val="20"/>
          <w:szCs w:val="20"/>
          <w:lang w:val="fr-CA"/>
        </w:rPr>
        <w:t>a</w:t>
      </w:r>
      <w:r w:rsidRPr="00E75664">
        <w:rPr>
          <w:sz w:val="20"/>
          <w:szCs w:val="20"/>
          <w:lang w:val="fr-CA"/>
        </w:rPr>
        <w:t xml:space="preserve">) des </w:t>
      </w:r>
      <w:r w:rsidRPr="00E75664">
        <w:rPr>
          <w:i/>
          <w:sz w:val="20"/>
          <w:szCs w:val="20"/>
          <w:lang w:val="fr-CA"/>
        </w:rPr>
        <w:t>Règles de la Cour suprême du Canada</w:t>
      </w:r>
      <w:r w:rsidRPr="00E75664">
        <w:rPr>
          <w:sz w:val="20"/>
          <w:szCs w:val="20"/>
          <w:lang w:val="fr-CA"/>
        </w:rPr>
        <w:t>, les intervenants paieront aux appelants et aux intimés tous débours supplémentaires résultant de leur intervention.</w:t>
      </w:r>
    </w:p>
    <w:p w:rsidR="009954A4" w:rsidRPr="00E75664" w:rsidRDefault="009954A4" w:rsidP="009954A4">
      <w:pPr>
        <w:tabs>
          <w:tab w:val="left" w:pos="-1440"/>
          <w:tab w:val="left" w:pos="-720"/>
        </w:tabs>
        <w:jc w:val="both"/>
        <w:rPr>
          <w:sz w:val="20"/>
          <w:szCs w:val="20"/>
          <w:lang w:val="fr-CA"/>
        </w:rPr>
      </w:pPr>
    </w:p>
    <w:p w:rsidR="009954A4" w:rsidRPr="00E75664" w:rsidRDefault="00F008AC" w:rsidP="009954A4">
      <w:pPr>
        <w:tabs>
          <w:tab w:val="left" w:pos="-1440"/>
          <w:tab w:val="left" w:pos="-720"/>
        </w:tabs>
        <w:jc w:val="both"/>
        <w:rPr>
          <w:sz w:val="20"/>
          <w:szCs w:val="20"/>
          <w:lang w:val="fr-CA"/>
        </w:rPr>
      </w:pPr>
      <w:r w:rsidRPr="00F008AC">
        <w:rPr>
          <w:sz w:val="20"/>
          <w:szCs w:val="20"/>
          <w:lang w:val="fr-CA"/>
        </w:rPr>
        <w:pict>
          <v:rect id="_x0000_i1045" style="width:2in;height:1pt" o:hrpct="0" o:hralign="center" o:hrstd="t" o:hrnoshade="t" o:hr="t" fillcolor="black [3213]" stroked="f"/>
        </w:pic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tabs>
          <w:tab w:val="left" w:pos="-1440"/>
          <w:tab w:val="left" w:pos="-720"/>
        </w:tabs>
        <w:jc w:val="both"/>
        <w:rPr>
          <w:sz w:val="20"/>
          <w:szCs w:val="20"/>
          <w:lang w:val="fr-CA"/>
        </w:rPr>
      </w:pPr>
      <w:r w:rsidRPr="00E75664">
        <w:rPr>
          <w:sz w:val="20"/>
          <w:szCs w:val="20"/>
          <w:lang w:val="fr-CA"/>
        </w:rPr>
        <w:t>23.01.2013</w: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tabs>
          <w:tab w:val="left" w:pos="-1440"/>
          <w:tab w:val="left" w:pos="-720"/>
        </w:tabs>
        <w:jc w:val="both"/>
        <w:rPr>
          <w:sz w:val="20"/>
          <w:szCs w:val="20"/>
          <w:lang w:val="fr-CA"/>
        </w:rPr>
      </w:pPr>
      <w:proofErr w:type="spellStart"/>
      <w:r w:rsidRPr="00E75664">
        <w:rPr>
          <w:sz w:val="20"/>
          <w:szCs w:val="20"/>
          <w:lang w:val="fr-CA"/>
        </w:rPr>
        <w:t>Before</w:t>
      </w:r>
      <w:proofErr w:type="spellEnd"/>
      <w:r w:rsidRPr="00E75664">
        <w:rPr>
          <w:sz w:val="20"/>
          <w:szCs w:val="20"/>
          <w:lang w:val="fr-CA"/>
        </w:rPr>
        <w:t xml:space="preserve"> / Devant :   FISH J. / LE JUGE FISH</w:t>
      </w:r>
    </w:p>
    <w:p w:rsidR="009954A4" w:rsidRPr="00E75664" w:rsidRDefault="009954A4" w:rsidP="009954A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954A4" w:rsidRPr="00E75664" w:rsidTr="00CA2CE2">
        <w:tc>
          <w:tcPr>
            <w:tcW w:w="4338" w:type="dxa"/>
            <w:gridSpan w:val="2"/>
          </w:tcPr>
          <w:p w:rsidR="009954A4" w:rsidRPr="00E75664" w:rsidRDefault="009954A4" w:rsidP="00CA2CE2">
            <w:pPr>
              <w:rPr>
                <w:b/>
                <w:sz w:val="20"/>
                <w:szCs w:val="20"/>
              </w:rPr>
            </w:pPr>
            <w:r w:rsidRPr="00E75664">
              <w:rPr>
                <w:b/>
                <w:sz w:val="20"/>
                <w:szCs w:val="20"/>
              </w:rPr>
              <w:t>Motion for leave to intervene</w:t>
            </w:r>
            <w:r w:rsidRPr="00E75664">
              <w:rPr>
                <w:sz w:val="20"/>
                <w:szCs w:val="20"/>
              </w:rPr>
              <w:t xml:space="preserve"> </w:t>
            </w:r>
            <w:r w:rsidR="00F008AC" w:rsidRPr="00E75664">
              <w:rPr>
                <w:sz w:val="20"/>
                <w:szCs w:val="20"/>
              </w:rPr>
              <w:fldChar w:fldCharType="begin"/>
            </w:r>
            <w:r w:rsidRPr="00E75664">
              <w:rPr>
                <w:sz w:val="20"/>
                <w:szCs w:val="20"/>
              </w:rPr>
              <w:instrText xml:space="preserve"> SEQ CHAPTER \h \r 1</w:instrText>
            </w:r>
            <w:r w:rsidR="00F008AC" w:rsidRPr="00E75664">
              <w:rPr>
                <w:sz w:val="20"/>
                <w:szCs w:val="20"/>
              </w:rPr>
              <w:fldChar w:fldCharType="end"/>
            </w:r>
          </w:p>
        </w:tc>
        <w:tc>
          <w:tcPr>
            <w:tcW w:w="1170" w:type="dxa"/>
          </w:tcPr>
          <w:p w:rsidR="009954A4" w:rsidRPr="00E75664" w:rsidRDefault="009954A4" w:rsidP="00CA2CE2">
            <w:pPr>
              <w:rPr>
                <w:sz w:val="20"/>
                <w:szCs w:val="20"/>
              </w:rPr>
            </w:pPr>
          </w:p>
          <w:p w:rsidR="009954A4" w:rsidRPr="00E75664" w:rsidRDefault="009954A4" w:rsidP="00CA2CE2">
            <w:pPr>
              <w:rPr>
                <w:sz w:val="20"/>
                <w:szCs w:val="20"/>
              </w:rPr>
            </w:pPr>
          </w:p>
        </w:tc>
        <w:tc>
          <w:tcPr>
            <w:tcW w:w="4327" w:type="dxa"/>
          </w:tcPr>
          <w:p w:rsidR="009954A4" w:rsidRPr="00E75664" w:rsidRDefault="009954A4" w:rsidP="00CA2CE2">
            <w:pPr>
              <w:rPr>
                <w:b/>
                <w:sz w:val="20"/>
                <w:szCs w:val="20"/>
              </w:rPr>
            </w:pPr>
            <w:r w:rsidRPr="00E75664">
              <w:rPr>
                <w:b/>
                <w:bCs/>
                <w:sz w:val="20"/>
                <w:szCs w:val="20"/>
                <w:lang w:val="fr-CA"/>
              </w:rPr>
              <w:t>Requête en autorisation d’intervenir</w:t>
            </w:r>
            <w:r w:rsidRPr="00E75664">
              <w:rPr>
                <w:sz w:val="20"/>
                <w:szCs w:val="20"/>
              </w:rPr>
              <w:t xml:space="preserve"> </w:t>
            </w:r>
            <w:r w:rsidR="00F008AC" w:rsidRPr="00E75664">
              <w:rPr>
                <w:sz w:val="20"/>
                <w:szCs w:val="20"/>
              </w:rPr>
              <w:fldChar w:fldCharType="begin"/>
            </w:r>
            <w:r w:rsidRPr="00E75664">
              <w:rPr>
                <w:sz w:val="20"/>
                <w:szCs w:val="20"/>
              </w:rPr>
              <w:instrText xml:space="preserve"> SEQ CHAPTER \h \r 1</w:instrText>
            </w:r>
            <w:r w:rsidR="00F008AC" w:rsidRPr="00E75664">
              <w:rPr>
                <w:sz w:val="20"/>
                <w:szCs w:val="20"/>
              </w:rPr>
              <w:fldChar w:fldCharType="end"/>
            </w:r>
          </w:p>
        </w:tc>
      </w:tr>
      <w:tr w:rsidR="009954A4" w:rsidRPr="00E75664" w:rsidTr="00CA2CE2">
        <w:tc>
          <w:tcPr>
            <w:tcW w:w="1368" w:type="dxa"/>
          </w:tcPr>
          <w:p w:rsidR="009954A4" w:rsidRPr="00E75664" w:rsidRDefault="009954A4" w:rsidP="00CA2CE2">
            <w:pPr>
              <w:rPr>
                <w:sz w:val="20"/>
                <w:szCs w:val="20"/>
              </w:rPr>
            </w:pPr>
            <w:r w:rsidRPr="00E75664">
              <w:rPr>
                <w:sz w:val="20"/>
                <w:szCs w:val="20"/>
              </w:rPr>
              <w:t>BY / PAR</w:t>
            </w:r>
          </w:p>
        </w:tc>
        <w:tc>
          <w:tcPr>
            <w:tcW w:w="2970" w:type="dxa"/>
          </w:tcPr>
          <w:p w:rsidR="009954A4" w:rsidRPr="00E75664" w:rsidRDefault="009954A4" w:rsidP="00CA2CE2">
            <w:pPr>
              <w:rPr>
                <w:sz w:val="20"/>
                <w:szCs w:val="20"/>
              </w:rPr>
            </w:pPr>
            <w:r w:rsidRPr="00E75664">
              <w:rPr>
                <w:sz w:val="20"/>
                <w:szCs w:val="20"/>
              </w:rPr>
              <w:t>Attorney General of Canada</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368" w:type="dxa"/>
          </w:tcPr>
          <w:p w:rsidR="009954A4" w:rsidRPr="00E75664" w:rsidRDefault="009954A4" w:rsidP="00CA2CE2">
            <w:pPr>
              <w:rPr>
                <w:sz w:val="20"/>
                <w:szCs w:val="20"/>
              </w:rPr>
            </w:pPr>
          </w:p>
        </w:tc>
        <w:tc>
          <w:tcPr>
            <w:tcW w:w="2970" w:type="dxa"/>
          </w:tcPr>
          <w:p w:rsidR="009954A4" w:rsidRPr="00E75664" w:rsidRDefault="009954A4" w:rsidP="00CA2CE2">
            <w:pPr>
              <w:rPr>
                <w:sz w:val="20"/>
                <w:szCs w:val="20"/>
              </w:rPr>
            </w:pP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r w:rsidR="009954A4" w:rsidRPr="00E75664" w:rsidTr="00CA2CE2">
        <w:tc>
          <w:tcPr>
            <w:tcW w:w="1368" w:type="dxa"/>
          </w:tcPr>
          <w:p w:rsidR="009954A4" w:rsidRPr="00E75664" w:rsidRDefault="009954A4" w:rsidP="00CA2CE2">
            <w:pPr>
              <w:rPr>
                <w:sz w:val="20"/>
                <w:szCs w:val="20"/>
              </w:rPr>
            </w:pPr>
            <w:r w:rsidRPr="00E75664">
              <w:rPr>
                <w:sz w:val="20"/>
                <w:szCs w:val="20"/>
              </w:rPr>
              <w:t>IN / DANS :</w:t>
            </w:r>
          </w:p>
        </w:tc>
        <w:tc>
          <w:tcPr>
            <w:tcW w:w="2970" w:type="dxa"/>
          </w:tcPr>
          <w:p w:rsidR="009954A4" w:rsidRPr="00E75664" w:rsidRDefault="009954A4" w:rsidP="00CA2CE2">
            <w:pPr>
              <w:rPr>
                <w:sz w:val="20"/>
                <w:szCs w:val="20"/>
              </w:rPr>
            </w:pPr>
            <w:r w:rsidRPr="00E75664">
              <w:rPr>
                <w:sz w:val="20"/>
                <w:szCs w:val="20"/>
              </w:rPr>
              <w:t>Her Majesty the Queen</w:t>
            </w:r>
          </w:p>
          <w:p w:rsidR="009954A4" w:rsidRPr="00E75664" w:rsidRDefault="009954A4" w:rsidP="00CA2CE2">
            <w:pPr>
              <w:rPr>
                <w:sz w:val="20"/>
                <w:szCs w:val="20"/>
              </w:rPr>
            </w:pPr>
          </w:p>
          <w:p w:rsidR="009954A4" w:rsidRPr="00E75664" w:rsidRDefault="009954A4" w:rsidP="00CA2CE2">
            <w:pPr>
              <w:rPr>
                <w:sz w:val="20"/>
                <w:szCs w:val="20"/>
              </w:rPr>
            </w:pPr>
            <w:r w:rsidRPr="00E75664">
              <w:rPr>
                <w:sz w:val="20"/>
                <w:szCs w:val="20"/>
              </w:rPr>
              <w:tab/>
              <w:t>v. (34650)</w:t>
            </w:r>
          </w:p>
          <w:p w:rsidR="009954A4" w:rsidRPr="00E75664" w:rsidRDefault="009954A4" w:rsidP="00CA2CE2">
            <w:pPr>
              <w:rPr>
                <w:sz w:val="20"/>
                <w:szCs w:val="20"/>
              </w:rPr>
            </w:pPr>
          </w:p>
          <w:p w:rsidR="009954A4" w:rsidRPr="00E75664" w:rsidRDefault="009954A4" w:rsidP="00CA2CE2">
            <w:pPr>
              <w:rPr>
                <w:sz w:val="20"/>
                <w:szCs w:val="20"/>
              </w:rPr>
            </w:pPr>
            <w:r w:rsidRPr="00E75664">
              <w:rPr>
                <w:sz w:val="20"/>
                <w:szCs w:val="20"/>
              </w:rPr>
              <w:t xml:space="preserve">Ernest Fenwick </w:t>
            </w:r>
            <w:proofErr w:type="spellStart"/>
            <w:r w:rsidRPr="00E75664">
              <w:rPr>
                <w:sz w:val="20"/>
                <w:szCs w:val="20"/>
              </w:rPr>
              <w:t>MacIntosh</w:t>
            </w:r>
            <w:proofErr w:type="spellEnd"/>
            <w:r w:rsidRPr="00E75664">
              <w:rPr>
                <w:sz w:val="20"/>
                <w:szCs w:val="20"/>
              </w:rPr>
              <w:t xml:space="preserve"> (Crim.) (N.S.)</w:t>
            </w:r>
          </w:p>
        </w:tc>
        <w:tc>
          <w:tcPr>
            <w:tcW w:w="1170" w:type="dxa"/>
          </w:tcPr>
          <w:p w:rsidR="009954A4" w:rsidRPr="00E75664" w:rsidRDefault="009954A4" w:rsidP="00CA2CE2">
            <w:pPr>
              <w:rPr>
                <w:sz w:val="20"/>
                <w:szCs w:val="20"/>
              </w:rPr>
            </w:pPr>
          </w:p>
        </w:tc>
        <w:tc>
          <w:tcPr>
            <w:tcW w:w="4327" w:type="dxa"/>
          </w:tcPr>
          <w:p w:rsidR="009954A4" w:rsidRPr="00E75664" w:rsidRDefault="009954A4" w:rsidP="00CA2CE2">
            <w:pPr>
              <w:rPr>
                <w:sz w:val="20"/>
                <w:szCs w:val="20"/>
              </w:rPr>
            </w:pPr>
          </w:p>
        </w:tc>
      </w:tr>
    </w:tbl>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r w:rsidRPr="00E75664">
        <w:rPr>
          <w:b/>
          <w:sz w:val="20"/>
          <w:szCs w:val="20"/>
        </w:rPr>
        <w:t>GRANTED / ACCORDÉE</w:t>
      </w:r>
    </w:p>
    <w:p w:rsidR="009954A4" w:rsidRPr="00E75664" w:rsidRDefault="009954A4" w:rsidP="009954A4">
      <w:pPr>
        <w:tabs>
          <w:tab w:val="left" w:pos="-1440"/>
          <w:tab w:val="left" w:pos="-720"/>
        </w:tabs>
        <w:jc w:val="both"/>
        <w:rPr>
          <w:sz w:val="20"/>
          <w:szCs w:val="20"/>
        </w:rPr>
      </w:pPr>
    </w:p>
    <w:p w:rsidR="009954A4" w:rsidRPr="00E75664" w:rsidRDefault="009954A4" w:rsidP="009954A4">
      <w:pPr>
        <w:spacing w:line="233" w:lineRule="auto"/>
        <w:jc w:val="both"/>
        <w:rPr>
          <w:sz w:val="20"/>
          <w:szCs w:val="20"/>
        </w:rPr>
      </w:pPr>
      <w:r w:rsidRPr="00E75664">
        <w:rPr>
          <w:b/>
          <w:sz w:val="20"/>
          <w:szCs w:val="20"/>
        </w:rPr>
        <w:t xml:space="preserve">UPON APPLICATION </w:t>
      </w:r>
      <w:r w:rsidRPr="00E75664">
        <w:rPr>
          <w:sz w:val="20"/>
          <w:szCs w:val="20"/>
        </w:rPr>
        <w:t>by the Attorney General of Canada for leave to intervene in the above appeal;</w:t>
      </w:r>
    </w:p>
    <w:p w:rsidR="009954A4" w:rsidRPr="00E75664" w:rsidRDefault="009954A4" w:rsidP="009954A4">
      <w:pPr>
        <w:spacing w:line="233" w:lineRule="auto"/>
        <w:jc w:val="both"/>
        <w:rPr>
          <w:sz w:val="20"/>
          <w:szCs w:val="20"/>
        </w:rPr>
      </w:pPr>
    </w:p>
    <w:p w:rsidR="009954A4" w:rsidRDefault="009954A4" w:rsidP="009954A4">
      <w:pPr>
        <w:spacing w:line="233" w:lineRule="auto"/>
        <w:jc w:val="both"/>
        <w:rPr>
          <w:sz w:val="20"/>
          <w:szCs w:val="20"/>
        </w:rPr>
      </w:pPr>
      <w:r w:rsidRPr="00E75664">
        <w:rPr>
          <w:b/>
          <w:bCs/>
          <w:sz w:val="20"/>
          <w:szCs w:val="20"/>
        </w:rPr>
        <w:t>AND THE MATERIAL FILED</w:t>
      </w:r>
      <w:r w:rsidRPr="00E75664">
        <w:rPr>
          <w:sz w:val="20"/>
          <w:szCs w:val="20"/>
        </w:rPr>
        <w:t xml:space="preserve"> having been read;</w:t>
      </w:r>
    </w:p>
    <w:p w:rsidR="009954A4" w:rsidRPr="00E75664" w:rsidRDefault="009954A4" w:rsidP="009954A4">
      <w:pPr>
        <w:spacing w:line="233" w:lineRule="auto"/>
        <w:jc w:val="both"/>
        <w:rPr>
          <w:sz w:val="20"/>
          <w:szCs w:val="20"/>
        </w:rPr>
      </w:pPr>
    </w:p>
    <w:p w:rsidR="009954A4" w:rsidRPr="00E75664" w:rsidRDefault="009954A4" w:rsidP="009954A4">
      <w:pPr>
        <w:rPr>
          <w:b/>
          <w:bCs/>
          <w:sz w:val="20"/>
          <w:szCs w:val="20"/>
        </w:rPr>
      </w:pPr>
      <w:r w:rsidRPr="00E75664">
        <w:rPr>
          <w:b/>
          <w:bCs/>
          <w:sz w:val="20"/>
          <w:szCs w:val="20"/>
        </w:rPr>
        <w:br w:type="page"/>
      </w:r>
    </w:p>
    <w:p w:rsidR="009954A4" w:rsidRPr="00E75664" w:rsidRDefault="009954A4" w:rsidP="009954A4">
      <w:pPr>
        <w:spacing w:line="233" w:lineRule="auto"/>
        <w:jc w:val="both"/>
        <w:rPr>
          <w:sz w:val="20"/>
          <w:szCs w:val="20"/>
        </w:rPr>
      </w:pPr>
      <w:r w:rsidRPr="00E75664">
        <w:rPr>
          <w:b/>
          <w:bCs/>
          <w:sz w:val="20"/>
          <w:szCs w:val="20"/>
        </w:rPr>
        <w:lastRenderedPageBreak/>
        <w:t>IT IS HEREBY ORDERED THAT:</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The motion for leave to intervene of the Attorney General of Canada is granted and the said intervener shall be entitled to serve and file a factum not to exceed 10 pages in length on or before March 20, 2013.</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The request to present oral argument is deferred to a date following receipt and consideration of the written arguments of the parties and the intervener.</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The intervener is not entitled to raise new issues or to adduce further evidence or otherwise to supplement the record of the parties.</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Pursuant to Rule 59(1</w:t>
      </w:r>
      <w:proofErr w:type="gramStart"/>
      <w:r w:rsidRPr="00E75664">
        <w:rPr>
          <w:sz w:val="20"/>
          <w:szCs w:val="20"/>
        </w:rPr>
        <w:t>)(</w:t>
      </w:r>
      <w:proofErr w:type="gramEnd"/>
      <w:r w:rsidRPr="00E75664">
        <w:rPr>
          <w:i/>
          <w:iCs/>
          <w:sz w:val="20"/>
          <w:szCs w:val="20"/>
        </w:rPr>
        <w:t>a</w:t>
      </w:r>
      <w:r w:rsidRPr="00E75664">
        <w:rPr>
          <w:sz w:val="20"/>
          <w:szCs w:val="20"/>
        </w:rPr>
        <w:t xml:space="preserve">) of the </w:t>
      </w:r>
      <w:r w:rsidRPr="00E75664">
        <w:rPr>
          <w:i/>
          <w:iCs/>
          <w:sz w:val="20"/>
          <w:szCs w:val="20"/>
        </w:rPr>
        <w:t>Rules of the Supreme Court of Canada</w:t>
      </w:r>
      <w:r w:rsidRPr="00E75664">
        <w:rPr>
          <w:sz w:val="20"/>
          <w:szCs w:val="20"/>
        </w:rPr>
        <w:t xml:space="preserve">, the intervener shall pay to the appellant and respondent any additional disbursements occasioned to the appellant and respondent by its intervention. </w:t>
      </w:r>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spacing w:line="233" w:lineRule="auto"/>
        <w:jc w:val="both"/>
        <w:rPr>
          <w:sz w:val="20"/>
          <w:szCs w:val="20"/>
          <w:lang w:val="fr-CA"/>
        </w:rPr>
      </w:pPr>
      <w:r w:rsidRPr="00E75664">
        <w:rPr>
          <w:b/>
          <w:sz w:val="20"/>
          <w:szCs w:val="20"/>
          <w:lang w:val="fr-CA"/>
        </w:rPr>
        <w:t>À LA SUITE DE LA DEMANDE</w:t>
      </w:r>
      <w:r w:rsidRPr="00E75664">
        <w:rPr>
          <w:sz w:val="20"/>
          <w:szCs w:val="20"/>
          <w:lang w:val="fr-CA"/>
        </w:rPr>
        <w:t xml:space="preserve"> présentée par le procureur général du Canada en autorisation d'intervenir dans l'appel;</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b/>
          <w:sz w:val="20"/>
          <w:szCs w:val="20"/>
          <w:lang w:val="fr-CA"/>
        </w:rPr>
        <w:t>ET APRÈS EXAMEN</w:t>
      </w:r>
      <w:r w:rsidRPr="00E75664">
        <w:rPr>
          <w:sz w:val="20"/>
          <w:szCs w:val="20"/>
          <w:lang w:val="fr-CA"/>
        </w:rPr>
        <w:t xml:space="preserve"> des documents déposés;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b/>
          <w:sz w:val="20"/>
          <w:szCs w:val="20"/>
          <w:lang w:val="fr-CA"/>
        </w:rPr>
      </w:pPr>
      <w:r w:rsidRPr="00E75664">
        <w:rPr>
          <w:b/>
          <w:sz w:val="20"/>
          <w:szCs w:val="20"/>
          <w:lang w:val="fr-CA"/>
        </w:rPr>
        <w:t xml:space="preserve">IL EST ORDONNÉ CE QUI SUIT :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 xml:space="preserve">La requête en autorisation d'intervenir présentée par le procureur général du Canada est accordée et le requérant pourra signifier et déposer un mémoire d'au plus dix (10) pages au plus tard le 20 mars 2013.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 xml:space="preserve">La décision sur la demande en vue de présenter une plaidoirie orale sera rendue après réception et examen des arguments écrits des parties et de l'intervenant.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L'intervenant n'a pas le droit de soulever de nouvelles questions, de produire d'autres éléments de preuve ni de compléter de quelque autre façon le dossier des parties.</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sz w:val="20"/>
          <w:szCs w:val="20"/>
          <w:lang w:val="fr-CA"/>
        </w:rPr>
        <w:t>Conformément à l'alinéa 59(1)</w:t>
      </w:r>
      <w:r w:rsidRPr="00E75664">
        <w:rPr>
          <w:i/>
          <w:sz w:val="20"/>
          <w:szCs w:val="20"/>
          <w:lang w:val="fr-CA"/>
        </w:rPr>
        <w:t>a</w:t>
      </w:r>
      <w:r w:rsidRPr="00E75664">
        <w:rPr>
          <w:sz w:val="20"/>
          <w:szCs w:val="20"/>
          <w:lang w:val="fr-CA"/>
        </w:rPr>
        <w:t xml:space="preserve">) des </w:t>
      </w:r>
      <w:r w:rsidRPr="00E75664">
        <w:rPr>
          <w:i/>
          <w:sz w:val="20"/>
          <w:szCs w:val="20"/>
          <w:lang w:val="fr-CA"/>
        </w:rPr>
        <w:t>Règles de la Cour suprême du Canada</w:t>
      </w:r>
      <w:r w:rsidRPr="00E75664">
        <w:rPr>
          <w:sz w:val="20"/>
          <w:szCs w:val="20"/>
          <w:lang w:val="fr-CA"/>
        </w:rPr>
        <w:t>, l'intervenant paiera à l’appelante et à l'intimé tous débours supplémentaires résultant de son intervention.</w:t>
      </w:r>
    </w:p>
    <w:p w:rsidR="009954A4" w:rsidRPr="00E75664" w:rsidRDefault="009954A4" w:rsidP="009954A4">
      <w:pPr>
        <w:spacing w:line="233" w:lineRule="auto"/>
        <w:jc w:val="both"/>
        <w:rPr>
          <w:sz w:val="20"/>
          <w:szCs w:val="20"/>
          <w:lang w:val="fr-CA"/>
        </w:rPr>
      </w:pPr>
    </w:p>
    <w:p w:rsidR="009954A4" w:rsidRPr="00E75664" w:rsidRDefault="00F008AC" w:rsidP="009954A4">
      <w:pPr>
        <w:tabs>
          <w:tab w:val="left" w:pos="-1440"/>
          <w:tab w:val="left" w:pos="-720"/>
        </w:tabs>
        <w:jc w:val="both"/>
        <w:rPr>
          <w:sz w:val="20"/>
          <w:szCs w:val="20"/>
          <w:lang w:val="fr-CA"/>
        </w:rPr>
      </w:pPr>
      <w:r w:rsidRPr="00F008AC">
        <w:rPr>
          <w:sz w:val="20"/>
          <w:szCs w:val="20"/>
          <w:lang w:val="fr-CA"/>
        </w:rPr>
        <w:pict>
          <v:rect id="_x0000_i1046" style="width:2in;height:1pt" o:hrpct="0" o:hralign="center" o:hrstd="t" o:hrnoshade="t" o:hr="t" fillcolor="black [3213]" stroked="f"/>
        </w:pic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tabs>
          <w:tab w:val="left" w:pos="-1440"/>
          <w:tab w:val="left" w:pos="-720"/>
        </w:tabs>
        <w:jc w:val="both"/>
        <w:rPr>
          <w:sz w:val="20"/>
          <w:szCs w:val="20"/>
          <w:lang w:val="fr-CA"/>
        </w:rPr>
      </w:pPr>
      <w:r w:rsidRPr="00E75664">
        <w:rPr>
          <w:sz w:val="20"/>
          <w:szCs w:val="20"/>
          <w:lang w:val="fr-CA"/>
        </w:rPr>
        <w:t>23.01.2013</w: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jc w:val="both"/>
        <w:rPr>
          <w:sz w:val="20"/>
          <w:szCs w:val="20"/>
          <w:lang w:val="fr-CA"/>
        </w:rPr>
      </w:pPr>
      <w:proofErr w:type="spellStart"/>
      <w:r w:rsidRPr="00E75664">
        <w:rPr>
          <w:sz w:val="20"/>
          <w:szCs w:val="20"/>
          <w:lang w:val="fr-CA"/>
        </w:rPr>
        <w:t>Before</w:t>
      </w:r>
      <w:proofErr w:type="spellEnd"/>
      <w:r w:rsidRPr="00E75664">
        <w:rPr>
          <w:sz w:val="20"/>
          <w:szCs w:val="20"/>
          <w:lang w:val="fr-CA"/>
        </w:rPr>
        <w:t xml:space="preserve"> / Devant:   </w:t>
      </w:r>
      <w:r w:rsidRPr="00E75664">
        <w:rPr>
          <w:sz w:val="20"/>
          <w:szCs w:val="20"/>
        </w:rPr>
        <w:t>THE REGISTRAR / LE REGISTRAIRE</w:t>
      </w:r>
    </w:p>
    <w:p w:rsidR="009954A4" w:rsidRPr="00E75664" w:rsidRDefault="009954A4" w:rsidP="009954A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954A4" w:rsidRPr="00B45050" w:rsidTr="00CA2CE2">
        <w:trPr>
          <w:trHeight w:val="151"/>
        </w:trPr>
        <w:tc>
          <w:tcPr>
            <w:tcW w:w="4338" w:type="dxa"/>
          </w:tcPr>
          <w:p w:rsidR="009954A4" w:rsidRPr="00E75664" w:rsidRDefault="00F008AC" w:rsidP="00CA2CE2">
            <w:pPr>
              <w:tabs>
                <w:tab w:val="left" w:pos="-1440"/>
                <w:tab w:val="left" w:pos="-720"/>
              </w:tabs>
              <w:jc w:val="both"/>
              <w:rPr>
                <w:sz w:val="20"/>
                <w:szCs w:val="20"/>
                <w:lang w:val="fr-CA"/>
              </w:rPr>
            </w:pPr>
            <w:r w:rsidRPr="00E75664">
              <w:rPr>
                <w:sz w:val="20"/>
                <w:szCs w:val="20"/>
              </w:rPr>
              <w:fldChar w:fldCharType="begin"/>
            </w:r>
            <w:r w:rsidR="009954A4" w:rsidRPr="00E75664">
              <w:rPr>
                <w:sz w:val="20"/>
                <w:szCs w:val="20"/>
                <w:lang w:val="fr-CA"/>
              </w:rPr>
              <w:instrText xml:space="preserve"> SEQ CHAPTER \h \r 1</w:instrText>
            </w:r>
            <w:r w:rsidRPr="00E75664">
              <w:rPr>
                <w:sz w:val="20"/>
                <w:szCs w:val="20"/>
              </w:rPr>
              <w:fldChar w:fldCharType="end"/>
            </w:r>
            <w:r w:rsidR="009954A4" w:rsidRPr="00E75664">
              <w:rPr>
                <w:b/>
                <w:bCs/>
                <w:sz w:val="20"/>
                <w:szCs w:val="20"/>
                <w:lang w:val="fr-CA"/>
              </w:rPr>
              <w:t xml:space="preserve">Motions to </w:t>
            </w:r>
            <w:proofErr w:type="spellStart"/>
            <w:r w:rsidR="009954A4" w:rsidRPr="00E75664">
              <w:rPr>
                <w:b/>
                <w:bCs/>
                <w:sz w:val="20"/>
                <w:szCs w:val="20"/>
                <w:lang w:val="fr-CA"/>
              </w:rPr>
              <w:t>extend</w:t>
            </w:r>
            <w:proofErr w:type="spellEnd"/>
            <w:r w:rsidR="009954A4" w:rsidRPr="00E75664">
              <w:rPr>
                <w:b/>
                <w:bCs/>
                <w:sz w:val="20"/>
                <w:szCs w:val="20"/>
                <w:lang w:val="fr-CA"/>
              </w:rPr>
              <w:t xml:space="preserve"> time</w:t>
            </w:r>
          </w:p>
          <w:p w:rsidR="009954A4" w:rsidRPr="00E75664" w:rsidRDefault="00F008AC" w:rsidP="00CA2CE2">
            <w:pPr>
              <w:tabs>
                <w:tab w:val="left" w:pos="-1440"/>
                <w:tab w:val="left" w:pos="-720"/>
              </w:tabs>
              <w:jc w:val="both"/>
              <w:rPr>
                <w:sz w:val="20"/>
                <w:szCs w:val="20"/>
                <w:lang w:val="fr-CA"/>
              </w:rPr>
            </w:pPr>
            <w:r w:rsidRPr="00E75664">
              <w:rPr>
                <w:sz w:val="20"/>
                <w:szCs w:val="20"/>
              </w:rPr>
              <w:fldChar w:fldCharType="begin"/>
            </w:r>
            <w:r w:rsidR="009954A4" w:rsidRPr="00E75664">
              <w:rPr>
                <w:sz w:val="20"/>
                <w:szCs w:val="20"/>
                <w:lang w:val="fr-CA"/>
              </w:rPr>
              <w:instrText xml:space="preserve"> SEQ CHAPTER \h \r 1</w:instrText>
            </w:r>
            <w:r w:rsidRPr="00E75664">
              <w:rPr>
                <w:sz w:val="20"/>
                <w:szCs w:val="20"/>
              </w:rPr>
              <w:fldChar w:fldCharType="end"/>
            </w:r>
          </w:p>
        </w:tc>
        <w:tc>
          <w:tcPr>
            <w:tcW w:w="1170" w:type="dxa"/>
          </w:tcPr>
          <w:p w:rsidR="009954A4" w:rsidRPr="00E75664" w:rsidRDefault="009954A4" w:rsidP="00CA2CE2">
            <w:pPr>
              <w:jc w:val="both"/>
              <w:rPr>
                <w:sz w:val="20"/>
                <w:szCs w:val="20"/>
                <w:lang w:val="fr-CA"/>
              </w:rPr>
            </w:pPr>
          </w:p>
          <w:p w:rsidR="009954A4" w:rsidRPr="00E75664" w:rsidRDefault="009954A4" w:rsidP="00CA2CE2">
            <w:pPr>
              <w:jc w:val="both"/>
              <w:rPr>
                <w:sz w:val="20"/>
                <w:szCs w:val="20"/>
                <w:lang w:val="fr-CA"/>
              </w:rPr>
            </w:pPr>
          </w:p>
        </w:tc>
        <w:tc>
          <w:tcPr>
            <w:tcW w:w="4327" w:type="dxa"/>
          </w:tcPr>
          <w:p w:rsidR="009954A4" w:rsidRPr="00E75664" w:rsidRDefault="00F008AC" w:rsidP="00CA2CE2">
            <w:pPr>
              <w:jc w:val="both"/>
              <w:rPr>
                <w:b/>
                <w:sz w:val="20"/>
                <w:szCs w:val="20"/>
                <w:lang w:val="fr-CA"/>
              </w:rPr>
            </w:pPr>
            <w:r w:rsidRPr="00E75664">
              <w:rPr>
                <w:sz w:val="20"/>
                <w:szCs w:val="20"/>
              </w:rPr>
              <w:fldChar w:fldCharType="begin"/>
            </w:r>
            <w:r w:rsidR="009954A4" w:rsidRPr="00E75664">
              <w:rPr>
                <w:sz w:val="20"/>
                <w:szCs w:val="20"/>
                <w:lang w:val="fr-CA"/>
              </w:rPr>
              <w:instrText xml:space="preserve"> SEQ CHAPTER \h \r 1</w:instrText>
            </w:r>
            <w:r w:rsidRPr="00E75664">
              <w:rPr>
                <w:sz w:val="20"/>
                <w:szCs w:val="20"/>
              </w:rPr>
              <w:fldChar w:fldCharType="end"/>
            </w:r>
            <w:r w:rsidR="009954A4" w:rsidRPr="00E75664">
              <w:rPr>
                <w:b/>
                <w:bCs/>
                <w:sz w:val="20"/>
                <w:szCs w:val="20"/>
                <w:lang w:val="fr-CA"/>
              </w:rPr>
              <w:t>Requêtes en prorogation de délai</w:t>
            </w:r>
          </w:p>
          <w:p w:rsidR="009954A4" w:rsidRPr="00E75664" w:rsidRDefault="00F008AC" w:rsidP="00CA2CE2">
            <w:pPr>
              <w:jc w:val="both"/>
              <w:rPr>
                <w:b/>
                <w:sz w:val="20"/>
                <w:szCs w:val="20"/>
                <w:lang w:val="fr-CA"/>
              </w:rPr>
            </w:pPr>
            <w:r w:rsidRPr="00E75664">
              <w:rPr>
                <w:b/>
                <w:sz w:val="20"/>
                <w:szCs w:val="20"/>
              </w:rPr>
              <w:fldChar w:fldCharType="begin"/>
            </w:r>
            <w:r w:rsidR="009954A4" w:rsidRPr="00E75664">
              <w:rPr>
                <w:b/>
                <w:sz w:val="20"/>
                <w:szCs w:val="20"/>
                <w:lang w:val="fr-CA"/>
              </w:rPr>
              <w:instrText xml:space="preserve"> SEQ CHAPTER \h \r 1</w:instrText>
            </w:r>
            <w:r w:rsidRPr="00E75664">
              <w:rPr>
                <w:b/>
                <w:sz w:val="20"/>
                <w:szCs w:val="20"/>
              </w:rPr>
              <w:fldChar w:fldCharType="end"/>
            </w:r>
            <w:r w:rsidRPr="00E75664">
              <w:rPr>
                <w:b/>
                <w:sz w:val="20"/>
                <w:szCs w:val="20"/>
              </w:rPr>
              <w:fldChar w:fldCharType="begin"/>
            </w:r>
            <w:r w:rsidR="009954A4" w:rsidRPr="00E75664">
              <w:rPr>
                <w:b/>
                <w:sz w:val="20"/>
                <w:szCs w:val="20"/>
                <w:lang w:val="fr-CA"/>
              </w:rPr>
              <w:instrText xml:space="preserve"> SEQ CHAPTER \h \r 1</w:instrText>
            </w:r>
            <w:r w:rsidRPr="00E75664">
              <w:rPr>
                <w:b/>
                <w:sz w:val="20"/>
                <w:szCs w:val="20"/>
              </w:rPr>
              <w:fldChar w:fldCharType="end"/>
            </w:r>
          </w:p>
        </w:tc>
      </w:tr>
      <w:tr w:rsidR="009954A4" w:rsidRPr="00483800" w:rsidTr="00CA2CE2">
        <w:trPr>
          <w:trHeight w:val="150"/>
        </w:trPr>
        <w:tc>
          <w:tcPr>
            <w:tcW w:w="4338" w:type="dxa"/>
          </w:tcPr>
          <w:p w:rsidR="009954A4" w:rsidRPr="00E75664" w:rsidRDefault="009954A4" w:rsidP="00CA2CE2">
            <w:pPr>
              <w:tabs>
                <w:tab w:val="left" w:pos="-1440"/>
                <w:tab w:val="left" w:pos="-720"/>
              </w:tabs>
              <w:jc w:val="both"/>
              <w:rPr>
                <w:sz w:val="20"/>
                <w:szCs w:val="20"/>
                <w:lang w:val="fr-CA"/>
              </w:rPr>
            </w:pPr>
            <w:r w:rsidRPr="00E75664">
              <w:rPr>
                <w:sz w:val="20"/>
                <w:szCs w:val="20"/>
                <w:lang w:val="fr-CA"/>
              </w:rPr>
              <w:t xml:space="preserve">Ville de </w:t>
            </w:r>
            <w:proofErr w:type="spellStart"/>
            <w:r w:rsidRPr="00E75664">
              <w:rPr>
                <w:sz w:val="20"/>
                <w:szCs w:val="20"/>
                <w:lang w:val="fr-CA"/>
              </w:rPr>
              <w:t>Malartic</w:t>
            </w:r>
            <w:proofErr w:type="spellEnd"/>
          </w:p>
          <w:p w:rsidR="009954A4" w:rsidRPr="00E75664" w:rsidRDefault="009954A4" w:rsidP="00CA2CE2">
            <w:pPr>
              <w:tabs>
                <w:tab w:val="left" w:pos="-1440"/>
                <w:tab w:val="left" w:pos="-720"/>
              </w:tabs>
              <w:jc w:val="both"/>
              <w:rPr>
                <w:sz w:val="20"/>
                <w:szCs w:val="20"/>
                <w:lang w:val="fr-CA"/>
              </w:rPr>
            </w:pPr>
          </w:p>
          <w:p w:rsidR="009954A4" w:rsidRPr="00E75664" w:rsidRDefault="009954A4" w:rsidP="00CA2CE2">
            <w:pPr>
              <w:tabs>
                <w:tab w:val="left" w:pos="-1440"/>
                <w:tab w:val="left" w:pos="-720"/>
              </w:tabs>
              <w:jc w:val="both"/>
              <w:rPr>
                <w:sz w:val="20"/>
                <w:szCs w:val="20"/>
                <w:lang w:val="fr-CA"/>
              </w:rPr>
            </w:pPr>
            <w:r w:rsidRPr="00E75664">
              <w:rPr>
                <w:sz w:val="20"/>
                <w:szCs w:val="20"/>
                <w:lang w:val="fr-CA"/>
              </w:rPr>
              <w:tab/>
              <w:t>c. (35066)</w:t>
            </w:r>
          </w:p>
          <w:p w:rsidR="009954A4" w:rsidRPr="00E75664" w:rsidRDefault="009954A4" w:rsidP="00CA2CE2">
            <w:pPr>
              <w:tabs>
                <w:tab w:val="left" w:pos="-1440"/>
                <w:tab w:val="left" w:pos="-720"/>
              </w:tabs>
              <w:jc w:val="both"/>
              <w:rPr>
                <w:sz w:val="20"/>
                <w:szCs w:val="20"/>
                <w:lang w:val="fr-CA"/>
              </w:rPr>
            </w:pPr>
          </w:p>
          <w:p w:rsidR="009954A4" w:rsidRPr="00E75664" w:rsidRDefault="009954A4" w:rsidP="00CA2CE2">
            <w:pPr>
              <w:tabs>
                <w:tab w:val="left" w:pos="-1440"/>
                <w:tab w:val="left" w:pos="-720"/>
              </w:tabs>
              <w:jc w:val="both"/>
              <w:rPr>
                <w:sz w:val="20"/>
                <w:szCs w:val="20"/>
                <w:lang w:val="fr-CA"/>
              </w:rPr>
            </w:pPr>
            <w:r w:rsidRPr="00E75664">
              <w:rPr>
                <w:sz w:val="20"/>
                <w:szCs w:val="20"/>
                <w:lang w:val="fr-CA"/>
              </w:rPr>
              <w:t>Procureur général du Québec et autres (</w:t>
            </w:r>
            <w:proofErr w:type="spellStart"/>
            <w:r w:rsidRPr="00E75664">
              <w:rPr>
                <w:sz w:val="20"/>
                <w:szCs w:val="20"/>
                <w:lang w:val="fr-CA"/>
              </w:rPr>
              <w:t>Qc</w:t>
            </w:r>
            <w:proofErr w:type="spellEnd"/>
            <w:r w:rsidRPr="00E75664">
              <w:rPr>
                <w:sz w:val="20"/>
                <w:szCs w:val="20"/>
                <w:lang w:val="fr-CA"/>
              </w:rPr>
              <w:t>)</w:t>
            </w:r>
          </w:p>
        </w:tc>
        <w:tc>
          <w:tcPr>
            <w:tcW w:w="1170" w:type="dxa"/>
          </w:tcPr>
          <w:p w:rsidR="009954A4" w:rsidRPr="00E75664" w:rsidRDefault="009954A4" w:rsidP="00CA2CE2">
            <w:pPr>
              <w:jc w:val="both"/>
              <w:rPr>
                <w:sz w:val="20"/>
                <w:szCs w:val="20"/>
                <w:lang w:val="fr-CA"/>
              </w:rPr>
            </w:pPr>
          </w:p>
        </w:tc>
        <w:tc>
          <w:tcPr>
            <w:tcW w:w="4327" w:type="dxa"/>
          </w:tcPr>
          <w:p w:rsidR="009954A4" w:rsidRPr="00E75664" w:rsidRDefault="009954A4" w:rsidP="00CA2CE2">
            <w:pPr>
              <w:jc w:val="both"/>
              <w:rPr>
                <w:sz w:val="20"/>
                <w:szCs w:val="20"/>
                <w:lang w:val="fr-CA"/>
              </w:rPr>
            </w:pPr>
          </w:p>
        </w:tc>
      </w:tr>
    </w:tbl>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tabs>
          <w:tab w:val="left" w:pos="-1440"/>
          <w:tab w:val="left" w:pos="-720"/>
        </w:tabs>
        <w:jc w:val="both"/>
        <w:rPr>
          <w:sz w:val="20"/>
          <w:szCs w:val="20"/>
          <w:lang w:val="fr-CA"/>
        </w:rPr>
      </w:pPr>
      <w:r w:rsidRPr="00E75664">
        <w:rPr>
          <w:b/>
          <w:sz w:val="20"/>
          <w:szCs w:val="20"/>
          <w:lang w:val="fr-CA"/>
        </w:rPr>
        <w:t>GRANTED / ACCORDÉE</w:t>
      </w:r>
    </w:p>
    <w:p w:rsidR="009954A4" w:rsidRPr="00E75664" w:rsidRDefault="009954A4" w:rsidP="009954A4">
      <w:pPr>
        <w:tabs>
          <w:tab w:val="left" w:pos="-1440"/>
          <w:tab w:val="left" w:pos="-720"/>
        </w:tabs>
        <w:jc w:val="both"/>
        <w:rPr>
          <w:sz w:val="20"/>
          <w:szCs w:val="20"/>
          <w:lang w:val="fr-CA"/>
        </w:rPr>
      </w:pPr>
    </w:p>
    <w:p w:rsidR="009954A4" w:rsidRPr="00E75664" w:rsidRDefault="009954A4" w:rsidP="009954A4">
      <w:pPr>
        <w:spacing w:line="233" w:lineRule="auto"/>
        <w:jc w:val="both"/>
        <w:rPr>
          <w:sz w:val="20"/>
          <w:szCs w:val="20"/>
          <w:lang w:val="fr-CA"/>
        </w:rPr>
      </w:pPr>
      <w:r w:rsidRPr="00E75664">
        <w:rPr>
          <w:b/>
          <w:bCs/>
          <w:sz w:val="20"/>
          <w:szCs w:val="20"/>
          <w:lang w:val="fr-CA"/>
        </w:rPr>
        <w:t xml:space="preserve">À LA SUITE DE LA DEMANDE </w:t>
      </w:r>
      <w:r w:rsidRPr="00E75664">
        <w:rPr>
          <w:sz w:val="20"/>
          <w:szCs w:val="20"/>
          <w:lang w:val="fr-CA"/>
        </w:rPr>
        <w:t>présentée par l’intimé, Procureur général du Québec, pour obtenir la prorogation du délai pour signifier sa réponse à la demande d’autorisation d’appel au 20 décembre 2012;</w:t>
      </w:r>
    </w:p>
    <w:p w:rsidR="009954A4" w:rsidRPr="00E75664" w:rsidRDefault="009954A4" w:rsidP="009954A4">
      <w:pPr>
        <w:spacing w:line="233" w:lineRule="auto"/>
        <w:jc w:val="both"/>
        <w:rPr>
          <w:sz w:val="20"/>
          <w:szCs w:val="20"/>
          <w:lang w:val="fr-CA"/>
        </w:rPr>
      </w:pPr>
    </w:p>
    <w:p w:rsidR="009954A4" w:rsidRDefault="009954A4">
      <w:pPr>
        <w:rPr>
          <w:b/>
          <w:bCs/>
          <w:sz w:val="20"/>
          <w:szCs w:val="20"/>
          <w:lang w:val="fr-CA"/>
        </w:rPr>
      </w:pPr>
      <w:r>
        <w:rPr>
          <w:b/>
          <w:bCs/>
          <w:sz w:val="20"/>
          <w:szCs w:val="20"/>
          <w:lang w:val="fr-CA"/>
        </w:rPr>
        <w:br w:type="page"/>
      </w:r>
    </w:p>
    <w:p w:rsidR="009954A4" w:rsidRPr="00E75664" w:rsidRDefault="009954A4" w:rsidP="009954A4">
      <w:pPr>
        <w:spacing w:line="233" w:lineRule="auto"/>
        <w:jc w:val="both"/>
        <w:rPr>
          <w:b/>
          <w:bCs/>
          <w:sz w:val="20"/>
          <w:szCs w:val="20"/>
          <w:lang w:val="fr-CA"/>
        </w:rPr>
      </w:pPr>
      <w:r w:rsidRPr="00E75664">
        <w:rPr>
          <w:b/>
          <w:bCs/>
          <w:sz w:val="20"/>
          <w:szCs w:val="20"/>
          <w:lang w:val="fr-CA"/>
        </w:rPr>
        <w:lastRenderedPageBreak/>
        <w:t xml:space="preserve">ET À LA SUITE DE LA DEMANDE </w:t>
      </w:r>
      <w:r w:rsidRPr="00E75664">
        <w:rPr>
          <w:sz w:val="20"/>
          <w:szCs w:val="20"/>
          <w:lang w:val="fr-CA"/>
        </w:rPr>
        <w:t xml:space="preserve">présentée par l’intimée, </w:t>
      </w:r>
      <w:proofErr w:type="spellStart"/>
      <w:r w:rsidRPr="00E75664">
        <w:rPr>
          <w:sz w:val="20"/>
          <w:szCs w:val="20"/>
          <w:lang w:val="fr-CA"/>
        </w:rPr>
        <w:t>Forcier</w:t>
      </w:r>
      <w:proofErr w:type="spellEnd"/>
      <w:r w:rsidRPr="00E75664">
        <w:rPr>
          <w:sz w:val="20"/>
          <w:szCs w:val="20"/>
          <w:lang w:val="fr-CA"/>
        </w:rPr>
        <w:t xml:space="preserve"> et Frères </w:t>
      </w:r>
      <w:proofErr w:type="spellStart"/>
      <w:r w:rsidRPr="00E75664">
        <w:rPr>
          <w:sz w:val="20"/>
          <w:szCs w:val="20"/>
          <w:lang w:val="fr-CA"/>
        </w:rPr>
        <w:t>Ltée</w:t>
      </w:r>
      <w:proofErr w:type="spellEnd"/>
      <w:r w:rsidRPr="00E75664">
        <w:rPr>
          <w:sz w:val="20"/>
          <w:szCs w:val="20"/>
          <w:lang w:val="fr-CA"/>
        </w:rPr>
        <w:t>, pour obtenir la prorogation du délai pour signifier sa réponse à la demande d’autorisation d’appel au 15 janvier 2013;</w:t>
      </w:r>
    </w:p>
    <w:p w:rsidR="009954A4" w:rsidRPr="00E75664" w:rsidRDefault="009954A4" w:rsidP="009954A4">
      <w:pPr>
        <w:spacing w:line="233" w:lineRule="auto"/>
        <w:jc w:val="both"/>
        <w:rPr>
          <w:b/>
          <w:bCs/>
          <w:sz w:val="20"/>
          <w:szCs w:val="20"/>
          <w:lang w:val="fr-CA"/>
        </w:rPr>
      </w:pPr>
    </w:p>
    <w:p w:rsidR="009954A4" w:rsidRPr="00E75664" w:rsidRDefault="009954A4" w:rsidP="009954A4">
      <w:pPr>
        <w:spacing w:line="233" w:lineRule="auto"/>
        <w:jc w:val="both"/>
        <w:rPr>
          <w:sz w:val="20"/>
          <w:szCs w:val="20"/>
          <w:lang w:val="fr-CA"/>
        </w:rPr>
      </w:pPr>
      <w:r w:rsidRPr="00E75664">
        <w:rPr>
          <w:b/>
          <w:bCs/>
          <w:sz w:val="20"/>
          <w:szCs w:val="20"/>
          <w:lang w:val="fr-CA"/>
        </w:rPr>
        <w:t xml:space="preserve">ET APRÈS EXAMEN </w:t>
      </w:r>
      <w:r w:rsidRPr="00E75664">
        <w:rPr>
          <w:sz w:val="20"/>
          <w:szCs w:val="20"/>
          <w:lang w:val="fr-CA"/>
        </w:rPr>
        <w:t xml:space="preserve">des documents déposés;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jc w:val="both"/>
        <w:rPr>
          <w:sz w:val="20"/>
          <w:szCs w:val="20"/>
          <w:lang w:val="fr-CA"/>
        </w:rPr>
      </w:pPr>
      <w:r w:rsidRPr="00E75664">
        <w:rPr>
          <w:b/>
          <w:bCs/>
          <w:sz w:val="20"/>
          <w:szCs w:val="20"/>
          <w:lang w:val="fr-CA"/>
        </w:rPr>
        <w:t xml:space="preserve">IL EST ORDONNÉ CE QUI SUIT : </w:t>
      </w:r>
    </w:p>
    <w:p w:rsidR="009954A4" w:rsidRPr="00E75664" w:rsidRDefault="009954A4" w:rsidP="009954A4">
      <w:pPr>
        <w:spacing w:line="233" w:lineRule="auto"/>
        <w:jc w:val="both"/>
        <w:rPr>
          <w:sz w:val="20"/>
          <w:szCs w:val="20"/>
          <w:lang w:val="fr-CA"/>
        </w:rPr>
      </w:pPr>
    </w:p>
    <w:p w:rsidR="009954A4" w:rsidRPr="00E75664" w:rsidRDefault="009954A4" w:rsidP="009954A4">
      <w:pPr>
        <w:spacing w:line="233" w:lineRule="auto"/>
        <w:rPr>
          <w:sz w:val="20"/>
          <w:szCs w:val="20"/>
        </w:rPr>
      </w:pPr>
      <w:r w:rsidRPr="00E75664">
        <w:rPr>
          <w:sz w:val="20"/>
          <w:szCs w:val="20"/>
          <w:lang w:val="fr-CA"/>
        </w:rPr>
        <w:tab/>
      </w:r>
      <w:proofErr w:type="gramStart"/>
      <w:r w:rsidRPr="00E75664">
        <w:rPr>
          <w:sz w:val="20"/>
          <w:szCs w:val="20"/>
        </w:rPr>
        <w:t xml:space="preserve">Les </w:t>
      </w:r>
      <w:proofErr w:type="spellStart"/>
      <w:r w:rsidRPr="00E75664">
        <w:rPr>
          <w:sz w:val="20"/>
          <w:szCs w:val="20"/>
        </w:rPr>
        <w:t>requêtes</w:t>
      </w:r>
      <w:proofErr w:type="spellEnd"/>
      <w:r w:rsidRPr="00E75664">
        <w:rPr>
          <w:sz w:val="20"/>
          <w:szCs w:val="20"/>
        </w:rPr>
        <w:t xml:space="preserve"> </w:t>
      </w:r>
      <w:proofErr w:type="spellStart"/>
      <w:r w:rsidRPr="00E75664">
        <w:rPr>
          <w:sz w:val="20"/>
          <w:szCs w:val="20"/>
        </w:rPr>
        <w:t>sont</w:t>
      </w:r>
      <w:proofErr w:type="spellEnd"/>
      <w:r w:rsidRPr="00E75664">
        <w:rPr>
          <w:sz w:val="20"/>
          <w:szCs w:val="20"/>
        </w:rPr>
        <w:t xml:space="preserve"> </w:t>
      </w:r>
      <w:proofErr w:type="spellStart"/>
      <w:r w:rsidRPr="00E75664">
        <w:rPr>
          <w:sz w:val="20"/>
          <w:szCs w:val="20"/>
        </w:rPr>
        <w:t>accueillies</w:t>
      </w:r>
      <w:proofErr w:type="spellEnd"/>
      <w:r w:rsidRPr="00E75664">
        <w:rPr>
          <w:sz w:val="20"/>
          <w:szCs w:val="20"/>
        </w:rPr>
        <w:t>.</w:t>
      </w:r>
      <w:proofErr w:type="gramEnd"/>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tabs>
          <w:tab w:val="left" w:pos="-1440"/>
          <w:tab w:val="left" w:pos="-720"/>
        </w:tabs>
        <w:jc w:val="both"/>
        <w:rPr>
          <w:sz w:val="20"/>
          <w:szCs w:val="20"/>
        </w:rPr>
      </w:pPr>
    </w:p>
    <w:p w:rsidR="009954A4" w:rsidRPr="00E75664" w:rsidRDefault="009954A4" w:rsidP="009954A4">
      <w:pPr>
        <w:spacing w:line="233" w:lineRule="auto"/>
        <w:jc w:val="both"/>
        <w:rPr>
          <w:sz w:val="20"/>
          <w:szCs w:val="20"/>
        </w:rPr>
      </w:pPr>
      <w:r w:rsidRPr="00E75664">
        <w:rPr>
          <w:b/>
          <w:bCs/>
          <w:sz w:val="20"/>
          <w:szCs w:val="20"/>
        </w:rPr>
        <w:t xml:space="preserve">UPON APPLICATION </w:t>
      </w:r>
      <w:r w:rsidRPr="00E75664">
        <w:rPr>
          <w:bCs/>
          <w:sz w:val="20"/>
          <w:szCs w:val="20"/>
        </w:rPr>
        <w:t xml:space="preserve">by the respondent Attorney General of Quebec for an order extending the time within which he may serve and file his response to the application for leave to appeal to December </w:t>
      </w:r>
      <w:r w:rsidRPr="00E75664">
        <w:rPr>
          <w:sz w:val="20"/>
          <w:szCs w:val="20"/>
        </w:rPr>
        <w:t>20, 2012;</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b/>
          <w:bCs/>
          <w:sz w:val="20"/>
          <w:szCs w:val="20"/>
        </w:rPr>
      </w:pPr>
      <w:r w:rsidRPr="00E75664">
        <w:rPr>
          <w:b/>
          <w:bCs/>
          <w:sz w:val="20"/>
          <w:szCs w:val="20"/>
        </w:rPr>
        <w:t xml:space="preserve">AND UPON APPLICATION </w:t>
      </w:r>
      <w:r w:rsidRPr="00E75664">
        <w:rPr>
          <w:bCs/>
          <w:sz w:val="20"/>
          <w:szCs w:val="20"/>
        </w:rPr>
        <w:t xml:space="preserve">by the respondent </w:t>
      </w:r>
      <w:proofErr w:type="spellStart"/>
      <w:r w:rsidRPr="00E75664">
        <w:rPr>
          <w:sz w:val="20"/>
          <w:szCs w:val="20"/>
        </w:rPr>
        <w:t>Forcier</w:t>
      </w:r>
      <w:proofErr w:type="spellEnd"/>
      <w:r w:rsidRPr="00E75664">
        <w:rPr>
          <w:sz w:val="20"/>
          <w:szCs w:val="20"/>
        </w:rPr>
        <w:t xml:space="preserve"> et Frères </w:t>
      </w:r>
      <w:proofErr w:type="spellStart"/>
      <w:r w:rsidRPr="00E75664">
        <w:rPr>
          <w:sz w:val="20"/>
          <w:szCs w:val="20"/>
        </w:rPr>
        <w:t>Ltée</w:t>
      </w:r>
      <w:proofErr w:type="spellEnd"/>
      <w:r w:rsidRPr="00E75664">
        <w:rPr>
          <w:sz w:val="20"/>
          <w:szCs w:val="20"/>
        </w:rPr>
        <w:t xml:space="preserve"> </w:t>
      </w:r>
      <w:r w:rsidRPr="00E75664">
        <w:rPr>
          <w:bCs/>
          <w:sz w:val="20"/>
          <w:szCs w:val="20"/>
        </w:rPr>
        <w:t>for an order extending the time within which it may serve and file its response to the application for leave to appeal to January</w:t>
      </w:r>
      <w:r w:rsidRPr="00E75664">
        <w:rPr>
          <w:sz w:val="20"/>
          <w:szCs w:val="20"/>
        </w:rPr>
        <w:t xml:space="preserve"> 15, 2013;</w:t>
      </w:r>
    </w:p>
    <w:p w:rsidR="009954A4" w:rsidRPr="00E75664" w:rsidRDefault="009954A4" w:rsidP="009954A4">
      <w:pPr>
        <w:spacing w:line="233" w:lineRule="auto"/>
        <w:jc w:val="both"/>
        <w:rPr>
          <w:b/>
          <w:bCs/>
          <w:sz w:val="20"/>
          <w:szCs w:val="20"/>
        </w:rPr>
      </w:pPr>
    </w:p>
    <w:p w:rsidR="009954A4" w:rsidRPr="00E75664" w:rsidRDefault="009954A4" w:rsidP="009954A4">
      <w:pPr>
        <w:spacing w:line="233" w:lineRule="auto"/>
        <w:jc w:val="both"/>
        <w:rPr>
          <w:sz w:val="20"/>
          <w:szCs w:val="20"/>
        </w:rPr>
      </w:pPr>
      <w:r w:rsidRPr="00E75664">
        <w:rPr>
          <w:b/>
          <w:bCs/>
          <w:sz w:val="20"/>
          <w:szCs w:val="20"/>
        </w:rPr>
        <w:t xml:space="preserve">AND THE MATERIAL FILED </w:t>
      </w:r>
      <w:r w:rsidRPr="00E75664">
        <w:rPr>
          <w:bCs/>
          <w:sz w:val="20"/>
          <w:szCs w:val="20"/>
        </w:rPr>
        <w:t>having been read</w:t>
      </w:r>
      <w:r w:rsidRPr="00E75664">
        <w:rPr>
          <w:sz w:val="20"/>
          <w:szCs w:val="20"/>
        </w:rPr>
        <w:t xml:space="preserve">; </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b/>
          <w:bCs/>
          <w:sz w:val="20"/>
          <w:szCs w:val="20"/>
        </w:rPr>
        <w:t xml:space="preserve">IT IS HEREBY ORDERED THAT: </w:t>
      </w:r>
    </w:p>
    <w:p w:rsidR="009954A4" w:rsidRPr="00E75664" w:rsidRDefault="009954A4" w:rsidP="009954A4">
      <w:pPr>
        <w:spacing w:line="233" w:lineRule="auto"/>
        <w:jc w:val="both"/>
        <w:rPr>
          <w:sz w:val="20"/>
          <w:szCs w:val="20"/>
        </w:rPr>
      </w:pPr>
    </w:p>
    <w:p w:rsidR="009954A4" w:rsidRPr="00E75664" w:rsidRDefault="009954A4" w:rsidP="009954A4">
      <w:pPr>
        <w:spacing w:line="233" w:lineRule="auto"/>
        <w:jc w:val="both"/>
        <w:rPr>
          <w:sz w:val="20"/>
          <w:szCs w:val="20"/>
        </w:rPr>
      </w:pPr>
      <w:r w:rsidRPr="00E75664">
        <w:rPr>
          <w:sz w:val="20"/>
          <w:szCs w:val="20"/>
        </w:rPr>
        <w:tab/>
        <w:t>The motions are granted.</w:t>
      </w:r>
    </w:p>
    <w:p w:rsidR="009954A4" w:rsidRPr="00E75664" w:rsidRDefault="009954A4" w:rsidP="009954A4">
      <w:pPr>
        <w:tabs>
          <w:tab w:val="left" w:pos="-1440"/>
          <w:tab w:val="left" w:pos="-720"/>
        </w:tabs>
        <w:jc w:val="both"/>
        <w:rPr>
          <w:sz w:val="20"/>
          <w:szCs w:val="20"/>
          <w:lang w:val="fr-CA"/>
        </w:rPr>
      </w:pPr>
    </w:p>
    <w:p w:rsidR="009954A4" w:rsidRPr="00E75664" w:rsidRDefault="00F008AC" w:rsidP="009954A4">
      <w:pPr>
        <w:tabs>
          <w:tab w:val="left" w:pos="-1440"/>
          <w:tab w:val="left" w:pos="-720"/>
        </w:tabs>
        <w:jc w:val="both"/>
        <w:rPr>
          <w:sz w:val="20"/>
          <w:szCs w:val="20"/>
          <w:lang w:val="fr-CA"/>
        </w:rPr>
      </w:pPr>
      <w:r w:rsidRPr="00F008AC">
        <w:rPr>
          <w:sz w:val="20"/>
          <w:szCs w:val="20"/>
          <w:lang w:val="fr-CA"/>
        </w:rPr>
        <w:pict>
          <v:rect id="_x0000_i1047" style="width:2in;height:1pt" o:hrpct="0" o:hralign="center" o:hrstd="t" o:hrnoshade="t" o:hr="t" fillcolor="black [3213]" stroked="f"/>
        </w:pict>
      </w:r>
    </w:p>
    <w:p w:rsidR="009954A4" w:rsidRPr="00E75664" w:rsidRDefault="009954A4" w:rsidP="009954A4">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483800"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7907CB" w:rsidRDefault="007E7F15" w:rsidP="00C1697B">
            <w:pPr>
              <w:rPr>
                <w:sz w:val="20"/>
                <w:szCs w:val="20"/>
                <w:lang w:val="fr-CA"/>
              </w:rPr>
            </w:pPr>
            <w:r w:rsidRPr="007907CB">
              <w:rPr>
                <w:sz w:val="20"/>
                <w:szCs w:val="20"/>
                <w:lang w:val="fr-CA"/>
              </w:rPr>
              <w:t>25</w:t>
            </w:r>
            <w:r w:rsidR="00C1697B" w:rsidRPr="007907CB">
              <w:rPr>
                <w:sz w:val="20"/>
                <w:szCs w:val="20"/>
                <w:lang w:val="fr-CA"/>
              </w:rPr>
              <w:t>.0</w:t>
            </w:r>
            <w:r w:rsidRPr="007907CB">
              <w:rPr>
                <w:sz w:val="20"/>
                <w:szCs w:val="20"/>
                <w:lang w:val="fr-CA"/>
              </w:rPr>
              <w:t>1</w:t>
            </w:r>
            <w:r w:rsidR="00C1697B" w:rsidRPr="007907CB">
              <w:rPr>
                <w:sz w:val="20"/>
                <w:szCs w:val="20"/>
                <w:lang w:val="fr-CA"/>
              </w:rPr>
              <w:t>.201</w:t>
            </w:r>
            <w:r w:rsidRPr="007907CB">
              <w:rPr>
                <w:sz w:val="20"/>
                <w:szCs w:val="20"/>
                <w:lang w:val="fr-CA"/>
              </w:rPr>
              <w:t>3</w:t>
            </w:r>
          </w:p>
          <w:p w:rsidR="00C1697B" w:rsidRPr="007907CB" w:rsidRDefault="00C1697B" w:rsidP="00C1697B">
            <w:pPr>
              <w:rPr>
                <w:sz w:val="20"/>
                <w:szCs w:val="20"/>
                <w:lang w:val="fr-CA"/>
              </w:rPr>
            </w:pPr>
          </w:p>
          <w:p w:rsidR="00C1697B" w:rsidRPr="007907CB" w:rsidRDefault="007E7F15" w:rsidP="00C1697B">
            <w:pPr>
              <w:rPr>
                <w:b/>
                <w:sz w:val="20"/>
                <w:szCs w:val="20"/>
                <w:lang w:val="fr-CA"/>
              </w:rPr>
            </w:pPr>
            <w:proofErr w:type="spellStart"/>
            <w:r w:rsidRPr="007907CB">
              <w:rPr>
                <w:b/>
                <w:sz w:val="20"/>
                <w:szCs w:val="20"/>
                <w:lang w:val="fr-CA"/>
              </w:rPr>
              <w:t>T</w:t>
            </w:r>
            <w:r w:rsidR="00C1697B" w:rsidRPr="007907CB">
              <w:rPr>
                <w:b/>
                <w:sz w:val="20"/>
                <w:szCs w:val="20"/>
                <w:lang w:val="fr-CA"/>
              </w:rPr>
              <w:t>e</w:t>
            </w:r>
            <w:r w:rsidRPr="007907CB">
              <w:rPr>
                <w:b/>
                <w:sz w:val="20"/>
                <w:szCs w:val="20"/>
                <w:lang w:val="fr-CA"/>
              </w:rPr>
              <w:t>l</w:t>
            </w:r>
            <w:r w:rsidR="00C1697B" w:rsidRPr="007907CB">
              <w:rPr>
                <w:b/>
                <w:sz w:val="20"/>
                <w:szCs w:val="20"/>
                <w:lang w:val="fr-CA"/>
              </w:rPr>
              <w:t>u</w:t>
            </w:r>
            <w:r w:rsidRPr="007907CB">
              <w:rPr>
                <w:b/>
                <w:sz w:val="20"/>
                <w:szCs w:val="20"/>
                <w:lang w:val="fr-CA"/>
              </w:rPr>
              <w:t>s</w:t>
            </w:r>
            <w:proofErr w:type="spellEnd"/>
            <w:r w:rsidRPr="007907CB">
              <w:rPr>
                <w:b/>
                <w:sz w:val="20"/>
                <w:szCs w:val="20"/>
                <w:lang w:val="fr-CA"/>
              </w:rPr>
              <w:t xml:space="preserve"> Co</w:t>
            </w:r>
            <w:r w:rsidR="00C1697B" w:rsidRPr="007907CB">
              <w:rPr>
                <w:b/>
                <w:sz w:val="20"/>
                <w:szCs w:val="20"/>
                <w:lang w:val="fr-CA"/>
              </w:rPr>
              <w:t>r</w:t>
            </w:r>
            <w:r w:rsidRPr="007907CB">
              <w:rPr>
                <w:b/>
                <w:sz w:val="20"/>
                <w:szCs w:val="20"/>
                <w:lang w:val="fr-CA"/>
              </w:rPr>
              <w:t>pora</w:t>
            </w:r>
            <w:r w:rsidR="00C1697B" w:rsidRPr="007907CB">
              <w:rPr>
                <w:b/>
                <w:sz w:val="20"/>
                <w:szCs w:val="20"/>
                <w:lang w:val="fr-CA"/>
              </w:rPr>
              <w:t>t</w:t>
            </w:r>
            <w:r w:rsidRPr="007907CB">
              <w:rPr>
                <w:b/>
                <w:sz w:val="20"/>
                <w:szCs w:val="20"/>
                <w:lang w:val="fr-CA"/>
              </w:rPr>
              <w:t>io</w:t>
            </w:r>
            <w:r w:rsidR="00C1697B" w:rsidRPr="007907CB">
              <w:rPr>
                <w:b/>
                <w:sz w:val="20"/>
                <w:szCs w:val="20"/>
                <w:lang w:val="fr-CA"/>
              </w:rPr>
              <w:t>n</w:t>
            </w:r>
          </w:p>
          <w:p w:rsidR="00C1697B" w:rsidRPr="007907CB" w:rsidRDefault="00C1697B" w:rsidP="00C1697B">
            <w:pPr>
              <w:rPr>
                <w:b/>
                <w:sz w:val="20"/>
                <w:szCs w:val="20"/>
                <w:lang w:val="fr-CA"/>
              </w:rPr>
            </w:pPr>
          </w:p>
          <w:p w:rsidR="00C1697B" w:rsidRPr="007907CB" w:rsidRDefault="00C1697B" w:rsidP="00C1697B">
            <w:pPr>
              <w:rPr>
                <w:b/>
                <w:sz w:val="20"/>
                <w:szCs w:val="20"/>
                <w:lang w:val="fr-CA"/>
              </w:rPr>
            </w:pPr>
            <w:r w:rsidRPr="007907CB">
              <w:rPr>
                <w:b/>
                <w:sz w:val="20"/>
                <w:szCs w:val="20"/>
                <w:lang w:val="fr-CA"/>
              </w:rPr>
              <w:tab/>
              <w:t>v. (3</w:t>
            </w:r>
            <w:r w:rsidR="00BA6996">
              <w:rPr>
                <w:b/>
                <w:sz w:val="20"/>
                <w:szCs w:val="20"/>
                <w:lang w:val="fr-CA"/>
              </w:rPr>
              <w:t>5122</w:t>
            </w:r>
            <w:r w:rsidRPr="007907CB">
              <w:rPr>
                <w:b/>
                <w:sz w:val="20"/>
                <w:szCs w:val="20"/>
                <w:lang w:val="fr-CA"/>
              </w:rPr>
              <w:t>)</w:t>
            </w:r>
          </w:p>
          <w:p w:rsidR="00C1697B" w:rsidRPr="007907CB" w:rsidRDefault="00C1697B" w:rsidP="00C1697B">
            <w:pPr>
              <w:rPr>
                <w:b/>
                <w:sz w:val="20"/>
                <w:szCs w:val="20"/>
                <w:lang w:val="fr-CA"/>
              </w:rPr>
            </w:pPr>
          </w:p>
          <w:p w:rsidR="00C1697B" w:rsidRPr="00C1697B" w:rsidRDefault="007E7F15" w:rsidP="00C1697B">
            <w:pPr>
              <w:rPr>
                <w:b/>
                <w:sz w:val="20"/>
                <w:szCs w:val="20"/>
              </w:rPr>
            </w:pPr>
            <w:r w:rsidRPr="007E7F15">
              <w:rPr>
                <w:b/>
                <w:sz w:val="20"/>
                <w:szCs w:val="20"/>
                <w:lang w:val="fr-CA"/>
              </w:rPr>
              <w:t>M</w:t>
            </w:r>
            <w:r w:rsidR="00C1697B" w:rsidRPr="007E7F15">
              <w:rPr>
                <w:b/>
                <w:sz w:val="20"/>
                <w:szCs w:val="20"/>
                <w:lang w:val="fr-CA"/>
              </w:rPr>
              <w:t>a</w:t>
            </w:r>
            <w:r w:rsidRPr="007E7F15">
              <w:rPr>
                <w:b/>
                <w:sz w:val="20"/>
                <w:szCs w:val="20"/>
                <w:lang w:val="fr-CA"/>
              </w:rPr>
              <w:t>son Cap</w:t>
            </w:r>
            <w:r w:rsidR="00C1697B" w:rsidRPr="007E7F15">
              <w:rPr>
                <w:b/>
                <w:sz w:val="20"/>
                <w:szCs w:val="20"/>
                <w:lang w:val="fr-CA"/>
              </w:rPr>
              <w:t>i</w:t>
            </w:r>
            <w:r w:rsidRPr="007E7F15">
              <w:rPr>
                <w:b/>
                <w:sz w:val="20"/>
                <w:szCs w:val="20"/>
                <w:lang w:val="fr-CA"/>
              </w:rPr>
              <w:t>tal Manageme</w:t>
            </w:r>
            <w:r w:rsidR="00C1697B" w:rsidRPr="007E7F15">
              <w:rPr>
                <w:b/>
                <w:sz w:val="20"/>
                <w:szCs w:val="20"/>
                <w:lang w:val="fr-CA"/>
              </w:rPr>
              <w:t>n</w:t>
            </w:r>
            <w:r w:rsidRPr="007E7F15">
              <w:rPr>
                <w:b/>
                <w:sz w:val="20"/>
                <w:szCs w:val="20"/>
                <w:lang w:val="fr-CA"/>
              </w:rPr>
              <w:t>t LLC et al.</w:t>
            </w:r>
            <w:r w:rsidR="00C1697B" w:rsidRPr="007E7F15">
              <w:rPr>
                <w:b/>
                <w:sz w:val="20"/>
                <w:szCs w:val="20"/>
                <w:lang w:val="fr-CA"/>
              </w:rPr>
              <w:t xml:space="preserve"> </w:t>
            </w:r>
            <w:r w:rsidR="00C1697B" w:rsidRPr="00C1697B">
              <w:rPr>
                <w:b/>
                <w:sz w:val="20"/>
                <w:szCs w:val="20"/>
              </w:rPr>
              <w:t>(</w:t>
            </w:r>
            <w:r>
              <w:rPr>
                <w:b/>
                <w:sz w:val="20"/>
                <w:szCs w:val="20"/>
              </w:rPr>
              <w:t>B</w:t>
            </w:r>
            <w:r w:rsidR="00C1697B" w:rsidRPr="00C1697B">
              <w:rPr>
                <w:b/>
                <w:sz w:val="20"/>
                <w:szCs w:val="20"/>
              </w:rPr>
              <w:t>.</w:t>
            </w:r>
            <w:r>
              <w:rPr>
                <w:b/>
                <w:sz w:val="20"/>
                <w:szCs w:val="20"/>
              </w:rPr>
              <w:t>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7E7F15" w:rsidRDefault="00F008AC" w:rsidP="00697C62">
            <w:pPr>
              <w:rPr>
                <w:sz w:val="20"/>
                <w:szCs w:val="20"/>
              </w:rPr>
            </w:pPr>
            <w:r w:rsidRPr="00F008AC">
              <w:rPr>
                <w:sz w:val="20"/>
                <w:szCs w:val="20"/>
                <w:lang w:val="fr-CA"/>
              </w:rPr>
              <w:pict>
                <v:rect id="_x0000_i1050" style="width:108pt;height:1pt" o:hrpct="0" o:hralign="center" o:hrstd="t" o:hrnoshade="t" o:hr="t" fillcolor="black [3213]" stroked="f"/>
              </w:pict>
            </w:r>
          </w:p>
        </w:tc>
        <w:tc>
          <w:tcPr>
            <w:tcW w:w="1080" w:type="dxa"/>
            <w:shd w:val="clear" w:color="auto" w:fill="auto"/>
          </w:tcPr>
          <w:p w:rsidR="00802863" w:rsidRPr="007E7F15" w:rsidRDefault="00802863"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p w:rsidR="003B3977" w:rsidRPr="007E7F15" w:rsidRDefault="003B3977" w:rsidP="00802863">
            <w:pPr>
              <w:jc w:val="center"/>
              <w:rPr>
                <w:sz w:val="20"/>
                <w:szCs w:val="20"/>
              </w:rPr>
            </w:pPr>
          </w:p>
        </w:tc>
        <w:tc>
          <w:tcPr>
            <w:tcW w:w="4417" w:type="dxa"/>
            <w:shd w:val="clear" w:color="auto" w:fill="auto"/>
          </w:tcPr>
          <w:p w:rsidR="00802863" w:rsidRPr="007E7F15" w:rsidRDefault="00802863" w:rsidP="00802863">
            <w:pPr>
              <w:rPr>
                <w:sz w:val="20"/>
                <w:szCs w:val="20"/>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8380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F82097" w:rsidP="00AF1715">
      <w:pPr>
        <w:rPr>
          <w:b/>
          <w:sz w:val="20"/>
          <w:szCs w:val="20"/>
        </w:rPr>
      </w:pPr>
      <w:r>
        <w:rPr>
          <w:b/>
          <w:sz w:val="20"/>
          <w:szCs w:val="20"/>
        </w:rPr>
        <w:t>FEBRUA</w:t>
      </w:r>
      <w:r w:rsidR="00AF1715" w:rsidRPr="003B3977">
        <w:rPr>
          <w:b/>
          <w:sz w:val="20"/>
          <w:szCs w:val="20"/>
        </w:rPr>
        <w:t>R</w:t>
      </w:r>
      <w:r>
        <w:rPr>
          <w:b/>
          <w:sz w:val="20"/>
          <w:szCs w:val="20"/>
        </w:rPr>
        <w:t>Y</w:t>
      </w:r>
      <w:r w:rsidR="00AF1715" w:rsidRPr="003B3977">
        <w:rPr>
          <w:b/>
          <w:sz w:val="20"/>
          <w:szCs w:val="20"/>
        </w:rPr>
        <w:t xml:space="preserve"> </w:t>
      </w:r>
      <w:r>
        <w:rPr>
          <w:b/>
          <w:sz w:val="20"/>
          <w:szCs w:val="20"/>
        </w:rPr>
        <w:t>1</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w:t>
      </w:r>
      <w:r w:rsidRPr="00F82097">
        <w:rPr>
          <w:b/>
          <w:sz w:val="20"/>
          <w:szCs w:val="20"/>
          <w:vertAlign w:val="superscript"/>
        </w:rPr>
        <w:t>er</w:t>
      </w:r>
      <w:r>
        <w:rPr>
          <w:b/>
          <w:sz w:val="20"/>
          <w:szCs w:val="20"/>
        </w:rPr>
        <w:t xml:space="preserve"> FÉVRIER</w:t>
      </w:r>
      <w:r w:rsidR="00AF1715" w:rsidRPr="003B3977">
        <w:rPr>
          <w:b/>
          <w:sz w:val="20"/>
          <w:szCs w:val="20"/>
        </w:rPr>
        <w:t xml:space="preserve"> 201</w:t>
      </w:r>
      <w:r>
        <w:rPr>
          <w:b/>
          <w:sz w:val="20"/>
          <w:szCs w:val="20"/>
        </w:rPr>
        <w:t>3</w:t>
      </w:r>
    </w:p>
    <w:p w:rsidR="00AF1715" w:rsidRDefault="00AF1715" w:rsidP="00AF1715">
      <w:pPr>
        <w:rPr>
          <w:sz w:val="20"/>
          <w:szCs w:val="20"/>
        </w:rPr>
      </w:pPr>
    </w:p>
    <w:p w:rsidR="00AD467F" w:rsidRPr="00B34FD8" w:rsidRDefault="00AD467F" w:rsidP="00AD467F">
      <w:pPr>
        <w:pStyle w:val="SCCLsocParty"/>
        <w:ind w:left="1440" w:hanging="1440"/>
        <w:jc w:val="both"/>
        <w:rPr>
          <w:sz w:val="20"/>
          <w:lang w:val="en-US"/>
        </w:rPr>
      </w:pPr>
      <w:r w:rsidRPr="00B34FD8">
        <w:rPr>
          <w:b/>
          <w:sz w:val="20"/>
          <w:lang w:val="en-US"/>
        </w:rPr>
        <w:t>34308</w:t>
      </w:r>
      <w:r w:rsidRPr="00B34FD8">
        <w:rPr>
          <w:b/>
          <w:sz w:val="20"/>
          <w:lang w:val="en-US"/>
        </w:rPr>
        <w:tab/>
      </w:r>
      <w:r w:rsidRPr="00B34FD8">
        <w:rPr>
          <w:b/>
          <w:sz w:val="20"/>
          <w:szCs w:val="20"/>
          <w:u w:val="single"/>
          <w:lang w:val="en-US"/>
        </w:rPr>
        <w:t xml:space="preserve">Sun </w:t>
      </w:r>
      <w:proofErr w:type="spellStart"/>
      <w:r w:rsidRPr="00B34FD8">
        <w:rPr>
          <w:b/>
          <w:sz w:val="20"/>
          <w:szCs w:val="20"/>
          <w:u w:val="single"/>
          <w:lang w:val="en-US"/>
        </w:rPr>
        <w:t>Indalex</w:t>
      </w:r>
      <w:proofErr w:type="spellEnd"/>
      <w:r w:rsidRPr="00B34FD8">
        <w:rPr>
          <w:b/>
          <w:sz w:val="20"/>
          <w:szCs w:val="20"/>
          <w:u w:val="single"/>
          <w:lang w:val="en-US"/>
        </w:rPr>
        <w:t xml:space="preserve"> Finance, LLC v. United Steelworkers, Keith </w:t>
      </w:r>
      <w:proofErr w:type="spellStart"/>
      <w:r w:rsidRPr="00B34FD8">
        <w:rPr>
          <w:b/>
          <w:sz w:val="20"/>
          <w:szCs w:val="20"/>
          <w:u w:val="single"/>
          <w:lang w:val="en-US"/>
        </w:rPr>
        <w:t>Carruthers</w:t>
      </w:r>
      <w:proofErr w:type="spellEnd"/>
      <w:r w:rsidRPr="00B34FD8">
        <w:rPr>
          <w:b/>
          <w:sz w:val="20"/>
          <w:szCs w:val="20"/>
          <w:u w:val="single"/>
          <w:lang w:val="en-US"/>
        </w:rPr>
        <w:t xml:space="preserve">, Leon </w:t>
      </w:r>
      <w:proofErr w:type="spellStart"/>
      <w:r w:rsidRPr="00B34FD8">
        <w:rPr>
          <w:b/>
          <w:sz w:val="20"/>
          <w:szCs w:val="20"/>
          <w:u w:val="single"/>
          <w:lang w:val="en-US"/>
        </w:rPr>
        <w:t>Kozierok</w:t>
      </w:r>
      <w:proofErr w:type="spellEnd"/>
      <w:r w:rsidRPr="00B34FD8">
        <w:rPr>
          <w:b/>
          <w:sz w:val="20"/>
          <w:szCs w:val="20"/>
          <w:u w:val="single"/>
          <w:lang w:val="en-US"/>
        </w:rPr>
        <w:t xml:space="preserve">, Richard Benson, John </w:t>
      </w:r>
      <w:proofErr w:type="spellStart"/>
      <w:r w:rsidRPr="00B34FD8">
        <w:rPr>
          <w:b/>
          <w:sz w:val="20"/>
          <w:szCs w:val="20"/>
          <w:u w:val="single"/>
          <w:lang w:val="en-US"/>
        </w:rPr>
        <w:t>Faveri</w:t>
      </w:r>
      <w:proofErr w:type="spellEnd"/>
      <w:r w:rsidRPr="00B34FD8">
        <w:rPr>
          <w:b/>
          <w:sz w:val="20"/>
          <w:szCs w:val="20"/>
          <w:u w:val="single"/>
          <w:lang w:val="en-US"/>
        </w:rPr>
        <w:t xml:space="preserve">, Ken Waldron, John (Jack) W. Rooney, Bertram McBride, Max </w:t>
      </w:r>
      <w:proofErr w:type="spellStart"/>
      <w:r w:rsidRPr="00B34FD8">
        <w:rPr>
          <w:b/>
          <w:sz w:val="20"/>
          <w:szCs w:val="20"/>
          <w:u w:val="single"/>
          <w:lang w:val="en-US"/>
        </w:rPr>
        <w:t>Degen</w:t>
      </w:r>
      <w:proofErr w:type="spellEnd"/>
      <w:r w:rsidRPr="00B34FD8">
        <w:rPr>
          <w:b/>
          <w:sz w:val="20"/>
          <w:szCs w:val="20"/>
          <w:u w:val="single"/>
          <w:lang w:val="en-US"/>
        </w:rPr>
        <w:t xml:space="preserve">, Eugene </w:t>
      </w:r>
      <w:proofErr w:type="spellStart"/>
      <w:r w:rsidRPr="00B34FD8">
        <w:rPr>
          <w:b/>
          <w:sz w:val="20"/>
          <w:szCs w:val="20"/>
          <w:u w:val="single"/>
          <w:lang w:val="en-US"/>
        </w:rPr>
        <w:t>D’Iorio</w:t>
      </w:r>
      <w:proofErr w:type="spellEnd"/>
      <w:r w:rsidRPr="00B34FD8">
        <w:rPr>
          <w:b/>
          <w:sz w:val="20"/>
          <w:szCs w:val="20"/>
          <w:u w:val="single"/>
          <w:lang w:val="en-US"/>
        </w:rPr>
        <w:t xml:space="preserve">, Neil Fraser, Richard Smith, Robert </w:t>
      </w:r>
      <w:proofErr w:type="spellStart"/>
      <w:r w:rsidRPr="00B34FD8">
        <w:rPr>
          <w:b/>
          <w:sz w:val="20"/>
          <w:szCs w:val="20"/>
          <w:u w:val="single"/>
          <w:lang w:val="en-US"/>
        </w:rPr>
        <w:t>Leckie</w:t>
      </w:r>
      <w:proofErr w:type="spellEnd"/>
      <w:r w:rsidRPr="00B34FD8">
        <w:rPr>
          <w:b/>
          <w:sz w:val="20"/>
          <w:szCs w:val="20"/>
          <w:u w:val="single"/>
          <w:lang w:val="en-US"/>
        </w:rPr>
        <w:t xml:space="preserve"> and Fred Granville – AND BETWEEN – George L. Miller, the Chapter 7 Trustee of the Bankruptcy Estates of the U.S. </w:t>
      </w:r>
      <w:proofErr w:type="spellStart"/>
      <w:r w:rsidRPr="00B34FD8">
        <w:rPr>
          <w:b/>
          <w:sz w:val="20"/>
          <w:szCs w:val="20"/>
          <w:u w:val="single"/>
          <w:lang w:val="en-US"/>
        </w:rPr>
        <w:t>Indalex</w:t>
      </w:r>
      <w:proofErr w:type="spellEnd"/>
      <w:r w:rsidRPr="00B34FD8">
        <w:rPr>
          <w:b/>
          <w:sz w:val="20"/>
          <w:szCs w:val="20"/>
          <w:u w:val="single"/>
          <w:lang w:val="en-US"/>
        </w:rPr>
        <w:t xml:space="preserve"> Debtors v. United Steelworkers, Keith </w:t>
      </w:r>
      <w:proofErr w:type="spellStart"/>
      <w:r w:rsidRPr="00B34FD8">
        <w:rPr>
          <w:b/>
          <w:sz w:val="20"/>
          <w:szCs w:val="20"/>
          <w:u w:val="single"/>
          <w:lang w:val="en-US"/>
        </w:rPr>
        <w:t>Carruthers</w:t>
      </w:r>
      <w:proofErr w:type="spellEnd"/>
      <w:r w:rsidRPr="00B34FD8">
        <w:rPr>
          <w:b/>
          <w:sz w:val="20"/>
          <w:szCs w:val="20"/>
          <w:u w:val="single"/>
          <w:lang w:val="en-US"/>
        </w:rPr>
        <w:t xml:space="preserve">, Leon </w:t>
      </w:r>
      <w:proofErr w:type="spellStart"/>
      <w:r w:rsidRPr="00B34FD8">
        <w:rPr>
          <w:b/>
          <w:sz w:val="20"/>
          <w:szCs w:val="20"/>
          <w:u w:val="single"/>
          <w:lang w:val="en-US"/>
        </w:rPr>
        <w:t>Kozierok</w:t>
      </w:r>
      <w:proofErr w:type="spellEnd"/>
      <w:r w:rsidRPr="00B34FD8">
        <w:rPr>
          <w:b/>
          <w:sz w:val="20"/>
          <w:szCs w:val="20"/>
          <w:u w:val="single"/>
          <w:lang w:val="en-US"/>
        </w:rPr>
        <w:t xml:space="preserve">, Richard Benson, John </w:t>
      </w:r>
      <w:proofErr w:type="spellStart"/>
      <w:r w:rsidRPr="00B34FD8">
        <w:rPr>
          <w:b/>
          <w:sz w:val="20"/>
          <w:szCs w:val="20"/>
          <w:u w:val="single"/>
          <w:lang w:val="en-US"/>
        </w:rPr>
        <w:t>Faveri</w:t>
      </w:r>
      <w:proofErr w:type="spellEnd"/>
      <w:r w:rsidRPr="00B34FD8">
        <w:rPr>
          <w:b/>
          <w:sz w:val="20"/>
          <w:szCs w:val="20"/>
          <w:u w:val="single"/>
          <w:lang w:val="en-US"/>
        </w:rPr>
        <w:t xml:space="preserve">, Ken Waldron, John (Jack) W. Rooney, Bertram McBride, Max </w:t>
      </w:r>
      <w:proofErr w:type="spellStart"/>
      <w:r w:rsidRPr="00B34FD8">
        <w:rPr>
          <w:b/>
          <w:sz w:val="20"/>
          <w:szCs w:val="20"/>
          <w:u w:val="single"/>
          <w:lang w:val="en-US"/>
        </w:rPr>
        <w:t>Degen</w:t>
      </w:r>
      <w:proofErr w:type="spellEnd"/>
      <w:r w:rsidRPr="00B34FD8">
        <w:rPr>
          <w:b/>
          <w:sz w:val="20"/>
          <w:szCs w:val="20"/>
          <w:u w:val="single"/>
          <w:lang w:val="en-US"/>
        </w:rPr>
        <w:t xml:space="preserve">, Eugene </w:t>
      </w:r>
      <w:proofErr w:type="spellStart"/>
      <w:r w:rsidRPr="00B34FD8">
        <w:rPr>
          <w:b/>
          <w:sz w:val="20"/>
          <w:szCs w:val="20"/>
          <w:u w:val="single"/>
          <w:lang w:val="en-US"/>
        </w:rPr>
        <w:t>D’Iorio</w:t>
      </w:r>
      <w:proofErr w:type="spellEnd"/>
      <w:r w:rsidRPr="00B34FD8">
        <w:rPr>
          <w:b/>
          <w:sz w:val="20"/>
          <w:szCs w:val="20"/>
          <w:u w:val="single"/>
          <w:lang w:val="en-US"/>
        </w:rPr>
        <w:t xml:space="preserve">, Neil Fraser, Richard Smith, Robert </w:t>
      </w:r>
      <w:proofErr w:type="spellStart"/>
      <w:r w:rsidRPr="00B34FD8">
        <w:rPr>
          <w:b/>
          <w:sz w:val="20"/>
          <w:szCs w:val="20"/>
          <w:u w:val="single"/>
          <w:lang w:val="en-US"/>
        </w:rPr>
        <w:t>Leckie</w:t>
      </w:r>
      <w:proofErr w:type="spellEnd"/>
      <w:r w:rsidRPr="00B34FD8">
        <w:rPr>
          <w:b/>
          <w:sz w:val="20"/>
          <w:szCs w:val="20"/>
          <w:u w:val="single"/>
          <w:lang w:val="en-US"/>
        </w:rPr>
        <w:t xml:space="preserve"> and Fred – AND BETWEEN – FTI Consulting Canada ULC, in its capacity as court-appointed monitor of </w:t>
      </w:r>
      <w:proofErr w:type="spellStart"/>
      <w:r w:rsidRPr="00B34FD8">
        <w:rPr>
          <w:b/>
          <w:sz w:val="20"/>
          <w:szCs w:val="20"/>
          <w:u w:val="single"/>
          <w:lang w:val="en-US"/>
        </w:rPr>
        <w:t>Indalex</w:t>
      </w:r>
      <w:proofErr w:type="spellEnd"/>
      <w:r w:rsidRPr="00B34FD8">
        <w:rPr>
          <w:b/>
          <w:sz w:val="20"/>
          <w:szCs w:val="20"/>
          <w:u w:val="single"/>
          <w:lang w:val="en-US"/>
        </w:rPr>
        <w:t xml:space="preserve"> Limited, on behalf of </w:t>
      </w:r>
      <w:proofErr w:type="spellStart"/>
      <w:r w:rsidRPr="00B34FD8">
        <w:rPr>
          <w:b/>
          <w:sz w:val="20"/>
          <w:szCs w:val="20"/>
          <w:u w:val="single"/>
          <w:lang w:val="en-US"/>
        </w:rPr>
        <w:t>Indalex</w:t>
      </w:r>
      <w:proofErr w:type="spellEnd"/>
      <w:r w:rsidRPr="00B34FD8">
        <w:rPr>
          <w:b/>
          <w:sz w:val="20"/>
          <w:szCs w:val="20"/>
          <w:u w:val="single"/>
          <w:lang w:val="en-US"/>
        </w:rPr>
        <w:t xml:space="preserve"> Limited </w:t>
      </w:r>
      <w:r>
        <w:rPr>
          <w:b/>
          <w:sz w:val="20"/>
          <w:szCs w:val="20"/>
          <w:u w:val="single"/>
          <w:lang w:val="en-US"/>
        </w:rPr>
        <w:t xml:space="preserve">v. </w:t>
      </w:r>
      <w:r w:rsidRPr="00B34FD8">
        <w:rPr>
          <w:b/>
          <w:sz w:val="20"/>
          <w:szCs w:val="20"/>
          <w:u w:val="single"/>
          <w:lang w:val="en-US"/>
        </w:rPr>
        <w:t xml:space="preserve">United Steelworkers, Keith </w:t>
      </w:r>
      <w:proofErr w:type="spellStart"/>
      <w:r w:rsidRPr="00B34FD8">
        <w:rPr>
          <w:b/>
          <w:sz w:val="20"/>
          <w:szCs w:val="20"/>
          <w:u w:val="single"/>
          <w:lang w:val="en-US"/>
        </w:rPr>
        <w:t>Carruthers</w:t>
      </w:r>
      <w:proofErr w:type="spellEnd"/>
      <w:r w:rsidRPr="00B34FD8">
        <w:rPr>
          <w:b/>
          <w:sz w:val="20"/>
          <w:szCs w:val="20"/>
          <w:u w:val="single"/>
          <w:lang w:val="en-US"/>
        </w:rPr>
        <w:t xml:space="preserve">, Leon </w:t>
      </w:r>
      <w:proofErr w:type="spellStart"/>
      <w:r w:rsidRPr="00B34FD8">
        <w:rPr>
          <w:b/>
          <w:sz w:val="20"/>
          <w:szCs w:val="20"/>
          <w:u w:val="single"/>
          <w:lang w:val="en-US"/>
        </w:rPr>
        <w:t>Kozierok</w:t>
      </w:r>
      <w:proofErr w:type="spellEnd"/>
      <w:r w:rsidRPr="00B34FD8">
        <w:rPr>
          <w:b/>
          <w:sz w:val="20"/>
          <w:szCs w:val="20"/>
          <w:u w:val="single"/>
          <w:lang w:val="en-US"/>
        </w:rPr>
        <w:t xml:space="preserve">, Richard Benson, John </w:t>
      </w:r>
      <w:proofErr w:type="spellStart"/>
      <w:r w:rsidRPr="00B34FD8">
        <w:rPr>
          <w:b/>
          <w:sz w:val="20"/>
          <w:szCs w:val="20"/>
          <w:u w:val="single"/>
          <w:lang w:val="en-US"/>
        </w:rPr>
        <w:t>Faveri</w:t>
      </w:r>
      <w:proofErr w:type="spellEnd"/>
      <w:r w:rsidRPr="00B34FD8">
        <w:rPr>
          <w:b/>
          <w:sz w:val="20"/>
          <w:szCs w:val="20"/>
          <w:u w:val="single"/>
          <w:lang w:val="en-US"/>
        </w:rPr>
        <w:t xml:space="preserve">, Ken Waldron, John (Jack) W. Rooney, Bertram McBride, Max </w:t>
      </w:r>
      <w:proofErr w:type="spellStart"/>
      <w:r w:rsidRPr="00B34FD8">
        <w:rPr>
          <w:b/>
          <w:sz w:val="20"/>
          <w:szCs w:val="20"/>
          <w:u w:val="single"/>
          <w:lang w:val="en-US"/>
        </w:rPr>
        <w:t>Degen</w:t>
      </w:r>
      <w:proofErr w:type="spellEnd"/>
      <w:r w:rsidRPr="00B34FD8">
        <w:rPr>
          <w:b/>
          <w:sz w:val="20"/>
          <w:szCs w:val="20"/>
          <w:u w:val="single"/>
          <w:lang w:val="en-US"/>
        </w:rPr>
        <w:t xml:space="preserve">, Eugene </w:t>
      </w:r>
      <w:proofErr w:type="spellStart"/>
      <w:r w:rsidRPr="00B34FD8">
        <w:rPr>
          <w:b/>
          <w:sz w:val="20"/>
          <w:szCs w:val="20"/>
          <w:u w:val="single"/>
          <w:lang w:val="en-US"/>
        </w:rPr>
        <w:t>D’Iorio</w:t>
      </w:r>
      <w:proofErr w:type="spellEnd"/>
      <w:r w:rsidRPr="00B34FD8">
        <w:rPr>
          <w:b/>
          <w:sz w:val="20"/>
          <w:szCs w:val="20"/>
          <w:u w:val="single"/>
          <w:lang w:val="en-US"/>
        </w:rPr>
        <w:t xml:space="preserve">, Neil Fraser, Richard Smith, Robert </w:t>
      </w:r>
      <w:proofErr w:type="spellStart"/>
      <w:r w:rsidRPr="00B34FD8">
        <w:rPr>
          <w:b/>
          <w:sz w:val="20"/>
          <w:szCs w:val="20"/>
          <w:u w:val="single"/>
          <w:lang w:val="en-US"/>
        </w:rPr>
        <w:t>Leckie</w:t>
      </w:r>
      <w:proofErr w:type="spellEnd"/>
      <w:r w:rsidRPr="00B34FD8">
        <w:rPr>
          <w:b/>
          <w:sz w:val="20"/>
          <w:szCs w:val="20"/>
          <w:u w:val="single"/>
          <w:lang w:val="en-US"/>
        </w:rPr>
        <w:t xml:space="preserve"> and Fred Granville – </w:t>
      </w:r>
      <w:r>
        <w:rPr>
          <w:b/>
          <w:sz w:val="20"/>
          <w:szCs w:val="20"/>
          <w:u w:val="single"/>
          <w:lang w:val="en-US"/>
        </w:rPr>
        <w:t>AND BETWEEN</w:t>
      </w:r>
      <w:r w:rsidRPr="00B34FD8">
        <w:rPr>
          <w:b/>
          <w:sz w:val="20"/>
          <w:szCs w:val="20"/>
          <w:u w:val="single"/>
          <w:lang w:val="en-US"/>
        </w:rPr>
        <w:t xml:space="preserve"> – United Steelworkers </w:t>
      </w:r>
      <w:r>
        <w:rPr>
          <w:b/>
          <w:sz w:val="20"/>
          <w:szCs w:val="20"/>
          <w:u w:val="single"/>
          <w:lang w:val="en-US"/>
        </w:rPr>
        <w:t xml:space="preserve">v. </w:t>
      </w:r>
      <w:proofErr w:type="spellStart"/>
      <w:r w:rsidRPr="00B34FD8">
        <w:rPr>
          <w:b/>
          <w:sz w:val="20"/>
          <w:szCs w:val="20"/>
          <w:u w:val="single"/>
          <w:lang w:val="en-US"/>
        </w:rPr>
        <w:t>Morneau</w:t>
      </w:r>
      <w:proofErr w:type="spellEnd"/>
      <w:r w:rsidRPr="00B34FD8">
        <w:rPr>
          <w:b/>
          <w:sz w:val="20"/>
          <w:szCs w:val="20"/>
          <w:u w:val="single"/>
          <w:lang w:val="en-US"/>
        </w:rPr>
        <w:t xml:space="preserve"> </w:t>
      </w:r>
      <w:proofErr w:type="spellStart"/>
      <w:r w:rsidRPr="00B34FD8">
        <w:rPr>
          <w:b/>
          <w:sz w:val="20"/>
          <w:szCs w:val="20"/>
          <w:u w:val="single"/>
          <w:lang w:val="en-US"/>
        </w:rPr>
        <w:t>Shepell</w:t>
      </w:r>
      <w:proofErr w:type="spellEnd"/>
      <w:r w:rsidRPr="00B34FD8">
        <w:rPr>
          <w:b/>
          <w:sz w:val="20"/>
          <w:szCs w:val="20"/>
          <w:u w:val="single"/>
          <w:lang w:val="en-US"/>
        </w:rPr>
        <w:t xml:space="preserve"> Ltd. (formerly known as </w:t>
      </w:r>
      <w:proofErr w:type="spellStart"/>
      <w:r w:rsidRPr="00B34FD8">
        <w:rPr>
          <w:b/>
          <w:sz w:val="20"/>
          <w:szCs w:val="20"/>
          <w:u w:val="single"/>
          <w:lang w:val="en-US"/>
        </w:rPr>
        <w:t>Morneau</w:t>
      </w:r>
      <w:proofErr w:type="spellEnd"/>
      <w:r w:rsidRPr="00B34FD8">
        <w:rPr>
          <w:b/>
          <w:sz w:val="20"/>
          <w:szCs w:val="20"/>
          <w:u w:val="single"/>
          <w:lang w:val="en-US"/>
        </w:rPr>
        <w:t xml:space="preserve"> </w:t>
      </w:r>
      <w:proofErr w:type="spellStart"/>
      <w:r w:rsidRPr="00B34FD8">
        <w:rPr>
          <w:b/>
          <w:sz w:val="20"/>
          <w:szCs w:val="20"/>
          <w:u w:val="single"/>
          <w:lang w:val="en-US"/>
        </w:rPr>
        <w:t>Sobeco</w:t>
      </w:r>
      <w:proofErr w:type="spellEnd"/>
      <w:r w:rsidRPr="00B34FD8">
        <w:rPr>
          <w:b/>
          <w:sz w:val="20"/>
          <w:szCs w:val="20"/>
          <w:u w:val="single"/>
          <w:lang w:val="en-US"/>
        </w:rPr>
        <w:t xml:space="preserve"> Limited Partnership) and Superintendent of Financial Services – and – Superintendent of Financial Services, Insolvency Institute of Canada, Canadian </w:t>
      </w:r>
      <w:proofErr w:type="spellStart"/>
      <w:r w:rsidRPr="00B34FD8">
        <w:rPr>
          <w:b/>
          <w:sz w:val="20"/>
          <w:szCs w:val="20"/>
          <w:u w:val="single"/>
          <w:lang w:val="en-US"/>
        </w:rPr>
        <w:t>Labour</w:t>
      </w:r>
      <w:proofErr w:type="spellEnd"/>
      <w:r w:rsidRPr="00B34FD8">
        <w:rPr>
          <w:b/>
          <w:sz w:val="20"/>
          <w:szCs w:val="20"/>
          <w:u w:val="single"/>
          <w:lang w:val="en-US"/>
        </w:rPr>
        <w:t xml:space="preserve"> Congress, Canadian Federation of Pensioners, Canadian Association of Insolvency and Restructuring Professionals and Canadian Bankers Association</w:t>
      </w:r>
      <w:r w:rsidRPr="00B34FD8">
        <w:rPr>
          <w:b/>
          <w:sz w:val="20"/>
          <w:szCs w:val="20"/>
          <w:lang w:val="en-US"/>
        </w:rPr>
        <w:t xml:space="preserve"> </w:t>
      </w:r>
      <w:r w:rsidRPr="00B34FD8">
        <w:rPr>
          <w:sz w:val="20"/>
          <w:lang w:val="en-US"/>
        </w:rPr>
        <w:t>(</w:t>
      </w:r>
      <w:r>
        <w:rPr>
          <w:sz w:val="20"/>
          <w:lang w:val="en-US"/>
        </w:rPr>
        <w:t>Ont.</w:t>
      </w:r>
      <w:r w:rsidRPr="00B34FD8">
        <w:rPr>
          <w:sz w:val="20"/>
          <w:lang w:val="en-US"/>
        </w:rPr>
        <w:t>)</w:t>
      </w:r>
    </w:p>
    <w:p w:rsidR="008E01B3" w:rsidRDefault="00693A70" w:rsidP="00693A70">
      <w:pPr>
        <w:ind w:left="1440"/>
        <w:jc w:val="both"/>
        <w:rPr>
          <w:sz w:val="20"/>
          <w:szCs w:val="20"/>
        </w:rPr>
      </w:pPr>
      <w:r w:rsidRPr="003B3977">
        <w:rPr>
          <w:b/>
          <w:sz w:val="20"/>
          <w:szCs w:val="20"/>
        </w:rPr>
        <w:t>201</w:t>
      </w:r>
      <w:r>
        <w:rPr>
          <w:b/>
          <w:sz w:val="20"/>
          <w:szCs w:val="20"/>
        </w:rPr>
        <w:t>3</w:t>
      </w:r>
      <w:r w:rsidRPr="003B3977">
        <w:rPr>
          <w:b/>
          <w:sz w:val="20"/>
          <w:szCs w:val="20"/>
        </w:rPr>
        <w:t xml:space="preserve"> SCC </w:t>
      </w:r>
      <w:r>
        <w:rPr>
          <w:b/>
          <w:sz w:val="20"/>
          <w:szCs w:val="20"/>
        </w:rPr>
        <w:t>6</w:t>
      </w:r>
      <w:r w:rsidRPr="003B3977">
        <w:rPr>
          <w:b/>
          <w:sz w:val="20"/>
          <w:szCs w:val="20"/>
        </w:rPr>
        <w:t xml:space="preserve"> / 201</w:t>
      </w:r>
      <w:r>
        <w:rPr>
          <w:b/>
          <w:sz w:val="20"/>
          <w:szCs w:val="20"/>
        </w:rPr>
        <w:t>3</w:t>
      </w:r>
      <w:r w:rsidRPr="003B3977">
        <w:rPr>
          <w:b/>
          <w:sz w:val="20"/>
          <w:szCs w:val="20"/>
        </w:rPr>
        <w:t xml:space="preserve"> CSC </w:t>
      </w:r>
      <w:r>
        <w:rPr>
          <w:b/>
          <w:sz w:val="20"/>
          <w:szCs w:val="20"/>
        </w:rPr>
        <w:t>6</w:t>
      </w:r>
    </w:p>
    <w:p w:rsidR="008E01B3" w:rsidRDefault="008E01B3" w:rsidP="00AF1715">
      <w:pPr>
        <w:rPr>
          <w:sz w:val="20"/>
          <w:szCs w:val="20"/>
        </w:rPr>
      </w:pPr>
    </w:p>
    <w:p w:rsidR="00032ACC" w:rsidRPr="00032ACC" w:rsidRDefault="00032ACC" w:rsidP="00032ACC">
      <w:pPr>
        <w:ind w:left="1440" w:hanging="1440"/>
        <w:jc w:val="both"/>
        <w:rPr>
          <w:sz w:val="20"/>
          <w:szCs w:val="20"/>
          <w:u w:val="single"/>
        </w:rPr>
      </w:pPr>
      <w:r>
        <w:rPr>
          <w:sz w:val="20"/>
          <w:szCs w:val="20"/>
        </w:rPr>
        <w:t>Coram:</w:t>
      </w:r>
      <w:r>
        <w:rPr>
          <w:sz w:val="20"/>
          <w:szCs w:val="20"/>
        </w:rPr>
        <w:tab/>
      </w:r>
      <w:proofErr w:type="spellStart"/>
      <w:r w:rsidRPr="00032ACC">
        <w:rPr>
          <w:sz w:val="20"/>
          <w:szCs w:val="20"/>
          <w:u w:val="single"/>
        </w:rPr>
        <w:t>McLachlin</w:t>
      </w:r>
      <w:proofErr w:type="spellEnd"/>
      <w:r w:rsidRPr="00032ACC">
        <w:rPr>
          <w:sz w:val="20"/>
          <w:szCs w:val="20"/>
          <w:u w:val="single"/>
        </w:rPr>
        <w:t xml:space="preserve"> C.J. and </w:t>
      </w:r>
      <w:proofErr w:type="spellStart"/>
      <w:r w:rsidRPr="00032ACC">
        <w:rPr>
          <w:sz w:val="20"/>
          <w:szCs w:val="20"/>
          <w:u w:val="single"/>
        </w:rPr>
        <w:t>LeBel</w:t>
      </w:r>
      <w:proofErr w:type="spellEnd"/>
      <w:r w:rsidRPr="00032ACC">
        <w:rPr>
          <w:sz w:val="20"/>
          <w:szCs w:val="20"/>
          <w:u w:val="single"/>
        </w:rPr>
        <w:t xml:space="preserve">, </w:t>
      </w:r>
      <w:proofErr w:type="spellStart"/>
      <w:r w:rsidRPr="00032ACC">
        <w:rPr>
          <w:sz w:val="20"/>
          <w:szCs w:val="20"/>
          <w:u w:val="single"/>
        </w:rPr>
        <w:t>Deschamps</w:t>
      </w:r>
      <w:proofErr w:type="spellEnd"/>
      <w:r w:rsidRPr="00032ACC">
        <w:rPr>
          <w:sz w:val="20"/>
          <w:szCs w:val="20"/>
          <w:u w:val="single"/>
        </w:rPr>
        <w:t xml:space="preserve">, </w:t>
      </w:r>
      <w:proofErr w:type="spellStart"/>
      <w:r w:rsidRPr="00032ACC">
        <w:rPr>
          <w:sz w:val="20"/>
          <w:szCs w:val="20"/>
          <w:u w:val="single"/>
        </w:rPr>
        <w:t>Abella</w:t>
      </w:r>
      <w:proofErr w:type="spellEnd"/>
      <w:r w:rsidRPr="00032ACC">
        <w:rPr>
          <w:sz w:val="20"/>
          <w:szCs w:val="20"/>
          <w:u w:val="single"/>
        </w:rPr>
        <w:t xml:space="preserve">, Rothstein, Cromwell and </w:t>
      </w:r>
      <w:proofErr w:type="spellStart"/>
      <w:r w:rsidRPr="00032ACC">
        <w:rPr>
          <w:sz w:val="20"/>
          <w:szCs w:val="20"/>
          <w:u w:val="single"/>
        </w:rPr>
        <w:t>Moldaver</w:t>
      </w:r>
      <w:proofErr w:type="spellEnd"/>
      <w:r w:rsidRPr="00032ACC">
        <w:rPr>
          <w:sz w:val="20"/>
          <w:szCs w:val="20"/>
          <w:u w:val="single"/>
        </w:rPr>
        <w:t> JJ.</w:t>
      </w:r>
    </w:p>
    <w:p w:rsidR="00032ACC" w:rsidRPr="00032ACC" w:rsidRDefault="00032AC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032ACC" w:rsidRPr="00143580" w:rsidRDefault="00032ACC" w:rsidP="00032ACC">
      <w:pPr>
        <w:jc w:val="both"/>
        <w:rPr>
          <w:sz w:val="20"/>
          <w:szCs w:val="20"/>
          <w:lang w:val="en-US"/>
        </w:rPr>
      </w:pPr>
      <w:r w:rsidRPr="00143580">
        <w:rPr>
          <w:sz w:val="20"/>
          <w:szCs w:val="20"/>
        </w:rPr>
        <w:t xml:space="preserve">The appeals of Sun </w:t>
      </w:r>
      <w:proofErr w:type="spellStart"/>
      <w:r w:rsidRPr="00143580">
        <w:rPr>
          <w:sz w:val="20"/>
          <w:szCs w:val="20"/>
        </w:rPr>
        <w:t>Indalex</w:t>
      </w:r>
      <w:proofErr w:type="spellEnd"/>
      <w:r w:rsidRPr="00143580">
        <w:rPr>
          <w:sz w:val="20"/>
          <w:szCs w:val="20"/>
        </w:rPr>
        <w:t xml:space="preserve"> Finance LLC, George L. Miller and FTI Consulting Canada ULC from the judgment of the Court of Appeal for Ontario, Numbers C52187 and C52346, 2011 ONCA 265 dated April 7, 2011, heard on June 5, 2012, are allowed.  The orders of the Court of Appeal are set aside with the exception of paragraphs 9 and 10 in the former executives’ appeal. The orders of Campbell J. dated February 18, 2010, are restored.  All parties shall bear their own costs in the Court of Appeal and in this Court.  </w:t>
      </w:r>
      <w:proofErr w:type="spellStart"/>
      <w:proofErr w:type="gramStart"/>
      <w:r w:rsidRPr="00143580">
        <w:rPr>
          <w:sz w:val="20"/>
          <w:szCs w:val="20"/>
          <w:lang w:val="en-US"/>
        </w:rPr>
        <w:t>LeBel</w:t>
      </w:r>
      <w:proofErr w:type="spellEnd"/>
      <w:r w:rsidRPr="00143580">
        <w:rPr>
          <w:sz w:val="20"/>
          <w:szCs w:val="20"/>
          <w:lang w:val="en-US"/>
        </w:rPr>
        <w:t xml:space="preserve"> and </w:t>
      </w:r>
      <w:proofErr w:type="spellStart"/>
      <w:r w:rsidRPr="00143580">
        <w:rPr>
          <w:sz w:val="20"/>
          <w:szCs w:val="20"/>
          <w:lang w:val="en-US"/>
        </w:rPr>
        <w:t>Abella</w:t>
      </w:r>
      <w:proofErr w:type="spellEnd"/>
      <w:r w:rsidRPr="00143580">
        <w:rPr>
          <w:sz w:val="20"/>
          <w:szCs w:val="20"/>
          <w:lang w:val="en-US"/>
        </w:rPr>
        <w:t xml:space="preserve"> JJ.</w:t>
      </w:r>
      <w:proofErr w:type="gramEnd"/>
      <w:r w:rsidRPr="00143580">
        <w:rPr>
          <w:sz w:val="20"/>
          <w:szCs w:val="20"/>
          <w:lang w:val="en-US"/>
        </w:rPr>
        <w:t xml:space="preserve"> </w:t>
      </w:r>
      <w:proofErr w:type="gramStart"/>
      <w:r w:rsidRPr="00143580">
        <w:rPr>
          <w:sz w:val="20"/>
          <w:szCs w:val="20"/>
          <w:lang w:val="en-US"/>
        </w:rPr>
        <w:t>are</w:t>
      </w:r>
      <w:proofErr w:type="gramEnd"/>
      <w:r w:rsidRPr="00143580">
        <w:rPr>
          <w:sz w:val="20"/>
          <w:szCs w:val="20"/>
          <w:lang w:val="en-US"/>
        </w:rPr>
        <w:t xml:space="preserve"> dissenting.</w:t>
      </w:r>
    </w:p>
    <w:p w:rsidR="00032ACC" w:rsidRPr="00143580" w:rsidRDefault="00032ACC" w:rsidP="00032ACC">
      <w:pPr>
        <w:jc w:val="both"/>
        <w:rPr>
          <w:sz w:val="20"/>
          <w:szCs w:val="20"/>
          <w:lang w:val="en-US"/>
        </w:rPr>
      </w:pPr>
    </w:p>
    <w:p w:rsidR="00AF1715" w:rsidRDefault="00032ACC" w:rsidP="00032A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143580">
        <w:rPr>
          <w:sz w:val="20"/>
          <w:szCs w:val="20"/>
          <w:lang w:val="en-US"/>
        </w:rPr>
        <w:t>The appeal of the United Steelworkers from the judgment of the Court of Appeal for Ontario, Numbers  C52187 and C52346, 2011 ONCA 578, dated September 7, 2011, heard on June 5, 2012, is dismissed without costs.</w:t>
      </w:r>
    </w:p>
    <w:p w:rsidR="00032ACC" w:rsidRDefault="00032AC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32ACC" w:rsidRPr="003B3977" w:rsidRDefault="00032AC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32ACC" w:rsidRPr="00143580" w:rsidRDefault="00032ACC" w:rsidP="00032ACC">
      <w:pPr>
        <w:jc w:val="both"/>
        <w:rPr>
          <w:rFonts w:cs="Times New Roman"/>
          <w:sz w:val="20"/>
          <w:szCs w:val="20"/>
          <w:lang w:val="fr-CA"/>
        </w:rPr>
      </w:pPr>
      <w:r w:rsidRPr="00143580">
        <w:rPr>
          <w:sz w:val="20"/>
          <w:szCs w:val="20"/>
          <w:lang w:val="fr-CA"/>
        </w:rPr>
        <w:t xml:space="preserve">Les appels de Sun </w:t>
      </w:r>
      <w:proofErr w:type="spellStart"/>
      <w:r w:rsidRPr="00143580">
        <w:rPr>
          <w:sz w:val="20"/>
          <w:szCs w:val="20"/>
          <w:lang w:val="fr-CA"/>
        </w:rPr>
        <w:t>Indalex</w:t>
      </w:r>
      <w:proofErr w:type="spellEnd"/>
      <w:r w:rsidRPr="00143580">
        <w:rPr>
          <w:sz w:val="20"/>
          <w:szCs w:val="20"/>
          <w:lang w:val="fr-CA"/>
        </w:rPr>
        <w:t xml:space="preserve"> Finance LLC, de George L. Miller et de FTI Consulting Canada ULC interjetés contre l’arrêt de la Cour d’appel de l’Ontario, numéros C52187 et C52346, 2011 ONCA 265, en date du 7 avril 2011, entendus le 5 juin 2012, sont accueillis.  Les ordonnances de la Cour d’appel de l’Ontario sont annulées sauf </w:t>
      </w:r>
      <w:r w:rsidRPr="00143580">
        <w:rPr>
          <w:rFonts w:cs="Times New Roman"/>
          <w:sz w:val="20"/>
          <w:szCs w:val="20"/>
          <w:lang w:val="fr-CA"/>
        </w:rPr>
        <w:t>les paragraphes 9 et 10 concernant l’appel des anciens cadres.</w:t>
      </w:r>
      <w:r w:rsidRPr="00143580">
        <w:rPr>
          <w:sz w:val="20"/>
          <w:szCs w:val="20"/>
          <w:lang w:val="fr-CA"/>
        </w:rPr>
        <w:t xml:space="preserve"> Les ordonnances du juge Campbell en date du 18 février 2010, sont rétablies. </w:t>
      </w:r>
      <w:r w:rsidRPr="00143580">
        <w:rPr>
          <w:rFonts w:cs="Times New Roman"/>
          <w:sz w:val="20"/>
          <w:szCs w:val="20"/>
          <w:lang w:val="fr-CA"/>
        </w:rPr>
        <w:t xml:space="preserve">Chacune des parties paiera ses propres dépens devant la Cour d’appel et devant notre Cour.  Les juges </w:t>
      </w:r>
      <w:proofErr w:type="spellStart"/>
      <w:r w:rsidRPr="00143580">
        <w:rPr>
          <w:rFonts w:cs="Times New Roman"/>
          <w:sz w:val="20"/>
          <w:szCs w:val="20"/>
          <w:lang w:val="fr-CA"/>
        </w:rPr>
        <w:t>LeBel</w:t>
      </w:r>
      <w:proofErr w:type="spellEnd"/>
      <w:r w:rsidRPr="00143580">
        <w:rPr>
          <w:rFonts w:cs="Times New Roman"/>
          <w:sz w:val="20"/>
          <w:szCs w:val="20"/>
          <w:lang w:val="fr-CA"/>
        </w:rPr>
        <w:t xml:space="preserve"> et Abella sont dissidents.</w:t>
      </w:r>
    </w:p>
    <w:p w:rsidR="00032ACC" w:rsidRPr="00143580" w:rsidRDefault="00032ACC" w:rsidP="00032ACC">
      <w:pPr>
        <w:jc w:val="both"/>
        <w:rPr>
          <w:rFonts w:cs="Times New Roman"/>
          <w:sz w:val="20"/>
          <w:szCs w:val="20"/>
          <w:lang w:val="fr-CA"/>
        </w:rPr>
      </w:pPr>
    </w:p>
    <w:p w:rsidR="00AF1715" w:rsidRDefault="00032ACC" w:rsidP="005B6335">
      <w:pPr>
        <w:jc w:val="both"/>
        <w:rPr>
          <w:sz w:val="20"/>
          <w:szCs w:val="20"/>
          <w:lang w:val="fr-CA"/>
        </w:rPr>
      </w:pPr>
      <w:r w:rsidRPr="00143580">
        <w:rPr>
          <w:rFonts w:cs="Times New Roman"/>
          <w:sz w:val="20"/>
          <w:szCs w:val="20"/>
          <w:lang w:val="fr-CA"/>
        </w:rPr>
        <w:t xml:space="preserve">L’appel du Syndicat des Métallos interjeté contre </w:t>
      </w:r>
      <w:r w:rsidRPr="00143580">
        <w:rPr>
          <w:sz w:val="20"/>
          <w:szCs w:val="20"/>
          <w:lang w:val="fr-CA"/>
        </w:rPr>
        <w:t>l’arrêt de la Cour d’appel de l’Ontario, numéros C52187 et C52346, 2011 ONCA 578, en date du 7 septembre 2011, entendu le 5 juin 2012, est rejeté sans dépens.</w:t>
      </w:r>
    </w:p>
    <w:p w:rsidR="00032ACC" w:rsidRPr="003B3977" w:rsidRDefault="00032ACC" w:rsidP="00032ACC">
      <w:pPr>
        <w:rPr>
          <w:sz w:val="20"/>
          <w:szCs w:val="20"/>
          <w:lang w:val="fr-CA"/>
        </w:rPr>
      </w:pPr>
    </w:p>
    <w:p w:rsidR="00AF1715" w:rsidRPr="003B3977" w:rsidRDefault="00F008AC" w:rsidP="00AF1715">
      <w:pPr>
        <w:spacing w:line="0" w:lineRule="atLeast"/>
        <w:rPr>
          <w:sz w:val="20"/>
          <w:szCs w:val="20"/>
        </w:rPr>
      </w:pPr>
      <w:r w:rsidRPr="00F008AC">
        <w:rPr>
          <w:b/>
          <w:sz w:val="20"/>
          <w:szCs w:val="20"/>
        </w:rPr>
        <w:pict>
          <v:rect id="_x0000_i105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2215D">
      <w:pPr>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D1B80" w:rsidRPr="007C1027" w:rsidRDefault="00CD1B80" w:rsidP="00CD1B80">
      <w:pPr>
        <w:ind w:left="720" w:hanging="720"/>
        <w:rPr>
          <w:rFonts w:eastAsia="Calibri" w:cs="Times New Roman"/>
          <w:sz w:val="20"/>
          <w:szCs w:val="20"/>
          <w:lang w:val="fr-CA"/>
        </w:rPr>
      </w:pPr>
      <w:r w:rsidRPr="007C1027">
        <w:rPr>
          <w:rFonts w:eastAsia="Calibri" w:cs="Times New Roman"/>
          <w:i/>
          <w:sz w:val="20"/>
          <w:szCs w:val="20"/>
          <w:lang w:val="fr-CA"/>
        </w:rPr>
        <w:t xml:space="preserve">Sun </w:t>
      </w:r>
      <w:proofErr w:type="spellStart"/>
      <w:r w:rsidRPr="007C1027">
        <w:rPr>
          <w:rFonts w:eastAsia="Calibri" w:cs="Times New Roman"/>
          <w:i/>
          <w:sz w:val="20"/>
          <w:szCs w:val="20"/>
          <w:lang w:val="fr-CA"/>
        </w:rPr>
        <w:t>Indalex</w:t>
      </w:r>
      <w:proofErr w:type="spellEnd"/>
      <w:r w:rsidRPr="007C1027">
        <w:rPr>
          <w:rFonts w:eastAsia="Calibri" w:cs="Times New Roman"/>
          <w:i/>
          <w:sz w:val="20"/>
          <w:szCs w:val="20"/>
          <w:lang w:val="fr-CA"/>
        </w:rPr>
        <w:t xml:space="preserve"> Finance, LLC et al. v. United </w:t>
      </w:r>
      <w:proofErr w:type="spellStart"/>
      <w:r w:rsidRPr="007C1027">
        <w:rPr>
          <w:rFonts w:eastAsia="Calibri" w:cs="Times New Roman"/>
          <w:i/>
          <w:sz w:val="20"/>
          <w:szCs w:val="20"/>
          <w:lang w:val="fr-CA"/>
        </w:rPr>
        <w:t>Steelworkers</w:t>
      </w:r>
      <w:proofErr w:type="spellEnd"/>
      <w:r w:rsidRPr="007C1027">
        <w:rPr>
          <w:rFonts w:eastAsia="Calibri" w:cs="Times New Roman"/>
          <w:i/>
          <w:sz w:val="20"/>
          <w:szCs w:val="20"/>
          <w:lang w:val="fr-CA"/>
        </w:rPr>
        <w:t xml:space="preserve"> et al. </w:t>
      </w:r>
      <w:r w:rsidRPr="007C1027">
        <w:rPr>
          <w:rFonts w:eastAsia="Calibri" w:cs="Times New Roman"/>
          <w:sz w:val="20"/>
          <w:szCs w:val="20"/>
          <w:lang w:val="fr-CA"/>
        </w:rPr>
        <w:t>(Ont.) (34308)</w:t>
      </w:r>
    </w:p>
    <w:p w:rsidR="00CA2CE2" w:rsidRPr="00107BA1" w:rsidRDefault="00CA2CE2" w:rsidP="00CA2CE2">
      <w:pPr>
        <w:jc w:val="both"/>
        <w:rPr>
          <w:b/>
          <w:sz w:val="20"/>
        </w:rPr>
      </w:pPr>
      <w:r w:rsidRPr="00107BA1">
        <w:rPr>
          <w:b/>
          <w:sz w:val="20"/>
        </w:rPr>
        <w:t xml:space="preserve">Indexed as:  Sun </w:t>
      </w:r>
      <w:proofErr w:type="spellStart"/>
      <w:r w:rsidRPr="00107BA1">
        <w:rPr>
          <w:b/>
          <w:sz w:val="20"/>
        </w:rPr>
        <w:t>Indalex</w:t>
      </w:r>
      <w:proofErr w:type="spellEnd"/>
      <w:r w:rsidRPr="00107BA1">
        <w:rPr>
          <w:b/>
          <w:sz w:val="20"/>
        </w:rPr>
        <w:t xml:space="preserve"> Finance, LLC </w:t>
      </w:r>
      <w:r w:rsidRPr="00107BA1">
        <w:rPr>
          <w:b/>
          <w:i/>
          <w:sz w:val="20"/>
        </w:rPr>
        <w:t>v.</w:t>
      </w:r>
      <w:r w:rsidRPr="00107BA1">
        <w:rPr>
          <w:b/>
          <w:sz w:val="20"/>
        </w:rPr>
        <w:t xml:space="preserve"> United Steelworkers</w:t>
      </w:r>
      <w:r>
        <w:rPr>
          <w:b/>
          <w:sz w:val="20"/>
        </w:rPr>
        <w:t xml:space="preserve"> /</w:t>
      </w:r>
    </w:p>
    <w:p w:rsidR="00CD1B80" w:rsidRPr="00CA2CE2" w:rsidRDefault="00CA2CE2" w:rsidP="005C6840">
      <w:pPr>
        <w:rPr>
          <w:rFonts w:cs="Times New Roman"/>
          <w:i/>
          <w:sz w:val="20"/>
          <w:szCs w:val="20"/>
          <w:lang w:val="fr-CA"/>
        </w:rPr>
      </w:pPr>
      <w:r w:rsidRPr="006F7D7E">
        <w:rPr>
          <w:b/>
          <w:sz w:val="20"/>
          <w:szCs w:val="20"/>
          <w:lang w:val="fr-CA"/>
        </w:rPr>
        <w:t xml:space="preserve">Répertorié : Sun </w:t>
      </w:r>
      <w:proofErr w:type="spellStart"/>
      <w:r w:rsidRPr="006F7D7E">
        <w:rPr>
          <w:b/>
          <w:sz w:val="20"/>
          <w:szCs w:val="20"/>
          <w:lang w:val="fr-CA"/>
        </w:rPr>
        <w:t>Indalex</w:t>
      </w:r>
      <w:proofErr w:type="spellEnd"/>
      <w:r w:rsidRPr="006F7D7E">
        <w:rPr>
          <w:b/>
          <w:sz w:val="20"/>
          <w:szCs w:val="20"/>
          <w:lang w:val="fr-CA"/>
        </w:rPr>
        <w:t xml:space="preserve"> Finance, LLC </w:t>
      </w:r>
      <w:r w:rsidRPr="006F7D7E">
        <w:rPr>
          <w:b/>
          <w:i/>
          <w:sz w:val="20"/>
          <w:szCs w:val="20"/>
          <w:lang w:val="fr-CA"/>
        </w:rPr>
        <w:t>c.</w:t>
      </w:r>
      <w:r w:rsidRPr="006F7D7E">
        <w:rPr>
          <w:b/>
          <w:sz w:val="20"/>
          <w:szCs w:val="20"/>
          <w:lang w:val="fr-CA"/>
        </w:rPr>
        <w:t xml:space="preserve"> Syndicat des Métallos</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F761A3">
        <w:rPr>
          <w:sz w:val="20"/>
        </w:rPr>
        <w:t>3</w:t>
      </w:r>
      <w:proofErr w:type="gramEnd"/>
      <w:r w:rsidRPr="003B3977">
        <w:rPr>
          <w:sz w:val="20"/>
        </w:rPr>
        <w:t xml:space="preserve"> SCC </w:t>
      </w:r>
      <w:r w:rsidR="00CD1B80">
        <w:rPr>
          <w:sz w:val="20"/>
        </w:rPr>
        <w:t>6</w:t>
      </w:r>
      <w:r w:rsidRPr="003B3977">
        <w:rPr>
          <w:sz w:val="20"/>
        </w:rPr>
        <w:t xml:space="preserve"> / Référence neutre : 201</w:t>
      </w:r>
      <w:r w:rsidR="00F761A3">
        <w:rPr>
          <w:sz w:val="20"/>
        </w:rPr>
        <w:t>3</w:t>
      </w:r>
      <w:r w:rsidRPr="003B3977">
        <w:rPr>
          <w:sz w:val="20"/>
        </w:rPr>
        <w:t xml:space="preserve"> CSC </w:t>
      </w:r>
      <w:r w:rsidR="00CD1B80">
        <w:rPr>
          <w:sz w:val="20"/>
        </w:rPr>
        <w:t>6</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693A70">
        <w:rPr>
          <w:rFonts w:cs="Times New Roman"/>
          <w:sz w:val="20"/>
          <w:szCs w:val="20"/>
          <w:lang w:val="fr-CA"/>
        </w:rPr>
        <w:t>June</w:t>
      </w:r>
      <w:proofErr w:type="spellEnd"/>
      <w:proofErr w:type="gramEnd"/>
      <w:r w:rsidR="00693A70">
        <w:rPr>
          <w:rFonts w:cs="Times New Roman"/>
          <w:sz w:val="20"/>
          <w:szCs w:val="20"/>
          <w:lang w:val="fr-CA"/>
        </w:rPr>
        <w:t xml:space="preserve"> 5</w:t>
      </w:r>
      <w:r w:rsidRPr="003B3977">
        <w:rPr>
          <w:rFonts w:cs="Times New Roman"/>
          <w:sz w:val="20"/>
          <w:szCs w:val="20"/>
          <w:lang w:val="fr-CA"/>
        </w:rPr>
        <w:t>, 201</w:t>
      </w:r>
      <w:r w:rsidR="00693A70">
        <w:rPr>
          <w:rFonts w:cs="Times New Roman"/>
          <w:sz w:val="20"/>
          <w:szCs w:val="20"/>
          <w:lang w:val="fr-CA"/>
        </w:rPr>
        <w:t>2</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CD1B80">
        <w:rPr>
          <w:rFonts w:cs="Times New Roman"/>
          <w:sz w:val="20"/>
          <w:szCs w:val="20"/>
          <w:lang w:val="fr-CA"/>
        </w:rPr>
        <w:t>Feb</w:t>
      </w:r>
      <w:r w:rsidRPr="003B3977">
        <w:rPr>
          <w:rFonts w:cs="Times New Roman"/>
          <w:sz w:val="20"/>
          <w:szCs w:val="20"/>
          <w:lang w:val="fr-CA"/>
        </w:rPr>
        <w:t>r</w:t>
      </w:r>
      <w:r w:rsidR="00CD1B80">
        <w:rPr>
          <w:rFonts w:cs="Times New Roman"/>
          <w:sz w:val="20"/>
          <w:szCs w:val="20"/>
          <w:lang w:val="fr-CA"/>
        </w:rPr>
        <w:t>uary</w:t>
      </w:r>
      <w:proofErr w:type="spellEnd"/>
      <w:r w:rsidRPr="003B3977">
        <w:rPr>
          <w:rFonts w:cs="Times New Roman"/>
          <w:sz w:val="20"/>
          <w:szCs w:val="20"/>
          <w:lang w:val="fr-CA"/>
        </w:rPr>
        <w:t xml:space="preserve"> </w:t>
      </w:r>
      <w:r w:rsidR="00CD1B80">
        <w:rPr>
          <w:rFonts w:cs="Times New Roman"/>
          <w:sz w:val="20"/>
          <w:szCs w:val="20"/>
          <w:lang w:val="fr-CA"/>
        </w:rPr>
        <w:t>1</w:t>
      </w:r>
      <w:r w:rsidRPr="003B3977">
        <w:rPr>
          <w:rFonts w:cs="Times New Roman"/>
          <w:sz w:val="20"/>
          <w:szCs w:val="20"/>
          <w:lang w:val="fr-CA"/>
        </w:rPr>
        <w:t>, 201</w:t>
      </w:r>
      <w:r w:rsidR="00CD1B80">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93A70">
        <w:rPr>
          <w:rFonts w:cs="Times New Roman"/>
          <w:sz w:val="20"/>
          <w:szCs w:val="20"/>
          <w:lang w:val="fr-CA"/>
        </w:rPr>
        <w:t>5</w:t>
      </w:r>
      <w:r w:rsidRPr="003B3977">
        <w:rPr>
          <w:rFonts w:cs="Times New Roman"/>
          <w:sz w:val="20"/>
          <w:szCs w:val="20"/>
          <w:lang w:val="fr-CA"/>
        </w:rPr>
        <w:t xml:space="preserve"> </w:t>
      </w:r>
      <w:r w:rsidR="00693A70">
        <w:rPr>
          <w:rFonts w:cs="Times New Roman"/>
          <w:sz w:val="20"/>
          <w:szCs w:val="20"/>
          <w:lang w:val="fr-CA"/>
        </w:rPr>
        <w:t>juin</w:t>
      </w:r>
      <w:r w:rsidRPr="003B3977">
        <w:rPr>
          <w:rFonts w:cs="Times New Roman"/>
          <w:sz w:val="20"/>
          <w:szCs w:val="20"/>
          <w:lang w:val="fr-CA"/>
        </w:rPr>
        <w:t xml:space="preserve"> 201</w:t>
      </w:r>
      <w:r w:rsidR="00693A70">
        <w:rPr>
          <w:rFonts w:cs="Times New Roman"/>
          <w:sz w:val="20"/>
          <w:szCs w:val="20"/>
          <w:lang w:val="fr-CA"/>
        </w:rPr>
        <w:t>2</w:t>
      </w:r>
      <w:r w:rsidRPr="003B3977">
        <w:rPr>
          <w:rFonts w:cs="Times New Roman"/>
          <w:sz w:val="20"/>
          <w:szCs w:val="20"/>
          <w:lang w:val="fr-CA"/>
        </w:rPr>
        <w:t xml:space="preserve"> / Jugement : Le </w:t>
      </w:r>
      <w:r w:rsidR="00CD1B80">
        <w:rPr>
          <w:rFonts w:cs="Times New Roman"/>
          <w:sz w:val="20"/>
          <w:szCs w:val="20"/>
          <w:lang w:val="fr-CA"/>
        </w:rPr>
        <w:t>1</w:t>
      </w:r>
      <w:r w:rsidR="00CD1B80" w:rsidRPr="00CD1B80">
        <w:rPr>
          <w:rFonts w:cs="Times New Roman"/>
          <w:sz w:val="20"/>
          <w:szCs w:val="20"/>
          <w:vertAlign w:val="superscript"/>
          <w:lang w:val="fr-CA"/>
        </w:rPr>
        <w:t>er</w:t>
      </w:r>
      <w:r w:rsidR="00CD1B80">
        <w:rPr>
          <w:rFonts w:cs="Times New Roman"/>
          <w:sz w:val="20"/>
          <w:szCs w:val="20"/>
          <w:lang w:val="fr-CA"/>
        </w:rPr>
        <w:t xml:space="preserve"> fév</w:t>
      </w:r>
      <w:r w:rsidRPr="003B3977">
        <w:rPr>
          <w:rFonts w:cs="Times New Roman"/>
          <w:sz w:val="20"/>
          <w:szCs w:val="20"/>
          <w:lang w:val="fr-CA"/>
        </w:rPr>
        <w:t>r</w:t>
      </w:r>
      <w:r w:rsidR="00CD1B80">
        <w:rPr>
          <w:rFonts w:cs="Times New Roman"/>
          <w:sz w:val="20"/>
          <w:szCs w:val="20"/>
          <w:lang w:val="fr-CA"/>
        </w:rPr>
        <w:t>i</w:t>
      </w:r>
      <w:r w:rsidRPr="003B3977">
        <w:rPr>
          <w:rFonts w:cs="Times New Roman"/>
          <w:sz w:val="20"/>
          <w:szCs w:val="20"/>
          <w:lang w:val="fr-CA"/>
        </w:rPr>
        <w:t>e</w:t>
      </w:r>
      <w:r w:rsidR="00CD1B80">
        <w:rPr>
          <w:rFonts w:cs="Times New Roman"/>
          <w:sz w:val="20"/>
          <w:szCs w:val="20"/>
          <w:lang w:val="fr-CA"/>
        </w:rPr>
        <w:t>r</w:t>
      </w:r>
      <w:r w:rsidRPr="003B3977">
        <w:rPr>
          <w:rFonts w:cs="Times New Roman"/>
          <w:sz w:val="20"/>
          <w:szCs w:val="20"/>
          <w:lang w:val="fr-CA"/>
        </w:rPr>
        <w:t xml:space="preserve"> 201</w:t>
      </w:r>
      <w:r w:rsidR="00CD1B80">
        <w:rPr>
          <w:rFonts w:cs="Times New Roman"/>
          <w:sz w:val="20"/>
          <w:szCs w:val="20"/>
          <w:lang w:val="fr-CA"/>
        </w:rPr>
        <w:t>3</w:t>
      </w:r>
    </w:p>
    <w:p w:rsidR="005C6840" w:rsidRPr="003B3977" w:rsidRDefault="00F008AC" w:rsidP="005C6840">
      <w:pPr>
        <w:rPr>
          <w:rFonts w:cs="Times New Roman"/>
          <w:sz w:val="20"/>
          <w:szCs w:val="20"/>
          <w:lang w:val="fr-CA"/>
        </w:rPr>
      </w:pPr>
      <w:r w:rsidRPr="00F008AC">
        <w:rPr>
          <w:rFonts w:cs="Times New Roman"/>
          <w:i/>
          <w:sz w:val="20"/>
          <w:szCs w:val="20"/>
        </w:rPr>
        <w:pict>
          <v:rect id="_x0000_i105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A2CE2" w:rsidRPr="00107BA1" w:rsidRDefault="00CA2CE2" w:rsidP="00CA2CE2">
      <w:pPr>
        <w:jc w:val="both"/>
        <w:rPr>
          <w:sz w:val="20"/>
        </w:rPr>
      </w:pPr>
      <w:r w:rsidRPr="00107BA1">
        <w:rPr>
          <w:sz w:val="20"/>
        </w:rPr>
        <w:t xml:space="preserve">Present:  </w:t>
      </w:r>
      <w:proofErr w:type="spellStart"/>
      <w:r w:rsidRPr="00107BA1">
        <w:rPr>
          <w:sz w:val="20"/>
        </w:rPr>
        <w:t>McLachlin</w:t>
      </w:r>
      <w:proofErr w:type="spellEnd"/>
      <w:r w:rsidRPr="00107BA1">
        <w:rPr>
          <w:sz w:val="20"/>
        </w:rPr>
        <w:t xml:space="preserve"> C.J. and </w:t>
      </w:r>
      <w:proofErr w:type="spellStart"/>
      <w:r w:rsidRPr="00107BA1">
        <w:rPr>
          <w:sz w:val="20"/>
        </w:rPr>
        <w:t>LeBel</w:t>
      </w:r>
      <w:proofErr w:type="spellEnd"/>
      <w:r w:rsidRPr="00107BA1">
        <w:rPr>
          <w:sz w:val="20"/>
        </w:rPr>
        <w:t xml:space="preserve">, </w:t>
      </w:r>
      <w:proofErr w:type="spellStart"/>
      <w:r w:rsidRPr="00107BA1">
        <w:rPr>
          <w:sz w:val="20"/>
        </w:rPr>
        <w:t>Deschamps</w:t>
      </w:r>
      <w:proofErr w:type="spellEnd"/>
      <w:r w:rsidRPr="00107BA1">
        <w:rPr>
          <w:sz w:val="20"/>
        </w:rPr>
        <w:t xml:space="preserve">, </w:t>
      </w:r>
      <w:proofErr w:type="spellStart"/>
      <w:r w:rsidRPr="00107BA1">
        <w:rPr>
          <w:sz w:val="20"/>
        </w:rPr>
        <w:t>Abella</w:t>
      </w:r>
      <w:proofErr w:type="spellEnd"/>
      <w:r w:rsidRPr="00107BA1">
        <w:rPr>
          <w:sz w:val="20"/>
        </w:rPr>
        <w:t xml:space="preserve">, Rothstein, Cromwell and </w:t>
      </w:r>
      <w:proofErr w:type="spellStart"/>
      <w:r w:rsidRPr="00107BA1">
        <w:rPr>
          <w:sz w:val="20"/>
        </w:rPr>
        <w:t>Moldaver</w:t>
      </w:r>
      <w:proofErr w:type="spellEnd"/>
      <w:r w:rsidRPr="00107BA1">
        <w:rPr>
          <w:sz w:val="20"/>
        </w:rPr>
        <w:t> JJ.</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i/>
          <w:sz w:val="20"/>
        </w:rPr>
      </w:pPr>
      <w:r w:rsidRPr="00107BA1">
        <w:rPr>
          <w:sz w:val="20"/>
        </w:rPr>
        <w:tab/>
      </w:r>
      <w:r w:rsidRPr="00107BA1">
        <w:rPr>
          <w:i/>
          <w:sz w:val="20"/>
        </w:rPr>
        <w:t>Pensions — Bankruptcy and Insolvency — Priorities — Company who was both employer and administrator of pension plans seeking protection from creditors under Companies’ Creditors Arrangement Act (“CCAA”) — Pension funds not having sufficient assets to fulfill pension promises made to plan members — Company entering into debtor in possession (“DIP”) financing allowing it to continue to operate — CCAA court granting priority to DIP lenders — Proceeds of sale of business insufficient to pay back DIP lenders — Whether pension wind</w:t>
      </w:r>
      <w:r w:rsidRPr="00107BA1">
        <w:rPr>
          <w:i/>
          <w:sz w:val="20"/>
        </w:rPr>
        <w:noBreakHyphen/>
        <w:t xml:space="preserve">up deficiencies subject to deemed trust — If so, whether deemed trust superseded by CCAA priority by virtue of doctrine of federal </w:t>
      </w:r>
      <w:proofErr w:type="spellStart"/>
      <w:r w:rsidRPr="00107BA1">
        <w:rPr>
          <w:i/>
          <w:sz w:val="20"/>
        </w:rPr>
        <w:t>paramountcy</w:t>
      </w:r>
      <w:proofErr w:type="spellEnd"/>
      <w:r w:rsidRPr="00107BA1">
        <w:rPr>
          <w:i/>
          <w:sz w:val="20"/>
        </w:rPr>
        <w:t xml:space="preserve"> — Pension Benefits Act, </w:t>
      </w:r>
      <w:r w:rsidRPr="00107BA1">
        <w:rPr>
          <w:bCs/>
          <w:i/>
          <w:sz w:val="20"/>
        </w:rPr>
        <w:t xml:space="preserve">R.S.O. 1990, c. P.8, </w:t>
      </w:r>
      <w:r w:rsidRPr="00107BA1">
        <w:rPr>
          <w:i/>
          <w:sz w:val="20"/>
        </w:rPr>
        <w:t>ss. 57(3), 57(4), 75(1)(a), 75(1)(b) — Companies’ Creditors Arrangement Act, R.S.C. 1985, c. C</w:t>
      </w:r>
      <w:r w:rsidRPr="00107BA1">
        <w:rPr>
          <w:i/>
          <w:sz w:val="20"/>
        </w:rPr>
        <w:noBreakHyphen/>
        <w:t>36.</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i/>
          <w:sz w:val="20"/>
        </w:rPr>
      </w:pPr>
      <w:r w:rsidRPr="00107BA1">
        <w:rPr>
          <w:i/>
          <w:sz w:val="20"/>
        </w:rPr>
        <w:tab/>
        <w:t>Pensions — Trusts — Company who was both employer and administrator of pension plans seeking protection from creditors under CCAA — Pension funds not having sufficient assets to fulfill pension promises made to plan members — Whether pension wind</w:t>
      </w:r>
      <w:r w:rsidRPr="00107BA1">
        <w:rPr>
          <w:i/>
          <w:sz w:val="20"/>
        </w:rPr>
        <w:noBreakHyphen/>
        <w:t>up deficiencies subject to deemed trust — Whether company as plan administrator breached fiduciary duties — Whether pension plan members are entitled to constructive trust.</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i/>
          <w:sz w:val="20"/>
        </w:rPr>
      </w:pPr>
      <w:r w:rsidRPr="00107BA1">
        <w:rPr>
          <w:i/>
          <w:sz w:val="20"/>
        </w:rPr>
        <w:tab/>
        <w:t xml:space="preserve">Civil Procedure — Costs — Appeals — Standard of review — </w:t>
      </w:r>
      <w:proofErr w:type="gramStart"/>
      <w:r w:rsidRPr="00107BA1">
        <w:rPr>
          <w:i/>
          <w:sz w:val="20"/>
        </w:rPr>
        <w:t>Whether</w:t>
      </w:r>
      <w:proofErr w:type="gramEnd"/>
      <w:r w:rsidRPr="00107BA1">
        <w:rPr>
          <w:i/>
          <w:sz w:val="20"/>
        </w:rPr>
        <w:t xml:space="preserve"> Court of Appeal erred in costs endorsement concerning one party.</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r>
      <w:proofErr w:type="spellStart"/>
      <w:r w:rsidRPr="00107BA1">
        <w:rPr>
          <w:sz w:val="20"/>
        </w:rPr>
        <w:t>Indalex</w:t>
      </w:r>
      <w:proofErr w:type="spellEnd"/>
      <w:r w:rsidRPr="00107BA1">
        <w:rPr>
          <w:sz w:val="20"/>
        </w:rPr>
        <w:t xml:space="preserve"> Limited (“</w:t>
      </w:r>
      <w:proofErr w:type="spellStart"/>
      <w:r w:rsidRPr="00107BA1">
        <w:rPr>
          <w:sz w:val="20"/>
        </w:rPr>
        <w:t>Indalex</w:t>
      </w:r>
      <w:proofErr w:type="spellEnd"/>
      <w:r w:rsidRPr="00107BA1">
        <w:rPr>
          <w:sz w:val="20"/>
        </w:rPr>
        <w:t xml:space="preserve">”), the sponsor and administrator of two employee pension plans, one for salaried employees and the other for executive employees, became insolvent.  </w:t>
      </w:r>
      <w:proofErr w:type="spellStart"/>
      <w:r w:rsidRPr="00107BA1">
        <w:rPr>
          <w:sz w:val="20"/>
        </w:rPr>
        <w:t>Indalex</w:t>
      </w:r>
      <w:proofErr w:type="spellEnd"/>
      <w:r w:rsidRPr="00107BA1">
        <w:rPr>
          <w:sz w:val="20"/>
        </w:rPr>
        <w:t xml:space="preserve"> sought protection from its creditors under the </w:t>
      </w:r>
      <w:r w:rsidRPr="00107BA1">
        <w:rPr>
          <w:i/>
          <w:sz w:val="20"/>
        </w:rPr>
        <w:t>Companies’ Creditors Arrangement Act</w:t>
      </w:r>
      <w:r w:rsidRPr="00107BA1">
        <w:rPr>
          <w:sz w:val="20"/>
        </w:rPr>
        <w:t>, R.S.C. 1985, c. C</w:t>
      </w:r>
      <w:r w:rsidRPr="00107BA1">
        <w:rPr>
          <w:sz w:val="20"/>
        </w:rPr>
        <w:noBreakHyphen/>
        <w:t>36 (“</w:t>
      </w:r>
      <w:r w:rsidRPr="00107BA1">
        <w:rPr>
          <w:i/>
          <w:sz w:val="20"/>
        </w:rPr>
        <w:t>CCAA</w:t>
      </w:r>
      <w:r w:rsidRPr="00107BA1">
        <w:rPr>
          <w:sz w:val="20"/>
        </w:rPr>
        <w:t xml:space="preserve">”).  The salaried plan was being wound up when the </w:t>
      </w:r>
      <w:r w:rsidRPr="00107BA1">
        <w:rPr>
          <w:i/>
          <w:sz w:val="20"/>
        </w:rPr>
        <w:t>CCAA</w:t>
      </w:r>
      <w:r w:rsidRPr="00107BA1">
        <w:rPr>
          <w:sz w:val="20"/>
        </w:rPr>
        <w:t xml:space="preserve"> proceedings began.  The executive plan had been closed but not wound up.  Both plans had wind</w:t>
      </w:r>
      <w:r w:rsidRPr="00107BA1">
        <w:rPr>
          <w:sz w:val="20"/>
        </w:rPr>
        <w:noBreakHyphen/>
        <w:t>up deficiencies.</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In a series of court</w:t>
      </w:r>
      <w:r w:rsidRPr="00107BA1">
        <w:rPr>
          <w:sz w:val="20"/>
        </w:rPr>
        <w:noBreakHyphen/>
      </w:r>
      <w:proofErr w:type="spellStart"/>
      <w:r w:rsidRPr="00107BA1">
        <w:rPr>
          <w:sz w:val="20"/>
        </w:rPr>
        <w:t>sanctioned</w:t>
      </w:r>
      <w:proofErr w:type="spellEnd"/>
      <w:r w:rsidRPr="00107BA1">
        <w:rPr>
          <w:sz w:val="20"/>
        </w:rPr>
        <w:t xml:space="preserve"> steps, the company was authorized to enter into debtor in possession (“DIP”) financing in order to allow it to continue to operate.  The </w:t>
      </w:r>
      <w:r w:rsidRPr="00107BA1">
        <w:rPr>
          <w:i/>
          <w:sz w:val="20"/>
        </w:rPr>
        <w:t xml:space="preserve">CCAA </w:t>
      </w:r>
      <w:r w:rsidRPr="00107BA1">
        <w:rPr>
          <w:sz w:val="20"/>
        </w:rPr>
        <w:t>court granted the DIP lenders, a syndicate of pre</w:t>
      </w:r>
      <w:r w:rsidRPr="00107BA1">
        <w:rPr>
          <w:sz w:val="20"/>
        </w:rPr>
        <w:noBreakHyphen/>
      </w:r>
      <w:proofErr w:type="spellStart"/>
      <w:r w:rsidRPr="00107BA1">
        <w:rPr>
          <w:sz w:val="20"/>
        </w:rPr>
        <w:t>filing</w:t>
      </w:r>
      <w:proofErr w:type="spellEnd"/>
      <w:r w:rsidRPr="00107BA1">
        <w:rPr>
          <w:sz w:val="20"/>
        </w:rPr>
        <w:t xml:space="preserve"> senior secured creditors, priority over the claims of all other creditors.  Repayment of these amounts was guaranteed by </w:t>
      </w:r>
      <w:proofErr w:type="spellStart"/>
      <w:r w:rsidRPr="00107BA1">
        <w:rPr>
          <w:sz w:val="20"/>
        </w:rPr>
        <w:t>Indalex</w:t>
      </w:r>
      <w:proofErr w:type="spellEnd"/>
      <w:r w:rsidRPr="00107BA1">
        <w:rPr>
          <w:sz w:val="20"/>
        </w:rPr>
        <w:t xml:space="preserve"> U.S.</w:t>
      </w:r>
    </w:p>
    <w:p w:rsidR="00CA2CE2"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sz w:val="20"/>
        </w:rPr>
        <w:tab/>
        <w:t xml:space="preserve">Ultimately, with the approval of the </w:t>
      </w:r>
      <w:r w:rsidRPr="00107BA1">
        <w:rPr>
          <w:i/>
          <w:sz w:val="20"/>
        </w:rPr>
        <w:t>CCAA</w:t>
      </w:r>
      <w:r w:rsidRPr="00107BA1">
        <w:rPr>
          <w:sz w:val="20"/>
        </w:rPr>
        <w:t xml:space="preserve"> court, </w:t>
      </w:r>
      <w:proofErr w:type="spellStart"/>
      <w:r w:rsidRPr="00107BA1">
        <w:rPr>
          <w:sz w:val="20"/>
        </w:rPr>
        <w:t>Indalex</w:t>
      </w:r>
      <w:proofErr w:type="spellEnd"/>
      <w:r w:rsidRPr="00107BA1">
        <w:rPr>
          <w:sz w:val="20"/>
        </w:rPr>
        <w:t xml:space="preserve"> sold its business but the purchaser did not assume pension liabilities.  The proceeds of the sale were not sufficient to pay back the DIP lenders and so </w:t>
      </w:r>
      <w:proofErr w:type="spellStart"/>
      <w:r w:rsidRPr="00107BA1">
        <w:rPr>
          <w:sz w:val="20"/>
        </w:rPr>
        <w:t>Indalex</w:t>
      </w:r>
      <w:proofErr w:type="spellEnd"/>
      <w:r w:rsidRPr="00107BA1">
        <w:rPr>
          <w:sz w:val="20"/>
        </w:rPr>
        <w:t xml:space="preserve"> U.S., as guarantor, paid the shortfall and stepped into the shoes of the DIP lenders in terms of priority.  The </w:t>
      </w:r>
      <w:r w:rsidRPr="00107BA1">
        <w:rPr>
          <w:i/>
          <w:sz w:val="20"/>
        </w:rPr>
        <w:t>CCAA</w:t>
      </w:r>
      <w:r w:rsidRPr="00107BA1">
        <w:rPr>
          <w:sz w:val="20"/>
        </w:rPr>
        <w:t xml:space="preserve"> court authorized a payment in accordance with the priority but ordered an amount be held in reserve, leaving the plan members’ arguments on their rights to the proceeds of the sale open for determination later. </w:t>
      </w:r>
    </w:p>
    <w:p w:rsidR="00CA2CE2" w:rsidRPr="00107BA1"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sz w:val="20"/>
        </w:rPr>
        <w:tab/>
        <w:t xml:space="preserve">The plan members challenged the priority granted in the </w:t>
      </w:r>
      <w:r w:rsidRPr="00107BA1">
        <w:rPr>
          <w:i/>
          <w:sz w:val="20"/>
        </w:rPr>
        <w:t>CCAA</w:t>
      </w:r>
      <w:r w:rsidRPr="00107BA1">
        <w:rPr>
          <w:sz w:val="20"/>
        </w:rPr>
        <w:t xml:space="preserve"> proceedings.  They claimed that they had priority in the amount of the wind</w:t>
      </w:r>
      <w:r w:rsidRPr="00107BA1">
        <w:rPr>
          <w:sz w:val="20"/>
        </w:rPr>
        <w:noBreakHyphen/>
        <w:t xml:space="preserve">up deficiency by virtue of a statutory deemed trust under s. 57(4) of the </w:t>
      </w:r>
      <w:r w:rsidRPr="00107BA1">
        <w:rPr>
          <w:i/>
          <w:sz w:val="20"/>
        </w:rPr>
        <w:t>Pension Benefits Act</w:t>
      </w:r>
      <w:r w:rsidRPr="00107BA1">
        <w:rPr>
          <w:sz w:val="20"/>
        </w:rPr>
        <w:t xml:space="preserve">, </w:t>
      </w:r>
      <w:r w:rsidRPr="00107BA1">
        <w:rPr>
          <w:bCs/>
          <w:sz w:val="20"/>
        </w:rPr>
        <w:t>R.S.O. 1990, c. P.8</w:t>
      </w:r>
      <w:r w:rsidRPr="00107BA1">
        <w:rPr>
          <w:sz w:val="20"/>
        </w:rPr>
        <w:t xml:space="preserve"> (“</w:t>
      </w:r>
      <w:r w:rsidRPr="00107BA1">
        <w:rPr>
          <w:i/>
          <w:sz w:val="20"/>
        </w:rPr>
        <w:t>PBA</w:t>
      </w:r>
      <w:r w:rsidRPr="00107BA1">
        <w:rPr>
          <w:sz w:val="20"/>
        </w:rPr>
        <w:t xml:space="preserve">”) and a constructive trust arising from </w:t>
      </w:r>
      <w:proofErr w:type="spellStart"/>
      <w:r w:rsidRPr="00107BA1">
        <w:rPr>
          <w:sz w:val="20"/>
        </w:rPr>
        <w:t>Indalex’s</w:t>
      </w:r>
      <w:proofErr w:type="spellEnd"/>
      <w:r w:rsidRPr="00107BA1">
        <w:rPr>
          <w:sz w:val="20"/>
        </w:rPr>
        <w:t xml:space="preserve"> alleged breaches of fiduciary duty as administrator of the pension funds.  The judge at first instance dismissed the plan members’ motions concluding that the deemed trust did not apply to wind up deficiencies.  He held that, with respect to the wind</w:t>
      </w:r>
      <w:r w:rsidRPr="00107BA1">
        <w:rPr>
          <w:sz w:val="20"/>
        </w:rPr>
        <w:noBreakHyphen/>
        <w:t>up deficiency, the plan members were unsecured creditors.  The Court of Appeal reversed this ruling and held that the pension plan wind</w:t>
      </w:r>
      <w:r w:rsidRPr="00107BA1">
        <w:rPr>
          <w:sz w:val="20"/>
        </w:rPr>
        <w:noBreakHyphen/>
        <w:t>up deficiencies were subject to deemed and constructive trusts which had priority over the DIP financing priority and over other secured creditors.  In addition, the Court of Appeal rejected a claim brought by the United Steelworkers, which represented some members of the salaried plan, seeking payment of its costs from the latter’s pension fund.</w:t>
      </w:r>
    </w:p>
    <w:p w:rsidR="00CA2CE2" w:rsidRPr="00107BA1"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i/>
          <w:sz w:val="20"/>
        </w:rPr>
        <w:tab/>
        <w:t>Held (</w:t>
      </w:r>
      <w:proofErr w:type="spellStart"/>
      <w:r w:rsidRPr="00107BA1">
        <w:rPr>
          <w:i/>
          <w:sz w:val="20"/>
        </w:rPr>
        <w:t>LeBel</w:t>
      </w:r>
      <w:proofErr w:type="spellEnd"/>
      <w:r w:rsidRPr="00107BA1">
        <w:rPr>
          <w:i/>
          <w:sz w:val="20"/>
        </w:rPr>
        <w:t xml:space="preserve"> and </w:t>
      </w:r>
      <w:proofErr w:type="spellStart"/>
      <w:r w:rsidRPr="00107BA1">
        <w:rPr>
          <w:i/>
          <w:sz w:val="20"/>
        </w:rPr>
        <w:t>Abella</w:t>
      </w:r>
      <w:proofErr w:type="spellEnd"/>
      <w:r w:rsidRPr="00107BA1">
        <w:rPr>
          <w:i/>
          <w:sz w:val="20"/>
        </w:rPr>
        <w:t xml:space="preserve"> JJ. </w:t>
      </w:r>
      <w:proofErr w:type="gramStart"/>
      <w:r w:rsidRPr="00107BA1">
        <w:rPr>
          <w:i/>
          <w:sz w:val="20"/>
        </w:rPr>
        <w:t>dissenting)</w:t>
      </w:r>
      <w:proofErr w:type="gramEnd"/>
      <w:r w:rsidRPr="00107BA1">
        <w:rPr>
          <w:i/>
          <w:sz w:val="20"/>
        </w:rPr>
        <w:t xml:space="preserve">: </w:t>
      </w:r>
      <w:r w:rsidRPr="00107BA1">
        <w:rPr>
          <w:sz w:val="20"/>
        </w:rPr>
        <w:t xml:space="preserve"> The Sun </w:t>
      </w:r>
      <w:proofErr w:type="spellStart"/>
      <w:r w:rsidRPr="00107BA1">
        <w:rPr>
          <w:sz w:val="20"/>
        </w:rPr>
        <w:t>Indalex</w:t>
      </w:r>
      <w:proofErr w:type="spellEnd"/>
      <w:r w:rsidRPr="00107BA1">
        <w:rPr>
          <w:sz w:val="20"/>
        </w:rPr>
        <w:t xml:space="preserve"> Finance, George L. Miller and FTI Consulting appeals should be allowed.</w:t>
      </w:r>
    </w:p>
    <w:p w:rsidR="00CA2CE2" w:rsidRPr="00107BA1"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i/>
          <w:sz w:val="20"/>
        </w:rPr>
        <w:tab/>
        <w:t>Held:</w:t>
      </w:r>
      <w:r w:rsidRPr="00107BA1">
        <w:rPr>
          <w:sz w:val="20"/>
        </w:rPr>
        <w:t xml:space="preserve">  The United Steelworkers appeal should be dismissed.</w:t>
      </w:r>
    </w:p>
    <w:p w:rsidR="00CA2CE2" w:rsidRPr="00107BA1" w:rsidRDefault="00CA2CE2" w:rsidP="00CA2CE2">
      <w:pPr>
        <w:pStyle w:val="SCCNormalDoubleSpacing"/>
        <w:spacing w:line="240" w:lineRule="auto"/>
        <w:rPr>
          <w:sz w:val="20"/>
        </w:rPr>
      </w:pPr>
    </w:p>
    <w:p w:rsidR="00CA2CE2" w:rsidRPr="00107BA1" w:rsidRDefault="00CA2CE2" w:rsidP="00AB4F4C">
      <w:pPr>
        <w:pStyle w:val="SCCNormalDoubleSpacing"/>
        <w:keepNext/>
        <w:spacing w:line="240" w:lineRule="auto"/>
        <w:ind w:left="360" w:hanging="360"/>
        <w:rPr>
          <w:i/>
          <w:sz w:val="20"/>
          <w:u w:val="single"/>
        </w:rPr>
      </w:pPr>
      <w:r w:rsidRPr="00107BA1">
        <w:rPr>
          <w:sz w:val="20"/>
        </w:rPr>
        <w:t>(1)</w:t>
      </w:r>
      <w:r w:rsidRPr="00107BA1">
        <w:rPr>
          <w:sz w:val="20"/>
        </w:rPr>
        <w:tab/>
      </w:r>
      <w:r w:rsidRPr="00107BA1">
        <w:rPr>
          <w:i/>
          <w:sz w:val="20"/>
          <w:u w:val="single"/>
        </w:rPr>
        <w:t>Statutory Deemed Trust</w:t>
      </w:r>
    </w:p>
    <w:p w:rsidR="00CA2CE2" w:rsidRDefault="00CA2CE2" w:rsidP="00CA2CE2">
      <w:pPr>
        <w:pStyle w:val="SCCNormalDoubleSpacing"/>
        <w:spacing w:line="240" w:lineRule="auto"/>
        <w:rPr>
          <w:i/>
          <w:sz w:val="20"/>
        </w:rPr>
      </w:pPr>
    </w:p>
    <w:p w:rsidR="00CA2CE2"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Deschamps</w:t>
      </w:r>
      <w:proofErr w:type="spellEnd"/>
      <w:r w:rsidRPr="00107BA1">
        <w:rPr>
          <w:sz w:val="20"/>
        </w:rPr>
        <w:t xml:space="preserve"> and </w:t>
      </w:r>
      <w:proofErr w:type="spellStart"/>
      <w:r w:rsidRPr="00107BA1">
        <w:rPr>
          <w:sz w:val="20"/>
        </w:rPr>
        <w:t>Moldaver</w:t>
      </w:r>
      <w:proofErr w:type="spellEnd"/>
      <w:r w:rsidRPr="00107BA1">
        <w:rPr>
          <w:sz w:val="20"/>
        </w:rPr>
        <w:t> JJ.:  It is common ground that the contributions provided for in s. 75(1</w:t>
      </w:r>
      <w:proofErr w:type="gramStart"/>
      <w:r w:rsidRPr="00107BA1">
        <w:rPr>
          <w:sz w:val="20"/>
        </w:rPr>
        <w:t>)(</w:t>
      </w:r>
      <w:proofErr w:type="gramEnd"/>
      <w:r w:rsidRPr="00107BA1">
        <w:rPr>
          <w:sz w:val="20"/>
        </w:rPr>
        <w:t xml:space="preserve">a) of the </w:t>
      </w:r>
      <w:r w:rsidRPr="00107BA1">
        <w:rPr>
          <w:i/>
          <w:sz w:val="20"/>
        </w:rPr>
        <w:t xml:space="preserve">PBA </w:t>
      </w:r>
      <w:r w:rsidRPr="00107BA1">
        <w:rPr>
          <w:sz w:val="20"/>
        </w:rPr>
        <w:t xml:space="preserve">are covered by the deemed trust contemplated by s. 57(4) of the </w:t>
      </w:r>
      <w:r w:rsidRPr="00107BA1">
        <w:rPr>
          <w:i/>
          <w:sz w:val="20"/>
        </w:rPr>
        <w:t>PBA</w:t>
      </w:r>
      <w:r w:rsidRPr="00107BA1">
        <w:rPr>
          <w:sz w:val="20"/>
        </w:rPr>
        <w:t>.  The only question is whether this statutory deemed trust also applies to the wind</w:t>
      </w:r>
      <w:r w:rsidRPr="00107BA1">
        <w:rPr>
          <w:sz w:val="20"/>
        </w:rPr>
        <w:noBreakHyphen/>
        <w:t>up deficiency payments required by s. 75(1</w:t>
      </w:r>
      <w:proofErr w:type="gramStart"/>
      <w:r w:rsidRPr="00107BA1">
        <w:rPr>
          <w:sz w:val="20"/>
        </w:rPr>
        <w:t>)(</w:t>
      </w:r>
      <w:proofErr w:type="gramEnd"/>
      <w:r w:rsidRPr="00107BA1">
        <w:rPr>
          <w:sz w:val="20"/>
        </w:rPr>
        <w:t>b).  The response to this question as it relates to the salaried employees is affirmative in view of the provision’s wording, context and purpose.  The situation is different with respect to the executive plan as s. 57(4) provides that the wind</w:t>
      </w:r>
      <w:r w:rsidRPr="00107BA1">
        <w:rPr>
          <w:sz w:val="20"/>
        </w:rPr>
        <w:noBreakHyphen/>
        <w:t>up deemed trust comes into existence only when the plan is wound up.</w:t>
      </w:r>
    </w:p>
    <w:p w:rsidR="00CA2CE2" w:rsidRPr="00107BA1"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The wind</w:t>
      </w:r>
      <w:r w:rsidRPr="00107BA1">
        <w:rPr>
          <w:sz w:val="20"/>
        </w:rPr>
        <w:noBreakHyphen/>
        <w:t xml:space="preserve">up deemed trust provision (s. 57(4) </w:t>
      </w:r>
      <w:r w:rsidRPr="00107BA1">
        <w:rPr>
          <w:i/>
          <w:sz w:val="20"/>
        </w:rPr>
        <w:t>PBA</w:t>
      </w:r>
      <w:r w:rsidRPr="00107BA1">
        <w:rPr>
          <w:sz w:val="20"/>
        </w:rPr>
        <w:t>) does not place an express limit on the “employer contributions accrued to the date of the wind up but not yet due”.  Section 75(1</w:t>
      </w:r>
      <w:proofErr w:type="gramStart"/>
      <w:r w:rsidRPr="00107BA1">
        <w:rPr>
          <w:sz w:val="20"/>
        </w:rPr>
        <w:t>)(</w:t>
      </w:r>
      <w:proofErr w:type="gramEnd"/>
      <w:r w:rsidRPr="00107BA1">
        <w:rPr>
          <w:sz w:val="20"/>
        </w:rPr>
        <w:t xml:space="preserve">a) explicitly refers to “an amount equal to the total of all payments” that have </w:t>
      </w:r>
      <w:r w:rsidRPr="00107BA1">
        <w:rPr>
          <w:i/>
          <w:sz w:val="20"/>
        </w:rPr>
        <w:t>accrued</w:t>
      </w:r>
      <w:r w:rsidRPr="00107BA1">
        <w:rPr>
          <w:sz w:val="20"/>
        </w:rPr>
        <w:t>, even those that were not yet due as of the date of the wind</w:t>
      </w:r>
      <w:r w:rsidRPr="00107BA1">
        <w:rPr>
          <w:sz w:val="20"/>
        </w:rPr>
        <w:noBreakHyphen/>
        <w:t xml:space="preserve">up, whereas s. 75(1)(b) contemplates an “amount” that is calculated on the basis of the value of assets and of liabilities that have </w:t>
      </w:r>
      <w:r w:rsidRPr="00107BA1">
        <w:rPr>
          <w:i/>
          <w:sz w:val="20"/>
        </w:rPr>
        <w:t>accrued</w:t>
      </w:r>
      <w:r w:rsidRPr="00107BA1">
        <w:rPr>
          <w:sz w:val="20"/>
        </w:rPr>
        <w:t xml:space="preserve"> when the plan is wound up.  Since both the amount with respect to payments (s. 75(1)(a)) and the one ascertained by subtracting the assets from the liabilities accrued as of the date of the wind</w:t>
      </w:r>
      <w:r w:rsidRPr="00107BA1">
        <w:rPr>
          <w:sz w:val="20"/>
        </w:rPr>
        <w:noBreakHyphen/>
        <w:t xml:space="preserve">up (s. 75(1)(b)) are to be paid upon wind up as employer contributions, they are both included in the ordinary meaning of the words of s. 57(4) of the </w:t>
      </w:r>
      <w:r w:rsidRPr="00107BA1">
        <w:rPr>
          <w:i/>
          <w:sz w:val="20"/>
        </w:rPr>
        <w:t>PBA</w:t>
      </w:r>
      <w:r w:rsidRPr="00107BA1">
        <w:rPr>
          <w:sz w:val="20"/>
        </w:rPr>
        <w:t>:  “amount of money equal to employer contributions accrued to the date of the wind</w:t>
      </w:r>
      <w:r w:rsidRPr="00107BA1">
        <w:rPr>
          <w:sz w:val="20"/>
        </w:rPr>
        <w:noBreakHyphen/>
        <w:t>up but not yet due under the plan or regulations”.</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The</w:t>
      </w:r>
      <w:r w:rsidRPr="00107BA1">
        <w:rPr>
          <w:sz w:val="20"/>
          <w:lang w:val="en-US"/>
        </w:rPr>
        <w:t xml:space="preserve"> time when the calculation is actually made is not relevant as long as the liabilities are assessed as of the date of the wind</w:t>
      </w:r>
      <w:r w:rsidRPr="00107BA1">
        <w:rPr>
          <w:sz w:val="20"/>
          <w:lang w:val="en-US"/>
        </w:rPr>
        <w:noBreakHyphen/>
        <w:t xml:space="preserve">up.  </w:t>
      </w:r>
      <w:r w:rsidRPr="00107BA1">
        <w:rPr>
          <w:sz w:val="20"/>
        </w:rPr>
        <w:t>The fact that the precise amount of the contribution is not determined as of the time of the wind up does not make it a contingent contribution that cannot have accrued for accounting purposes.  As a result, the words “contributions accrued” can encompass the contributions mandated by s. 75(1</w:t>
      </w:r>
      <w:proofErr w:type="gramStart"/>
      <w:r w:rsidRPr="00107BA1">
        <w:rPr>
          <w:sz w:val="20"/>
        </w:rPr>
        <w:t>)(</w:t>
      </w:r>
      <w:proofErr w:type="gramEnd"/>
      <w:r w:rsidRPr="00107BA1">
        <w:rPr>
          <w:sz w:val="20"/>
        </w:rPr>
        <w:t xml:space="preserve">b) of the </w:t>
      </w:r>
      <w:r w:rsidRPr="00107BA1">
        <w:rPr>
          <w:i/>
          <w:sz w:val="20"/>
        </w:rPr>
        <w:t>PBA</w:t>
      </w:r>
      <w:r w:rsidRPr="00107BA1">
        <w:rPr>
          <w:sz w:val="20"/>
        </w:rPr>
        <w:t>.</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It can be seen from the legislative history that the protection has expanded from (1) only the service contributions that were due, to (2) amounts payable calculated as if the plan had been wound up, to (3) amounts that were due and had accrued upon wind</w:t>
      </w:r>
      <w:r w:rsidRPr="00107BA1">
        <w:rPr>
          <w:sz w:val="20"/>
        </w:rPr>
        <w:noBreakHyphen/>
        <w:t>up but excluding the wind</w:t>
      </w:r>
      <w:r w:rsidRPr="00107BA1">
        <w:rPr>
          <w:sz w:val="20"/>
        </w:rPr>
        <w:noBreakHyphen/>
        <w:t>up deficiency payments, to (4) all amounts due and accrued upon wind</w:t>
      </w:r>
      <w:r w:rsidRPr="00107BA1">
        <w:rPr>
          <w:sz w:val="20"/>
        </w:rPr>
        <w:noBreakHyphen/>
        <w:t>up.  Therefore, the legislative history leads to the conclusion that adopting a narrow interpretation that would dissociate the employer’s payment provided for in s. 75(1</w:t>
      </w:r>
      <w:proofErr w:type="gramStart"/>
      <w:r w:rsidRPr="00107BA1">
        <w:rPr>
          <w:sz w:val="20"/>
        </w:rPr>
        <w:t>)(</w:t>
      </w:r>
      <w:proofErr w:type="gramEnd"/>
      <w:r w:rsidRPr="00107BA1">
        <w:rPr>
          <w:sz w:val="20"/>
        </w:rPr>
        <w:t xml:space="preserve">b) of the </w:t>
      </w:r>
      <w:r w:rsidRPr="00107BA1">
        <w:rPr>
          <w:i/>
          <w:sz w:val="20"/>
        </w:rPr>
        <w:t xml:space="preserve">PBA </w:t>
      </w:r>
      <w:r w:rsidRPr="00107BA1">
        <w:rPr>
          <w:sz w:val="20"/>
        </w:rPr>
        <w:t xml:space="preserve">from the one provided for in s. 75(1)(a) would be contrary to the Ontario legislature’s trend toward broadening the protection. </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The deemed trust provision is a remedial one.  Its purpose is to protect the interests of plan members.  The remedial purpose favours an approach that includes all wind</w:t>
      </w:r>
      <w:r w:rsidRPr="00107BA1">
        <w:rPr>
          <w:sz w:val="20"/>
        </w:rPr>
        <w:noBreakHyphen/>
        <w:t xml:space="preserve">up payments in the value of the deemed trust.  In this case, the Court of Appeal correctly held with respect to the salaried plan, that </w:t>
      </w:r>
      <w:proofErr w:type="spellStart"/>
      <w:r w:rsidRPr="00107BA1">
        <w:rPr>
          <w:sz w:val="20"/>
        </w:rPr>
        <w:t>Indalex</w:t>
      </w:r>
      <w:proofErr w:type="spellEnd"/>
      <w:r w:rsidRPr="00107BA1">
        <w:rPr>
          <w:sz w:val="20"/>
        </w:rPr>
        <w:t xml:space="preserve"> was deemed to hold in trust the amount necessary to satisfy the wind</w:t>
      </w:r>
      <w:r w:rsidRPr="00107BA1">
        <w:rPr>
          <w:sz w:val="20"/>
        </w:rPr>
        <w:noBreakHyphen/>
        <w:t>up deficiency.</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LeBel</w:t>
      </w:r>
      <w:proofErr w:type="spellEnd"/>
      <w:r w:rsidRPr="00107BA1">
        <w:rPr>
          <w:sz w:val="20"/>
        </w:rPr>
        <w:t xml:space="preserve"> and </w:t>
      </w:r>
      <w:proofErr w:type="spellStart"/>
      <w:r w:rsidRPr="00107BA1">
        <w:rPr>
          <w:sz w:val="20"/>
        </w:rPr>
        <w:t>Abella</w:t>
      </w:r>
      <w:proofErr w:type="spellEnd"/>
      <w:r w:rsidRPr="00107BA1">
        <w:rPr>
          <w:sz w:val="20"/>
        </w:rPr>
        <w:t xml:space="preserve"> JJ.:  There is agreement with the reasons of </w:t>
      </w:r>
      <w:proofErr w:type="spellStart"/>
      <w:r w:rsidRPr="00107BA1">
        <w:rPr>
          <w:sz w:val="20"/>
        </w:rPr>
        <w:t>Deschamps</w:t>
      </w:r>
      <w:proofErr w:type="spellEnd"/>
      <w:r w:rsidRPr="00107BA1">
        <w:rPr>
          <w:sz w:val="20"/>
        </w:rPr>
        <w:t xml:space="preserve"> J. on the statutory deemed trust issue.</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sz w:val="20"/>
        </w:rPr>
        <w:t>McLachlin</w:t>
      </w:r>
      <w:proofErr w:type="spellEnd"/>
      <w:r w:rsidRPr="00107BA1">
        <w:rPr>
          <w:sz w:val="20"/>
        </w:rPr>
        <w:t xml:space="preserve"> C.J. and Rothstein and </w:t>
      </w:r>
      <w:r w:rsidRPr="00107BA1">
        <w:rPr>
          <w:b/>
          <w:sz w:val="20"/>
        </w:rPr>
        <w:t>Cromwell</w:t>
      </w:r>
      <w:r w:rsidRPr="00107BA1">
        <w:rPr>
          <w:sz w:val="20"/>
        </w:rPr>
        <w:t> JJ.:  Given that there can be no deemed trust for the executive plan because that plan had not been wound up at the relevant date, the main issue in connection with the salaried plan boils down to the narrow statutory interpretative question of whether the wind</w:t>
      </w:r>
      <w:r w:rsidRPr="00107BA1">
        <w:rPr>
          <w:sz w:val="20"/>
        </w:rPr>
        <w:noBreakHyphen/>
        <w:t>up deficiency provided for in s. 75(1</w:t>
      </w:r>
      <w:proofErr w:type="gramStart"/>
      <w:r w:rsidRPr="00107BA1">
        <w:rPr>
          <w:sz w:val="20"/>
        </w:rPr>
        <w:t>)(</w:t>
      </w:r>
      <w:proofErr w:type="gramEnd"/>
      <w:r w:rsidRPr="00107BA1">
        <w:rPr>
          <w:sz w:val="20"/>
        </w:rPr>
        <w:t>b) is “accrued to the date of the wind</w:t>
      </w:r>
      <w:r w:rsidRPr="00107BA1">
        <w:rPr>
          <w:sz w:val="20"/>
        </w:rPr>
        <w:noBreakHyphen/>
        <w:t xml:space="preserve">up” as required by s. 57(4) of the </w:t>
      </w:r>
      <w:r w:rsidRPr="00107BA1">
        <w:rPr>
          <w:i/>
          <w:sz w:val="20"/>
        </w:rPr>
        <w:t>PBA</w:t>
      </w:r>
      <w:r w:rsidRPr="00107BA1">
        <w:rPr>
          <w:sz w:val="20"/>
        </w:rPr>
        <w:t>.</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When the term “accrued” is used in relation to a sum of money, it will generally refer to an amount that is at the present time either quantified or exactly quantifiable but which may or may not be due.  In the present case, s. 57(4) uses the word “accrued” in contrast to the word “due”.  Given the ordinary meaning of the word “accrued”, the wind</w:t>
      </w:r>
      <w:r w:rsidRPr="00107BA1">
        <w:rPr>
          <w:sz w:val="20"/>
        </w:rPr>
        <w:noBreakHyphen/>
        <w:t>up deficiency cannot be said to have “accrued” to the date of wind</w:t>
      </w:r>
      <w:r w:rsidRPr="00107BA1">
        <w:rPr>
          <w:sz w:val="20"/>
        </w:rPr>
        <w:noBreakHyphen/>
        <w:t>up.  The extent of the wind</w:t>
      </w:r>
      <w:r w:rsidRPr="00107BA1">
        <w:rPr>
          <w:sz w:val="20"/>
        </w:rPr>
        <w:noBreakHyphen/>
        <w:t xml:space="preserve">up deficiency depends on </w:t>
      </w:r>
      <w:r w:rsidRPr="00107BA1">
        <w:rPr>
          <w:sz w:val="20"/>
        </w:rPr>
        <w:lastRenderedPageBreak/>
        <w:t>employee rights that arise only upon wind</w:t>
      </w:r>
      <w:r w:rsidRPr="00107BA1">
        <w:rPr>
          <w:sz w:val="20"/>
        </w:rPr>
        <w:noBreakHyphen/>
        <w:t>up and with respect to which employees make elections only after wind</w:t>
      </w:r>
      <w:r w:rsidRPr="00107BA1">
        <w:rPr>
          <w:sz w:val="20"/>
        </w:rPr>
        <w:noBreakHyphen/>
        <w:t>up.  The wind</w:t>
      </w:r>
      <w:r w:rsidRPr="00107BA1">
        <w:rPr>
          <w:sz w:val="20"/>
        </w:rPr>
        <w:noBreakHyphen/>
        <w:t>up deficiency therefore is neither ascertained nor ascertainable on the date fixed for wind</w:t>
      </w:r>
      <w:r w:rsidRPr="00107BA1">
        <w:rPr>
          <w:sz w:val="20"/>
        </w:rPr>
        <w:noBreakHyphen/>
        <w:t>up.</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The broader statutory context reinforces the view according to which the most plausible grammatical and ordinary sense of the words “accrued to the date of wind up” is that the amounts referred to are precisely ascertained immediately before the effective date of the plan’s wind</w:t>
      </w:r>
      <w:r w:rsidRPr="00107BA1">
        <w:rPr>
          <w:sz w:val="20"/>
        </w:rPr>
        <w:noBreakHyphen/>
        <w:t>up.  Moreover, the legislative evolution and history of the provisions at issue show that the legislature never intended to include the wind</w:t>
      </w:r>
      <w:r w:rsidRPr="00107BA1">
        <w:rPr>
          <w:sz w:val="20"/>
        </w:rPr>
        <w:noBreakHyphen/>
        <w:t xml:space="preserve">up deficiency in a statutory deemed trust.  Rather, they reinforce the legislative intent to </w:t>
      </w:r>
      <w:r w:rsidRPr="00107BA1">
        <w:rPr>
          <w:i/>
          <w:sz w:val="20"/>
        </w:rPr>
        <w:t>exclude</w:t>
      </w:r>
      <w:r w:rsidRPr="00107BA1">
        <w:rPr>
          <w:sz w:val="20"/>
        </w:rPr>
        <w:t xml:space="preserve"> from the deemed trust liabilities that arise only </w:t>
      </w:r>
      <w:r w:rsidRPr="00107BA1">
        <w:rPr>
          <w:i/>
          <w:sz w:val="20"/>
        </w:rPr>
        <w:t>on</w:t>
      </w:r>
      <w:r w:rsidRPr="00107BA1">
        <w:rPr>
          <w:sz w:val="20"/>
        </w:rPr>
        <w:t xml:space="preserve"> the date of wind</w:t>
      </w:r>
      <w:r w:rsidRPr="00107BA1">
        <w:rPr>
          <w:sz w:val="20"/>
        </w:rPr>
        <w:noBreakHyphen/>
        <w:t>up.</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The legislation differentiates between two types of employer liability relevant to this case.  The first is the contributions required to cover current service costs and any other payments that are either due or have accrued on a daily basis up to the relevant time.  These are the payments referred to in the current s. 75(1</w:t>
      </w:r>
      <w:proofErr w:type="gramStart"/>
      <w:r w:rsidRPr="00107BA1">
        <w:rPr>
          <w:sz w:val="20"/>
        </w:rPr>
        <w:t>)(</w:t>
      </w:r>
      <w:proofErr w:type="gramEnd"/>
      <w:r w:rsidRPr="00107BA1">
        <w:rPr>
          <w:sz w:val="20"/>
        </w:rPr>
        <w:t>a), that is, payments due or accrued but not paid.  The second relates to additional contributions required when a plan is wound up which I have referred to as the wind</w:t>
      </w:r>
      <w:r w:rsidRPr="00107BA1">
        <w:rPr>
          <w:sz w:val="20"/>
        </w:rPr>
        <w:noBreakHyphen/>
        <w:t>up deficiency.  These payments are addressed in s. 75(1</w:t>
      </w:r>
      <w:proofErr w:type="gramStart"/>
      <w:r w:rsidRPr="00107BA1">
        <w:rPr>
          <w:sz w:val="20"/>
        </w:rPr>
        <w:t>)(</w:t>
      </w:r>
      <w:proofErr w:type="gramEnd"/>
      <w:r w:rsidRPr="00107BA1">
        <w:rPr>
          <w:sz w:val="20"/>
        </w:rPr>
        <w:t>b).  The legislative history and evolution show that the deemed trusts under s. 57(3) and (4) were intended to apply only to the former amounts and that it was never the intention that there should be a deemed trust or a lien with respect to an employer’s potential future liabilities that arise once the plan is wound up.</w:t>
      </w:r>
    </w:p>
    <w:p w:rsidR="00CA2CE2"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sz w:val="20"/>
        </w:rPr>
        <w:tab/>
        <w:t>In this case, the s. 57(4) deemed trust does not apply to the wind</w:t>
      </w:r>
      <w:r w:rsidRPr="00107BA1">
        <w:rPr>
          <w:sz w:val="20"/>
        </w:rPr>
        <w:noBreakHyphen/>
        <w:t>up deficiency.  This conclusion to exclude the wind</w:t>
      </w:r>
      <w:r w:rsidRPr="00107BA1">
        <w:rPr>
          <w:sz w:val="20"/>
        </w:rPr>
        <w:noBreakHyphen/>
        <w:t>up deficiency from the deemed trust is consistent with the broader purposes of the legislation.  The legislature has created trusts over contributions that were due or accrued to the date of the wind</w:t>
      </w:r>
      <w:r w:rsidRPr="00107BA1">
        <w:rPr>
          <w:sz w:val="20"/>
        </w:rPr>
        <w:noBreakHyphen/>
        <w:t>up in order to protect, to some degree, the rights of pension plan beneficiaries and employees from the claims of the employer’s other creditors. However, there is also good reason to think that the legislature had in mind other competing objectives in not extending the deemed trust to the wind</w:t>
      </w:r>
      <w:r w:rsidRPr="00107BA1">
        <w:rPr>
          <w:sz w:val="20"/>
        </w:rPr>
        <w:noBreakHyphen/>
        <w:t xml:space="preserve">up deficiency.  While the protection of pension plans is an important objective, it is not for this Court to decide the extent to which that objective will be pursued and at what cost to other interests.  The decision as to the level of protection that should be provided to pension beneficiaries under the </w:t>
      </w:r>
      <w:r w:rsidRPr="00107BA1">
        <w:rPr>
          <w:i/>
          <w:sz w:val="20"/>
        </w:rPr>
        <w:t>PBA</w:t>
      </w:r>
      <w:r w:rsidRPr="00107BA1">
        <w:rPr>
          <w:sz w:val="20"/>
        </w:rPr>
        <w:t xml:space="preserve"> is one to be left to the Ontario legislature. </w:t>
      </w:r>
    </w:p>
    <w:p w:rsidR="00CA2CE2" w:rsidRPr="00107BA1" w:rsidRDefault="00CA2CE2" w:rsidP="00CA2CE2">
      <w:pPr>
        <w:pStyle w:val="SCCNormalDoubleSpacing"/>
        <w:spacing w:line="240" w:lineRule="auto"/>
        <w:rPr>
          <w:sz w:val="20"/>
        </w:rPr>
      </w:pPr>
    </w:p>
    <w:p w:rsidR="00CA2CE2" w:rsidRPr="00107BA1" w:rsidRDefault="00CA2CE2" w:rsidP="00AB4F4C">
      <w:pPr>
        <w:pStyle w:val="SCCNormalDoubleSpacing"/>
        <w:keepNext/>
        <w:spacing w:line="240" w:lineRule="auto"/>
        <w:ind w:left="360" w:hanging="360"/>
        <w:rPr>
          <w:i/>
          <w:sz w:val="20"/>
          <w:u w:val="single"/>
        </w:rPr>
      </w:pPr>
      <w:r w:rsidRPr="00107BA1">
        <w:rPr>
          <w:sz w:val="20"/>
        </w:rPr>
        <w:t>(2)</w:t>
      </w:r>
      <w:r w:rsidRPr="00107BA1">
        <w:rPr>
          <w:sz w:val="20"/>
        </w:rPr>
        <w:tab/>
      </w:r>
      <w:r w:rsidRPr="00107BA1">
        <w:rPr>
          <w:i/>
          <w:sz w:val="20"/>
          <w:u w:val="single"/>
        </w:rPr>
        <w:t>Priority Ranking</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Deschamps</w:t>
      </w:r>
      <w:proofErr w:type="spellEnd"/>
      <w:r w:rsidRPr="00107BA1">
        <w:rPr>
          <w:sz w:val="20"/>
        </w:rPr>
        <w:t xml:space="preserve"> and </w:t>
      </w:r>
      <w:proofErr w:type="spellStart"/>
      <w:r w:rsidRPr="00107BA1">
        <w:rPr>
          <w:sz w:val="20"/>
        </w:rPr>
        <w:t>Moldaver</w:t>
      </w:r>
      <w:proofErr w:type="spellEnd"/>
      <w:r w:rsidRPr="00107BA1">
        <w:rPr>
          <w:sz w:val="20"/>
        </w:rPr>
        <w:t xml:space="preserve"> JJ.:  A statutory deemed trust under provincial legislation such as the </w:t>
      </w:r>
      <w:r w:rsidRPr="00107BA1">
        <w:rPr>
          <w:i/>
          <w:sz w:val="20"/>
        </w:rPr>
        <w:t>PBA</w:t>
      </w:r>
      <w:r w:rsidRPr="00107BA1">
        <w:rPr>
          <w:sz w:val="20"/>
        </w:rPr>
        <w:t xml:space="preserve"> continues to apply in federally</w:t>
      </w:r>
      <w:r w:rsidRPr="00107BA1">
        <w:rPr>
          <w:sz w:val="20"/>
        </w:rPr>
        <w:noBreakHyphen/>
      </w:r>
      <w:proofErr w:type="spellStart"/>
      <w:r w:rsidRPr="00107BA1">
        <w:rPr>
          <w:sz w:val="20"/>
        </w:rPr>
        <w:t>regulated</w:t>
      </w:r>
      <w:proofErr w:type="spellEnd"/>
      <w:r w:rsidRPr="00107BA1">
        <w:rPr>
          <w:sz w:val="20"/>
        </w:rPr>
        <w:t xml:space="preserve"> </w:t>
      </w:r>
      <w:r w:rsidRPr="00107BA1">
        <w:rPr>
          <w:i/>
          <w:sz w:val="20"/>
        </w:rPr>
        <w:t>CCAA</w:t>
      </w:r>
      <w:r w:rsidRPr="00107BA1">
        <w:rPr>
          <w:sz w:val="20"/>
        </w:rPr>
        <w:t xml:space="preserve"> proceedings, subject to the doctrine of federal </w:t>
      </w:r>
      <w:proofErr w:type="spellStart"/>
      <w:r w:rsidRPr="00107BA1">
        <w:rPr>
          <w:sz w:val="20"/>
        </w:rPr>
        <w:t>paramountcy</w:t>
      </w:r>
      <w:proofErr w:type="spellEnd"/>
      <w:r w:rsidRPr="00107BA1">
        <w:rPr>
          <w:sz w:val="20"/>
        </w:rPr>
        <w:t>.  In this case, granting priority to the DIP lenders subordinates the claims of other stakeholders, including the plan members.  This court</w:t>
      </w:r>
      <w:r w:rsidRPr="00107BA1">
        <w:rPr>
          <w:sz w:val="20"/>
        </w:rPr>
        <w:noBreakHyphen/>
      </w:r>
      <w:proofErr w:type="spellStart"/>
      <w:r w:rsidRPr="00107BA1">
        <w:rPr>
          <w:sz w:val="20"/>
        </w:rPr>
        <w:t>ordered</w:t>
      </w:r>
      <w:proofErr w:type="spellEnd"/>
      <w:r w:rsidRPr="00107BA1">
        <w:rPr>
          <w:sz w:val="20"/>
        </w:rPr>
        <w:t xml:space="preserve"> priority based on the </w:t>
      </w:r>
      <w:r w:rsidRPr="00107BA1">
        <w:rPr>
          <w:i/>
          <w:sz w:val="20"/>
        </w:rPr>
        <w:t>CCAA</w:t>
      </w:r>
      <w:r w:rsidRPr="00107BA1">
        <w:rPr>
          <w:sz w:val="20"/>
        </w:rPr>
        <w:t xml:space="preserve"> has the same effect as a statutory priority. The federal and provincial laws are inconsistent, as they give rise to different, and conflicting, orders of priority.  As a result of the application of the doctrine of federal </w:t>
      </w:r>
      <w:proofErr w:type="spellStart"/>
      <w:r w:rsidRPr="00107BA1">
        <w:rPr>
          <w:sz w:val="20"/>
        </w:rPr>
        <w:t>paramountcy</w:t>
      </w:r>
      <w:proofErr w:type="spellEnd"/>
      <w:r w:rsidRPr="00107BA1">
        <w:rPr>
          <w:sz w:val="20"/>
        </w:rPr>
        <w:t>, the DIP charge supersedes the deemed trust.</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sz w:val="20"/>
        </w:rPr>
        <w:t>McLachlin</w:t>
      </w:r>
      <w:proofErr w:type="spellEnd"/>
      <w:r w:rsidRPr="00107BA1">
        <w:rPr>
          <w:sz w:val="20"/>
        </w:rPr>
        <w:t xml:space="preserve"> C.J. and Rothstein and </w:t>
      </w:r>
      <w:r w:rsidRPr="00107BA1">
        <w:rPr>
          <w:b/>
          <w:sz w:val="20"/>
        </w:rPr>
        <w:t>Cromwell</w:t>
      </w:r>
      <w:r w:rsidRPr="00107BA1">
        <w:rPr>
          <w:sz w:val="20"/>
        </w:rPr>
        <w:t xml:space="preserve"> JJ.:  Although there is disagreement with </w:t>
      </w:r>
      <w:proofErr w:type="spellStart"/>
      <w:r w:rsidRPr="00107BA1">
        <w:rPr>
          <w:sz w:val="20"/>
        </w:rPr>
        <w:t>Deschamps</w:t>
      </w:r>
      <w:proofErr w:type="spellEnd"/>
      <w:r w:rsidRPr="00107BA1">
        <w:rPr>
          <w:sz w:val="20"/>
        </w:rPr>
        <w:t xml:space="preserve"> J. in connection with the scope of the s. 57(4) deemed trust, it is agreed that if there was a deemed trust in this case, it would be superseded by the DIP loan because of the operation of the doctrine of federal </w:t>
      </w:r>
      <w:proofErr w:type="spellStart"/>
      <w:r w:rsidRPr="00107BA1">
        <w:rPr>
          <w:sz w:val="20"/>
        </w:rPr>
        <w:t>paramountcy</w:t>
      </w:r>
      <w:proofErr w:type="spellEnd"/>
      <w:r w:rsidRPr="00107BA1">
        <w:rPr>
          <w:sz w:val="20"/>
        </w:rPr>
        <w:t>.</w:t>
      </w:r>
    </w:p>
    <w:p w:rsidR="00CA2CE2" w:rsidRDefault="00CA2CE2" w:rsidP="00CA2CE2">
      <w:pPr>
        <w:pStyle w:val="SCCNormalDoubleSpacing"/>
        <w:spacing w:line="240" w:lineRule="auto"/>
        <w:rPr>
          <w:i/>
          <w:sz w:val="20"/>
        </w:rPr>
      </w:pPr>
    </w:p>
    <w:p w:rsidR="00CA2CE2"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LeBel</w:t>
      </w:r>
      <w:proofErr w:type="spellEnd"/>
      <w:r w:rsidRPr="00107BA1">
        <w:rPr>
          <w:sz w:val="20"/>
        </w:rPr>
        <w:t xml:space="preserve"> and </w:t>
      </w:r>
      <w:proofErr w:type="spellStart"/>
      <w:r w:rsidRPr="00107BA1">
        <w:rPr>
          <w:sz w:val="20"/>
        </w:rPr>
        <w:t>Abella</w:t>
      </w:r>
      <w:proofErr w:type="spellEnd"/>
      <w:r w:rsidRPr="00107BA1">
        <w:rPr>
          <w:sz w:val="20"/>
        </w:rPr>
        <w:t xml:space="preserve"> JJ.:  There is agreement with the reasons of </w:t>
      </w:r>
      <w:proofErr w:type="spellStart"/>
      <w:r w:rsidRPr="00107BA1">
        <w:rPr>
          <w:sz w:val="20"/>
        </w:rPr>
        <w:t>Deschamps</w:t>
      </w:r>
      <w:proofErr w:type="spellEnd"/>
      <w:r w:rsidRPr="00107BA1">
        <w:rPr>
          <w:sz w:val="20"/>
        </w:rPr>
        <w:t xml:space="preserve"> J. on the priority ranking issue as determined by operation of the doctrine of federal </w:t>
      </w:r>
      <w:proofErr w:type="spellStart"/>
      <w:r w:rsidRPr="00107BA1">
        <w:rPr>
          <w:sz w:val="20"/>
        </w:rPr>
        <w:t>paramountcy</w:t>
      </w:r>
      <w:proofErr w:type="spellEnd"/>
      <w:r w:rsidRPr="00107BA1">
        <w:rPr>
          <w:sz w:val="20"/>
        </w:rPr>
        <w:t>.</w:t>
      </w:r>
    </w:p>
    <w:p w:rsidR="00CA2CE2" w:rsidRPr="00107BA1" w:rsidRDefault="00CA2CE2" w:rsidP="00CA2CE2">
      <w:pPr>
        <w:pStyle w:val="SCCNormalDoubleSpacing"/>
        <w:spacing w:line="240" w:lineRule="auto"/>
        <w:rPr>
          <w:sz w:val="20"/>
        </w:rPr>
      </w:pPr>
    </w:p>
    <w:p w:rsidR="00CA2CE2" w:rsidRPr="00107BA1" w:rsidRDefault="00CA2CE2" w:rsidP="00007E48">
      <w:pPr>
        <w:pStyle w:val="SCCNormalDoubleSpacing"/>
        <w:keepNext/>
        <w:spacing w:line="240" w:lineRule="auto"/>
        <w:ind w:left="360" w:hanging="360"/>
        <w:rPr>
          <w:i/>
          <w:sz w:val="20"/>
          <w:u w:val="single"/>
        </w:rPr>
      </w:pPr>
      <w:r w:rsidRPr="00107BA1">
        <w:rPr>
          <w:sz w:val="20"/>
        </w:rPr>
        <w:t>(3)</w:t>
      </w:r>
      <w:r w:rsidRPr="00107BA1">
        <w:rPr>
          <w:sz w:val="20"/>
        </w:rPr>
        <w:tab/>
      </w:r>
      <w:r w:rsidRPr="00107BA1">
        <w:rPr>
          <w:i/>
          <w:sz w:val="20"/>
          <w:u w:val="single"/>
        </w:rPr>
        <w:t xml:space="preserve">Constructive Trust </w:t>
      </w:r>
      <w:proofErr w:type="gramStart"/>
      <w:r w:rsidRPr="00107BA1">
        <w:rPr>
          <w:i/>
          <w:sz w:val="20"/>
          <w:u w:val="single"/>
        </w:rPr>
        <w:t>As</w:t>
      </w:r>
      <w:proofErr w:type="gramEnd"/>
      <w:r w:rsidRPr="00107BA1">
        <w:rPr>
          <w:i/>
          <w:sz w:val="20"/>
          <w:u w:val="single"/>
        </w:rPr>
        <w:t xml:space="preserve"> A Remedy for Breach of Fiduciary Duties</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sz w:val="20"/>
        </w:rPr>
        <w:t>McLachlin</w:t>
      </w:r>
      <w:proofErr w:type="spellEnd"/>
      <w:r w:rsidRPr="00107BA1">
        <w:rPr>
          <w:sz w:val="20"/>
        </w:rPr>
        <w:t xml:space="preserve"> C.J. and Rothstein and </w:t>
      </w:r>
      <w:r w:rsidRPr="00107BA1">
        <w:rPr>
          <w:b/>
          <w:sz w:val="20"/>
        </w:rPr>
        <w:t>Cromwell </w:t>
      </w:r>
      <w:r w:rsidRPr="00107BA1">
        <w:rPr>
          <w:sz w:val="20"/>
        </w:rPr>
        <w:t>JJ.:  It cannot be the case that a conflict of interests arises simply because an employer, exercising its management powers in the best interests of the corporation, does something that has the potential to affect the beneficiaries of the corporation’s pension plan.  This conclusion flows inevitably from the statutory context. The existence of apparent conflicts that are inherent in the two roles of employer and pension plan administrator being performed by the same party cannot be a breach of fiduciary duty because those conflicts are specifically authorized by the statute which permits one party to play both roles.  Rather, a situation of conflict of interest occurs when there is a substantial risk that the employer</w:t>
      </w:r>
      <w:r w:rsidRPr="00107BA1">
        <w:rPr>
          <w:sz w:val="20"/>
        </w:rPr>
        <w:noBreakHyphen/>
      </w:r>
      <w:proofErr w:type="spellStart"/>
      <w:r w:rsidRPr="00107BA1">
        <w:rPr>
          <w:sz w:val="20"/>
        </w:rPr>
        <w:t>administrator’s</w:t>
      </w:r>
      <w:proofErr w:type="spellEnd"/>
      <w:r w:rsidRPr="00107BA1">
        <w:rPr>
          <w:sz w:val="20"/>
        </w:rPr>
        <w:t xml:space="preserve"> representation of the plan beneficiaries would be materially and adversely affected by the employer</w:t>
      </w:r>
      <w:r w:rsidRPr="00107BA1">
        <w:rPr>
          <w:sz w:val="20"/>
        </w:rPr>
        <w:noBreakHyphen/>
      </w:r>
      <w:proofErr w:type="spellStart"/>
      <w:r w:rsidRPr="00107BA1">
        <w:rPr>
          <w:sz w:val="20"/>
        </w:rPr>
        <w:t>administrator’s</w:t>
      </w:r>
      <w:proofErr w:type="spellEnd"/>
      <w:r w:rsidRPr="00107BA1">
        <w:rPr>
          <w:sz w:val="20"/>
        </w:rPr>
        <w:t xml:space="preserve"> duties to the corporation.</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 xml:space="preserve">Seeking an initial order protecting the corporation from actions by its creditors did not, on its own, give rise to any conflict of interest or duty on the part of </w:t>
      </w:r>
      <w:proofErr w:type="spellStart"/>
      <w:r w:rsidRPr="00107BA1">
        <w:rPr>
          <w:sz w:val="20"/>
        </w:rPr>
        <w:t>Indalex</w:t>
      </w:r>
      <w:proofErr w:type="spellEnd"/>
      <w:r w:rsidRPr="00107BA1">
        <w:rPr>
          <w:sz w:val="20"/>
        </w:rPr>
        <w:t xml:space="preserve">. Likewise, failure to give notice of the initial </w:t>
      </w:r>
      <w:r w:rsidRPr="00107BA1">
        <w:rPr>
          <w:i/>
          <w:sz w:val="20"/>
        </w:rPr>
        <w:t>CCAA</w:t>
      </w:r>
      <w:r w:rsidRPr="00107BA1">
        <w:rPr>
          <w:sz w:val="20"/>
        </w:rPr>
        <w:t xml:space="preserve"> proceedings was not a breach of fiduciary duty to avoid conflicts of interest in this case. </w:t>
      </w:r>
      <w:proofErr w:type="spellStart"/>
      <w:r w:rsidRPr="00107BA1">
        <w:rPr>
          <w:sz w:val="20"/>
        </w:rPr>
        <w:t>Indalex’s</w:t>
      </w:r>
      <w:proofErr w:type="spellEnd"/>
      <w:r w:rsidRPr="00107BA1">
        <w:rPr>
          <w:sz w:val="20"/>
        </w:rPr>
        <w:t xml:space="preserve"> decision to act as an employer</w:t>
      </w:r>
      <w:r w:rsidRPr="00107BA1">
        <w:rPr>
          <w:sz w:val="20"/>
        </w:rPr>
        <w:noBreakHyphen/>
      </w:r>
      <w:proofErr w:type="spellStart"/>
      <w:r w:rsidRPr="00107BA1">
        <w:rPr>
          <w:sz w:val="20"/>
        </w:rPr>
        <w:t>administrator</w:t>
      </w:r>
      <w:proofErr w:type="spellEnd"/>
      <w:r w:rsidRPr="00107BA1">
        <w:rPr>
          <w:sz w:val="20"/>
        </w:rPr>
        <w:t xml:space="preserve"> cannot give the plan members any greater benefit than they would have if their plan was managed by a third party administrator.</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 xml:space="preserve">It was at the point of seeking and obtaining the DIP orders without notice to the plan beneficiaries and seeking and obtaining the sale approval order that </w:t>
      </w:r>
      <w:proofErr w:type="spellStart"/>
      <w:r w:rsidRPr="00107BA1">
        <w:rPr>
          <w:sz w:val="20"/>
        </w:rPr>
        <w:t>Indalex’s</w:t>
      </w:r>
      <w:proofErr w:type="spellEnd"/>
      <w:r w:rsidRPr="00107BA1">
        <w:rPr>
          <w:sz w:val="20"/>
        </w:rPr>
        <w:t xml:space="preserve"> interests as a corporation came into conflict with its duties as a pension plan administrator.  However, the difficulty that arose here was not the existence of the conflict itself, but </w:t>
      </w:r>
      <w:proofErr w:type="spellStart"/>
      <w:r w:rsidRPr="00107BA1">
        <w:rPr>
          <w:sz w:val="20"/>
        </w:rPr>
        <w:t>Indalex’s</w:t>
      </w:r>
      <w:proofErr w:type="spellEnd"/>
      <w:r w:rsidRPr="00107BA1">
        <w:rPr>
          <w:sz w:val="20"/>
        </w:rPr>
        <w:t xml:space="preserve"> failure to take steps so that the plans’ beneficiaries would have the opportunity to have their interests protected in the </w:t>
      </w:r>
      <w:r w:rsidRPr="00107BA1">
        <w:rPr>
          <w:i/>
          <w:sz w:val="20"/>
        </w:rPr>
        <w:t>CCAA</w:t>
      </w:r>
      <w:r w:rsidRPr="00107BA1">
        <w:rPr>
          <w:sz w:val="20"/>
        </w:rPr>
        <w:t xml:space="preserve"> proceedings as if the plans were administered by an independent administrator. In short, the difficulty was not the existence of the conflict, but the failure to address it.</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An employer</w:t>
      </w:r>
      <w:r w:rsidRPr="00107BA1">
        <w:rPr>
          <w:sz w:val="20"/>
        </w:rPr>
        <w:noBreakHyphen/>
      </w:r>
      <w:proofErr w:type="spellStart"/>
      <w:r w:rsidRPr="00107BA1">
        <w:rPr>
          <w:sz w:val="20"/>
        </w:rPr>
        <w:t>administrator</w:t>
      </w:r>
      <w:proofErr w:type="spellEnd"/>
      <w:r w:rsidRPr="00107BA1">
        <w:rPr>
          <w:sz w:val="20"/>
        </w:rPr>
        <w:t xml:space="preserve"> who finds itself in a conflict must bring the conflict to the attention of the </w:t>
      </w:r>
      <w:r w:rsidRPr="00107BA1">
        <w:rPr>
          <w:i/>
          <w:sz w:val="20"/>
        </w:rPr>
        <w:t xml:space="preserve">CCAA </w:t>
      </w:r>
      <w:r w:rsidRPr="00107BA1">
        <w:rPr>
          <w:sz w:val="20"/>
        </w:rPr>
        <w:t xml:space="preserve">judge. It is not enough to include the beneficiaries in the list of creditors; the judge must be made aware that the debtor, as an administrator of the plan is, or may be, in a conflict of interest.  Accordingly, </w:t>
      </w:r>
      <w:proofErr w:type="spellStart"/>
      <w:r w:rsidRPr="00107BA1">
        <w:rPr>
          <w:sz w:val="20"/>
        </w:rPr>
        <w:t>Indalex</w:t>
      </w:r>
      <w:proofErr w:type="spellEnd"/>
      <w:r w:rsidRPr="00107BA1">
        <w:rPr>
          <w:sz w:val="20"/>
        </w:rPr>
        <w:t xml:space="preserve"> breached its fiduciary duty by failing to take steps to ensure that the pension plans had the opportunity to be as fully represented in those proceedings as if there had been an independent plan administrator, particularly when it sought the DIP financing approval, the sale approval and a motion to voluntarily enter into bankruptcy.</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 xml:space="preserve">Regardless of this breach, a remedial constructive trust is only appropriate if the wrongdoer’s acts give rise to an identifiable asset which it would be unjust for the wrongdoer (or sometimes a third party) to retain.  There is no evidence to support the contention that </w:t>
      </w:r>
      <w:proofErr w:type="spellStart"/>
      <w:r w:rsidRPr="00107BA1">
        <w:rPr>
          <w:sz w:val="20"/>
        </w:rPr>
        <w:t>Indalex’s</w:t>
      </w:r>
      <w:proofErr w:type="spellEnd"/>
      <w:r w:rsidRPr="00107BA1">
        <w:rPr>
          <w:sz w:val="20"/>
        </w:rPr>
        <w:t xml:space="preserve"> failure to meaningfully address conflicts of interest that arose during the </w:t>
      </w:r>
      <w:r w:rsidRPr="00107BA1">
        <w:rPr>
          <w:i/>
          <w:sz w:val="20"/>
        </w:rPr>
        <w:t>CCAA</w:t>
      </w:r>
      <w:r w:rsidRPr="00107BA1">
        <w:rPr>
          <w:sz w:val="20"/>
        </w:rPr>
        <w:t xml:space="preserve"> proceedings resulted in any such asset.  Furthermore, to impose a constructive trust in response to a breach of fiduciary duty to ensure for the pension plans some procedural protections that they in fact took advantage of in any case is an unjust response in all of the circumstances.</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Deschamps</w:t>
      </w:r>
      <w:proofErr w:type="spellEnd"/>
      <w:r w:rsidRPr="00107BA1">
        <w:rPr>
          <w:sz w:val="20"/>
        </w:rPr>
        <w:t xml:space="preserve"> and </w:t>
      </w:r>
      <w:proofErr w:type="spellStart"/>
      <w:r w:rsidRPr="00107BA1">
        <w:rPr>
          <w:sz w:val="20"/>
        </w:rPr>
        <w:t>Moldaver</w:t>
      </w:r>
      <w:proofErr w:type="spellEnd"/>
      <w:r w:rsidRPr="00107BA1">
        <w:rPr>
          <w:sz w:val="20"/>
        </w:rPr>
        <w:t xml:space="preserve"> JJ.:  A corporate employer that chooses to act as plan administrator accepts the fiduciary obligations attached to that function.  Since the directors of a corporation also have a fiduciary duty to the corporation, the corporate employer must be prepared to resolve conflicts where they arise.  An employer acting as a plan administrator is not permitted to disregard its fiduciary obligations to plan members and favour the competing interests of the corporation on the basis that it is wearing a “corporate hat”. What is important is to consider the consequences of the decision, not its nature. </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 xml:space="preserve">In the instant case, </w:t>
      </w:r>
      <w:proofErr w:type="spellStart"/>
      <w:r w:rsidRPr="00107BA1">
        <w:rPr>
          <w:sz w:val="20"/>
        </w:rPr>
        <w:t>Indalex’s</w:t>
      </w:r>
      <w:proofErr w:type="spellEnd"/>
      <w:r w:rsidRPr="00107BA1">
        <w:rPr>
          <w:sz w:val="20"/>
        </w:rPr>
        <w:t xml:space="preserve"> fiduciary obligations as plan administrator did in fact conflict with management decisions that needed to be taken in the best interests of the corporation.  Specifically, in seeking to have a court approve a form of financing by which one creditor was granted priority over all other creditors, </w:t>
      </w:r>
      <w:proofErr w:type="spellStart"/>
      <w:r w:rsidRPr="00107BA1">
        <w:rPr>
          <w:sz w:val="20"/>
        </w:rPr>
        <w:t>Indalex</w:t>
      </w:r>
      <w:proofErr w:type="spellEnd"/>
      <w:r w:rsidRPr="00107BA1">
        <w:rPr>
          <w:sz w:val="20"/>
        </w:rPr>
        <w:t xml:space="preserve"> was asking the </w:t>
      </w:r>
      <w:r w:rsidRPr="00107BA1">
        <w:rPr>
          <w:i/>
          <w:sz w:val="20"/>
        </w:rPr>
        <w:t xml:space="preserve">CCAA </w:t>
      </w:r>
      <w:r w:rsidRPr="00107BA1">
        <w:rPr>
          <w:sz w:val="20"/>
        </w:rPr>
        <w:t xml:space="preserve">court to override the plan members’ priority.  The corporation’s interest was to seek the best possible avenue to survive in an insolvency context. The pursuit of this interest was not compatible with the plan administrator’s duty to the plan members to ensure that all contributions were paid into the funds.  In the context of this case, the plan administrator’s duty to the plan members meant, in particular, that it should at least have given them the opportunity to present their arguments.  This duty meant, at the very least, that they were entitled to reasonable notice of the DIP financing motion. The terms of that motion, presented without appropriate notice, conflicted with the interests of the plan members. </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As for the constructive trust remedy, it is settled law that proprietary remedies are generally awarded only with respect to property that is directly related to a wrong or that can be traced to such property.  There is agreement with Cromwell J. that this condition was not met in the case at bar and his reasoning on this issue is adopted. Moreover, it was unreasonable for the Court of Appeal to reorder the priorities in this case.</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Per</w:t>
      </w:r>
      <w:r w:rsidRPr="00107BA1">
        <w:rPr>
          <w:sz w:val="20"/>
        </w:rPr>
        <w:t xml:space="preserve"> </w:t>
      </w:r>
      <w:proofErr w:type="spellStart"/>
      <w:r w:rsidRPr="00107BA1">
        <w:rPr>
          <w:b/>
          <w:sz w:val="20"/>
        </w:rPr>
        <w:t>LeBel</w:t>
      </w:r>
      <w:proofErr w:type="spellEnd"/>
      <w:r w:rsidRPr="00107BA1">
        <w:rPr>
          <w:sz w:val="20"/>
        </w:rPr>
        <w:t xml:space="preserve"> and </w:t>
      </w:r>
      <w:proofErr w:type="spellStart"/>
      <w:r w:rsidRPr="00107BA1">
        <w:rPr>
          <w:sz w:val="20"/>
        </w:rPr>
        <w:t>Abella</w:t>
      </w:r>
      <w:proofErr w:type="spellEnd"/>
      <w:r w:rsidRPr="00107BA1">
        <w:rPr>
          <w:sz w:val="20"/>
        </w:rPr>
        <w:t> JJ.</w:t>
      </w:r>
      <w:proofErr w:type="gramEnd"/>
      <w:r w:rsidRPr="00107BA1">
        <w:rPr>
          <w:sz w:val="20"/>
        </w:rPr>
        <w:t xml:space="preserve"> (</w:t>
      </w:r>
      <w:proofErr w:type="gramStart"/>
      <w:r w:rsidRPr="00107BA1">
        <w:rPr>
          <w:sz w:val="20"/>
        </w:rPr>
        <w:t>dissenting</w:t>
      </w:r>
      <w:proofErr w:type="gramEnd"/>
      <w:r w:rsidRPr="00107BA1">
        <w:rPr>
          <w:sz w:val="20"/>
        </w:rPr>
        <w:t xml:space="preserve">):  A fiduciary relationship is a relationship, grounded in fact and law, between a vulnerable beneficiary and a fiduciary who holds and may exercise power over the beneficiary in situations recognized by law.  It follows that before entering into an analysis of the fiduciary duties of an employer as </w:t>
      </w:r>
      <w:r w:rsidRPr="00107BA1">
        <w:rPr>
          <w:sz w:val="20"/>
        </w:rPr>
        <w:lastRenderedPageBreak/>
        <w:t xml:space="preserve">administrator of a pension plan under the </w:t>
      </w:r>
      <w:r w:rsidRPr="00107BA1">
        <w:rPr>
          <w:i/>
          <w:sz w:val="20"/>
        </w:rPr>
        <w:t>PBA</w:t>
      </w:r>
      <w:r w:rsidRPr="00107BA1">
        <w:rPr>
          <w:sz w:val="20"/>
        </w:rPr>
        <w:t xml:space="preserve">, it is necessary to consider the position and characteristics of the pension beneficiaries.  In the present case, the beneficiaries were in a very vulnerable position relative to </w:t>
      </w:r>
      <w:proofErr w:type="spellStart"/>
      <w:r w:rsidRPr="00107BA1">
        <w:rPr>
          <w:sz w:val="20"/>
        </w:rPr>
        <w:t>Indalex</w:t>
      </w:r>
      <w:proofErr w:type="spellEnd"/>
      <w:r w:rsidRPr="00107BA1">
        <w:rPr>
          <w:sz w:val="20"/>
        </w:rPr>
        <w:t>.</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 xml:space="preserve">Nothing in the </w:t>
      </w:r>
      <w:r w:rsidRPr="00107BA1">
        <w:rPr>
          <w:i/>
          <w:sz w:val="20"/>
        </w:rPr>
        <w:t xml:space="preserve">PBA </w:t>
      </w:r>
      <w:r w:rsidRPr="00107BA1">
        <w:rPr>
          <w:sz w:val="20"/>
        </w:rPr>
        <w:t>allows</w:t>
      </w:r>
      <w:r w:rsidRPr="00107BA1">
        <w:rPr>
          <w:i/>
          <w:sz w:val="20"/>
        </w:rPr>
        <w:t xml:space="preserve"> </w:t>
      </w:r>
      <w:r w:rsidRPr="00107BA1">
        <w:rPr>
          <w:sz w:val="20"/>
        </w:rPr>
        <w:t xml:space="preserve">that the employer </w:t>
      </w:r>
      <w:r w:rsidRPr="00107BA1">
        <w:rPr>
          <w:i/>
          <w:sz w:val="20"/>
        </w:rPr>
        <w:t xml:space="preserve">qua </w:t>
      </w:r>
      <w:r w:rsidRPr="00107BA1">
        <w:rPr>
          <w:sz w:val="20"/>
        </w:rPr>
        <w:t>administrator will be held to a lower standard or will be subject to duties and obligations that are less stringent than those of an independent administrator.  The employer is under no obligation to assume the burdens of administering the pension plans that it has agreed to set up or that are the legacy of previous decisions.  However, if it decides to do so, a fiduciary relationship is created with the expectation that the employer will be able to avoid or resolve the conflicts of interest that might arise.</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r>
      <w:proofErr w:type="spellStart"/>
      <w:r w:rsidRPr="00107BA1">
        <w:rPr>
          <w:sz w:val="20"/>
        </w:rPr>
        <w:t>Indalex</w:t>
      </w:r>
      <w:proofErr w:type="spellEnd"/>
      <w:r w:rsidRPr="00107BA1">
        <w:rPr>
          <w:sz w:val="20"/>
        </w:rPr>
        <w:t xml:space="preserve"> was in a conflict of interest from the moment it started to contemplate putting itself under the protection of the </w:t>
      </w:r>
      <w:r w:rsidRPr="00107BA1">
        <w:rPr>
          <w:i/>
          <w:sz w:val="20"/>
        </w:rPr>
        <w:t>CCAA</w:t>
      </w:r>
      <w:r w:rsidRPr="00107BA1">
        <w:rPr>
          <w:sz w:val="20"/>
        </w:rPr>
        <w:t xml:space="preserve"> and proposing an arrangement to its creditors.  From the corporate perspective, one could hardly find fault with such a decision. It was a business decision. But the trouble is that at the same time, </w:t>
      </w:r>
      <w:proofErr w:type="spellStart"/>
      <w:r w:rsidRPr="00107BA1">
        <w:rPr>
          <w:sz w:val="20"/>
        </w:rPr>
        <w:t>Indalex</w:t>
      </w:r>
      <w:proofErr w:type="spellEnd"/>
      <w:r w:rsidRPr="00107BA1">
        <w:rPr>
          <w:sz w:val="20"/>
        </w:rPr>
        <w:t xml:space="preserve"> was a fiduciary in relation to the members and retirees of its pension plans.  The solution was not to place its function as administrator and its associated fiduciary duties in abeyance.  Rather, it had to abandon this role and diligently transfer its function as manager to an independent administrator. </w:t>
      </w:r>
    </w:p>
    <w:p w:rsidR="00CA2CE2" w:rsidRDefault="00CA2CE2" w:rsidP="00CA2CE2">
      <w:pPr>
        <w:pStyle w:val="SCCNormalDoubleSpacing"/>
        <w:spacing w:line="240" w:lineRule="auto"/>
        <w:rPr>
          <w:sz w:val="20"/>
        </w:rPr>
      </w:pPr>
    </w:p>
    <w:p w:rsidR="00CA2CE2" w:rsidRDefault="00CA2CE2" w:rsidP="00CA2CE2">
      <w:pPr>
        <w:pStyle w:val="SCCNormalDoubleSpacing"/>
        <w:spacing w:line="240" w:lineRule="auto"/>
        <w:rPr>
          <w:sz w:val="20"/>
        </w:rPr>
      </w:pPr>
      <w:r w:rsidRPr="00107BA1">
        <w:rPr>
          <w:sz w:val="20"/>
        </w:rPr>
        <w:tab/>
        <w:t>In the present case, the employer not only neglected its obligations towards the beneficiaries, but actually took a course of action that was actively inimical to their interests.  The seriousness of these breaches amply justified the decision of the Court of Appeal to impose a constructive trust.</w:t>
      </w:r>
    </w:p>
    <w:p w:rsidR="00CA2CE2" w:rsidRPr="00107BA1" w:rsidRDefault="00CA2CE2" w:rsidP="00CA2CE2">
      <w:pPr>
        <w:pStyle w:val="SCCNormalDoubleSpacing"/>
        <w:spacing w:line="240" w:lineRule="auto"/>
        <w:rPr>
          <w:sz w:val="20"/>
        </w:rPr>
      </w:pPr>
    </w:p>
    <w:p w:rsidR="00CA2CE2" w:rsidRPr="00107BA1" w:rsidRDefault="00CA2CE2" w:rsidP="00AB4F4C">
      <w:pPr>
        <w:pStyle w:val="SCCNormalDoubleSpacing"/>
        <w:keepNext/>
        <w:spacing w:line="240" w:lineRule="auto"/>
        <w:ind w:left="360" w:hanging="360"/>
        <w:rPr>
          <w:i/>
          <w:sz w:val="20"/>
          <w:u w:val="single"/>
        </w:rPr>
      </w:pPr>
      <w:r w:rsidRPr="00107BA1">
        <w:rPr>
          <w:sz w:val="20"/>
        </w:rPr>
        <w:t>(4)</w:t>
      </w:r>
      <w:r w:rsidRPr="00107BA1">
        <w:rPr>
          <w:sz w:val="20"/>
        </w:rPr>
        <w:tab/>
      </w:r>
      <w:r w:rsidRPr="00107BA1">
        <w:rPr>
          <w:i/>
          <w:sz w:val="20"/>
          <w:u w:val="single"/>
        </w:rPr>
        <w:t>Costs in United Steelworkers Appeal</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sz w:val="20"/>
        </w:rPr>
        <w:t>McLachlin</w:t>
      </w:r>
      <w:proofErr w:type="spellEnd"/>
      <w:r w:rsidRPr="00107BA1">
        <w:rPr>
          <w:sz w:val="20"/>
        </w:rPr>
        <w:t xml:space="preserve"> C.J. and Rothstein and </w:t>
      </w:r>
      <w:r w:rsidRPr="00107BA1">
        <w:rPr>
          <w:b/>
          <w:sz w:val="20"/>
        </w:rPr>
        <w:t>Cromwell</w:t>
      </w:r>
      <w:r w:rsidRPr="00107BA1">
        <w:rPr>
          <w:sz w:val="20"/>
        </w:rPr>
        <w:t xml:space="preserve"> JJ.:  There is no basis to interfere with the Court of Appeal’s costs endorsement as it relates to United Steelworkers in this case.  The litigation undertaken here raised novel points of law with all of the uncertainty and risk inherent in such an undertaking. The Court of Appeal in essence decided that the United Steelworkers, representing only 7 of 169 members of the salaried plan, should not without consultation </w:t>
      </w:r>
      <w:proofErr w:type="gramStart"/>
      <w:r w:rsidRPr="00107BA1">
        <w:rPr>
          <w:sz w:val="20"/>
        </w:rPr>
        <w:t>be</w:t>
      </w:r>
      <w:proofErr w:type="gramEnd"/>
      <w:r w:rsidRPr="00107BA1">
        <w:rPr>
          <w:sz w:val="20"/>
        </w:rPr>
        <w:t xml:space="preserve"> able to in effect impose the risks of that litigation on all of the plan members, the vast majority of whom were not union members.  There is no error in principle in the Court of Appeal’s refusal to order the United Steelworkers costs to be paid out of the pension fund, particularly in light of the disposition of the appeal to this Court.</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Deschamps</w:t>
      </w:r>
      <w:proofErr w:type="spellEnd"/>
      <w:r w:rsidRPr="00107BA1">
        <w:rPr>
          <w:sz w:val="20"/>
        </w:rPr>
        <w:t xml:space="preserve"> and </w:t>
      </w:r>
      <w:proofErr w:type="spellStart"/>
      <w:r w:rsidRPr="00107BA1">
        <w:rPr>
          <w:sz w:val="20"/>
        </w:rPr>
        <w:t>Moldaver</w:t>
      </w:r>
      <w:proofErr w:type="spellEnd"/>
      <w:r w:rsidRPr="00107BA1">
        <w:rPr>
          <w:sz w:val="20"/>
        </w:rPr>
        <w:t> JJ.:  There is agreement with the reasons of Cromwell J. on the issue of costs in the United Steelworkers appeal.</w:t>
      </w:r>
    </w:p>
    <w:p w:rsidR="00CA2CE2" w:rsidRDefault="00CA2CE2" w:rsidP="00CA2CE2">
      <w:pPr>
        <w:pStyle w:val="SCCNormalDoubleSpacing"/>
        <w:spacing w:line="240" w:lineRule="auto"/>
        <w:rPr>
          <w:i/>
          <w:sz w:val="20"/>
        </w:rPr>
      </w:pPr>
    </w:p>
    <w:p w:rsidR="00CA2CE2" w:rsidRDefault="00CA2CE2" w:rsidP="00CA2CE2">
      <w:pPr>
        <w:pStyle w:val="SCCNormalDoubleSpacing"/>
        <w:spacing w:line="240" w:lineRule="auto"/>
        <w:rPr>
          <w:sz w:val="20"/>
        </w:rPr>
      </w:pPr>
      <w:r w:rsidRPr="00107BA1">
        <w:rPr>
          <w:i/>
          <w:sz w:val="20"/>
        </w:rPr>
        <w:tab/>
        <w:t>Per</w:t>
      </w:r>
      <w:r w:rsidRPr="00107BA1">
        <w:rPr>
          <w:sz w:val="20"/>
        </w:rPr>
        <w:t xml:space="preserve"> </w:t>
      </w:r>
      <w:proofErr w:type="spellStart"/>
      <w:r w:rsidRPr="00107BA1">
        <w:rPr>
          <w:b/>
          <w:sz w:val="20"/>
        </w:rPr>
        <w:t>LeBel</w:t>
      </w:r>
      <w:proofErr w:type="spellEnd"/>
      <w:r w:rsidRPr="00107BA1">
        <w:rPr>
          <w:sz w:val="20"/>
        </w:rPr>
        <w:t xml:space="preserve"> and </w:t>
      </w:r>
      <w:proofErr w:type="spellStart"/>
      <w:r w:rsidRPr="00107BA1">
        <w:rPr>
          <w:sz w:val="20"/>
        </w:rPr>
        <w:t>Abella</w:t>
      </w:r>
      <w:proofErr w:type="spellEnd"/>
      <w:r w:rsidRPr="00107BA1">
        <w:rPr>
          <w:sz w:val="20"/>
        </w:rPr>
        <w:t> JJ.:  There is agreement with the reasons of Cromwell J. on the issue of costs in the United Steelworkers appeal.</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APPEALS from a judgment of the Ontario Court of Appeal (</w:t>
      </w:r>
      <w:proofErr w:type="spellStart"/>
      <w:r w:rsidRPr="00107BA1">
        <w:rPr>
          <w:sz w:val="20"/>
        </w:rPr>
        <w:t>MacPherson</w:t>
      </w:r>
      <w:proofErr w:type="spellEnd"/>
      <w:r w:rsidRPr="00107BA1">
        <w:rPr>
          <w:sz w:val="20"/>
        </w:rPr>
        <w:t xml:space="preserve">, </w:t>
      </w:r>
      <w:proofErr w:type="spellStart"/>
      <w:r w:rsidRPr="00107BA1">
        <w:rPr>
          <w:sz w:val="20"/>
        </w:rPr>
        <w:t>Gillese</w:t>
      </w:r>
      <w:proofErr w:type="spellEnd"/>
      <w:r w:rsidRPr="00107BA1">
        <w:rPr>
          <w:sz w:val="20"/>
        </w:rPr>
        <w:t xml:space="preserve"> and </w:t>
      </w:r>
      <w:proofErr w:type="spellStart"/>
      <w:r w:rsidRPr="00107BA1">
        <w:rPr>
          <w:sz w:val="20"/>
        </w:rPr>
        <w:t>Juriansz</w:t>
      </w:r>
      <w:proofErr w:type="spellEnd"/>
      <w:r w:rsidRPr="00107BA1">
        <w:rPr>
          <w:sz w:val="20"/>
        </w:rPr>
        <w:t xml:space="preserve"> JJ.A.), 2011 ONCA 265, 104 O.R. (3d) 641, 276 O.A.C. 347, 331 D.L.R. (4th) 352, 75 C.B.R. (5th) 19, 89 C.C.P.B. 39, 17 P.P.S.A.C. (3d) 194, [2011] O.J. No. 1621 (QL), 2011 </w:t>
      </w:r>
      <w:proofErr w:type="spellStart"/>
      <w:r w:rsidRPr="00107BA1">
        <w:rPr>
          <w:sz w:val="20"/>
        </w:rPr>
        <w:t>CarswellOnt</w:t>
      </w:r>
      <w:proofErr w:type="spellEnd"/>
      <w:r w:rsidRPr="00107BA1">
        <w:rPr>
          <w:sz w:val="20"/>
        </w:rPr>
        <w:t xml:space="preserve"> 2458, setting aside a decision of Campbell J., 2010 ONSC 1114, 79 C.C.P.B. 301, [2010] O.J. No. 974 (QL), 2010 </w:t>
      </w:r>
      <w:proofErr w:type="spellStart"/>
      <w:r w:rsidRPr="00107BA1">
        <w:rPr>
          <w:sz w:val="20"/>
        </w:rPr>
        <w:t>CarswellOnt</w:t>
      </w:r>
      <w:proofErr w:type="spellEnd"/>
      <w:r w:rsidRPr="00107BA1">
        <w:rPr>
          <w:sz w:val="20"/>
        </w:rPr>
        <w:t xml:space="preserve"> 893.  Appeals allowed, </w:t>
      </w:r>
      <w:proofErr w:type="spellStart"/>
      <w:r w:rsidRPr="00107BA1">
        <w:rPr>
          <w:sz w:val="20"/>
        </w:rPr>
        <w:t>LeBel</w:t>
      </w:r>
      <w:proofErr w:type="spellEnd"/>
      <w:r w:rsidRPr="00107BA1">
        <w:rPr>
          <w:sz w:val="20"/>
        </w:rPr>
        <w:t xml:space="preserve"> and </w:t>
      </w:r>
      <w:proofErr w:type="spellStart"/>
      <w:r w:rsidRPr="00107BA1">
        <w:rPr>
          <w:sz w:val="20"/>
        </w:rPr>
        <w:t>Abella</w:t>
      </w:r>
      <w:proofErr w:type="spellEnd"/>
      <w:r w:rsidRPr="00107BA1">
        <w:rPr>
          <w:sz w:val="20"/>
        </w:rPr>
        <w:t xml:space="preserve"> JJ. </w:t>
      </w:r>
      <w:proofErr w:type="gramStart"/>
      <w:r w:rsidRPr="00107BA1">
        <w:rPr>
          <w:sz w:val="20"/>
        </w:rPr>
        <w:t>dissenting</w:t>
      </w:r>
      <w:proofErr w:type="gramEnd"/>
      <w:r w:rsidRPr="00107BA1">
        <w:rPr>
          <w:sz w:val="20"/>
        </w:rPr>
        <w:t>.</w:t>
      </w:r>
    </w:p>
    <w:p w:rsidR="00CA2CE2" w:rsidRDefault="00CA2CE2" w:rsidP="00CA2CE2">
      <w:pPr>
        <w:pStyle w:val="SCCNormalDoubleSpacing"/>
        <w:spacing w:line="240" w:lineRule="auto"/>
        <w:rPr>
          <w:sz w:val="20"/>
        </w:rPr>
      </w:pPr>
    </w:p>
    <w:p w:rsidR="00CA2CE2" w:rsidRPr="00107BA1" w:rsidRDefault="00CA2CE2" w:rsidP="00CA2CE2">
      <w:pPr>
        <w:pStyle w:val="SCCNormalDoubleSpacing"/>
        <w:spacing w:line="240" w:lineRule="auto"/>
        <w:rPr>
          <w:sz w:val="20"/>
        </w:rPr>
      </w:pPr>
      <w:r w:rsidRPr="00107BA1">
        <w:rPr>
          <w:sz w:val="20"/>
        </w:rPr>
        <w:tab/>
        <w:t>APPEAL from a judgment of the Ontario Court of Appeal (</w:t>
      </w:r>
      <w:proofErr w:type="spellStart"/>
      <w:r w:rsidRPr="00107BA1">
        <w:rPr>
          <w:sz w:val="20"/>
        </w:rPr>
        <w:t>MacPherson</w:t>
      </w:r>
      <w:proofErr w:type="spellEnd"/>
      <w:r w:rsidRPr="00107BA1">
        <w:rPr>
          <w:sz w:val="20"/>
        </w:rPr>
        <w:t xml:space="preserve">, </w:t>
      </w:r>
      <w:proofErr w:type="spellStart"/>
      <w:r w:rsidRPr="00107BA1">
        <w:rPr>
          <w:sz w:val="20"/>
        </w:rPr>
        <w:t>Gillese</w:t>
      </w:r>
      <w:proofErr w:type="spellEnd"/>
      <w:r w:rsidRPr="00107BA1">
        <w:rPr>
          <w:sz w:val="20"/>
        </w:rPr>
        <w:t xml:space="preserve"> and </w:t>
      </w:r>
      <w:proofErr w:type="spellStart"/>
      <w:r w:rsidRPr="00107BA1">
        <w:rPr>
          <w:sz w:val="20"/>
        </w:rPr>
        <w:t>Juriansz</w:t>
      </w:r>
      <w:proofErr w:type="spellEnd"/>
      <w:r w:rsidRPr="00107BA1">
        <w:rPr>
          <w:sz w:val="20"/>
        </w:rPr>
        <w:t xml:space="preserve"> JJ.A.), 2011 ONCA 578, 81 C.B.R. (5th) 165, 92 C.C.P.B. 277, [2011] O.J. No. 3959 (QL), 2011 </w:t>
      </w:r>
      <w:proofErr w:type="spellStart"/>
      <w:r w:rsidRPr="00107BA1">
        <w:rPr>
          <w:sz w:val="20"/>
        </w:rPr>
        <w:t>CarswellOnt</w:t>
      </w:r>
      <w:proofErr w:type="spellEnd"/>
      <w:r w:rsidRPr="00107BA1">
        <w:rPr>
          <w:sz w:val="20"/>
        </w:rPr>
        <w:t xml:space="preserve"> 9077.  Appeal dismissed.</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 xml:space="preserve">Benjamin </w:t>
      </w:r>
      <w:proofErr w:type="spellStart"/>
      <w:r w:rsidRPr="00107BA1">
        <w:rPr>
          <w:i/>
          <w:sz w:val="20"/>
        </w:rPr>
        <w:t>Zarnett</w:t>
      </w:r>
      <w:proofErr w:type="spellEnd"/>
      <w:r w:rsidRPr="00107BA1">
        <w:rPr>
          <w:sz w:val="20"/>
        </w:rPr>
        <w:t xml:space="preserve">, </w:t>
      </w:r>
      <w:r w:rsidRPr="00107BA1">
        <w:rPr>
          <w:i/>
          <w:sz w:val="20"/>
        </w:rPr>
        <w:t xml:space="preserve">Frederick L. Myers, Brian F. </w:t>
      </w:r>
      <w:proofErr w:type="spellStart"/>
      <w:r w:rsidRPr="00107BA1">
        <w:rPr>
          <w:i/>
          <w:sz w:val="20"/>
        </w:rPr>
        <w:t>Empey</w:t>
      </w:r>
      <w:proofErr w:type="spellEnd"/>
      <w:r w:rsidRPr="00107BA1">
        <w:rPr>
          <w:sz w:val="20"/>
        </w:rPr>
        <w:t xml:space="preserve"> and </w:t>
      </w:r>
      <w:r w:rsidRPr="00107BA1">
        <w:rPr>
          <w:i/>
          <w:sz w:val="20"/>
        </w:rPr>
        <w:t xml:space="preserve">Peter </w:t>
      </w:r>
      <w:proofErr w:type="spellStart"/>
      <w:r w:rsidRPr="00107BA1">
        <w:rPr>
          <w:i/>
          <w:sz w:val="20"/>
        </w:rPr>
        <w:t>Kolla</w:t>
      </w:r>
      <w:proofErr w:type="spellEnd"/>
      <w:r w:rsidRPr="00107BA1">
        <w:rPr>
          <w:sz w:val="20"/>
        </w:rPr>
        <w:t xml:space="preserve">, for the appellant Sun </w:t>
      </w:r>
      <w:proofErr w:type="spellStart"/>
      <w:r w:rsidRPr="00107BA1">
        <w:rPr>
          <w:sz w:val="20"/>
        </w:rPr>
        <w:t>Indalex</w:t>
      </w:r>
      <w:proofErr w:type="spellEnd"/>
      <w:r w:rsidRPr="00107BA1">
        <w:rPr>
          <w:sz w:val="20"/>
        </w:rPr>
        <w:t xml:space="preserve"> Finance, LLC.</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 xml:space="preserve">Harvey G. </w:t>
      </w:r>
      <w:proofErr w:type="spellStart"/>
      <w:r w:rsidRPr="00107BA1">
        <w:rPr>
          <w:i/>
          <w:sz w:val="20"/>
        </w:rPr>
        <w:t>Chaiton</w:t>
      </w:r>
      <w:proofErr w:type="spellEnd"/>
      <w:r w:rsidRPr="00107BA1">
        <w:rPr>
          <w:sz w:val="20"/>
        </w:rPr>
        <w:t xml:space="preserve"> and </w:t>
      </w:r>
      <w:r w:rsidRPr="00107BA1">
        <w:rPr>
          <w:i/>
          <w:sz w:val="20"/>
        </w:rPr>
        <w:t xml:space="preserve">George </w:t>
      </w:r>
      <w:proofErr w:type="spellStart"/>
      <w:r w:rsidRPr="00107BA1">
        <w:rPr>
          <w:i/>
          <w:sz w:val="20"/>
        </w:rPr>
        <w:t>Benchetrit</w:t>
      </w:r>
      <w:proofErr w:type="spellEnd"/>
      <w:r w:rsidRPr="00107BA1">
        <w:rPr>
          <w:sz w:val="20"/>
        </w:rPr>
        <w:t xml:space="preserve">, for the appellant George L. Miller, the Chapter 7 Trustee of the Bankruptcy Estates of the U.S. </w:t>
      </w:r>
      <w:proofErr w:type="spellStart"/>
      <w:r w:rsidRPr="00107BA1">
        <w:rPr>
          <w:sz w:val="20"/>
        </w:rPr>
        <w:t>Indalex</w:t>
      </w:r>
      <w:proofErr w:type="spellEnd"/>
      <w:r w:rsidRPr="00107BA1">
        <w:rPr>
          <w:sz w:val="20"/>
        </w:rPr>
        <w:t xml:space="preserve"> Debtors.</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David R. Byers, Ashley John Taylor</w:t>
      </w:r>
      <w:r w:rsidRPr="00107BA1">
        <w:rPr>
          <w:sz w:val="20"/>
        </w:rPr>
        <w:t xml:space="preserve"> and </w:t>
      </w:r>
      <w:r w:rsidRPr="00107BA1">
        <w:rPr>
          <w:i/>
          <w:sz w:val="20"/>
        </w:rPr>
        <w:t xml:space="preserve">Nicholas Peter </w:t>
      </w:r>
      <w:proofErr w:type="spellStart"/>
      <w:r w:rsidRPr="00107BA1">
        <w:rPr>
          <w:i/>
          <w:sz w:val="20"/>
        </w:rPr>
        <w:t>McHaffie</w:t>
      </w:r>
      <w:proofErr w:type="spellEnd"/>
      <w:r w:rsidRPr="00107BA1">
        <w:rPr>
          <w:sz w:val="20"/>
        </w:rPr>
        <w:t>, for the appellant FTI Consulting Canada ULC, in its capacity as court</w:t>
      </w:r>
      <w:r w:rsidRPr="00107BA1">
        <w:rPr>
          <w:sz w:val="20"/>
        </w:rPr>
        <w:noBreakHyphen/>
      </w:r>
      <w:proofErr w:type="spellStart"/>
      <w:r w:rsidRPr="00107BA1">
        <w:rPr>
          <w:sz w:val="20"/>
        </w:rPr>
        <w:t>appointed</w:t>
      </w:r>
      <w:proofErr w:type="spellEnd"/>
      <w:r w:rsidRPr="00107BA1">
        <w:rPr>
          <w:sz w:val="20"/>
        </w:rPr>
        <w:t xml:space="preserve"> monitor of </w:t>
      </w:r>
      <w:proofErr w:type="spellStart"/>
      <w:r w:rsidRPr="00107BA1">
        <w:rPr>
          <w:sz w:val="20"/>
        </w:rPr>
        <w:t>Indalex</w:t>
      </w:r>
      <w:proofErr w:type="spellEnd"/>
      <w:r w:rsidRPr="00107BA1">
        <w:rPr>
          <w:sz w:val="20"/>
        </w:rPr>
        <w:t xml:space="preserve"> Limited, on behalf of </w:t>
      </w:r>
      <w:proofErr w:type="spellStart"/>
      <w:r w:rsidRPr="00107BA1">
        <w:rPr>
          <w:sz w:val="20"/>
        </w:rPr>
        <w:t>Indalex</w:t>
      </w:r>
      <w:proofErr w:type="spellEnd"/>
      <w:r w:rsidRPr="00107BA1">
        <w:rPr>
          <w:sz w:val="20"/>
        </w:rPr>
        <w:t xml:space="preserve"> Limited.</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lastRenderedPageBreak/>
        <w:tab/>
      </w:r>
      <w:proofErr w:type="gramStart"/>
      <w:r w:rsidRPr="00107BA1">
        <w:rPr>
          <w:i/>
          <w:sz w:val="20"/>
        </w:rPr>
        <w:t>Darrell L. Brown</w:t>
      </w:r>
      <w:r w:rsidRPr="00107BA1">
        <w:rPr>
          <w:sz w:val="20"/>
        </w:rPr>
        <w:t>, for the appellant/respondent the United Steelworkers.</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 xml:space="preserve">Andrew J. </w:t>
      </w:r>
      <w:proofErr w:type="spellStart"/>
      <w:r w:rsidRPr="00107BA1">
        <w:rPr>
          <w:i/>
          <w:sz w:val="20"/>
        </w:rPr>
        <w:t>Hatnay</w:t>
      </w:r>
      <w:proofErr w:type="spellEnd"/>
      <w:r w:rsidRPr="00107BA1">
        <w:rPr>
          <w:sz w:val="20"/>
        </w:rPr>
        <w:t xml:space="preserve"> and </w:t>
      </w:r>
      <w:proofErr w:type="spellStart"/>
      <w:r w:rsidRPr="00107BA1">
        <w:rPr>
          <w:i/>
          <w:sz w:val="20"/>
        </w:rPr>
        <w:t>Demetrios</w:t>
      </w:r>
      <w:proofErr w:type="spellEnd"/>
      <w:r w:rsidRPr="00107BA1">
        <w:rPr>
          <w:i/>
          <w:sz w:val="20"/>
        </w:rPr>
        <w:t xml:space="preserve"> </w:t>
      </w:r>
      <w:proofErr w:type="spellStart"/>
      <w:r w:rsidRPr="00107BA1">
        <w:rPr>
          <w:i/>
          <w:sz w:val="20"/>
        </w:rPr>
        <w:t>Yiokaris</w:t>
      </w:r>
      <w:proofErr w:type="spellEnd"/>
      <w:r w:rsidRPr="00107BA1">
        <w:rPr>
          <w:sz w:val="20"/>
        </w:rPr>
        <w:t xml:space="preserve">, for the respondents Keith </w:t>
      </w:r>
      <w:proofErr w:type="spellStart"/>
      <w:r w:rsidRPr="00107BA1">
        <w:rPr>
          <w:sz w:val="20"/>
        </w:rPr>
        <w:t>Carruthers</w:t>
      </w:r>
      <w:proofErr w:type="spellEnd"/>
      <w:r w:rsidRPr="00107BA1">
        <w:rPr>
          <w:sz w:val="20"/>
        </w:rPr>
        <w:t>, et al.</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Hugh O’Reilly</w:t>
      </w:r>
      <w:r w:rsidRPr="00107BA1">
        <w:rPr>
          <w:sz w:val="20"/>
        </w:rPr>
        <w:t xml:space="preserve"> and </w:t>
      </w:r>
      <w:r w:rsidRPr="00107BA1">
        <w:rPr>
          <w:i/>
          <w:sz w:val="20"/>
        </w:rPr>
        <w:t xml:space="preserve">Amanda </w:t>
      </w:r>
      <w:proofErr w:type="spellStart"/>
      <w:r w:rsidRPr="00107BA1">
        <w:rPr>
          <w:i/>
          <w:sz w:val="20"/>
        </w:rPr>
        <w:t>Darrach</w:t>
      </w:r>
      <w:proofErr w:type="spellEnd"/>
      <w:r w:rsidRPr="00107BA1">
        <w:rPr>
          <w:sz w:val="20"/>
        </w:rPr>
        <w:t xml:space="preserve">, for the respondent </w:t>
      </w:r>
      <w:proofErr w:type="spellStart"/>
      <w:r w:rsidRPr="00107BA1">
        <w:rPr>
          <w:sz w:val="20"/>
        </w:rPr>
        <w:t>Morneau</w:t>
      </w:r>
      <w:proofErr w:type="spellEnd"/>
      <w:r w:rsidRPr="00107BA1">
        <w:rPr>
          <w:sz w:val="20"/>
        </w:rPr>
        <w:t xml:space="preserve"> </w:t>
      </w:r>
      <w:proofErr w:type="spellStart"/>
      <w:r w:rsidRPr="00107BA1">
        <w:rPr>
          <w:sz w:val="20"/>
        </w:rPr>
        <w:t>Shepell</w:t>
      </w:r>
      <w:proofErr w:type="spellEnd"/>
      <w:r w:rsidRPr="00107BA1">
        <w:rPr>
          <w:sz w:val="20"/>
        </w:rPr>
        <w:t xml:space="preserve"> Ltd. (formerly known as </w:t>
      </w:r>
      <w:proofErr w:type="spellStart"/>
      <w:r w:rsidRPr="00107BA1">
        <w:rPr>
          <w:sz w:val="20"/>
        </w:rPr>
        <w:t>Morneau</w:t>
      </w:r>
      <w:proofErr w:type="spellEnd"/>
      <w:r w:rsidRPr="00107BA1">
        <w:rPr>
          <w:sz w:val="20"/>
        </w:rPr>
        <w:t xml:space="preserve"> </w:t>
      </w:r>
      <w:proofErr w:type="spellStart"/>
      <w:r w:rsidRPr="00107BA1">
        <w:rPr>
          <w:sz w:val="20"/>
        </w:rPr>
        <w:t>Sobeco</w:t>
      </w:r>
      <w:proofErr w:type="spellEnd"/>
      <w:r w:rsidRPr="00107BA1">
        <w:rPr>
          <w:sz w:val="20"/>
        </w:rPr>
        <w:t xml:space="preserve"> Limited Partnership).</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Mark Bailey</w:t>
      </w:r>
      <w:r w:rsidRPr="00107BA1">
        <w:rPr>
          <w:sz w:val="20"/>
        </w:rPr>
        <w:t xml:space="preserve">, </w:t>
      </w:r>
      <w:r w:rsidRPr="00107BA1">
        <w:rPr>
          <w:i/>
          <w:sz w:val="20"/>
        </w:rPr>
        <w:t xml:space="preserve">Leonard </w:t>
      </w:r>
      <w:proofErr w:type="spellStart"/>
      <w:r w:rsidRPr="00107BA1">
        <w:rPr>
          <w:i/>
          <w:sz w:val="20"/>
        </w:rPr>
        <w:t>Marsello</w:t>
      </w:r>
      <w:proofErr w:type="spellEnd"/>
      <w:r w:rsidRPr="00107BA1">
        <w:rPr>
          <w:i/>
          <w:sz w:val="20"/>
        </w:rPr>
        <w:t xml:space="preserve"> </w:t>
      </w:r>
      <w:r w:rsidRPr="00107BA1">
        <w:rPr>
          <w:sz w:val="20"/>
        </w:rPr>
        <w:t xml:space="preserve">and </w:t>
      </w:r>
      <w:r w:rsidRPr="00107BA1">
        <w:rPr>
          <w:i/>
          <w:sz w:val="20"/>
        </w:rPr>
        <w:t xml:space="preserve">William </w:t>
      </w:r>
      <w:proofErr w:type="spellStart"/>
      <w:r w:rsidRPr="00107BA1">
        <w:rPr>
          <w:i/>
          <w:sz w:val="20"/>
        </w:rPr>
        <w:t>MacLarkey</w:t>
      </w:r>
      <w:proofErr w:type="spellEnd"/>
      <w:r w:rsidRPr="00107BA1">
        <w:rPr>
          <w:sz w:val="20"/>
        </w:rPr>
        <w:t>, for the respondent/intervener the Superintendent of Financial Services.</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Robert I. Thornton</w:t>
      </w:r>
      <w:r w:rsidRPr="00107BA1">
        <w:rPr>
          <w:sz w:val="20"/>
        </w:rPr>
        <w:t xml:space="preserve"> and </w:t>
      </w:r>
      <w:r w:rsidRPr="00107BA1">
        <w:rPr>
          <w:i/>
          <w:sz w:val="20"/>
        </w:rPr>
        <w:t>D. J. Miller</w:t>
      </w:r>
      <w:r w:rsidRPr="00107BA1">
        <w:rPr>
          <w:sz w:val="20"/>
        </w:rPr>
        <w:t>, for the intervener the Insolvency Institute of Canada.</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Steven Barrett</w:t>
      </w:r>
      <w:r w:rsidRPr="00107BA1">
        <w:rPr>
          <w:sz w:val="20"/>
        </w:rPr>
        <w:t xml:space="preserve"> and </w:t>
      </w:r>
      <w:r w:rsidRPr="00107BA1">
        <w:rPr>
          <w:i/>
          <w:sz w:val="20"/>
        </w:rPr>
        <w:t xml:space="preserve">Ethan </w:t>
      </w:r>
      <w:proofErr w:type="spellStart"/>
      <w:r w:rsidRPr="00107BA1">
        <w:rPr>
          <w:i/>
          <w:sz w:val="20"/>
        </w:rPr>
        <w:t>Poskanzer</w:t>
      </w:r>
      <w:proofErr w:type="spellEnd"/>
      <w:r w:rsidRPr="00107BA1">
        <w:rPr>
          <w:sz w:val="20"/>
        </w:rPr>
        <w:t>, for the intervener the Canadian Labour Congress.</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Kenneth T. Rosenberg</w:t>
      </w:r>
      <w:r w:rsidRPr="00107BA1">
        <w:rPr>
          <w:sz w:val="20"/>
        </w:rPr>
        <w:t xml:space="preserve">, </w:t>
      </w:r>
      <w:r w:rsidRPr="00107BA1">
        <w:rPr>
          <w:i/>
          <w:sz w:val="20"/>
        </w:rPr>
        <w:t xml:space="preserve">Andrew K. </w:t>
      </w:r>
      <w:proofErr w:type="spellStart"/>
      <w:r w:rsidRPr="00107BA1">
        <w:rPr>
          <w:i/>
          <w:sz w:val="20"/>
        </w:rPr>
        <w:t>Lokan</w:t>
      </w:r>
      <w:proofErr w:type="spellEnd"/>
      <w:r w:rsidRPr="00107BA1">
        <w:rPr>
          <w:sz w:val="20"/>
        </w:rPr>
        <w:t xml:space="preserve"> and </w:t>
      </w:r>
      <w:r w:rsidRPr="00107BA1">
        <w:rPr>
          <w:i/>
          <w:sz w:val="20"/>
        </w:rPr>
        <w:t xml:space="preserve">Massimo </w:t>
      </w:r>
      <w:proofErr w:type="spellStart"/>
      <w:r w:rsidRPr="00107BA1">
        <w:rPr>
          <w:i/>
          <w:sz w:val="20"/>
        </w:rPr>
        <w:t>Starnino</w:t>
      </w:r>
      <w:proofErr w:type="spellEnd"/>
      <w:r w:rsidRPr="00107BA1">
        <w:rPr>
          <w:sz w:val="20"/>
        </w:rPr>
        <w:t>, for the intervener the Canadian Federation of Pensioners.</w:t>
      </w:r>
      <w:proofErr w:type="gramEnd"/>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t xml:space="preserve">Éric </w:t>
      </w:r>
      <w:proofErr w:type="spellStart"/>
      <w:r w:rsidRPr="00107BA1">
        <w:rPr>
          <w:i/>
          <w:sz w:val="20"/>
        </w:rPr>
        <w:t>Vallières</w:t>
      </w:r>
      <w:proofErr w:type="spellEnd"/>
      <w:r w:rsidRPr="00107BA1">
        <w:rPr>
          <w:sz w:val="20"/>
        </w:rPr>
        <w:t xml:space="preserve">, </w:t>
      </w:r>
      <w:proofErr w:type="spellStart"/>
      <w:r w:rsidRPr="00107BA1">
        <w:rPr>
          <w:i/>
          <w:sz w:val="20"/>
        </w:rPr>
        <w:t>Alexandre</w:t>
      </w:r>
      <w:proofErr w:type="spellEnd"/>
      <w:r w:rsidRPr="00107BA1">
        <w:rPr>
          <w:i/>
          <w:sz w:val="20"/>
        </w:rPr>
        <w:t xml:space="preserve"> Forest</w:t>
      </w:r>
      <w:r w:rsidRPr="00107BA1">
        <w:rPr>
          <w:sz w:val="20"/>
        </w:rPr>
        <w:t xml:space="preserve"> and </w:t>
      </w:r>
      <w:proofErr w:type="spellStart"/>
      <w:r w:rsidRPr="00107BA1">
        <w:rPr>
          <w:i/>
          <w:sz w:val="20"/>
        </w:rPr>
        <w:t>Yoine</w:t>
      </w:r>
      <w:proofErr w:type="spellEnd"/>
      <w:r w:rsidRPr="00107BA1">
        <w:rPr>
          <w:i/>
          <w:sz w:val="20"/>
        </w:rPr>
        <w:t xml:space="preserve"> Goldstein,</w:t>
      </w:r>
      <w:r w:rsidRPr="00107BA1">
        <w:rPr>
          <w:sz w:val="20"/>
        </w:rPr>
        <w:t xml:space="preserve"> for the intervener the Canadian Association of Insolvency and Restructuring Professionals.</w:t>
      </w:r>
    </w:p>
    <w:p w:rsidR="00CA2CE2" w:rsidRDefault="00CA2CE2" w:rsidP="00CA2CE2">
      <w:pPr>
        <w:pStyle w:val="SCCNormalDoubleSpacing"/>
        <w:spacing w:line="240" w:lineRule="auto"/>
        <w:rPr>
          <w:i/>
          <w:sz w:val="20"/>
        </w:rPr>
      </w:pPr>
    </w:p>
    <w:p w:rsidR="00CA2CE2" w:rsidRPr="00107BA1" w:rsidRDefault="00CA2CE2" w:rsidP="00CA2CE2">
      <w:pPr>
        <w:pStyle w:val="SCCNormalDoubleSpacing"/>
        <w:spacing w:line="240" w:lineRule="auto"/>
        <w:rPr>
          <w:sz w:val="20"/>
        </w:rPr>
      </w:pPr>
      <w:r w:rsidRPr="00107BA1">
        <w:rPr>
          <w:i/>
          <w:sz w:val="20"/>
        </w:rPr>
        <w:tab/>
      </w:r>
      <w:proofErr w:type="gramStart"/>
      <w:r w:rsidRPr="00107BA1">
        <w:rPr>
          <w:i/>
          <w:sz w:val="20"/>
        </w:rPr>
        <w:t>Mahmud Jamal</w:t>
      </w:r>
      <w:r w:rsidRPr="00107BA1">
        <w:rPr>
          <w:sz w:val="20"/>
        </w:rPr>
        <w:t xml:space="preserve">, </w:t>
      </w:r>
      <w:r w:rsidRPr="00107BA1">
        <w:rPr>
          <w:i/>
          <w:sz w:val="20"/>
        </w:rPr>
        <w:t xml:space="preserve">Jeremy </w:t>
      </w:r>
      <w:proofErr w:type="spellStart"/>
      <w:r w:rsidRPr="00107BA1">
        <w:rPr>
          <w:i/>
          <w:sz w:val="20"/>
        </w:rPr>
        <w:t>Dacks</w:t>
      </w:r>
      <w:proofErr w:type="spellEnd"/>
      <w:r w:rsidRPr="00107BA1">
        <w:rPr>
          <w:sz w:val="20"/>
        </w:rPr>
        <w:t xml:space="preserve"> and </w:t>
      </w:r>
      <w:r w:rsidRPr="00107BA1">
        <w:rPr>
          <w:i/>
          <w:sz w:val="20"/>
        </w:rPr>
        <w:t xml:space="preserve">Tony </w:t>
      </w:r>
      <w:proofErr w:type="spellStart"/>
      <w:r w:rsidRPr="00107BA1">
        <w:rPr>
          <w:i/>
          <w:sz w:val="20"/>
        </w:rPr>
        <w:t>Devir</w:t>
      </w:r>
      <w:proofErr w:type="spellEnd"/>
      <w:r w:rsidRPr="00107BA1">
        <w:rPr>
          <w:i/>
          <w:sz w:val="20"/>
        </w:rPr>
        <w:t>,</w:t>
      </w:r>
      <w:r w:rsidRPr="00107BA1">
        <w:rPr>
          <w:sz w:val="20"/>
        </w:rPr>
        <w:t xml:space="preserve"> for the intervener the Canadian Bankers Association.</w:t>
      </w:r>
      <w:proofErr w:type="gramEnd"/>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appellant Sun </w:t>
      </w:r>
      <w:proofErr w:type="spellStart"/>
      <w:r w:rsidRPr="00107BA1">
        <w:rPr>
          <w:sz w:val="20"/>
        </w:rPr>
        <w:t>Indalex</w:t>
      </w:r>
      <w:proofErr w:type="spellEnd"/>
      <w:r w:rsidRPr="00107BA1">
        <w:rPr>
          <w:sz w:val="20"/>
        </w:rPr>
        <w:t xml:space="preserve"> Finance, LLC:  </w:t>
      </w:r>
      <w:proofErr w:type="spellStart"/>
      <w:r w:rsidRPr="00107BA1">
        <w:rPr>
          <w:sz w:val="20"/>
        </w:rPr>
        <w:t>Goodmans</w:t>
      </w:r>
      <w:proofErr w:type="spellEnd"/>
      <w:r w:rsidRPr="00107BA1">
        <w:rPr>
          <w:sz w:val="20"/>
        </w:rPr>
        <w:t>,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appellant George L. Miller, the Chapter 7 Trustee of the Bankruptcy Estates of the U.S. </w:t>
      </w:r>
      <w:proofErr w:type="spellStart"/>
      <w:r w:rsidRPr="00107BA1">
        <w:rPr>
          <w:sz w:val="20"/>
        </w:rPr>
        <w:t>Indalex</w:t>
      </w:r>
      <w:proofErr w:type="spellEnd"/>
      <w:r w:rsidRPr="00107BA1">
        <w:rPr>
          <w:sz w:val="20"/>
        </w:rPr>
        <w:t xml:space="preserve"> Debtors:  </w:t>
      </w:r>
      <w:proofErr w:type="spellStart"/>
      <w:r w:rsidRPr="00107BA1">
        <w:rPr>
          <w:sz w:val="20"/>
        </w:rPr>
        <w:t>Chaitons</w:t>
      </w:r>
      <w:proofErr w:type="spellEnd"/>
      <w:r w:rsidRPr="00107BA1">
        <w:rPr>
          <w:sz w:val="20"/>
        </w:rPr>
        <w:t>,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Solicitors for the appellant FTI Consulting Canada ULC, in its capacity as court</w:t>
      </w:r>
      <w:r w:rsidRPr="00107BA1">
        <w:rPr>
          <w:sz w:val="20"/>
        </w:rPr>
        <w:noBreakHyphen/>
      </w:r>
      <w:proofErr w:type="spellStart"/>
      <w:r w:rsidRPr="00107BA1">
        <w:rPr>
          <w:sz w:val="20"/>
        </w:rPr>
        <w:t>appointed</w:t>
      </w:r>
      <w:proofErr w:type="spellEnd"/>
      <w:r w:rsidRPr="00107BA1">
        <w:rPr>
          <w:sz w:val="20"/>
        </w:rPr>
        <w:t xml:space="preserve"> monitor of </w:t>
      </w:r>
      <w:proofErr w:type="spellStart"/>
      <w:r w:rsidRPr="00107BA1">
        <w:rPr>
          <w:sz w:val="20"/>
        </w:rPr>
        <w:t>Indalex</w:t>
      </w:r>
      <w:proofErr w:type="spellEnd"/>
      <w:r w:rsidRPr="00107BA1">
        <w:rPr>
          <w:sz w:val="20"/>
        </w:rPr>
        <w:t xml:space="preserve"> Limited, on behalf of </w:t>
      </w:r>
      <w:proofErr w:type="spellStart"/>
      <w:r w:rsidRPr="00107BA1">
        <w:rPr>
          <w:sz w:val="20"/>
        </w:rPr>
        <w:t>Indalex</w:t>
      </w:r>
      <w:proofErr w:type="spellEnd"/>
      <w:r w:rsidRPr="00107BA1">
        <w:rPr>
          <w:sz w:val="20"/>
        </w:rPr>
        <w:t xml:space="preserve"> Limited:  </w:t>
      </w:r>
      <w:proofErr w:type="spellStart"/>
      <w:r w:rsidRPr="00107BA1">
        <w:rPr>
          <w:sz w:val="20"/>
        </w:rPr>
        <w:t>Stikeman</w:t>
      </w:r>
      <w:proofErr w:type="spellEnd"/>
      <w:r w:rsidRPr="00107BA1">
        <w:rPr>
          <w:sz w:val="20"/>
        </w:rPr>
        <w:t xml:space="preserve"> Elliott,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appellant/respondent United Steelworkers:  Sack </w:t>
      </w:r>
      <w:proofErr w:type="spellStart"/>
      <w:r w:rsidRPr="00107BA1">
        <w:rPr>
          <w:sz w:val="20"/>
        </w:rPr>
        <w:t>Goldblatt</w:t>
      </w:r>
      <w:proofErr w:type="spellEnd"/>
      <w:r w:rsidRPr="00107BA1">
        <w:rPr>
          <w:sz w:val="20"/>
        </w:rPr>
        <w:t xml:space="preserve"> Mitchell,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respondents Keith </w:t>
      </w:r>
      <w:proofErr w:type="spellStart"/>
      <w:r w:rsidRPr="00107BA1">
        <w:rPr>
          <w:sz w:val="20"/>
        </w:rPr>
        <w:t>Carruthers</w:t>
      </w:r>
      <w:proofErr w:type="spellEnd"/>
      <w:r w:rsidRPr="00107BA1">
        <w:rPr>
          <w:sz w:val="20"/>
        </w:rPr>
        <w:t>, et al.:  </w:t>
      </w:r>
      <w:proofErr w:type="spellStart"/>
      <w:r w:rsidRPr="00107BA1">
        <w:rPr>
          <w:sz w:val="20"/>
        </w:rPr>
        <w:t>Koskie</w:t>
      </w:r>
      <w:proofErr w:type="spellEnd"/>
      <w:r w:rsidRPr="00107BA1">
        <w:rPr>
          <w:sz w:val="20"/>
        </w:rPr>
        <w:t xml:space="preserve"> </w:t>
      </w:r>
      <w:proofErr w:type="spellStart"/>
      <w:r w:rsidRPr="00107BA1">
        <w:rPr>
          <w:sz w:val="20"/>
        </w:rPr>
        <w:t>Minsky</w:t>
      </w:r>
      <w:proofErr w:type="spellEnd"/>
      <w:r w:rsidRPr="00107BA1">
        <w:rPr>
          <w:sz w:val="20"/>
        </w:rPr>
        <w:t>,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respondent </w:t>
      </w:r>
      <w:proofErr w:type="spellStart"/>
      <w:r w:rsidRPr="00107BA1">
        <w:rPr>
          <w:sz w:val="20"/>
        </w:rPr>
        <w:t>Morneau</w:t>
      </w:r>
      <w:proofErr w:type="spellEnd"/>
      <w:r w:rsidRPr="00107BA1">
        <w:rPr>
          <w:sz w:val="20"/>
        </w:rPr>
        <w:t xml:space="preserve"> </w:t>
      </w:r>
      <w:proofErr w:type="spellStart"/>
      <w:r w:rsidRPr="00107BA1">
        <w:rPr>
          <w:sz w:val="20"/>
        </w:rPr>
        <w:t>Shepell</w:t>
      </w:r>
      <w:proofErr w:type="spellEnd"/>
      <w:r w:rsidRPr="00107BA1">
        <w:rPr>
          <w:sz w:val="20"/>
        </w:rPr>
        <w:t xml:space="preserve"> Ltd. (formerly known as </w:t>
      </w:r>
      <w:proofErr w:type="spellStart"/>
      <w:r w:rsidRPr="00107BA1">
        <w:rPr>
          <w:sz w:val="20"/>
        </w:rPr>
        <w:t>Morneau</w:t>
      </w:r>
      <w:proofErr w:type="spellEnd"/>
      <w:r w:rsidRPr="00107BA1">
        <w:rPr>
          <w:sz w:val="20"/>
        </w:rPr>
        <w:t xml:space="preserve"> </w:t>
      </w:r>
      <w:proofErr w:type="spellStart"/>
      <w:r w:rsidRPr="00107BA1">
        <w:rPr>
          <w:sz w:val="20"/>
        </w:rPr>
        <w:t>Sobeco</w:t>
      </w:r>
      <w:proofErr w:type="spellEnd"/>
      <w:r w:rsidRPr="00107BA1">
        <w:rPr>
          <w:sz w:val="20"/>
        </w:rPr>
        <w:t xml:space="preserve"> Limited Partnership):  </w:t>
      </w:r>
      <w:proofErr w:type="spellStart"/>
      <w:r w:rsidRPr="00107BA1">
        <w:rPr>
          <w:sz w:val="20"/>
        </w:rPr>
        <w:t>Cavalluzzo</w:t>
      </w:r>
      <w:proofErr w:type="spellEnd"/>
      <w:r w:rsidRPr="00107BA1">
        <w:rPr>
          <w:sz w:val="20"/>
        </w:rPr>
        <w:t xml:space="preserve"> Hayes </w:t>
      </w:r>
      <w:proofErr w:type="spellStart"/>
      <w:r w:rsidRPr="00107BA1">
        <w:rPr>
          <w:sz w:val="20"/>
        </w:rPr>
        <w:t>Shilton</w:t>
      </w:r>
      <w:proofErr w:type="spellEnd"/>
      <w:r w:rsidRPr="00107BA1">
        <w:rPr>
          <w:sz w:val="20"/>
        </w:rPr>
        <w:t xml:space="preserve"> McIntyre &amp; Cornish,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Solicitor for the respondent/intervener the Superintendent of Financial Services:  Attorney General of Ontario,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intervener the Insolvency Institute of Canada:  Thornton Grout </w:t>
      </w:r>
      <w:proofErr w:type="spellStart"/>
      <w:r w:rsidRPr="00107BA1">
        <w:rPr>
          <w:sz w:val="20"/>
        </w:rPr>
        <w:t>Finnigan</w:t>
      </w:r>
      <w:proofErr w:type="spellEnd"/>
      <w:r w:rsidRPr="00107BA1">
        <w:rPr>
          <w:sz w:val="20"/>
        </w:rPr>
        <w:t>,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 xml:space="preserve">Solicitors for the intervener the Canadian Labour Congress:  Sack </w:t>
      </w:r>
      <w:proofErr w:type="spellStart"/>
      <w:r w:rsidRPr="00107BA1">
        <w:rPr>
          <w:sz w:val="20"/>
        </w:rPr>
        <w:t>Goldblatt</w:t>
      </w:r>
      <w:proofErr w:type="spellEnd"/>
      <w:r w:rsidRPr="00107BA1">
        <w:rPr>
          <w:sz w:val="20"/>
        </w:rPr>
        <w:t xml:space="preserve"> Mitchell,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Solicitors for the intervener the Canadian Federation of Pensioners:  </w:t>
      </w:r>
      <w:proofErr w:type="spellStart"/>
      <w:r w:rsidRPr="00107BA1">
        <w:rPr>
          <w:sz w:val="20"/>
        </w:rPr>
        <w:t>Paliare</w:t>
      </w:r>
      <w:proofErr w:type="spellEnd"/>
      <w:r w:rsidRPr="00107BA1">
        <w:rPr>
          <w:sz w:val="20"/>
        </w:rPr>
        <w:t>, Roland, Rosenberg, Rothstein, Toronto.</w:t>
      </w:r>
    </w:p>
    <w:p w:rsidR="00CA2CE2" w:rsidRDefault="00CA2CE2" w:rsidP="00CA2CE2">
      <w:pPr>
        <w:pStyle w:val="SCCLawFirm"/>
        <w:spacing w:line="240" w:lineRule="auto"/>
        <w:rPr>
          <w:sz w:val="20"/>
        </w:rPr>
      </w:pPr>
    </w:p>
    <w:p w:rsidR="00CA2CE2" w:rsidRPr="00107BA1" w:rsidRDefault="00CA2CE2" w:rsidP="00CA2CE2">
      <w:pPr>
        <w:pStyle w:val="SCCLawFirm"/>
        <w:spacing w:line="240" w:lineRule="auto"/>
        <w:rPr>
          <w:sz w:val="20"/>
        </w:rPr>
      </w:pPr>
      <w:r w:rsidRPr="00107BA1">
        <w:rPr>
          <w:sz w:val="20"/>
        </w:rPr>
        <w:tab/>
        <w:t>Solicitors for the intervener the Canadian Association of Insolvency and Restructuring Professionals:  McMillan, Montréal.</w:t>
      </w:r>
    </w:p>
    <w:p w:rsidR="00CA2CE2" w:rsidRDefault="00CA2CE2" w:rsidP="00CA2CE2">
      <w:pPr>
        <w:pStyle w:val="SCCLawFirm"/>
        <w:spacing w:line="240" w:lineRule="auto"/>
        <w:rPr>
          <w:sz w:val="20"/>
        </w:rPr>
      </w:pPr>
    </w:p>
    <w:p w:rsidR="00CA2CE2" w:rsidRDefault="00CA2CE2" w:rsidP="00CA2CE2">
      <w:pPr>
        <w:pStyle w:val="SCCLawFirm"/>
        <w:spacing w:line="240" w:lineRule="auto"/>
        <w:rPr>
          <w:sz w:val="20"/>
        </w:rPr>
      </w:pPr>
      <w:r w:rsidRPr="00107BA1">
        <w:rPr>
          <w:sz w:val="20"/>
        </w:rPr>
        <w:tab/>
        <w:t xml:space="preserve">Solicitors for the intervener the Canadian Bankers Association:  Osler, </w:t>
      </w:r>
      <w:proofErr w:type="spellStart"/>
      <w:r w:rsidRPr="00107BA1">
        <w:rPr>
          <w:sz w:val="20"/>
        </w:rPr>
        <w:t>Hoskin</w:t>
      </w:r>
      <w:proofErr w:type="spellEnd"/>
      <w:r w:rsidRPr="00107BA1">
        <w:rPr>
          <w:sz w:val="20"/>
        </w:rPr>
        <w:t xml:space="preserve"> &amp; Harcourt,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6875AC" w:rsidRPr="006F7D7E" w:rsidRDefault="006875AC" w:rsidP="006875AC">
      <w:pPr>
        <w:jc w:val="both"/>
        <w:rPr>
          <w:sz w:val="20"/>
          <w:lang w:val="fr-CA"/>
        </w:rPr>
      </w:pPr>
      <w:r w:rsidRPr="006F7D7E">
        <w:rPr>
          <w:sz w:val="20"/>
          <w:lang w:val="fr-CA"/>
        </w:rPr>
        <w:t xml:space="preserve">Présents : La juge en chef </w:t>
      </w:r>
      <w:proofErr w:type="spellStart"/>
      <w:r w:rsidRPr="006F7D7E">
        <w:rPr>
          <w:sz w:val="20"/>
          <w:lang w:val="fr-CA"/>
        </w:rPr>
        <w:t>McLachlin</w:t>
      </w:r>
      <w:proofErr w:type="spellEnd"/>
      <w:r w:rsidRPr="006F7D7E">
        <w:rPr>
          <w:sz w:val="20"/>
          <w:lang w:val="fr-CA"/>
        </w:rPr>
        <w:t xml:space="preserve"> et les juges </w:t>
      </w:r>
      <w:proofErr w:type="spellStart"/>
      <w:r w:rsidRPr="006F7D7E">
        <w:rPr>
          <w:sz w:val="20"/>
          <w:lang w:val="fr-CA"/>
        </w:rPr>
        <w:t>LeBel</w:t>
      </w:r>
      <w:proofErr w:type="spellEnd"/>
      <w:r w:rsidRPr="006F7D7E">
        <w:rPr>
          <w:sz w:val="20"/>
          <w:lang w:val="fr-CA"/>
        </w:rPr>
        <w:t xml:space="preserve">, Deschamps, Abella, </w:t>
      </w:r>
      <w:proofErr w:type="spellStart"/>
      <w:r w:rsidRPr="006F7D7E">
        <w:rPr>
          <w:sz w:val="20"/>
          <w:lang w:val="fr-CA"/>
        </w:rPr>
        <w:t>Rothstein</w:t>
      </w:r>
      <w:proofErr w:type="spellEnd"/>
      <w:r w:rsidRPr="006F7D7E">
        <w:rPr>
          <w:sz w:val="20"/>
          <w:lang w:val="fr-CA"/>
        </w:rPr>
        <w:t xml:space="preserve">, Cromwell et </w:t>
      </w:r>
      <w:proofErr w:type="spellStart"/>
      <w:r w:rsidRPr="006F7D7E">
        <w:rPr>
          <w:sz w:val="20"/>
          <w:lang w:val="fr-CA"/>
        </w:rPr>
        <w:t>Moldaver</w:t>
      </w:r>
      <w:proofErr w:type="spellEnd"/>
      <w:r w:rsidRPr="006F7D7E">
        <w:rPr>
          <w:sz w:val="20"/>
          <w:lang w:val="fr-CA"/>
        </w:rPr>
        <w:t>.</w:t>
      </w:r>
    </w:p>
    <w:p w:rsidR="006875AC" w:rsidRDefault="006875AC" w:rsidP="006875AC">
      <w:pPr>
        <w:jc w:val="both"/>
        <w:rPr>
          <w:smallCaps/>
          <w:sz w:val="20"/>
          <w:lang w:val="fr-CA"/>
        </w:rPr>
      </w:pPr>
    </w:p>
    <w:p w:rsidR="006875AC" w:rsidRPr="006F7D7E" w:rsidRDefault="006875AC" w:rsidP="006875AC">
      <w:pPr>
        <w:pStyle w:val="SCCNormalDoubleSpacing"/>
        <w:spacing w:line="240" w:lineRule="auto"/>
        <w:rPr>
          <w:i/>
          <w:sz w:val="20"/>
          <w:lang w:val="fr-CA"/>
        </w:rPr>
      </w:pPr>
      <w:r w:rsidRPr="006F7D7E">
        <w:rPr>
          <w:sz w:val="20"/>
          <w:lang w:val="fr-CA"/>
        </w:rPr>
        <w:lastRenderedPageBreak/>
        <w:tab/>
      </w:r>
      <w:r w:rsidRPr="006F7D7E">
        <w:rPr>
          <w:i/>
          <w:sz w:val="20"/>
          <w:lang w:val="fr-CA"/>
        </w:rPr>
        <w:t xml:space="preserve">Pensions — Faillite et insolvabilité — Priorités — Société à la fois employeur et administrateur de régimes de retraite ayant demandé la protection contre ses créanciers en application de la Loi sur les arrangements avec les créanciers des compagnies (« LACC ») — Actif des caisses de retraite insuffisant pour verser les prestations promises aux participants des régimes — Financement obtenu par la société à titre de </w:t>
      </w:r>
      <w:proofErr w:type="spellStart"/>
      <w:r w:rsidRPr="006F7D7E">
        <w:rPr>
          <w:i/>
          <w:sz w:val="20"/>
          <w:lang w:val="fr-CA"/>
        </w:rPr>
        <w:t>débiteur</w:t>
      </w:r>
      <w:r w:rsidRPr="006F7D7E">
        <w:rPr>
          <w:i/>
          <w:sz w:val="20"/>
          <w:lang w:val="fr-CA"/>
        </w:rPr>
        <w:noBreakHyphen/>
        <w:t>exploitant</w:t>
      </w:r>
      <w:proofErr w:type="spellEnd"/>
      <w:r w:rsidRPr="006F7D7E">
        <w:rPr>
          <w:i/>
          <w:sz w:val="20"/>
          <w:lang w:val="fr-CA"/>
        </w:rPr>
        <w:t xml:space="preserve"> (« DE ») lui ayant permis de poursuivre ses activités — Tribunal chargé d’appliquer la LACC ayant accordé priorité aux prêteurs DE — Insuffisance du produit de la vente pour rembourser les prêteurs DE — Les déficits de liquidation des régimes de retraite </w:t>
      </w:r>
      <w:proofErr w:type="spellStart"/>
      <w:r w:rsidRPr="006F7D7E">
        <w:rPr>
          <w:i/>
          <w:sz w:val="20"/>
          <w:lang w:val="fr-CA"/>
        </w:rPr>
        <w:t>sont</w:t>
      </w:r>
      <w:r w:rsidRPr="006F7D7E">
        <w:rPr>
          <w:i/>
          <w:sz w:val="20"/>
          <w:lang w:val="fr-CA"/>
        </w:rPr>
        <w:noBreakHyphen/>
        <w:t>ils</w:t>
      </w:r>
      <w:proofErr w:type="spellEnd"/>
      <w:r w:rsidRPr="006F7D7E">
        <w:rPr>
          <w:i/>
          <w:sz w:val="20"/>
          <w:lang w:val="fr-CA"/>
        </w:rPr>
        <w:t xml:space="preserve"> visés par la fiducie réputée? — Dans l’affirmative, la prépondérance fédérale </w:t>
      </w:r>
      <w:proofErr w:type="spellStart"/>
      <w:r w:rsidRPr="006F7D7E">
        <w:rPr>
          <w:i/>
          <w:sz w:val="20"/>
          <w:lang w:val="fr-CA"/>
        </w:rPr>
        <w:t>fait</w:t>
      </w:r>
      <w:r w:rsidRPr="006F7D7E">
        <w:rPr>
          <w:i/>
          <w:sz w:val="20"/>
          <w:lang w:val="fr-CA"/>
        </w:rPr>
        <w:noBreakHyphen/>
        <w:t>elle</w:t>
      </w:r>
      <w:proofErr w:type="spellEnd"/>
      <w:r w:rsidRPr="006F7D7E">
        <w:rPr>
          <w:i/>
          <w:sz w:val="20"/>
          <w:lang w:val="fr-CA"/>
        </w:rPr>
        <w:t xml:space="preserve"> en sorte que la priorité issue de l’application de la LACC a préséance sur la fiducie réputée? — Loi sur les régimes de retraite, L.R.O. 1990, ch. P.8, art. 57(3), 57(4), 75(1)a), 75(1)b) — Loi sur les arrangements avec les créanciers des compagnies, L.R.C. 1985, ch. C</w:t>
      </w:r>
      <w:r w:rsidRPr="006F7D7E">
        <w:rPr>
          <w:i/>
          <w:sz w:val="20"/>
          <w:lang w:val="fr-CA"/>
        </w:rPr>
        <w:noBreakHyphen/>
        <w:t>36.</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i/>
          <w:sz w:val="20"/>
          <w:lang w:val="fr-CA"/>
        </w:rPr>
      </w:pPr>
      <w:r w:rsidRPr="006F7D7E">
        <w:rPr>
          <w:i/>
          <w:sz w:val="20"/>
          <w:lang w:val="fr-CA"/>
        </w:rPr>
        <w:tab/>
        <w:t xml:space="preserve">Pensions — Fiducies — Société à la fois employeur et administrateur de régimes de retraite ayant demandé la protection contre ses créanciers en application de la LACC — Actif des caisses de retraite insuffisant pour verser les prestations promises aux participants des régimes — Les déficits de liquidation des régimes de retraite </w:t>
      </w:r>
      <w:proofErr w:type="spellStart"/>
      <w:r w:rsidRPr="006F7D7E">
        <w:rPr>
          <w:i/>
          <w:sz w:val="20"/>
          <w:lang w:val="fr-CA"/>
        </w:rPr>
        <w:t>sont</w:t>
      </w:r>
      <w:r w:rsidRPr="006F7D7E">
        <w:rPr>
          <w:i/>
          <w:sz w:val="20"/>
          <w:lang w:val="fr-CA"/>
        </w:rPr>
        <w:noBreakHyphen/>
        <w:t>ils</w:t>
      </w:r>
      <w:proofErr w:type="spellEnd"/>
      <w:r w:rsidRPr="006F7D7E">
        <w:rPr>
          <w:i/>
          <w:sz w:val="20"/>
          <w:lang w:val="fr-CA"/>
        </w:rPr>
        <w:t xml:space="preserve"> visés par la fiducie réputée? — La société </w:t>
      </w:r>
      <w:proofErr w:type="spellStart"/>
      <w:r w:rsidRPr="006F7D7E">
        <w:rPr>
          <w:i/>
          <w:sz w:val="20"/>
          <w:lang w:val="fr-CA"/>
        </w:rPr>
        <w:t>a</w:t>
      </w:r>
      <w:r w:rsidRPr="006F7D7E">
        <w:rPr>
          <w:i/>
          <w:sz w:val="20"/>
          <w:lang w:val="fr-CA"/>
        </w:rPr>
        <w:noBreakHyphen/>
        <w:t>t</w:t>
      </w:r>
      <w:r w:rsidRPr="006F7D7E">
        <w:rPr>
          <w:i/>
          <w:sz w:val="20"/>
          <w:lang w:val="fr-CA"/>
        </w:rPr>
        <w:noBreakHyphen/>
        <w:t>elle</w:t>
      </w:r>
      <w:proofErr w:type="spellEnd"/>
      <w:r w:rsidRPr="006F7D7E">
        <w:rPr>
          <w:i/>
          <w:sz w:val="20"/>
          <w:lang w:val="fr-CA"/>
        </w:rPr>
        <w:t xml:space="preserve"> manqué à ses obligations fiduciaires d’administrateur des régimes? — Les participants des régimes de retraite </w:t>
      </w:r>
      <w:proofErr w:type="spellStart"/>
      <w:r w:rsidRPr="006F7D7E">
        <w:rPr>
          <w:i/>
          <w:sz w:val="20"/>
          <w:lang w:val="fr-CA"/>
        </w:rPr>
        <w:t>ont</w:t>
      </w:r>
      <w:r w:rsidRPr="006F7D7E">
        <w:rPr>
          <w:i/>
          <w:sz w:val="20"/>
          <w:lang w:val="fr-CA"/>
        </w:rPr>
        <w:noBreakHyphen/>
        <w:t>ils</w:t>
      </w:r>
      <w:proofErr w:type="spellEnd"/>
      <w:r w:rsidRPr="006F7D7E">
        <w:rPr>
          <w:i/>
          <w:sz w:val="20"/>
          <w:lang w:val="fr-CA"/>
        </w:rPr>
        <w:t xml:space="preserve"> droit à une fiducie par interprétation?</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Procédure civile — Dépens — Appels — Norme de contrôle — La décision de la Cour d’appel sur les dépens d’une partie </w:t>
      </w:r>
      <w:proofErr w:type="spellStart"/>
      <w:r w:rsidRPr="006F7D7E">
        <w:rPr>
          <w:i/>
          <w:sz w:val="20"/>
          <w:lang w:val="fr-CA"/>
        </w:rPr>
        <w:t>est</w:t>
      </w:r>
      <w:r w:rsidRPr="006F7D7E">
        <w:rPr>
          <w:i/>
          <w:sz w:val="20"/>
          <w:lang w:val="fr-CA"/>
        </w:rPr>
        <w:noBreakHyphen/>
        <w:t>elle</w:t>
      </w:r>
      <w:proofErr w:type="spellEnd"/>
      <w:r w:rsidRPr="006F7D7E">
        <w:rPr>
          <w:i/>
          <w:sz w:val="20"/>
          <w:lang w:val="fr-CA"/>
        </w:rPr>
        <w:t xml:space="preserve"> erronée?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r>
      <w:proofErr w:type="spellStart"/>
      <w:r w:rsidRPr="006F7D7E">
        <w:rPr>
          <w:sz w:val="20"/>
          <w:lang w:val="fr-CA"/>
        </w:rPr>
        <w:t>Indalex</w:t>
      </w:r>
      <w:proofErr w:type="spellEnd"/>
      <w:r w:rsidRPr="006F7D7E">
        <w:rPr>
          <w:sz w:val="20"/>
          <w:lang w:val="fr-CA"/>
        </w:rPr>
        <w:t xml:space="preserve"> Limited (« </w:t>
      </w:r>
      <w:proofErr w:type="spellStart"/>
      <w:r w:rsidRPr="006F7D7E">
        <w:rPr>
          <w:sz w:val="20"/>
          <w:lang w:val="fr-CA"/>
        </w:rPr>
        <w:t>Indalex</w:t>
      </w:r>
      <w:proofErr w:type="spellEnd"/>
      <w:r w:rsidRPr="006F7D7E">
        <w:rPr>
          <w:sz w:val="20"/>
          <w:lang w:val="fr-CA"/>
        </w:rPr>
        <w:t xml:space="preserve"> »), le promoteur et l’administrateur de deux régimes de retraite, l’un pour les salariés, l’autre pour les cadres, est devenue insolvable.  Elle a demandé la protection contre ses créanciers sous le régime de la </w:t>
      </w:r>
      <w:r w:rsidRPr="006F7D7E">
        <w:rPr>
          <w:i/>
          <w:sz w:val="20"/>
          <w:lang w:val="fr-CA"/>
        </w:rPr>
        <w:t>Loi sur les arrangements avec les créanciers des compagnies</w:t>
      </w:r>
      <w:r w:rsidRPr="006F7D7E">
        <w:rPr>
          <w:sz w:val="20"/>
          <w:lang w:val="fr-CA"/>
        </w:rPr>
        <w:t>, L.R.C. 1985, ch. C</w:t>
      </w:r>
      <w:r w:rsidRPr="006F7D7E">
        <w:rPr>
          <w:sz w:val="20"/>
          <w:lang w:val="fr-CA"/>
        </w:rPr>
        <w:noBreakHyphen/>
        <w:t>36 (« </w:t>
      </w:r>
      <w:r w:rsidRPr="006F7D7E">
        <w:rPr>
          <w:i/>
          <w:sz w:val="20"/>
          <w:lang w:val="fr-CA"/>
        </w:rPr>
        <w:t>LACC</w:t>
      </w:r>
      <w:r w:rsidRPr="006F7D7E">
        <w:rPr>
          <w:sz w:val="20"/>
          <w:lang w:val="fr-CA"/>
        </w:rPr>
        <w:t xml:space="preserve"> »).  Le régime des salariés était en cours de liquidation lorsque la procédure fondée sur la </w:t>
      </w:r>
      <w:r w:rsidRPr="006F7D7E">
        <w:rPr>
          <w:i/>
          <w:sz w:val="20"/>
          <w:lang w:val="fr-CA"/>
        </w:rPr>
        <w:t>LACC</w:t>
      </w:r>
      <w:r w:rsidRPr="006F7D7E">
        <w:rPr>
          <w:sz w:val="20"/>
          <w:lang w:val="fr-CA"/>
        </w:rPr>
        <w:t xml:space="preserve"> a été engagée.  Le régime des cadres n’acceptait plus de participants, mais il n’était pas liquidé.  Les deux régimes accusaient un déficit de liquidation.</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Une série de mesure avalisées par le tribunal a permis à la société d’obtenir un financement de </w:t>
      </w:r>
      <w:proofErr w:type="spellStart"/>
      <w:r w:rsidRPr="006F7D7E">
        <w:rPr>
          <w:sz w:val="20"/>
          <w:lang w:val="fr-CA"/>
        </w:rPr>
        <w:t>débiteur</w:t>
      </w:r>
      <w:r w:rsidRPr="006F7D7E">
        <w:rPr>
          <w:sz w:val="20"/>
          <w:lang w:val="fr-CA"/>
        </w:rPr>
        <w:noBreakHyphen/>
        <w:t>exploitant</w:t>
      </w:r>
      <w:proofErr w:type="spellEnd"/>
      <w:r w:rsidRPr="006F7D7E">
        <w:rPr>
          <w:sz w:val="20"/>
          <w:lang w:val="fr-CA"/>
        </w:rPr>
        <w:t xml:space="preserve"> (« DE ») et de poursuivre ses activités.  Le tribunal chargé de l’application de la </w:t>
      </w:r>
      <w:r w:rsidRPr="006F7D7E">
        <w:rPr>
          <w:i/>
          <w:sz w:val="20"/>
          <w:lang w:val="fr-CA"/>
        </w:rPr>
        <w:t>LACC</w:t>
      </w:r>
      <w:r w:rsidRPr="006F7D7E">
        <w:rPr>
          <w:sz w:val="20"/>
          <w:lang w:val="fr-CA"/>
        </w:rPr>
        <w:t xml:space="preserve"> a accordé aux prêteurs DE, un consortium composé de créanciers qui bénéficiaient d’une garantie de premier rang avant le début de la procédure, une priorité sur tous les autres créanciers.  Le remboursement des sommes empruntées était garanti par </w:t>
      </w:r>
      <w:proofErr w:type="spellStart"/>
      <w:r w:rsidRPr="006F7D7E">
        <w:rPr>
          <w:sz w:val="20"/>
          <w:lang w:val="fr-CA"/>
        </w:rPr>
        <w:t>Indalex</w:t>
      </w:r>
      <w:proofErr w:type="spellEnd"/>
      <w:r w:rsidRPr="006F7D7E">
        <w:rPr>
          <w:sz w:val="20"/>
          <w:lang w:val="fr-CA"/>
        </w:rPr>
        <w:t xml:space="preserve"> É.</w:t>
      </w:r>
      <w:r w:rsidRPr="006F7D7E">
        <w:rPr>
          <w:sz w:val="20"/>
          <w:lang w:val="fr-CA"/>
        </w:rPr>
        <w:noBreakHyphen/>
        <w:t>U.</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Finalement, sur approbation du tribunal appliquant la </w:t>
      </w:r>
      <w:r w:rsidRPr="006F7D7E">
        <w:rPr>
          <w:i/>
          <w:sz w:val="20"/>
          <w:lang w:val="fr-CA"/>
        </w:rPr>
        <w:t>LACC</w:t>
      </w:r>
      <w:r w:rsidRPr="006F7D7E">
        <w:rPr>
          <w:sz w:val="20"/>
          <w:lang w:val="fr-CA"/>
        </w:rPr>
        <w:t xml:space="preserve">, </w:t>
      </w:r>
      <w:proofErr w:type="spellStart"/>
      <w:r w:rsidRPr="006F7D7E">
        <w:rPr>
          <w:sz w:val="20"/>
          <w:lang w:val="fr-CA"/>
        </w:rPr>
        <w:t>Indalex</w:t>
      </w:r>
      <w:proofErr w:type="spellEnd"/>
      <w:r w:rsidRPr="006F7D7E">
        <w:rPr>
          <w:sz w:val="20"/>
          <w:lang w:val="fr-CA"/>
        </w:rPr>
        <w:t xml:space="preserve"> a vendu son entreprise, mais l’acquéreur n’a pas repris à son compte les engagements de retraite.  Le produit de la vente n’étant pas suffisant pour rembourser les prêteurs DE, </w:t>
      </w:r>
      <w:proofErr w:type="spellStart"/>
      <w:r w:rsidRPr="006F7D7E">
        <w:rPr>
          <w:sz w:val="20"/>
          <w:lang w:val="fr-CA"/>
        </w:rPr>
        <w:t>Indalex</w:t>
      </w:r>
      <w:proofErr w:type="spellEnd"/>
      <w:r w:rsidRPr="006F7D7E">
        <w:rPr>
          <w:sz w:val="20"/>
          <w:lang w:val="fr-CA"/>
        </w:rPr>
        <w:t xml:space="preserve"> É.</w:t>
      </w:r>
      <w:r w:rsidRPr="006F7D7E">
        <w:rPr>
          <w:sz w:val="20"/>
          <w:lang w:val="fr-CA"/>
        </w:rPr>
        <w:noBreakHyphen/>
        <w:t xml:space="preserve">U., à titre de caution, a payé la différence et a acquis de ce fait la créance prioritaire des prêteurs DE. Le tribunal a autorisé le paiement conformément à l’ordre de priorité, mais il a également ordonné la retenue de fonds en réserve, remettant à plus tard l’examen de l’argumentation des participants relative à leur droit au produit de la vente.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Les participants des régimes ont contesté la priorité accordée dans le cadre de la procédure fondée sur la </w:t>
      </w:r>
      <w:r w:rsidRPr="006F7D7E">
        <w:rPr>
          <w:i/>
          <w:sz w:val="20"/>
          <w:lang w:val="fr-CA"/>
        </w:rPr>
        <w:t>LACC</w:t>
      </w:r>
      <w:r w:rsidRPr="006F7D7E">
        <w:rPr>
          <w:sz w:val="20"/>
          <w:lang w:val="fr-CA"/>
        </w:rPr>
        <w:t xml:space="preserve">.  Ils ont fait valoir qu’ils avaient priorité pour le montant du déficit de liquidation en raison de la fiducie réputée créée par le par. 57(4) de la </w:t>
      </w:r>
      <w:r w:rsidRPr="006F7D7E">
        <w:rPr>
          <w:i/>
          <w:sz w:val="20"/>
          <w:lang w:val="fr-CA"/>
        </w:rPr>
        <w:t>Loi sur les régimes de retraite</w:t>
      </w:r>
      <w:r w:rsidRPr="006F7D7E">
        <w:rPr>
          <w:sz w:val="20"/>
          <w:lang w:val="fr-CA"/>
        </w:rPr>
        <w:t>, L.R.O. 1990, ch. P.8 (« </w:t>
      </w:r>
      <w:r w:rsidRPr="006F7D7E">
        <w:rPr>
          <w:i/>
          <w:sz w:val="20"/>
          <w:lang w:val="fr-CA"/>
        </w:rPr>
        <w:t>LRR</w:t>
      </w:r>
      <w:r w:rsidRPr="006F7D7E">
        <w:rPr>
          <w:sz w:val="20"/>
          <w:lang w:val="fr-CA"/>
        </w:rPr>
        <w:t> ») et de la fiducie par interprétation résultant de manquements allégués d’</w:t>
      </w:r>
      <w:proofErr w:type="spellStart"/>
      <w:r w:rsidRPr="006F7D7E">
        <w:rPr>
          <w:sz w:val="20"/>
          <w:lang w:val="fr-CA"/>
        </w:rPr>
        <w:t>Indalex</w:t>
      </w:r>
      <w:proofErr w:type="spellEnd"/>
      <w:r w:rsidRPr="006F7D7E">
        <w:rPr>
          <w:sz w:val="20"/>
          <w:lang w:val="fr-CA"/>
        </w:rPr>
        <w:t xml:space="preserve"> à son obligation fiduciaire d’administrateur des régimes.  En première instance, le juge a rejeté les motions des participants, concluant que la fiducie réputée ne s’appliquait pas aux déficits de liquidation.  Il a conclu que, pour ce qui était du déficit de liquidation, les participants étaient des créanciers chirographaires.  La Cour d’appel a infirmé la décision et statué que les déficits de liquidation des régimes de retraite faisaient l’objet d’une fiducie réputée et d’une fiducie par interprétation qui prenaient rang avant la créance des prêteurs DE bénéficiant d’une priorité et celles des autres créanciers garantis.  En outre, elle a rejeté la prétention du Syndicat des Métallos, qui représentait quelques-uns des participants du régime des salariés, à savoir qu’il avait droit au paiement de ses dépens par prélèvement sur la caisse de retraite des salariés.</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r>
      <w:r w:rsidRPr="006F7D7E">
        <w:rPr>
          <w:i/>
          <w:sz w:val="20"/>
          <w:lang w:val="fr-CA"/>
        </w:rPr>
        <w:t xml:space="preserve">Arrêt </w:t>
      </w:r>
      <w:r w:rsidRPr="006F7D7E">
        <w:rPr>
          <w:sz w:val="20"/>
          <w:lang w:val="fr-CA"/>
        </w:rPr>
        <w:t xml:space="preserve">(les juges </w:t>
      </w:r>
      <w:proofErr w:type="spellStart"/>
      <w:r w:rsidRPr="006F7D7E">
        <w:rPr>
          <w:sz w:val="20"/>
          <w:lang w:val="fr-CA"/>
        </w:rPr>
        <w:t>LeBel</w:t>
      </w:r>
      <w:proofErr w:type="spellEnd"/>
      <w:r w:rsidRPr="006F7D7E">
        <w:rPr>
          <w:sz w:val="20"/>
          <w:lang w:val="fr-CA"/>
        </w:rPr>
        <w:t xml:space="preserve"> et Abella sont dissidents) : Les pourvois interjetés par Sun </w:t>
      </w:r>
      <w:proofErr w:type="spellStart"/>
      <w:r w:rsidRPr="006F7D7E">
        <w:rPr>
          <w:sz w:val="20"/>
          <w:lang w:val="fr-CA"/>
        </w:rPr>
        <w:t>Indalex</w:t>
      </w:r>
      <w:proofErr w:type="spellEnd"/>
      <w:r w:rsidRPr="006F7D7E">
        <w:rPr>
          <w:sz w:val="20"/>
          <w:lang w:val="fr-CA"/>
        </w:rPr>
        <w:t xml:space="preserve"> Finance, George L. Miller et FTI Consulting sont accueillis.</w:t>
      </w:r>
    </w:p>
    <w:p w:rsidR="006875AC" w:rsidRDefault="006875AC" w:rsidP="006875AC">
      <w:pPr>
        <w:pStyle w:val="SCCNormalDoubleSpacing"/>
        <w:spacing w:line="240" w:lineRule="auto"/>
        <w:rPr>
          <w:sz w:val="20"/>
          <w:lang w:val="fr-CA"/>
        </w:rPr>
      </w:pPr>
    </w:p>
    <w:p w:rsidR="006875AC" w:rsidRDefault="006875AC" w:rsidP="006875AC">
      <w:pPr>
        <w:pStyle w:val="SCCNormalDoubleSpacing"/>
        <w:spacing w:line="240" w:lineRule="auto"/>
        <w:rPr>
          <w:sz w:val="20"/>
          <w:lang w:val="fr-CA"/>
        </w:rPr>
      </w:pPr>
      <w:r w:rsidRPr="006F7D7E">
        <w:rPr>
          <w:sz w:val="20"/>
          <w:lang w:val="fr-CA"/>
        </w:rPr>
        <w:lastRenderedPageBreak/>
        <w:tab/>
      </w:r>
      <w:r w:rsidRPr="006F7D7E">
        <w:rPr>
          <w:i/>
          <w:sz w:val="20"/>
          <w:lang w:val="fr-CA"/>
        </w:rPr>
        <w:t>Arrêt</w:t>
      </w:r>
      <w:r w:rsidRPr="006F7D7E">
        <w:rPr>
          <w:sz w:val="20"/>
          <w:lang w:val="fr-CA"/>
        </w:rPr>
        <w:t> : Le pourvoi interjeté par le Syndicat des Métallos est rejeté.</w:t>
      </w:r>
    </w:p>
    <w:p w:rsidR="006875AC" w:rsidRPr="006F7D7E" w:rsidRDefault="006875AC" w:rsidP="006875AC">
      <w:pPr>
        <w:pStyle w:val="SCCNormalDoubleSpacing"/>
        <w:spacing w:line="240" w:lineRule="auto"/>
        <w:rPr>
          <w:sz w:val="20"/>
          <w:lang w:val="fr-CA"/>
        </w:rPr>
      </w:pPr>
    </w:p>
    <w:p w:rsidR="006875AC" w:rsidRPr="006F7D7E" w:rsidRDefault="006875AC" w:rsidP="00AB4F4C">
      <w:pPr>
        <w:pStyle w:val="SCCNormalDoubleSpacing"/>
        <w:keepNext/>
        <w:spacing w:line="240" w:lineRule="auto"/>
        <w:ind w:left="360" w:hanging="360"/>
        <w:rPr>
          <w:i/>
          <w:sz w:val="20"/>
          <w:u w:val="single"/>
          <w:lang w:val="fr-CA"/>
        </w:rPr>
      </w:pPr>
      <w:r w:rsidRPr="006F7D7E">
        <w:rPr>
          <w:sz w:val="20"/>
          <w:lang w:val="fr-CA"/>
        </w:rPr>
        <w:t>(1)</w:t>
      </w:r>
      <w:r w:rsidRPr="006F7D7E">
        <w:rPr>
          <w:sz w:val="20"/>
          <w:lang w:val="fr-CA"/>
        </w:rPr>
        <w:tab/>
      </w:r>
      <w:r w:rsidRPr="006F7D7E">
        <w:rPr>
          <w:i/>
          <w:sz w:val="20"/>
          <w:u w:val="single"/>
          <w:lang w:val="fr-CA"/>
        </w:rPr>
        <w:t>La fiducie réputée d’origine législative</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Les</w:t>
      </w:r>
      <w:r w:rsidRPr="006F7D7E">
        <w:rPr>
          <w:sz w:val="20"/>
          <w:lang w:val="fr-CA"/>
        </w:rPr>
        <w:t xml:space="preserve"> juges </w:t>
      </w:r>
      <w:r w:rsidRPr="006F7D7E">
        <w:rPr>
          <w:b/>
          <w:sz w:val="20"/>
          <w:lang w:val="fr-CA"/>
        </w:rPr>
        <w:t>Deschamps</w:t>
      </w:r>
      <w:r w:rsidRPr="006F7D7E">
        <w:rPr>
          <w:sz w:val="20"/>
          <w:lang w:val="fr-CA"/>
        </w:rPr>
        <w:t xml:space="preserve"> et </w:t>
      </w:r>
      <w:proofErr w:type="spellStart"/>
      <w:r w:rsidRPr="006F7D7E">
        <w:rPr>
          <w:sz w:val="20"/>
          <w:lang w:val="fr-CA"/>
        </w:rPr>
        <w:t>Moldaver</w:t>
      </w:r>
      <w:proofErr w:type="spellEnd"/>
      <w:r w:rsidRPr="006F7D7E">
        <w:rPr>
          <w:sz w:val="20"/>
          <w:lang w:val="fr-CA"/>
        </w:rPr>
        <w:t xml:space="preserve"> : Il est bien établi que la fiducie réputée créée par le par. 57(4) de la </w:t>
      </w:r>
      <w:r w:rsidRPr="006F7D7E">
        <w:rPr>
          <w:i/>
          <w:sz w:val="20"/>
          <w:lang w:val="fr-CA"/>
        </w:rPr>
        <w:t>LRR</w:t>
      </w:r>
      <w:r w:rsidRPr="006F7D7E">
        <w:rPr>
          <w:sz w:val="20"/>
          <w:lang w:val="fr-CA"/>
        </w:rPr>
        <w:t xml:space="preserve"> s’applique aux cotisations visées à l’al. 75(1)</w:t>
      </w:r>
      <w:r w:rsidRPr="006F7D7E">
        <w:rPr>
          <w:i/>
          <w:sz w:val="20"/>
          <w:lang w:val="fr-CA"/>
        </w:rPr>
        <w:t>a</w:t>
      </w:r>
      <w:r w:rsidRPr="006F7D7E">
        <w:rPr>
          <w:sz w:val="20"/>
          <w:lang w:val="fr-CA"/>
        </w:rPr>
        <w:t xml:space="preserve">) de la </w:t>
      </w:r>
      <w:r w:rsidRPr="006F7D7E">
        <w:rPr>
          <w:i/>
          <w:sz w:val="20"/>
          <w:lang w:val="fr-CA"/>
        </w:rPr>
        <w:t>LRR</w:t>
      </w:r>
      <w:r w:rsidRPr="006F7D7E">
        <w:rPr>
          <w:sz w:val="20"/>
          <w:lang w:val="fr-CA"/>
        </w:rPr>
        <w:t>.  La seule question est de savoir si cette fiducie réputée d’origine législative s’applique aussi aux paiements au titre du déficit de liquidation exigés par l’al. 75(1)</w:t>
      </w:r>
      <w:r w:rsidRPr="006F7D7E">
        <w:rPr>
          <w:i/>
          <w:sz w:val="20"/>
          <w:lang w:val="fr-CA"/>
        </w:rPr>
        <w:t>b</w:t>
      </w:r>
      <w:r w:rsidRPr="006F7D7E">
        <w:rPr>
          <w:sz w:val="20"/>
          <w:lang w:val="fr-CA"/>
        </w:rPr>
        <w:t>).  Dans le cas des salariés, la réponse est oui, compte tenu du texte, du contexte et de l’objet par. 57(4).  Il n’en va pas de même pour le régime des cadres étant donné que cette disposition prévoit que la fiducie réputée en cas de liquidation ne prend naissance qu’à la liquidation du régime.</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Le par. 57(4) de la </w:t>
      </w:r>
      <w:r w:rsidRPr="006F7D7E">
        <w:rPr>
          <w:i/>
          <w:sz w:val="20"/>
          <w:lang w:val="fr-CA"/>
        </w:rPr>
        <w:t>LRR</w:t>
      </w:r>
      <w:r w:rsidRPr="006F7D7E">
        <w:rPr>
          <w:sz w:val="20"/>
          <w:lang w:val="fr-CA"/>
        </w:rPr>
        <w:t xml:space="preserve">, qui crée la fiducie réputée en cas de liquidation, ne comporte aucune limite expresse aux « cotisations de l’employeur </w:t>
      </w:r>
      <w:r w:rsidRPr="006F7D7E">
        <w:rPr>
          <w:sz w:val="20"/>
          <w:lang w:val="fr-FR"/>
        </w:rPr>
        <w:t>qui sont accumulées à la date de la liquidation, mais qui ne sont pas encore dues »</w:t>
      </w:r>
      <w:r w:rsidRPr="006F7D7E">
        <w:rPr>
          <w:sz w:val="20"/>
          <w:lang w:val="fr-CA"/>
        </w:rPr>
        <w:t>.  L’alinéa 75(1)</w:t>
      </w:r>
      <w:r w:rsidRPr="006F7D7E">
        <w:rPr>
          <w:i/>
          <w:sz w:val="20"/>
          <w:lang w:val="fr-CA"/>
        </w:rPr>
        <w:t>a</w:t>
      </w:r>
      <w:r w:rsidRPr="006F7D7E">
        <w:rPr>
          <w:sz w:val="20"/>
          <w:lang w:val="fr-CA"/>
        </w:rPr>
        <w:t xml:space="preserve">) prévoit expressément que l’employeur verse « un montant égal au total de tous les paiements » </w:t>
      </w:r>
      <w:r w:rsidRPr="006F7D7E">
        <w:rPr>
          <w:i/>
          <w:sz w:val="20"/>
          <w:lang w:val="fr-CA"/>
        </w:rPr>
        <w:t>accumulés</w:t>
      </w:r>
      <w:r w:rsidRPr="006F7D7E">
        <w:rPr>
          <w:sz w:val="20"/>
          <w:lang w:val="fr-CA"/>
        </w:rPr>
        <w:t>, même s’ils ne sont pas encore dus à la date de la liquidation, tandis que l’al. 75(1)</w:t>
      </w:r>
      <w:r w:rsidRPr="006F7D7E">
        <w:rPr>
          <w:i/>
          <w:sz w:val="20"/>
          <w:lang w:val="fr-CA"/>
        </w:rPr>
        <w:t>b</w:t>
      </w:r>
      <w:r w:rsidRPr="006F7D7E">
        <w:rPr>
          <w:sz w:val="20"/>
          <w:lang w:val="fr-CA"/>
        </w:rPr>
        <w:t xml:space="preserve">) parle d’un « montant » calculé à partir de la valeur de l’actif et du passif </w:t>
      </w:r>
      <w:r w:rsidRPr="006F7D7E">
        <w:rPr>
          <w:i/>
          <w:sz w:val="20"/>
          <w:lang w:val="fr-CA"/>
        </w:rPr>
        <w:t>accumulés</w:t>
      </w:r>
      <w:r w:rsidRPr="006F7D7E">
        <w:rPr>
          <w:sz w:val="20"/>
          <w:lang w:val="fr-CA"/>
        </w:rPr>
        <w:t>, lorsque le régime est liquidé.  Puisque le montant des paiements (al. 75(1</w:t>
      </w:r>
      <w:proofErr w:type="gramStart"/>
      <w:r w:rsidRPr="006F7D7E">
        <w:rPr>
          <w:sz w:val="20"/>
          <w:lang w:val="fr-CA"/>
        </w:rPr>
        <w:t>)</w:t>
      </w:r>
      <w:r w:rsidRPr="006F7D7E">
        <w:rPr>
          <w:i/>
          <w:sz w:val="20"/>
          <w:lang w:val="fr-CA"/>
        </w:rPr>
        <w:t>a</w:t>
      </w:r>
      <w:proofErr w:type="gramEnd"/>
      <w:r w:rsidRPr="006F7D7E">
        <w:rPr>
          <w:sz w:val="20"/>
          <w:lang w:val="fr-CA"/>
        </w:rPr>
        <w:t>)) et le montant établi en soustrayant l’actif du passif accumulé à la date de la liquidation (al. 75(1)</w:t>
      </w:r>
      <w:r w:rsidRPr="006F7D7E">
        <w:rPr>
          <w:i/>
          <w:sz w:val="20"/>
          <w:lang w:val="fr-CA"/>
        </w:rPr>
        <w:t>b</w:t>
      </w:r>
      <w:r w:rsidRPr="006F7D7E">
        <w:rPr>
          <w:sz w:val="20"/>
          <w:lang w:val="fr-CA"/>
        </w:rPr>
        <w:t xml:space="preserve">)) doivent tous les deux être versés à la liquidation à titre de cotisations de l’employeur, ils entrent tous les deux dans le sens ordinaire des mots employés au par. 57(4) de la </w:t>
      </w:r>
      <w:r w:rsidRPr="006F7D7E">
        <w:rPr>
          <w:i/>
          <w:sz w:val="20"/>
          <w:lang w:val="fr-CA"/>
        </w:rPr>
        <w:t>LRR</w:t>
      </w:r>
      <w:r w:rsidRPr="006F7D7E">
        <w:rPr>
          <w:sz w:val="20"/>
          <w:lang w:val="fr-CA"/>
        </w:rPr>
        <w:t> : « </w:t>
      </w:r>
      <w:r w:rsidRPr="006F7D7E">
        <w:rPr>
          <w:sz w:val="20"/>
          <w:lang w:val="fr-FR"/>
        </w:rPr>
        <w:t>montant égal aux cotisations de l’employeur qui sont accumulées à la date de la liquidation, mais qui ne sont pas encore dues aux termes du régime ou des règlements »</w:t>
      </w:r>
      <w:r w:rsidRPr="006F7D7E">
        <w:rPr>
          <w:sz w:val="20"/>
          <w:lang w:val="fr-CA"/>
        </w:rPr>
        <w: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La date où s’effectue le calcul est sans importance du moment que le passif est évalué à la date de la liquidation.  Le fait que le montant précis des cotisations n’est pas établi au moment de la liquidation ne confère pas aux cotisations un caractère éventuel qui ferait en sorte qu’elles ne seraient pas accumulées d’un point de vue comptable.  On peut donc considérer que le passif « accumulé » englobe les cotisations exigées au par. 75(1)</w:t>
      </w:r>
      <w:r w:rsidRPr="006F7D7E">
        <w:rPr>
          <w:i/>
          <w:sz w:val="20"/>
          <w:lang w:val="fr-CA"/>
        </w:rPr>
        <w:t>b</w:t>
      </w:r>
      <w:r w:rsidRPr="006F7D7E">
        <w:rPr>
          <w:sz w:val="20"/>
          <w:lang w:val="fr-CA"/>
        </w:rPr>
        <w:t xml:space="preserve">) de la </w:t>
      </w:r>
      <w:r w:rsidRPr="006F7D7E">
        <w:rPr>
          <w:i/>
          <w:sz w:val="20"/>
          <w:lang w:val="fr-CA"/>
        </w:rPr>
        <w:t>LRR</w:t>
      </w:r>
      <w:r w:rsidRPr="006F7D7E">
        <w:rPr>
          <w:sz w:val="20"/>
          <w:lang w:val="fr-CA"/>
        </w:rPr>
        <w: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L’historique législatif montre que la protection, qui couvrait d’abord (1) uniquement les cotisations dues, s’est étendue (2) aux montants payables calculés comme s’il y avait liquidation du régime, (3) puis aux montants dus ou accumulés à la liquidation, à l’exclusion des paiements au titre du déficit de liquidation (4) et, enfin, à tous les montants dus ou accumulés à la liquidation.  L’historique législatif mène donc à la conclusion qu’une interprétation étroite qui dissocierait le paiement requis de l’employeur par l’al. 75(1)</w:t>
      </w:r>
      <w:r w:rsidRPr="006F7D7E">
        <w:rPr>
          <w:i/>
          <w:sz w:val="20"/>
          <w:lang w:val="fr-CA"/>
        </w:rPr>
        <w:t>b</w:t>
      </w:r>
      <w:r w:rsidRPr="006F7D7E">
        <w:rPr>
          <w:sz w:val="20"/>
          <w:lang w:val="fr-CA"/>
        </w:rPr>
        <w:t xml:space="preserve">) de la </w:t>
      </w:r>
      <w:r w:rsidRPr="006F7D7E">
        <w:rPr>
          <w:i/>
          <w:sz w:val="20"/>
          <w:lang w:val="fr-CA"/>
        </w:rPr>
        <w:t>LRR</w:t>
      </w:r>
      <w:r w:rsidRPr="006F7D7E">
        <w:rPr>
          <w:sz w:val="20"/>
          <w:lang w:val="fr-CA"/>
        </w:rPr>
        <w:t xml:space="preserve"> de celui exigé à l’al. 75(1)</w:t>
      </w:r>
      <w:r w:rsidRPr="006F7D7E">
        <w:rPr>
          <w:i/>
          <w:sz w:val="20"/>
          <w:lang w:val="fr-CA"/>
        </w:rPr>
        <w:t>a</w:t>
      </w:r>
      <w:r w:rsidRPr="006F7D7E">
        <w:rPr>
          <w:sz w:val="20"/>
          <w:lang w:val="fr-CA"/>
        </w:rPr>
        <w:t xml:space="preserve">) irait à l’encontre de la tendance du législateur ontarien à offrir une protection de plus en plus étendue.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La disposition qui crée une fiducie réputée a une vocation réparatrice. Elle vise à protéger les intérêts des participants.  Cette fin réparatrice favorise une interprétation qui inclut tous les paiements à la liquidation dans la valeur de la fiducie réputée.  En l’espèce, c’est à bon droit que la Cour d’appel a jugé qu’</w:t>
      </w:r>
      <w:proofErr w:type="spellStart"/>
      <w:r w:rsidRPr="006F7D7E">
        <w:rPr>
          <w:sz w:val="20"/>
          <w:lang w:val="fr-CA"/>
        </w:rPr>
        <w:t>Indalex</w:t>
      </w:r>
      <w:proofErr w:type="spellEnd"/>
      <w:r w:rsidRPr="006F7D7E">
        <w:rPr>
          <w:sz w:val="20"/>
          <w:lang w:val="fr-CA"/>
        </w:rPr>
        <w:t xml:space="preserve"> était réputée détenir en fiducie le montant nécessaire pour combler le déficit de liquidation du régime des salariés.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FR"/>
        </w:rPr>
      </w:pPr>
      <w:r w:rsidRPr="006F7D7E">
        <w:rPr>
          <w:i/>
          <w:sz w:val="20"/>
          <w:lang w:val="fr-CA"/>
        </w:rPr>
        <w:tab/>
      </w:r>
      <w:r w:rsidRPr="006F7D7E">
        <w:rPr>
          <w:i/>
          <w:sz w:val="20"/>
          <w:lang w:val="fr-FR"/>
        </w:rPr>
        <w:t>Les</w:t>
      </w:r>
      <w:r w:rsidRPr="006F7D7E">
        <w:rPr>
          <w:sz w:val="20"/>
          <w:lang w:val="fr-FR"/>
        </w:rPr>
        <w:t xml:space="preserve"> juges </w:t>
      </w:r>
      <w:proofErr w:type="spellStart"/>
      <w:r w:rsidRPr="006F7D7E">
        <w:rPr>
          <w:b/>
          <w:sz w:val="20"/>
          <w:lang w:val="fr-FR"/>
        </w:rPr>
        <w:t>LeBel</w:t>
      </w:r>
      <w:proofErr w:type="spellEnd"/>
      <w:r w:rsidRPr="006F7D7E">
        <w:rPr>
          <w:sz w:val="20"/>
          <w:lang w:val="fr-FR"/>
        </w:rPr>
        <w:t xml:space="preserve"> et Abella : Il y a accord avec les motifs de la juge Deschamps sur la question de la fiducie réputée d’origine législative. </w:t>
      </w:r>
    </w:p>
    <w:p w:rsidR="006875AC" w:rsidRDefault="006875AC" w:rsidP="006875AC">
      <w:pPr>
        <w:pStyle w:val="SCCNormalDoubleSpacing"/>
        <w:spacing w:line="240" w:lineRule="auto"/>
        <w:rPr>
          <w:sz w:val="20"/>
          <w:lang w:val="fr-FR"/>
        </w:rPr>
      </w:pPr>
    </w:p>
    <w:p w:rsidR="006875AC" w:rsidRPr="006F7D7E" w:rsidRDefault="006875AC" w:rsidP="006875AC">
      <w:pPr>
        <w:pStyle w:val="SCCNormalDoubleSpacing"/>
        <w:spacing w:line="240" w:lineRule="auto"/>
        <w:rPr>
          <w:sz w:val="20"/>
          <w:lang w:val="fr-CA"/>
        </w:rPr>
      </w:pPr>
      <w:r w:rsidRPr="006F7D7E">
        <w:rPr>
          <w:sz w:val="20"/>
          <w:lang w:val="fr-FR"/>
        </w:rPr>
        <w:tab/>
      </w:r>
      <w:r w:rsidRPr="006F7D7E">
        <w:rPr>
          <w:i/>
          <w:sz w:val="20"/>
          <w:lang w:val="fr-CA"/>
        </w:rPr>
        <w:t xml:space="preserve">La </w:t>
      </w:r>
      <w:r w:rsidRPr="006F7D7E">
        <w:rPr>
          <w:sz w:val="20"/>
          <w:lang w:val="fr-CA"/>
        </w:rPr>
        <w:t xml:space="preserve">juge en chef </w:t>
      </w:r>
      <w:proofErr w:type="spellStart"/>
      <w:r w:rsidRPr="006F7D7E">
        <w:rPr>
          <w:sz w:val="20"/>
          <w:lang w:val="fr-CA"/>
        </w:rPr>
        <w:t>McLachlin</w:t>
      </w:r>
      <w:proofErr w:type="spellEnd"/>
      <w:r w:rsidRPr="006F7D7E">
        <w:rPr>
          <w:sz w:val="20"/>
          <w:lang w:val="fr-CA"/>
        </w:rPr>
        <w:t xml:space="preserve"> et les juges </w:t>
      </w:r>
      <w:proofErr w:type="spellStart"/>
      <w:r w:rsidRPr="006F7D7E">
        <w:rPr>
          <w:sz w:val="20"/>
          <w:lang w:val="fr-CA"/>
        </w:rPr>
        <w:t>Rothstein</w:t>
      </w:r>
      <w:proofErr w:type="spellEnd"/>
      <w:r w:rsidRPr="006F7D7E">
        <w:rPr>
          <w:sz w:val="20"/>
          <w:lang w:val="fr-CA"/>
        </w:rPr>
        <w:t xml:space="preserve"> et </w:t>
      </w:r>
      <w:r w:rsidRPr="006F7D7E">
        <w:rPr>
          <w:b/>
          <w:sz w:val="20"/>
          <w:lang w:val="fr-CA"/>
        </w:rPr>
        <w:t>Cromwell</w:t>
      </w:r>
      <w:r w:rsidRPr="006F7D7E">
        <w:rPr>
          <w:sz w:val="20"/>
          <w:lang w:val="fr-CA"/>
        </w:rPr>
        <w:t xml:space="preserve"> : Étant donné qu’il ne peut y avoir de fiducie réputée au bénéfice du régime des cadres, </w:t>
      </w:r>
      <w:proofErr w:type="spellStart"/>
      <w:r w:rsidRPr="006F7D7E">
        <w:rPr>
          <w:sz w:val="20"/>
          <w:lang w:val="fr-CA"/>
        </w:rPr>
        <w:t>celui</w:t>
      </w:r>
      <w:r w:rsidRPr="006F7D7E">
        <w:rPr>
          <w:sz w:val="20"/>
          <w:lang w:val="fr-CA"/>
        </w:rPr>
        <w:noBreakHyphen/>
        <w:t>ci</w:t>
      </w:r>
      <w:proofErr w:type="spellEnd"/>
      <w:r w:rsidRPr="006F7D7E">
        <w:rPr>
          <w:sz w:val="20"/>
          <w:lang w:val="fr-CA"/>
        </w:rPr>
        <w:t xml:space="preserve"> n’ayant pas été liquidé à la date considérée, il s’agit donc essentiellement </w:t>
      </w:r>
      <w:r w:rsidRPr="006F7D7E">
        <w:rPr>
          <w:i/>
          <w:sz w:val="20"/>
          <w:lang w:val="fr-CA"/>
        </w:rPr>
        <w:t xml:space="preserve">— </w:t>
      </w:r>
      <w:r w:rsidRPr="006F7D7E">
        <w:rPr>
          <w:sz w:val="20"/>
          <w:lang w:val="fr-CA"/>
        </w:rPr>
        <w:t xml:space="preserve">pour ce qui concerne le régime des salariés </w:t>
      </w:r>
      <w:r w:rsidRPr="006F7D7E">
        <w:rPr>
          <w:i/>
          <w:sz w:val="20"/>
          <w:lang w:val="fr-CA"/>
        </w:rPr>
        <w:t>—</w:t>
      </w:r>
      <w:r w:rsidRPr="006F7D7E">
        <w:rPr>
          <w:sz w:val="20"/>
          <w:lang w:val="fr-CA"/>
        </w:rPr>
        <w:t xml:space="preserve"> d’interpréter une disposition de la loi et de déterminer si le déficit de liquidation décrit à l’al. 75(1)</w:t>
      </w:r>
      <w:r w:rsidRPr="006F7D7E">
        <w:rPr>
          <w:i/>
          <w:sz w:val="20"/>
          <w:lang w:val="fr-CA"/>
        </w:rPr>
        <w:t>b)</w:t>
      </w:r>
      <w:r w:rsidRPr="006F7D7E">
        <w:rPr>
          <w:sz w:val="20"/>
          <w:lang w:val="fr-CA"/>
        </w:rPr>
        <w:t xml:space="preserve"> est « accumulé à la date de la liquidation » comme l’exige le par. 57(4) de la </w:t>
      </w:r>
      <w:r w:rsidRPr="006F7D7E">
        <w:rPr>
          <w:i/>
          <w:sz w:val="20"/>
          <w:lang w:val="fr-CA"/>
        </w:rPr>
        <w:t>LRR</w:t>
      </w:r>
      <w:r w:rsidRPr="006F7D7E">
        <w:rPr>
          <w:sz w:val="20"/>
          <w:lang w:val="fr-CA"/>
        </w:rPr>
        <w: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Lorsque le terme « accumulé » [et plus encore son équivalent anglais « </w:t>
      </w:r>
      <w:proofErr w:type="spellStart"/>
      <w:r w:rsidRPr="006F7D7E">
        <w:rPr>
          <w:i/>
          <w:sz w:val="20"/>
          <w:lang w:val="fr-CA"/>
        </w:rPr>
        <w:t>accrued</w:t>
      </w:r>
      <w:proofErr w:type="spellEnd"/>
      <w:r w:rsidRPr="006F7D7E">
        <w:rPr>
          <w:sz w:val="20"/>
          <w:lang w:val="fr-CA"/>
        </w:rPr>
        <w:t> »] est employé de pair avec une somme, il renvoie généralement à un élément dont la valeur est actuellement mesurée ou mesurable, mais qui peut ou non être dû.  Dans la présente affaire, au par. 57(4), le terme « accumulées » [« </w:t>
      </w:r>
      <w:proofErr w:type="spellStart"/>
      <w:r w:rsidRPr="006F7D7E">
        <w:rPr>
          <w:i/>
          <w:sz w:val="20"/>
          <w:lang w:val="fr-CA"/>
        </w:rPr>
        <w:t>accrued</w:t>
      </w:r>
      <w:proofErr w:type="spellEnd"/>
      <w:r w:rsidRPr="006F7D7E">
        <w:rPr>
          <w:sz w:val="20"/>
          <w:lang w:val="fr-CA"/>
        </w:rPr>
        <w:t xml:space="preserve"> »] est utilisé par opposition à « dues ».  Suivant le sens ordinaire du mot « accumulé », on ne peut considérer que le déficit l’était à la date de la liquidation.  Le montant du déficit de liquidation dépend de droits qui ne prennent naissance qu’à la liquidation et à </w:t>
      </w:r>
      <w:r w:rsidRPr="006F7D7E">
        <w:rPr>
          <w:sz w:val="20"/>
          <w:lang w:val="fr-CA"/>
        </w:rPr>
        <w:lastRenderedPageBreak/>
        <w:t>l’égard desquels les employés ne font des choix qu’après la liquidation.  Le déficit de liquidation n’est donc ni déterminé ni déterminable à la date de liquidation prévue.</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Le contexte législatif général appuie la thèse que, suivant leur sens ordinaire et grammatical le plus plausible, les mots « accumulées à la date de la liquidation » renvoient aux sommes déterminées de façon précise immédiatement avant la date de prise d’effet de la liquidation du régime.  Qui plus est, il appert de l’évolution et de l’historique des dispositions en cause que le législateur n’a jamais voulu que le déficit de liquidation </w:t>
      </w:r>
      <w:proofErr w:type="gramStart"/>
      <w:r w:rsidRPr="006F7D7E">
        <w:rPr>
          <w:sz w:val="20"/>
          <w:lang w:val="fr-CA"/>
        </w:rPr>
        <w:t>fasse</w:t>
      </w:r>
      <w:proofErr w:type="gramEnd"/>
      <w:r w:rsidRPr="006F7D7E">
        <w:rPr>
          <w:sz w:val="20"/>
          <w:lang w:val="fr-CA"/>
        </w:rPr>
        <w:t xml:space="preserve"> l’objet d’une fiducie réputée d’origine législative.  Ils confirment en fait l’intention du législateur d’</w:t>
      </w:r>
      <w:r w:rsidRPr="006F7D7E">
        <w:rPr>
          <w:i/>
          <w:sz w:val="20"/>
          <w:lang w:val="fr-CA"/>
        </w:rPr>
        <w:t>exclure</w:t>
      </w:r>
      <w:r w:rsidRPr="006F7D7E">
        <w:rPr>
          <w:sz w:val="20"/>
          <w:lang w:val="fr-CA"/>
        </w:rPr>
        <w:t xml:space="preserve"> du champ d’application de la fiducie réputée les obligations qui naissent seulement </w:t>
      </w:r>
      <w:r w:rsidRPr="006F7D7E">
        <w:rPr>
          <w:i/>
          <w:sz w:val="20"/>
          <w:lang w:val="fr-CA"/>
        </w:rPr>
        <w:t>à la</w:t>
      </w:r>
      <w:r w:rsidRPr="006F7D7E">
        <w:rPr>
          <w:sz w:val="20"/>
          <w:lang w:val="fr-CA"/>
        </w:rPr>
        <w:t xml:space="preserve"> date même de la liquidation.</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La loi établit une distinction entre deux types d’obligation de l’employeur qui sont pertinents en l’espèce.  Il y a d’une part les cotisations requises pour acquitter le coût du service courant et d’autres paiements qui sont dus ou qui sont accumulés sur une base quotidienne jusqu’à la date considérée.  Il s’agit des paiements prévus à l’actuel al. 75(1)</w:t>
      </w:r>
      <w:r w:rsidRPr="006F7D7E">
        <w:rPr>
          <w:i/>
          <w:sz w:val="20"/>
          <w:lang w:val="fr-CA"/>
        </w:rPr>
        <w:t>a)</w:t>
      </w:r>
      <w:r w:rsidRPr="006F7D7E">
        <w:rPr>
          <w:sz w:val="20"/>
          <w:lang w:val="fr-CA"/>
        </w:rPr>
        <w:t>, à savoir ceux qui sont dus ou accumulés, mais qui n’ont pas été versés.  D’autre part, il y a les cotisations supplémentaires exigées lorsque le régime est liquidé (le déficit de liquidation).  Ces paiements font l’objet de l’al. 75(1)</w:t>
      </w:r>
      <w:r w:rsidRPr="006F7D7E">
        <w:rPr>
          <w:i/>
          <w:sz w:val="20"/>
          <w:lang w:val="fr-CA"/>
        </w:rPr>
        <w:t>b)</w:t>
      </w:r>
      <w:r w:rsidRPr="006F7D7E">
        <w:rPr>
          <w:sz w:val="20"/>
          <w:lang w:val="fr-CA"/>
        </w:rPr>
        <w:t>.  Il appert de l’évolution et de l’historique législatifs que les fiducies réputées des par. 57(3) et (4) devaient seulement englober les cotisations du premier type et que le législateur n’a jamais voulu que les obligations ultérieures éventuelles de l’employeur qui naissent une fois le régime liquidé fassent l’objet d’une fiducie réputée ou d’un privilège.</w:t>
      </w:r>
    </w:p>
    <w:p w:rsidR="006875AC" w:rsidRDefault="006875AC" w:rsidP="006875AC">
      <w:pPr>
        <w:pStyle w:val="SCCNormalDoubleSpacing"/>
        <w:spacing w:line="240" w:lineRule="auto"/>
        <w:rPr>
          <w:sz w:val="20"/>
          <w:lang w:val="fr-CA"/>
        </w:rPr>
      </w:pPr>
    </w:p>
    <w:p w:rsidR="006875AC" w:rsidRDefault="006875AC" w:rsidP="006875AC">
      <w:pPr>
        <w:pStyle w:val="SCCNormalDoubleSpacing"/>
        <w:spacing w:line="240" w:lineRule="auto"/>
        <w:rPr>
          <w:noProof/>
          <w:sz w:val="20"/>
          <w:lang w:val="fr-CA"/>
        </w:rPr>
      </w:pPr>
      <w:r w:rsidRPr="006F7D7E">
        <w:rPr>
          <w:sz w:val="20"/>
          <w:lang w:val="fr-CA"/>
        </w:rPr>
        <w:tab/>
        <w:t>En l’espèce, la fiducie réputée du par. 57(4) ne vise pas le déficit de liquidation. Pareille exclusion est conforme aux objectifs généraux de la loi.  L</w:t>
      </w:r>
      <w:r w:rsidRPr="006F7D7E">
        <w:rPr>
          <w:noProof/>
          <w:sz w:val="20"/>
          <w:lang w:val="fr-CA"/>
        </w:rPr>
        <w:t xml:space="preserve">e législateur a créé des fiducies à l’égard des cotisations qui étaient dues ou accumulées à la date de la liquidation afin de protéger, dans une certaine mesure, les droits des bénéficiaires d’un régime de retraite et ceux des employés contre les réclamations des autres créanciers de l’employeur.  Or, il y a de bonnes raisons de penser que c’est en raison d’autres objectifs concurrents que le législateur s’est abstenu d’accroître la portée de la fiducie réputée et d’y inclure le déficit de liquidation.  La protection des régimes de retraite constitue certes un objectif important, mais il n’appartient pas à la Cour de décider de la mesure dans laquelle cet objectif sera poursuivi ou d’autres intérêts en souffriront.  Il appartient à l’Assemblée législative de l’Ontario de décider du degré de protection qu’il convient d’accorder aux bénéficiaires d’un régime de retraite sous le régime de la </w:t>
      </w:r>
      <w:r w:rsidRPr="006F7D7E">
        <w:rPr>
          <w:i/>
          <w:noProof/>
          <w:sz w:val="20"/>
          <w:lang w:val="fr-CA"/>
        </w:rPr>
        <w:t>LRR</w:t>
      </w:r>
      <w:r w:rsidRPr="006F7D7E">
        <w:rPr>
          <w:noProof/>
          <w:sz w:val="20"/>
          <w:lang w:val="fr-CA"/>
        </w:rPr>
        <w:t xml:space="preserve">. </w:t>
      </w:r>
    </w:p>
    <w:p w:rsidR="006875AC" w:rsidRPr="006F7D7E" w:rsidRDefault="006875AC" w:rsidP="006875AC">
      <w:pPr>
        <w:pStyle w:val="SCCNormalDoubleSpacing"/>
        <w:spacing w:line="240" w:lineRule="auto"/>
        <w:rPr>
          <w:noProof/>
          <w:sz w:val="20"/>
          <w:lang w:val="fr-CA"/>
        </w:rPr>
      </w:pPr>
    </w:p>
    <w:p w:rsidR="006875AC" w:rsidRPr="006F7D7E" w:rsidRDefault="006875AC" w:rsidP="00AB4F4C">
      <w:pPr>
        <w:pStyle w:val="SCCNormalDoubleSpacing"/>
        <w:keepNext/>
        <w:spacing w:line="240" w:lineRule="auto"/>
        <w:ind w:left="360" w:hanging="360"/>
        <w:rPr>
          <w:sz w:val="20"/>
          <w:lang w:val="fr-CA"/>
        </w:rPr>
      </w:pPr>
      <w:r w:rsidRPr="006F7D7E">
        <w:rPr>
          <w:noProof/>
          <w:sz w:val="20"/>
          <w:lang w:val="fr-CA"/>
        </w:rPr>
        <w:t>(2)</w:t>
      </w:r>
      <w:r w:rsidRPr="006F7D7E">
        <w:rPr>
          <w:noProof/>
          <w:sz w:val="20"/>
          <w:lang w:val="fr-CA"/>
        </w:rPr>
        <w:tab/>
      </w:r>
      <w:r w:rsidRPr="006F7D7E">
        <w:rPr>
          <w:i/>
          <w:noProof/>
          <w:sz w:val="20"/>
          <w:u w:val="single"/>
          <w:lang w:val="fr-CA"/>
        </w:rPr>
        <w:t>Priorité de rang</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FR"/>
        </w:rPr>
      </w:pPr>
      <w:r w:rsidRPr="006F7D7E">
        <w:rPr>
          <w:i/>
          <w:sz w:val="20"/>
          <w:lang w:val="fr-CA"/>
        </w:rPr>
        <w:tab/>
      </w:r>
      <w:r w:rsidRPr="006F7D7E">
        <w:rPr>
          <w:i/>
          <w:sz w:val="20"/>
          <w:lang w:val="fr-FR"/>
        </w:rPr>
        <w:t xml:space="preserve">Les </w:t>
      </w:r>
      <w:r w:rsidRPr="006F7D7E">
        <w:rPr>
          <w:sz w:val="20"/>
          <w:lang w:val="fr-FR"/>
        </w:rPr>
        <w:t xml:space="preserve">juges </w:t>
      </w:r>
      <w:r w:rsidRPr="006F7D7E">
        <w:rPr>
          <w:b/>
          <w:sz w:val="20"/>
          <w:lang w:val="fr-FR"/>
        </w:rPr>
        <w:t>Deschamps</w:t>
      </w:r>
      <w:r w:rsidRPr="006F7D7E">
        <w:rPr>
          <w:sz w:val="20"/>
          <w:lang w:val="fr-FR"/>
        </w:rPr>
        <w:t xml:space="preserve"> et </w:t>
      </w:r>
      <w:proofErr w:type="spellStart"/>
      <w:r w:rsidRPr="006F7D7E">
        <w:rPr>
          <w:sz w:val="20"/>
          <w:lang w:val="fr-FR"/>
        </w:rPr>
        <w:t>Moldaver</w:t>
      </w:r>
      <w:proofErr w:type="spellEnd"/>
      <w:r w:rsidRPr="006F7D7E">
        <w:rPr>
          <w:sz w:val="20"/>
          <w:lang w:val="fr-FR"/>
        </w:rPr>
        <w:t xml:space="preserve"> : Une fiducie réputée établie par </w:t>
      </w:r>
      <w:r w:rsidRPr="006F7D7E">
        <w:rPr>
          <w:noProof/>
          <w:sz w:val="20"/>
          <w:lang w:val="fr-CA"/>
        </w:rPr>
        <w:t>une</w:t>
      </w:r>
      <w:r w:rsidRPr="006F7D7E">
        <w:rPr>
          <w:sz w:val="20"/>
          <w:lang w:val="fr-FR"/>
        </w:rPr>
        <w:t xml:space="preserve"> loi provinciale comme la </w:t>
      </w:r>
      <w:r w:rsidRPr="006F7D7E">
        <w:rPr>
          <w:i/>
          <w:sz w:val="20"/>
          <w:lang w:val="fr-FR"/>
        </w:rPr>
        <w:t>LRR</w:t>
      </w:r>
      <w:r w:rsidRPr="006F7D7E">
        <w:rPr>
          <w:sz w:val="20"/>
          <w:lang w:val="fr-FR"/>
        </w:rPr>
        <w:t xml:space="preserve"> </w:t>
      </w:r>
      <w:r w:rsidRPr="006F7D7E">
        <w:rPr>
          <w:sz w:val="20"/>
          <w:lang w:val="fr-CA"/>
        </w:rPr>
        <w:t xml:space="preserve">continue de s’appliquer dans les instances régies par la </w:t>
      </w:r>
      <w:r w:rsidRPr="006F7D7E">
        <w:rPr>
          <w:i/>
          <w:sz w:val="20"/>
          <w:lang w:val="fr-CA"/>
        </w:rPr>
        <w:t>LACC</w:t>
      </w:r>
      <w:r w:rsidRPr="006F7D7E">
        <w:rPr>
          <w:sz w:val="20"/>
          <w:lang w:val="fr-CA"/>
        </w:rPr>
        <w:t xml:space="preserve">, relevant de la compétence fédérale, sous réserve de la doctrine de la </w:t>
      </w:r>
      <w:r w:rsidRPr="006F7D7E">
        <w:rPr>
          <w:noProof/>
          <w:sz w:val="20"/>
          <w:lang w:val="fr-CA"/>
        </w:rPr>
        <w:t>prépondérance</w:t>
      </w:r>
      <w:r w:rsidRPr="006F7D7E">
        <w:rPr>
          <w:sz w:val="20"/>
          <w:lang w:val="fr-CA"/>
        </w:rPr>
        <w:t xml:space="preserve"> fédérale</w:t>
      </w:r>
      <w:r w:rsidRPr="006F7D7E">
        <w:rPr>
          <w:sz w:val="20"/>
          <w:lang w:val="fr-FR"/>
        </w:rPr>
        <w:t xml:space="preserve">.  En l’espèce, </w:t>
      </w:r>
      <w:r w:rsidRPr="006F7D7E">
        <w:rPr>
          <w:sz w:val="20"/>
          <w:lang w:val="fr-CA"/>
        </w:rPr>
        <w:t>accorder priorité aux prêteurs DE relègue à un rang inférieur les créances des autres intéressés, notamment les participants</w:t>
      </w:r>
      <w:r w:rsidRPr="006F7D7E">
        <w:rPr>
          <w:sz w:val="20"/>
          <w:lang w:val="fr-FR"/>
        </w:rPr>
        <w:t xml:space="preserve">.  </w:t>
      </w:r>
      <w:r w:rsidRPr="006F7D7E">
        <w:rPr>
          <w:sz w:val="20"/>
          <w:lang w:val="fr-CA"/>
        </w:rPr>
        <w:t xml:space="preserve">Cette priorité d’origine judiciaire fondée sur la </w:t>
      </w:r>
      <w:r w:rsidRPr="006F7D7E">
        <w:rPr>
          <w:i/>
          <w:sz w:val="20"/>
          <w:lang w:val="fr-CA"/>
        </w:rPr>
        <w:t>LACC</w:t>
      </w:r>
      <w:r w:rsidRPr="006F7D7E">
        <w:rPr>
          <w:sz w:val="20"/>
          <w:lang w:val="fr-CA"/>
        </w:rPr>
        <w:t xml:space="preserve"> a le même effet qu’une priorité d’origine législative</w:t>
      </w:r>
      <w:r w:rsidRPr="006F7D7E">
        <w:rPr>
          <w:sz w:val="20"/>
          <w:lang w:val="fr-FR"/>
        </w:rPr>
        <w:t xml:space="preserve">.  Les dispositions fédérales et provinciales sont inconciliables, car elles produisent des ordres de priorité différents et conflictuels.  </w:t>
      </w:r>
      <w:r w:rsidRPr="006F7D7E">
        <w:rPr>
          <w:sz w:val="20"/>
          <w:lang w:val="fr-CA"/>
        </w:rPr>
        <w:t>L’application de la doctrine de la prépondérance fédérale donne à la charge DE priorité sur la fiducie réputée</w:t>
      </w:r>
      <w:r w:rsidRPr="006F7D7E">
        <w:rPr>
          <w:sz w:val="20"/>
          <w:lang w:val="fr-FR"/>
        </w:rPr>
        <w:t>.</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La </w:t>
      </w:r>
      <w:r w:rsidRPr="006F7D7E">
        <w:rPr>
          <w:sz w:val="20"/>
          <w:lang w:val="fr-CA"/>
        </w:rPr>
        <w:t xml:space="preserve">juge en chef </w:t>
      </w:r>
      <w:proofErr w:type="spellStart"/>
      <w:r w:rsidRPr="006F7D7E">
        <w:rPr>
          <w:sz w:val="20"/>
          <w:lang w:val="fr-CA"/>
        </w:rPr>
        <w:t>McLachlin</w:t>
      </w:r>
      <w:proofErr w:type="spellEnd"/>
      <w:r w:rsidRPr="006F7D7E">
        <w:rPr>
          <w:sz w:val="20"/>
          <w:lang w:val="fr-CA"/>
        </w:rPr>
        <w:t xml:space="preserve"> et les juges </w:t>
      </w:r>
      <w:proofErr w:type="spellStart"/>
      <w:r w:rsidRPr="006F7D7E">
        <w:rPr>
          <w:sz w:val="20"/>
          <w:lang w:val="fr-CA"/>
        </w:rPr>
        <w:t>Rothstein</w:t>
      </w:r>
      <w:proofErr w:type="spellEnd"/>
      <w:r w:rsidRPr="006F7D7E">
        <w:rPr>
          <w:sz w:val="20"/>
          <w:lang w:val="fr-CA"/>
        </w:rPr>
        <w:t xml:space="preserve"> et </w:t>
      </w:r>
      <w:r w:rsidRPr="006F7D7E">
        <w:rPr>
          <w:b/>
          <w:sz w:val="20"/>
          <w:lang w:val="fr-CA"/>
        </w:rPr>
        <w:t>Cromwell</w:t>
      </w:r>
      <w:r w:rsidRPr="006F7D7E">
        <w:rPr>
          <w:sz w:val="20"/>
          <w:lang w:val="fr-CA"/>
        </w:rPr>
        <w:t xml:space="preserve"> : Malgré le désaccord avec la juge Deschamps sur la portée de la fiducie réputée du par. 57(4), si une fiducie est réputée exister en l’espèce, la créance DE prend rang avant elle en application de la doctrine de la prépondérance fédérale. </w:t>
      </w:r>
    </w:p>
    <w:p w:rsidR="006875AC" w:rsidRDefault="006875AC" w:rsidP="006875AC">
      <w:pPr>
        <w:pStyle w:val="SCCNormalDoubleSpacing"/>
        <w:spacing w:line="240" w:lineRule="auto"/>
        <w:rPr>
          <w:sz w:val="20"/>
          <w:lang w:val="fr-CA"/>
        </w:rPr>
      </w:pPr>
    </w:p>
    <w:p w:rsidR="006875AC" w:rsidRDefault="006875AC" w:rsidP="006875AC">
      <w:pPr>
        <w:pStyle w:val="SCCNormalDoubleSpacing"/>
        <w:spacing w:line="240" w:lineRule="auto"/>
        <w:rPr>
          <w:sz w:val="20"/>
          <w:lang w:val="fr-CA"/>
        </w:rPr>
      </w:pPr>
      <w:r w:rsidRPr="006F7D7E">
        <w:rPr>
          <w:sz w:val="20"/>
          <w:lang w:val="fr-CA"/>
        </w:rPr>
        <w:tab/>
      </w:r>
      <w:r w:rsidRPr="006F7D7E">
        <w:rPr>
          <w:i/>
          <w:sz w:val="20"/>
          <w:lang w:val="fr-CA"/>
        </w:rPr>
        <w:t>Les</w:t>
      </w:r>
      <w:r w:rsidRPr="006F7D7E">
        <w:rPr>
          <w:sz w:val="20"/>
          <w:lang w:val="fr-CA"/>
        </w:rPr>
        <w:t xml:space="preserve"> juges </w:t>
      </w:r>
      <w:proofErr w:type="spellStart"/>
      <w:r w:rsidRPr="006F7D7E">
        <w:rPr>
          <w:b/>
          <w:sz w:val="20"/>
          <w:lang w:val="fr-CA"/>
        </w:rPr>
        <w:t>LeBel</w:t>
      </w:r>
      <w:proofErr w:type="spellEnd"/>
      <w:r w:rsidRPr="006F7D7E">
        <w:rPr>
          <w:sz w:val="20"/>
          <w:lang w:val="fr-CA"/>
        </w:rPr>
        <w:t xml:space="preserve"> et Abella : Il y a accord avec les motifs de la juge Deschamps sur la priorité de rang déterminée par application du principe de la prépondérance fédérale.</w:t>
      </w:r>
    </w:p>
    <w:p w:rsidR="006875AC" w:rsidRPr="006F7D7E" w:rsidRDefault="006875AC" w:rsidP="006875AC">
      <w:pPr>
        <w:pStyle w:val="SCCNormalDoubleSpacing"/>
        <w:spacing w:line="240" w:lineRule="auto"/>
        <w:rPr>
          <w:sz w:val="20"/>
          <w:lang w:val="fr-CA"/>
        </w:rPr>
      </w:pPr>
    </w:p>
    <w:p w:rsidR="006875AC" w:rsidRPr="006F7D7E" w:rsidRDefault="006875AC" w:rsidP="00AB4F4C">
      <w:pPr>
        <w:pStyle w:val="SCCNormalDoubleSpacing"/>
        <w:keepNext/>
        <w:spacing w:line="240" w:lineRule="auto"/>
        <w:ind w:left="360" w:hanging="360"/>
        <w:rPr>
          <w:sz w:val="20"/>
          <w:lang w:val="fr-CA"/>
        </w:rPr>
      </w:pPr>
      <w:r w:rsidRPr="006F7D7E">
        <w:rPr>
          <w:sz w:val="20"/>
          <w:lang w:val="fr-CA"/>
        </w:rPr>
        <w:t>(3)</w:t>
      </w:r>
      <w:r w:rsidRPr="006F7D7E">
        <w:rPr>
          <w:sz w:val="20"/>
          <w:lang w:val="fr-CA"/>
        </w:rPr>
        <w:tab/>
      </w:r>
      <w:r w:rsidRPr="006F7D7E">
        <w:rPr>
          <w:i/>
          <w:sz w:val="20"/>
          <w:u w:val="single"/>
          <w:lang w:val="fr-CA"/>
        </w:rPr>
        <w:t>La fiducie par interprétation comme réparation du manquement à l’obligation fiduciaire</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noProof/>
          <w:sz w:val="20"/>
          <w:lang w:val="fr-CA"/>
        </w:rPr>
      </w:pPr>
      <w:r w:rsidRPr="006F7D7E">
        <w:rPr>
          <w:i/>
          <w:sz w:val="20"/>
          <w:lang w:val="fr-CA"/>
        </w:rPr>
        <w:tab/>
        <w:t xml:space="preserve">La </w:t>
      </w:r>
      <w:r w:rsidRPr="006F7D7E">
        <w:rPr>
          <w:sz w:val="20"/>
          <w:lang w:val="fr-CA"/>
        </w:rPr>
        <w:t xml:space="preserve">juge en chef </w:t>
      </w:r>
      <w:proofErr w:type="spellStart"/>
      <w:r w:rsidRPr="006F7D7E">
        <w:rPr>
          <w:sz w:val="20"/>
          <w:lang w:val="fr-CA"/>
        </w:rPr>
        <w:t>McLachlin</w:t>
      </w:r>
      <w:proofErr w:type="spellEnd"/>
      <w:r w:rsidRPr="006F7D7E">
        <w:rPr>
          <w:sz w:val="20"/>
          <w:lang w:val="fr-CA"/>
        </w:rPr>
        <w:t xml:space="preserve"> et les juges </w:t>
      </w:r>
      <w:proofErr w:type="spellStart"/>
      <w:r w:rsidRPr="006F7D7E">
        <w:rPr>
          <w:sz w:val="20"/>
          <w:lang w:val="fr-CA"/>
        </w:rPr>
        <w:t>Rothstein</w:t>
      </w:r>
      <w:proofErr w:type="spellEnd"/>
      <w:r w:rsidRPr="006F7D7E">
        <w:rPr>
          <w:sz w:val="20"/>
          <w:lang w:val="fr-CA"/>
        </w:rPr>
        <w:t xml:space="preserve"> et </w:t>
      </w:r>
      <w:r w:rsidRPr="006F7D7E">
        <w:rPr>
          <w:b/>
          <w:sz w:val="20"/>
          <w:lang w:val="fr-CA"/>
        </w:rPr>
        <w:t>Cromwell :</w:t>
      </w:r>
      <w:r w:rsidRPr="006F7D7E">
        <w:rPr>
          <w:sz w:val="20"/>
          <w:lang w:val="fr-CA"/>
        </w:rPr>
        <w:t xml:space="preserve"> Il</w:t>
      </w:r>
      <w:r w:rsidRPr="006F7D7E">
        <w:rPr>
          <w:noProof/>
          <w:sz w:val="20"/>
          <w:lang w:val="fr-CA"/>
        </w:rPr>
        <w:t xml:space="preserve"> ne saurait y avoir conflit d’intérêts uniquement parce que l’employeur, dans l’exercice de son pouvoir de gérer la société au mieux des intérêts de celle</w:t>
      </w:r>
      <w:r w:rsidRPr="006F7D7E">
        <w:rPr>
          <w:noProof/>
          <w:sz w:val="20"/>
          <w:lang w:val="fr-CA"/>
        </w:rPr>
        <w:noBreakHyphen/>
        <w:t xml:space="preserve">ci, prend une mesure susceptible d’avoir une incidence sur les bénéficiaires du régime de retraite qu’il administre.  Telle est la conclusion qui découle nécessairement du contexte législatif.  L’existence de conflits apparents qui sont inhérents à la double fonction d’employeur et d’administrateur de régime exercée par une même personne ne peut constituer un manquement à l’obligation fiduciaire, car ces conflits sont expressément autorisés par la loi, laquelle permet à une </w:t>
      </w:r>
      <w:r w:rsidRPr="006F7D7E">
        <w:rPr>
          <w:noProof/>
          <w:sz w:val="20"/>
          <w:lang w:val="fr-CA"/>
        </w:rPr>
        <w:lastRenderedPageBreak/>
        <w:t>personne d’exercer les deux fonctions.  Il y a en fait conflit d’intérêts lorsqu’il existe un risque important que les obligations de l’employeur</w:t>
      </w:r>
      <w:r w:rsidRPr="006F7D7E">
        <w:rPr>
          <w:noProof/>
          <w:sz w:val="20"/>
          <w:lang w:val="fr-CA"/>
        </w:rPr>
        <w:noBreakHyphen/>
        <w:t>administrateur envers la société nuisent de façon appréciable à la défense des intérêts des bénéficiaires d’un régime.</w:t>
      </w:r>
    </w:p>
    <w:p w:rsidR="006875AC" w:rsidRDefault="006875AC" w:rsidP="006875AC">
      <w:pPr>
        <w:pStyle w:val="SCCNormalDoubleSpacing"/>
        <w:spacing w:line="240" w:lineRule="auto"/>
        <w:rPr>
          <w:noProof/>
          <w:sz w:val="20"/>
          <w:lang w:val="fr-CA"/>
        </w:rPr>
      </w:pPr>
    </w:p>
    <w:p w:rsidR="006875AC" w:rsidRPr="006F7D7E" w:rsidRDefault="006875AC" w:rsidP="006875AC">
      <w:pPr>
        <w:pStyle w:val="SCCNormalDoubleSpacing"/>
        <w:spacing w:line="240" w:lineRule="auto"/>
        <w:rPr>
          <w:sz w:val="20"/>
          <w:lang w:val="fr-CA"/>
        </w:rPr>
      </w:pPr>
      <w:r w:rsidRPr="006F7D7E">
        <w:rPr>
          <w:noProof/>
          <w:sz w:val="20"/>
          <w:lang w:val="fr-CA"/>
        </w:rPr>
        <w:tab/>
        <w:t>À elle</w:t>
      </w:r>
      <w:r w:rsidRPr="006F7D7E">
        <w:rPr>
          <w:noProof/>
          <w:sz w:val="20"/>
          <w:lang w:val="fr-CA"/>
        </w:rPr>
        <w:noBreakHyphen/>
        <w:t xml:space="preserve">seule, la demande initiale de protection de la société contre ses créanciers ne plaçait pas Indalex en situation de conflit d’intérêts ou d’obligations.  De même, </w:t>
      </w:r>
      <w:r w:rsidRPr="006F7D7E">
        <w:rPr>
          <w:sz w:val="20"/>
          <w:lang w:val="fr-CA"/>
        </w:rPr>
        <w:t xml:space="preserve">l’omission de donner avis de la demande initiale présentée sur le fondement de la </w:t>
      </w:r>
      <w:r w:rsidRPr="006F7D7E">
        <w:rPr>
          <w:i/>
          <w:sz w:val="20"/>
          <w:lang w:val="fr-CA"/>
        </w:rPr>
        <w:t xml:space="preserve">LACC </w:t>
      </w:r>
      <w:r w:rsidRPr="006F7D7E">
        <w:rPr>
          <w:sz w:val="20"/>
          <w:lang w:val="fr-CA"/>
        </w:rPr>
        <w:t>ne constituait pas un manquement à l’obligation fiduciaire d’éviter tout conflit d’intérêts.  La décision d’</w:t>
      </w:r>
      <w:proofErr w:type="spellStart"/>
      <w:r w:rsidRPr="006F7D7E">
        <w:rPr>
          <w:sz w:val="20"/>
          <w:lang w:val="fr-CA"/>
        </w:rPr>
        <w:t>Indalex</w:t>
      </w:r>
      <w:proofErr w:type="spellEnd"/>
      <w:r w:rsidRPr="006F7D7E">
        <w:rPr>
          <w:sz w:val="20"/>
          <w:lang w:val="fr-CA"/>
        </w:rPr>
        <w:t xml:space="preserve"> d’agir à titre </w:t>
      </w:r>
      <w:r w:rsidRPr="006F7D7E">
        <w:rPr>
          <w:noProof/>
          <w:sz w:val="20"/>
          <w:lang w:val="fr-CA"/>
        </w:rPr>
        <w:t>d’employeur</w:t>
      </w:r>
      <w:r w:rsidRPr="006F7D7E">
        <w:rPr>
          <w:noProof/>
          <w:sz w:val="20"/>
          <w:lang w:val="fr-CA"/>
        </w:rPr>
        <w:noBreakHyphen/>
        <w:t xml:space="preserve">administrateur </w:t>
      </w:r>
      <w:r w:rsidRPr="006F7D7E">
        <w:rPr>
          <w:sz w:val="20"/>
          <w:lang w:val="fr-CA"/>
        </w:rPr>
        <w:t>ne peut conférer aux participants plus d’avantages que si l’administration de leurs régimes avait été confiée à un tiers indépendant.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C’est lors de la demande et de l’obtention des ordonnances DE sans préavis aux bénéficiaires des régimes, ainsi que de la demande et de l’obtention de l’approbation de la vente que les intérêts commerciaux d’</w:t>
      </w:r>
      <w:proofErr w:type="spellStart"/>
      <w:r w:rsidRPr="006F7D7E">
        <w:rPr>
          <w:sz w:val="20"/>
          <w:lang w:val="fr-CA"/>
        </w:rPr>
        <w:t>Indalex</w:t>
      </w:r>
      <w:proofErr w:type="spellEnd"/>
      <w:r w:rsidRPr="006F7D7E">
        <w:rPr>
          <w:sz w:val="20"/>
          <w:lang w:val="fr-CA"/>
        </w:rPr>
        <w:t xml:space="preserve"> sont entrés en conflit avec ses obligations d’administrateur des régimes de retraite. Cependant, la difficulté résidait en l’espèce non pas dans l’existence du conflit, mais bien dans l’omission d’</w:t>
      </w:r>
      <w:proofErr w:type="spellStart"/>
      <w:r w:rsidRPr="006F7D7E">
        <w:rPr>
          <w:sz w:val="20"/>
          <w:lang w:val="fr-CA"/>
        </w:rPr>
        <w:t>Indalex</w:t>
      </w:r>
      <w:proofErr w:type="spellEnd"/>
      <w:r w:rsidRPr="006F7D7E">
        <w:rPr>
          <w:sz w:val="20"/>
          <w:lang w:val="fr-CA"/>
        </w:rPr>
        <w:t xml:space="preserve"> de prendre quelque mesure afin que les bénéficiaires des régimes aient la possibilité de veiller à la protection de leurs intérêts dans le cadre de la procédure fondée sur la </w:t>
      </w:r>
      <w:r w:rsidRPr="006F7D7E">
        <w:rPr>
          <w:i/>
          <w:sz w:val="20"/>
          <w:lang w:val="fr-CA"/>
        </w:rPr>
        <w:t>LACC</w:t>
      </w:r>
      <w:r w:rsidRPr="006F7D7E">
        <w:rPr>
          <w:sz w:val="20"/>
          <w:lang w:val="fr-CA"/>
        </w:rPr>
        <w:t xml:space="preserve"> comme si l’administrateur des régimes avait été indépendant.  En résumé, le manquement ne tenait pas à l’existence du conflit, mais plutôt à l’omission de prendre les mesures qu’elle commandait.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L’</w:t>
      </w:r>
      <w:proofErr w:type="spellStart"/>
      <w:r w:rsidRPr="006F7D7E">
        <w:rPr>
          <w:sz w:val="20"/>
          <w:lang w:val="fr-CA"/>
        </w:rPr>
        <w:t>employeur</w:t>
      </w:r>
      <w:r w:rsidRPr="006F7D7E">
        <w:rPr>
          <w:sz w:val="20"/>
          <w:lang w:val="fr-CA"/>
        </w:rPr>
        <w:noBreakHyphen/>
        <w:t>administrateur</w:t>
      </w:r>
      <w:proofErr w:type="spellEnd"/>
      <w:r w:rsidRPr="006F7D7E">
        <w:rPr>
          <w:sz w:val="20"/>
          <w:lang w:val="fr-CA"/>
        </w:rPr>
        <w:t xml:space="preserve"> qui se trouve en situation de conflit doit en informer le juge saisi sur le fondement de la </w:t>
      </w:r>
      <w:r w:rsidRPr="006F7D7E">
        <w:rPr>
          <w:i/>
          <w:sz w:val="20"/>
          <w:lang w:val="fr-CA"/>
        </w:rPr>
        <w:t>LACC.</w:t>
      </w:r>
      <w:r w:rsidRPr="006F7D7E">
        <w:rPr>
          <w:sz w:val="20"/>
          <w:lang w:val="fr-CA"/>
        </w:rPr>
        <w:t xml:space="preserve">  Il ne suffit pas d’inscrire les bénéficiaires sur la liste des créanciers; le juge doit être informé que le débiteur, en sa qualité d’administrateur de régime, est en conflit d’intérêts ou susceptible de l’être.  En conséquence, </w:t>
      </w:r>
      <w:proofErr w:type="spellStart"/>
      <w:r w:rsidRPr="006F7D7E">
        <w:rPr>
          <w:sz w:val="20"/>
          <w:lang w:val="fr-CA"/>
        </w:rPr>
        <w:t>Indalex</w:t>
      </w:r>
      <w:proofErr w:type="spellEnd"/>
      <w:r w:rsidRPr="006F7D7E">
        <w:rPr>
          <w:sz w:val="20"/>
          <w:lang w:val="fr-CA"/>
        </w:rPr>
        <w:t xml:space="preserve"> a manqué à son obligation fiduciaire en omettant de faire ce qu’il fallait pour que les bénéficiaires des régimes puissent être dûment représentés dans le cadre de cette procédure comme si l’administrateur des régimes avait été indépendant, en particulier lorsqu’elle a demandé l’approbation du financement DE et de la vente, puis présenté une motion en vue de faire faillite.</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Indépendamment de ce manquement, l’imposition d’une fiducie par interprétation ne constitue une réparation appropriée que si un actif déterminable résulte des actes de l’auteur du manquement et qu’il serait injuste que ce dernier ou, parfois, un tiers, conserve cet actif. Aucun élément de preuve n’appuie la prétention qu’un tel actif a </w:t>
      </w:r>
      <w:proofErr w:type="gramStart"/>
      <w:r w:rsidRPr="006F7D7E">
        <w:rPr>
          <w:sz w:val="20"/>
          <w:lang w:val="fr-CA"/>
        </w:rPr>
        <w:t>résulté</w:t>
      </w:r>
      <w:proofErr w:type="gramEnd"/>
      <w:r w:rsidRPr="006F7D7E">
        <w:rPr>
          <w:sz w:val="20"/>
          <w:lang w:val="fr-CA"/>
        </w:rPr>
        <w:t xml:space="preserve"> de l’omission d’</w:t>
      </w:r>
      <w:proofErr w:type="spellStart"/>
      <w:r w:rsidRPr="006F7D7E">
        <w:rPr>
          <w:sz w:val="20"/>
          <w:lang w:val="fr-CA"/>
        </w:rPr>
        <w:t>Indalex</w:t>
      </w:r>
      <w:proofErr w:type="spellEnd"/>
      <w:r w:rsidRPr="006F7D7E">
        <w:rPr>
          <w:sz w:val="20"/>
          <w:lang w:val="fr-CA"/>
        </w:rPr>
        <w:t xml:space="preserve"> de pallier véritablement les conflits d’intérêts auxquels a donné lieu la procédure fondée sur la </w:t>
      </w:r>
      <w:r w:rsidRPr="006F7D7E">
        <w:rPr>
          <w:i/>
          <w:sz w:val="20"/>
          <w:lang w:val="fr-CA"/>
        </w:rPr>
        <w:t>LACC</w:t>
      </w:r>
      <w:r w:rsidRPr="006F7D7E">
        <w:rPr>
          <w:sz w:val="20"/>
          <w:lang w:val="fr-CA"/>
        </w:rPr>
        <w:t xml:space="preserve">.  Qui plus est, imposer une fiducie par interprétation par suite du manquement à l’obligation fiduciaire de veiller à ce que les bénéficiaires des régimes jouissent de garanties procédurales, alors qu’ils en ont joui dans les faits, se révèle inéquitable au vu de l’ensemble des circonstances.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FR"/>
        </w:rPr>
      </w:pPr>
      <w:r w:rsidRPr="006F7D7E">
        <w:rPr>
          <w:sz w:val="20"/>
          <w:lang w:val="fr-CA"/>
        </w:rPr>
        <w:tab/>
      </w:r>
      <w:r w:rsidRPr="006F7D7E">
        <w:rPr>
          <w:i/>
          <w:sz w:val="20"/>
          <w:lang w:val="fr-CA"/>
        </w:rPr>
        <w:t>Les</w:t>
      </w:r>
      <w:r w:rsidRPr="006F7D7E">
        <w:rPr>
          <w:sz w:val="20"/>
          <w:lang w:val="fr-CA"/>
        </w:rPr>
        <w:t xml:space="preserve"> juges </w:t>
      </w:r>
      <w:r w:rsidRPr="006F7D7E">
        <w:rPr>
          <w:b/>
          <w:sz w:val="20"/>
          <w:lang w:val="fr-CA"/>
        </w:rPr>
        <w:t>Deschamps</w:t>
      </w:r>
      <w:r w:rsidRPr="006F7D7E">
        <w:rPr>
          <w:sz w:val="20"/>
          <w:lang w:val="fr-CA"/>
        </w:rPr>
        <w:t xml:space="preserve"> et </w:t>
      </w:r>
      <w:proofErr w:type="spellStart"/>
      <w:r w:rsidRPr="006F7D7E">
        <w:rPr>
          <w:sz w:val="20"/>
          <w:lang w:val="fr-CA"/>
        </w:rPr>
        <w:t>Moldaver</w:t>
      </w:r>
      <w:proofErr w:type="spellEnd"/>
      <w:r w:rsidRPr="006F7D7E">
        <w:rPr>
          <w:sz w:val="20"/>
          <w:lang w:val="fr-CA"/>
        </w:rPr>
        <w:t> :</w:t>
      </w:r>
      <w:r w:rsidRPr="006F7D7E">
        <w:rPr>
          <w:sz w:val="20"/>
          <w:lang w:val="fr-FR"/>
        </w:rPr>
        <w:t xml:space="preserve"> L’employeur constitué en société qui décide d’agir en qualité d’administrateur d’un régime accepte les obligations fiduciaires inhérentes à cette fonction.  Puisque les administrateurs d’une société ont aussi une obligation fiduciaire envers la société, </w:t>
      </w:r>
      <w:r w:rsidRPr="006F7D7E">
        <w:rPr>
          <w:sz w:val="20"/>
          <w:lang w:val="fr-CA"/>
        </w:rPr>
        <w:t>l’employeur doit être prêt à résoudre les conflits lorsqu’ils surgissent</w:t>
      </w:r>
      <w:r w:rsidRPr="006F7D7E">
        <w:rPr>
          <w:sz w:val="20"/>
          <w:lang w:val="fr-FR"/>
        </w:rPr>
        <w:t xml:space="preserve">.  L’employeur qui administre un régime de retraite n’est pas autorisé à négliger ses obligations fiduciaires envers les participants au régime et à favoriser les intérêts concurrents de la société sous prétexte qu’il porte le « chapeau » de dirigeant de la société.  Ce sont les conséquences d’une décision, et non sa nature qui doivent être prises en compte.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FR"/>
        </w:rPr>
      </w:pPr>
      <w:r w:rsidRPr="006F7D7E">
        <w:rPr>
          <w:sz w:val="20"/>
          <w:lang w:val="fr-CA"/>
        </w:rPr>
        <w:tab/>
        <w:t xml:space="preserve">En l’espèce, il y avait bien conflit entre les obligations fiduciaires qui incombaient à </w:t>
      </w:r>
      <w:proofErr w:type="spellStart"/>
      <w:r w:rsidRPr="006F7D7E">
        <w:rPr>
          <w:sz w:val="20"/>
          <w:lang w:val="fr-FR"/>
        </w:rPr>
        <w:t>Indalex</w:t>
      </w:r>
      <w:proofErr w:type="spellEnd"/>
      <w:r w:rsidRPr="006F7D7E">
        <w:rPr>
          <w:sz w:val="20"/>
          <w:lang w:val="fr-CA"/>
        </w:rPr>
        <w:t xml:space="preserve"> en sa qualité d’administratrice des régimes et les décisions de gestion qu’elle devait prendre dans le meilleur intérêt de la société</w:t>
      </w:r>
      <w:r w:rsidRPr="006F7D7E">
        <w:rPr>
          <w:sz w:val="20"/>
          <w:lang w:val="fr-FR"/>
        </w:rPr>
        <w:t xml:space="preserve">.  Plus précisément, </w:t>
      </w:r>
      <w:r w:rsidRPr="006F7D7E">
        <w:rPr>
          <w:sz w:val="20"/>
          <w:lang w:val="fr-CA"/>
        </w:rPr>
        <w:t xml:space="preserve">en demandant au tribunal d’autoriser une forme de financement selon laquelle un créancier se verrait accorder priorité sur tous les autres, </w:t>
      </w:r>
      <w:proofErr w:type="spellStart"/>
      <w:r w:rsidRPr="006F7D7E">
        <w:rPr>
          <w:sz w:val="20"/>
          <w:lang w:val="fr-CA"/>
        </w:rPr>
        <w:t>Indalex</w:t>
      </w:r>
      <w:proofErr w:type="spellEnd"/>
      <w:r w:rsidRPr="006F7D7E">
        <w:rPr>
          <w:sz w:val="20"/>
          <w:lang w:val="fr-CA"/>
        </w:rPr>
        <w:t xml:space="preserve"> demandait au tribunal chargé d’appliquer la </w:t>
      </w:r>
      <w:r w:rsidRPr="006F7D7E">
        <w:rPr>
          <w:i/>
          <w:sz w:val="20"/>
          <w:lang w:val="fr-CA"/>
        </w:rPr>
        <w:t>LACC</w:t>
      </w:r>
      <w:r w:rsidRPr="006F7D7E">
        <w:rPr>
          <w:sz w:val="20"/>
          <w:lang w:val="fr-CA"/>
        </w:rPr>
        <w:t xml:space="preserve"> de faire échec à la priorité dont bénéficiaient les participants</w:t>
      </w:r>
      <w:r w:rsidRPr="006F7D7E">
        <w:rPr>
          <w:sz w:val="20"/>
          <w:lang w:val="fr-FR"/>
        </w:rPr>
        <w:t xml:space="preserve">.  L’intérêt de la société consistait à rechercher la meilleure façon de survivre dans un contexte d’insolvabilité.  La poursuite de cet intérêt était incompatible avec le devoir de l’administrateur des régimes envers les participants de veiller à ce que toutes les cotisations soient versées aux caisses de retraite.  En l’occurrence, ce devoir de l’administrateur des régimes impliquait, plus particulièrement, qu’il donne à tout le moins aux participants la possibilité d’exposer leurs arguments.  Cela signifiait, au minimum, que les participants avaient droit à un avis raisonnable de la motion en autorisation du financement DE.  La teneur de cette motion, présentée sans avis convenable, allait à l’encontre des intérêts des participants. </w:t>
      </w:r>
    </w:p>
    <w:p w:rsidR="006875AC" w:rsidRDefault="006875AC" w:rsidP="006875AC">
      <w:pPr>
        <w:pStyle w:val="SCCNormalDoubleSpacing"/>
        <w:spacing w:line="240" w:lineRule="auto"/>
        <w:rPr>
          <w:sz w:val="20"/>
          <w:lang w:val="fr-FR"/>
        </w:rPr>
      </w:pPr>
    </w:p>
    <w:p w:rsidR="006875AC" w:rsidRPr="006F7D7E" w:rsidRDefault="006875AC" w:rsidP="006875AC">
      <w:pPr>
        <w:pStyle w:val="SCCNormalDoubleSpacing"/>
        <w:spacing w:line="240" w:lineRule="auto"/>
        <w:rPr>
          <w:sz w:val="20"/>
          <w:lang w:val="fr-FR"/>
        </w:rPr>
      </w:pPr>
      <w:r w:rsidRPr="006F7D7E">
        <w:rPr>
          <w:sz w:val="20"/>
          <w:lang w:val="fr-FR"/>
        </w:rPr>
        <w:lastRenderedPageBreak/>
        <w:tab/>
        <w:t xml:space="preserve">En ce qui concerne la fiducie par interprétation, il </w:t>
      </w:r>
      <w:r w:rsidRPr="006F7D7E">
        <w:rPr>
          <w:sz w:val="20"/>
          <w:lang w:val="fr-CA"/>
        </w:rPr>
        <w:t>est bien établi en droit qu’une réparation</w:t>
      </w:r>
      <w:r w:rsidRPr="006F7D7E">
        <w:rPr>
          <w:sz w:val="20"/>
          <w:lang w:val="fr-FR"/>
        </w:rPr>
        <w:t xml:space="preserve"> </w:t>
      </w:r>
      <w:r w:rsidRPr="006F7D7E">
        <w:rPr>
          <w:sz w:val="20"/>
          <w:lang w:val="fr-CA"/>
        </w:rPr>
        <w:t>de la nature d’un droit de propriété n’est généralement accordée qu’à l’égard d’un bien ayant un lien direct avec un acte fautif ou d’un bien qui peut être rattaché à un tel bien</w:t>
      </w:r>
      <w:r w:rsidRPr="006F7D7E">
        <w:rPr>
          <w:sz w:val="20"/>
          <w:lang w:val="fr-FR"/>
        </w:rPr>
        <w:t xml:space="preserve">.  Il y a accord avec le juge Cromwell sur le fait que cette condition n’était pas remplie en l’espèce et il a été souscrit à ses motifs sur cette question.  </w:t>
      </w:r>
      <w:r w:rsidRPr="006F7D7E">
        <w:rPr>
          <w:sz w:val="20"/>
          <w:lang w:val="fr-CA"/>
        </w:rPr>
        <w:t>En outre, il était déraisonnable pour la Cour d’appel de modifier l’ordre de priorité</w:t>
      </w:r>
      <w:r w:rsidRPr="006F7D7E">
        <w:rPr>
          <w:sz w:val="20"/>
          <w:lang w:val="fr-FR"/>
        </w:rPr>
        <w: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FR"/>
        </w:rPr>
      </w:pPr>
      <w:r w:rsidRPr="006F7D7E">
        <w:rPr>
          <w:sz w:val="20"/>
          <w:lang w:val="fr-CA"/>
        </w:rPr>
        <w:tab/>
      </w:r>
      <w:r w:rsidRPr="006F7D7E">
        <w:rPr>
          <w:i/>
          <w:sz w:val="20"/>
          <w:lang w:val="fr-CA"/>
        </w:rPr>
        <w:t>Les</w:t>
      </w:r>
      <w:r w:rsidRPr="006F7D7E">
        <w:rPr>
          <w:sz w:val="20"/>
          <w:lang w:val="fr-CA"/>
        </w:rPr>
        <w:t xml:space="preserve"> juges </w:t>
      </w:r>
      <w:proofErr w:type="spellStart"/>
      <w:r w:rsidRPr="006F7D7E">
        <w:rPr>
          <w:b/>
          <w:sz w:val="20"/>
          <w:lang w:val="fr-CA"/>
        </w:rPr>
        <w:t>LeBel</w:t>
      </w:r>
      <w:proofErr w:type="spellEnd"/>
      <w:r w:rsidRPr="006F7D7E">
        <w:rPr>
          <w:sz w:val="20"/>
          <w:lang w:val="fr-CA"/>
        </w:rPr>
        <w:t xml:space="preserve"> et Abella (dissidents) :</w:t>
      </w:r>
      <w:r w:rsidRPr="006F7D7E">
        <w:rPr>
          <w:sz w:val="20"/>
          <w:lang w:val="fr-FR"/>
        </w:rPr>
        <w:t xml:space="preserve"> Une </w:t>
      </w:r>
      <w:r w:rsidRPr="006F7D7E">
        <w:rPr>
          <w:sz w:val="20"/>
          <w:lang w:val="fr-CA"/>
        </w:rPr>
        <w:t>relation</w:t>
      </w:r>
      <w:r w:rsidRPr="006F7D7E">
        <w:rPr>
          <w:sz w:val="20"/>
          <w:lang w:val="fr-FR"/>
        </w:rPr>
        <w:t xml:space="preserve"> fiduciaire </w:t>
      </w:r>
      <w:r w:rsidRPr="006F7D7E">
        <w:rPr>
          <w:sz w:val="20"/>
          <w:lang w:val="fr-CA"/>
        </w:rPr>
        <w:t>s’entend de la relation factuelle et juridique entre un bénéficiaire vulnérable et un fiduciaire qui détient et peut exercer un pouvoir sur le bénéficiaire dans les situations prévues par la loi</w:t>
      </w:r>
      <w:r w:rsidRPr="006F7D7E">
        <w:rPr>
          <w:sz w:val="20"/>
          <w:lang w:val="fr-FR"/>
        </w:rPr>
        <w:t xml:space="preserve">.  Par conséquent, avant d’analyser les obligations fiduciaires de l’employeur à titre d’administrateur d’un régime de retraite visé par la </w:t>
      </w:r>
      <w:r w:rsidRPr="006F7D7E">
        <w:rPr>
          <w:i/>
          <w:sz w:val="20"/>
          <w:lang w:val="fr-FR"/>
        </w:rPr>
        <w:t>LRR</w:t>
      </w:r>
      <w:r w:rsidRPr="006F7D7E">
        <w:rPr>
          <w:sz w:val="20"/>
          <w:lang w:val="fr-FR"/>
        </w:rPr>
        <w:t xml:space="preserve">, </w:t>
      </w:r>
      <w:r w:rsidRPr="006F7D7E">
        <w:rPr>
          <w:sz w:val="20"/>
          <w:lang w:val="fr-CA"/>
        </w:rPr>
        <w:t>il faut examiner la situation et les caractéristiques des bénéficiaires</w:t>
      </w:r>
      <w:r w:rsidRPr="006F7D7E">
        <w:rPr>
          <w:sz w:val="20"/>
          <w:lang w:val="fr-FR"/>
        </w:rPr>
        <w:t xml:space="preserve"> du régime.  En l’espèce, les</w:t>
      </w:r>
      <w:r w:rsidRPr="006F7D7E">
        <w:rPr>
          <w:sz w:val="20"/>
          <w:lang w:val="fr-CA"/>
        </w:rPr>
        <w:t xml:space="preserve"> bénéficiaires se trouvaient dans une position de grande vulnérabilité par rapport à </w:t>
      </w:r>
      <w:proofErr w:type="spellStart"/>
      <w:r w:rsidRPr="006F7D7E">
        <w:rPr>
          <w:sz w:val="20"/>
          <w:lang w:val="fr-CA"/>
        </w:rPr>
        <w:t>Indalex</w:t>
      </w:r>
      <w:proofErr w:type="spellEnd"/>
      <w:r w:rsidRPr="006F7D7E">
        <w:rPr>
          <w:sz w:val="20"/>
          <w:lang w:val="fr-FR"/>
        </w:rPr>
        <w:t>.</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FR"/>
        </w:rPr>
      </w:pPr>
      <w:r w:rsidRPr="006F7D7E">
        <w:rPr>
          <w:sz w:val="20"/>
          <w:lang w:val="fr-CA"/>
        </w:rPr>
        <w:tab/>
        <w:t xml:space="preserve">Rien dans la </w:t>
      </w:r>
      <w:r w:rsidRPr="006F7D7E">
        <w:rPr>
          <w:i/>
          <w:sz w:val="20"/>
          <w:lang w:val="fr-CA"/>
        </w:rPr>
        <w:t>LRR</w:t>
      </w:r>
      <w:r w:rsidRPr="006F7D7E">
        <w:rPr>
          <w:sz w:val="20"/>
          <w:lang w:val="fr-CA"/>
        </w:rPr>
        <w:t xml:space="preserve"> ne permet de conclure que l’employeur, en sa qualité d’administrateur, serait assujetti à une norme moindre ou assumerait des fonctions et des obligations moins strictes qu’un administrateur indépendant</w:t>
      </w:r>
      <w:r w:rsidRPr="006F7D7E">
        <w:rPr>
          <w:sz w:val="20"/>
          <w:lang w:val="fr-FR"/>
        </w:rPr>
        <w:t xml:space="preserve">.  </w:t>
      </w:r>
      <w:r w:rsidRPr="006F7D7E">
        <w:rPr>
          <w:sz w:val="20"/>
          <w:lang w:val="fr-CA"/>
        </w:rPr>
        <w:t>L’employeur n’est pas tenu d’assumer le fardeau de l’administration des régimes de retraite qu’il a convenu d’établir ou qui sont le fruit de décisions antérieures</w:t>
      </w:r>
      <w:r w:rsidRPr="006F7D7E">
        <w:rPr>
          <w:sz w:val="20"/>
          <w:lang w:val="fr-FR"/>
        </w:rPr>
        <w:t>.  Par contre, s’il choisit de l’assumer, une relation fiduciaire prend naissance et l’on s’attend à ce que l’employeur soit capable d’éviter ou de régler les conflits d’intérêts susceptibles d’intervenir.</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FR"/>
        </w:rPr>
      </w:pPr>
      <w:r w:rsidRPr="006F7D7E">
        <w:rPr>
          <w:sz w:val="20"/>
          <w:lang w:val="fr-CA"/>
        </w:rPr>
        <w:tab/>
      </w:r>
      <w:proofErr w:type="spellStart"/>
      <w:r w:rsidRPr="006F7D7E">
        <w:rPr>
          <w:sz w:val="20"/>
          <w:lang w:val="fr-CA"/>
        </w:rPr>
        <w:t>Indalex</w:t>
      </w:r>
      <w:proofErr w:type="spellEnd"/>
      <w:r w:rsidRPr="006F7D7E">
        <w:rPr>
          <w:sz w:val="20"/>
          <w:lang w:val="fr-CA"/>
        </w:rPr>
        <w:t xml:space="preserve"> se trouvait en situation de conflit d’intérêts dès qu’elle a envisagé de demander la protection de la </w:t>
      </w:r>
      <w:r w:rsidRPr="006F7D7E">
        <w:rPr>
          <w:i/>
          <w:sz w:val="20"/>
          <w:lang w:val="fr-CA"/>
        </w:rPr>
        <w:t>LACC</w:t>
      </w:r>
      <w:r w:rsidRPr="006F7D7E">
        <w:rPr>
          <w:sz w:val="20"/>
          <w:lang w:val="fr-CA"/>
        </w:rPr>
        <w:t xml:space="preserve"> et de proposer un arrangement à ses créanciers</w:t>
      </w:r>
      <w:r w:rsidRPr="006F7D7E">
        <w:rPr>
          <w:sz w:val="20"/>
          <w:lang w:val="fr-FR"/>
        </w:rPr>
        <w:t xml:space="preserve">.  </w:t>
      </w:r>
      <w:r w:rsidRPr="006F7D7E">
        <w:rPr>
          <w:sz w:val="20"/>
          <w:lang w:val="fr-CA"/>
        </w:rPr>
        <w:t>Du point de vue de l’entreprise, on ne pourrait guère trouver à redire à cette décision.  Il s’agissait d’une décision d’affaires</w:t>
      </w:r>
      <w:r w:rsidRPr="006F7D7E">
        <w:rPr>
          <w:sz w:val="20"/>
          <w:lang w:val="fr-FR"/>
        </w:rPr>
        <w:t xml:space="preserve">.  </w:t>
      </w:r>
      <w:r w:rsidRPr="006F7D7E">
        <w:rPr>
          <w:sz w:val="20"/>
          <w:lang w:val="fr-CA"/>
        </w:rPr>
        <w:t xml:space="preserve">Cependant, </w:t>
      </w:r>
      <w:proofErr w:type="spellStart"/>
      <w:r w:rsidRPr="006F7D7E">
        <w:rPr>
          <w:sz w:val="20"/>
          <w:lang w:val="fr-CA"/>
        </w:rPr>
        <w:t>Indalex</w:t>
      </w:r>
      <w:proofErr w:type="spellEnd"/>
      <w:r w:rsidRPr="006F7D7E">
        <w:rPr>
          <w:sz w:val="20"/>
          <w:lang w:val="fr-CA"/>
        </w:rPr>
        <w:t xml:space="preserve"> jouait en même temps le rôle de fiduciaire à l’égard des participants aux régimes et des retraités, et c’est là où le bât blesse</w:t>
      </w:r>
      <w:r w:rsidRPr="006F7D7E">
        <w:rPr>
          <w:sz w:val="20"/>
          <w:lang w:val="fr-FR"/>
        </w:rPr>
        <w:t xml:space="preserve">.  </w:t>
      </w:r>
      <w:r w:rsidRPr="006F7D7E">
        <w:rPr>
          <w:sz w:val="20"/>
          <w:lang w:val="fr-CA"/>
        </w:rPr>
        <w:t>La solution consistait non pas à mettre en veilleuse sa fonction d’administrateur avec les obligations fiduciaires en découlant, mais à y renoncer et à la transférer avec diligence à un administrateur indépendant</w:t>
      </w:r>
      <w:r w:rsidRPr="006F7D7E">
        <w:rPr>
          <w:sz w:val="20"/>
          <w:lang w:val="fr-FR"/>
        </w:rPr>
        <w:t xml:space="preserve">. </w:t>
      </w:r>
    </w:p>
    <w:p w:rsidR="006875AC" w:rsidRDefault="006875AC" w:rsidP="006875AC">
      <w:pPr>
        <w:pStyle w:val="SCCNormalDoubleSpacing"/>
        <w:spacing w:line="240" w:lineRule="auto"/>
        <w:rPr>
          <w:sz w:val="20"/>
          <w:lang w:val="fr-FR"/>
        </w:rPr>
      </w:pPr>
    </w:p>
    <w:p w:rsidR="006875AC" w:rsidRDefault="006875AC" w:rsidP="006875AC">
      <w:pPr>
        <w:pStyle w:val="SCCNormalDoubleSpacing"/>
        <w:spacing w:line="240" w:lineRule="auto"/>
        <w:rPr>
          <w:sz w:val="20"/>
          <w:lang w:val="fr-FR"/>
        </w:rPr>
      </w:pPr>
      <w:r w:rsidRPr="006F7D7E">
        <w:rPr>
          <w:sz w:val="20"/>
          <w:lang w:val="fr-FR"/>
        </w:rPr>
        <w:tab/>
        <w:t xml:space="preserve">En l’occurrence, l’employeur </w:t>
      </w:r>
      <w:proofErr w:type="gramStart"/>
      <w:r w:rsidRPr="006F7D7E">
        <w:rPr>
          <w:sz w:val="20"/>
          <w:lang w:val="fr-CA"/>
        </w:rPr>
        <w:t>a</w:t>
      </w:r>
      <w:proofErr w:type="gramEnd"/>
      <w:r w:rsidRPr="006F7D7E">
        <w:rPr>
          <w:sz w:val="20"/>
          <w:lang w:val="fr-CA"/>
        </w:rPr>
        <w:t xml:space="preserve"> non seulement manqué à ses obligations envers les bénéficiaires, mais adopté en fait une démarche qui allait à l’encontre de leurs intérêts.  La gravité de ces manquements justifiait amplement la décision de la Cour d’appel d’imposer une fiducie par interprétation</w:t>
      </w:r>
      <w:r w:rsidRPr="006F7D7E">
        <w:rPr>
          <w:sz w:val="20"/>
          <w:lang w:val="fr-FR"/>
        </w:rPr>
        <w:t>.</w:t>
      </w:r>
    </w:p>
    <w:p w:rsidR="006875AC" w:rsidRPr="006F7D7E" w:rsidRDefault="006875AC" w:rsidP="006875AC">
      <w:pPr>
        <w:pStyle w:val="SCCNormalDoubleSpacing"/>
        <w:spacing w:line="240" w:lineRule="auto"/>
        <w:rPr>
          <w:sz w:val="20"/>
          <w:lang w:val="fr-FR"/>
        </w:rPr>
      </w:pPr>
    </w:p>
    <w:p w:rsidR="006875AC" w:rsidRPr="006F7D7E" w:rsidRDefault="006875AC" w:rsidP="00AB4F4C">
      <w:pPr>
        <w:pStyle w:val="SCCNormalDoubleSpacing"/>
        <w:keepNext/>
        <w:spacing w:line="240" w:lineRule="auto"/>
        <w:ind w:left="360" w:hanging="360"/>
        <w:rPr>
          <w:i/>
          <w:sz w:val="20"/>
          <w:u w:val="single"/>
          <w:lang w:val="fr-CA"/>
        </w:rPr>
      </w:pPr>
      <w:r w:rsidRPr="006F7D7E">
        <w:rPr>
          <w:sz w:val="20"/>
          <w:lang w:val="fr-CA"/>
        </w:rPr>
        <w:t>(4)</w:t>
      </w:r>
      <w:r w:rsidRPr="006F7D7E">
        <w:rPr>
          <w:sz w:val="20"/>
          <w:lang w:val="fr-CA"/>
        </w:rPr>
        <w:tab/>
      </w:r>
      <w:r w:rsidRPr="006F7D7E">
        <w:rPr>
          <w:i/>
          <w:sz w:val="20"/>
          <w:u w:val="single"/>
          <w:lang w:val="fr-CA"/>
        </w:rPr>
        <w:t>Dépens dans le pourvoi du Syndicat des Métallos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La </w:t>
      </w:r>
      <w:r w:rsidRPr="006F7D7E">
        <w:rPr>
          <w:sz w:val="20"/>
          <w:lang w:val="fr-CA"/>
        </w:rPr>
        <w:t xml:space="preserve">juge en chef </w:t>
      </w:r>
      <w:proofErr w:type="spellStart"/>
      <w:r w:rsidRPr="006F7D7E">
        <w:rPr>
          <w:sz w:val="20"/>
          <w:lang w:val="fr-CA"/>
        </w:rPr>
        <w:t>McLachlin</w:t>
      </w:r>
      <w:proofErr w:type="spellEnd"/>
      <w:r w:rsidRPr="006F7D7E">
        <w:rPr>
          <w:sz w:val="20"/>
          <w:lang w:val="fr-CA"/>
        </w:rPr>
        <w:t xml:space="preserve"> et les juges </w:t>
      </w:r>
      <w:proofErr w:type="spellStart"/>
      <w:r w:rsidRPr="006F7D7E">
        <w:rPr>
          <w:sz w:val="20"/>
          <w:lang w:val="fr-CA"/>
        </w:rPr>
        <w:t>Rothstein</w:t>
      </w:r>
      <w:proofErr w:type="spellEnd"/>
      <w:r w:rsidRPr="006F7D7E">
        <w:rPr>
          <w:sz w:val="20"/>
          <w:lang w:val="fr-CA"/>
        </w:rPr>
        <w:t xml:space="preserve"> et </w:t>
      </w:r>
      <w:r w:rsidRPr="006F7D7E">
        <w:rPr>
          <w:b/>
          <w:sz w:val="20"/>
          <w:lang w:val="fr-CA"/>
        </w:rPr>
        <w:t>Cromwell</w:t>
      </w:r>
      <w:r w:rsidRPr="006F7D7E">
        <w:rPr>
          <w:sz w:val="20"/>
          <w:lang w:val="fr-CA"/>
        </w:rPr>
        <w:t xml:space="preserve"> : Il n’y a en l’espèce aucune raison de revenir sur la décision de la Cour d’appel relative aux dépens en ce qui concerne le Syndicat des Métallos.  L’instance engagée portait sur des points de droit nouveaux, son issue était incertaine et les demandeurs couraient le risque d’être déboutés.  La Cour d’appel a opiné essentiellement que, représentant seulement 7 des 169 participants du régime des salariés, le syndicat ne devait pas être en mesure, dans les faits, d’imposer à tous les participants du régime, dont la plupart n’en étaient pas membres, les risques inhérents au litige sans les consulter.  Il n’y a aucune erreur de principe dans le refus de la Cour d’appel d’ordonner que les dépens du syndicat soient payés à partir de la caisse de retraite, étant donné surtout l’issue du pourvoi devant notre Cour. </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Les</w:t>
      </w:r>
      <w:r w:rsidRPr="006F7D7E">
        <w:rPr>
          <w:sz w:val="20"/>
          <w:lang w:val="fr-CA"/>
        </w:rPr>
        <w:t xml:space="preserve"> juges </w:t>
      </w:r>
      <w:r w:rsidRPr="006F7D7E">
        <w:rPr>
          <w:b/>
          <w:sz w:val="20"/>
          <w:lang w:val="fr-CA"/>
        </w:rPr>
        <w:t>Deschamps</w:t>
      </w:r>
      <w:r w:rsidRPr="006F7D7E">
        <w:rPr>
          <w:sz w:val="20"/>
          <w:lang w:val="fr-CA"/>
        </w:rPr>
        <w:t xml:space="preserve"> et </w:t>
      </w:r>
      <w:proofErr w:type="spellStart"/>
      <w:r w:rsidRPr="006F7D7E">
        <w:rPr>
          <w:sz w:val="20"/>
          <w:lang w:val="fr-CA"/>
        </w:rPr>
        <w:t>Moldaver</w:t>
      </w:r>
      <w:proofErr w:type="spellEnd"/>
      <w:r w:rsidRPr="006F7D7E">
        <w:rPr>
          <w:sz w:val="20"/>
          <w:lang w:val="fr-CA"/>
        </w:rPr>
        <w:t xml:space="preserve"> : </w:t>
      </w:r>
      <w:r w:rsidRPr="006F7D7E">
        <w:rPr>
          <w:sz w:val="20"/>
          <w:lang w:val="fr-FR"/>
        </w:rPr>
        <w:t>Il y a accord avec les motifs du juge Cromwell sur la question des dépens dans l’appel interjeté par le Syndicat des Métallos.</w:t>
      </w:r>
    </w:p>
    <w:p w:rsidR="006875AC" w:rsidRDefault="006875AC" w:rsidP="006875AC">
      <w:pPr>
        <w:pStyle w:val="SCCNormalDoubleSpacing"/>
        <w:spacing w:line="240" w:lineRule="auto"/>
        <w:rPr>
          <w:i/>
          <w:sz w:val="20"/>
          <w:lang w:val="fr-CA"/>
        </w:rPr>
      </w:pPr>
    </w:p>
    <w:p w:rsidR="006875AC" w:rsidRDefault="006875AC" w:rsidP="006875AC">
      <w:pPr>
        <w:pStyle w:val="SCCNormalDoubleSpacing"/>
        <w:spacing w:line="240" w:lineRule="auto"/>
        <w:rPr>
          <w:sz w:val="20"/>
          <w:lang w:val="fr-CA"/>
        </w:rPr>
      </w:pPr>
      <w:r w:rsidRPr="006F7D7E">
        <w:rPr>
          <w:i/>
          <w:sz w:val="20"/>
          <w:lang w:val="fr-CA"/>
        </w:rPr>
        <w:tab/>
        <w:t>Les</w:t>
      </w:r>
      <w:r w:rsidRPr="006F7D7E">
        <w:rPr>
          <w:sz w:val="20"/>
          <w:lang w:val="fr-CA"/>
        </w:rPr>
        <w:t xml:space="preserve"> juges </w:t>
      </w:r>
      <w:proofErr w:type="spellStart"/>
      <w:r w:rsidRPr="006F7D7E">
        <w:rPr>
          <w:b/>
          <w:sz w:val="20"/>
          <w:lang w:val="fr-CA"/>
        </w:rPr>
        <w:t>LeBel</w:t>
      </w:r>
      <w:proofErr w:type="spellEnd"/>
      <w:r w:rsidRPr="006F7D7E">
        <w:rPr>
          <w:sz w:val="20"/>
          <w:lang w:val="fr-CA"/>
        </w:rPr>
        <w:t xml:space="preserve"> et Abella : Il y a accord avec les motifs du juge Cromwell sur la question des dépens dans l’appel interjeté par le Syndicat des Métallos. </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875AC">
        <w:rPr>
          <w:sz w:val="20"/>
          <w:lang w:val="fr-CA"/>
        </w:rPr>
        <w:tab/>
        <w:t xml:space="preserve">POURVOIS contre un arrêt de la Cour d’appel de l’Ontario (les juges </w:t>
      </w:r>
      <w:proofErr w:type="spellStart"/>
      <w:r w:rsidRPr="006875AC">
        <w:rPr>
          <w:sz w:val="20"/>
          <w:lang w:val="fr-CA"/>
        </w:rPr>
        <w:t>MacPherson</w:t>
      </w:r>
      <w:proofErr w:type="spellEnd"/>
      <w:r w:rsidRPr="006875AC">
        <w:rPr>
          <w:sz w:val="20"/>
          <w:lang w:val="fr-CA"/>
        </w:rPr>
        <w:t xml:space="preserve">, </w:t>
      </w:r>
      <w:proofErr w:type="spellStart"/>
      <w:r w:rsidRPr="006875AC">
        <w:rPr>
          <w:sz w:val="20"/>
          <w:lang w:val="fr-CA"/>
        </w:rPr>
        <w:t>Gillese</w:t>
      </w:r>
      <w:proofErr w:type="spellEnd"/>
      <w:r w:rsidRPr="006875AC">
        <w:rPr>
          <w:sz w:val="20"/>
          <w:lang w:val="fr-CA"/>
        </w:rPr>
        <w:t xml:space="preserve"> et </w:t>
      </w:r>
      <w:proofErr w:type="spellStart"/>
      <w:r w:rsidRPr="006875AC">
        <w:rPr>
          <w:sz w:val="20"/>
          <w:lang w:val="fr-CA"/>
        </w:rPr>
        <w:t>Juriansz</w:t>
      </w:r>
      <w:proofErr w:type="spellEnd"/>
      <w:r w:rsidRPr="006875AC">
        <w:rPr>
          <w:sz w:val="20"/>
          <w:lang w:val="fr-CA"/>
        </w:rPr>
        <w:t xml:space="preserve">), 2011 ONCA 265, 104 O.R. (3d) 641, 276 O.A.C. 347, 331 D.L.R. (4th) 352, 75 C.B.R. (5th) 19, 89 C.C.P.B. 39, 17 P.P.S.A.C. (3d) 194, [2011] O.J. No. 1621 (QL), 2011 </w:t>
      </w:r>
      <w:proofErr w:type="spellStart"/>
      <w:r w:rsidRPr="006875AC">
        <w:rPr>
          <w:sz w:val="20"/>
          <w:lang w:val="fr-CA"/>
        </w:rPr>
        <w:t>CarswellOnt</w:t>
      </w:r>
      <w:proofErr w:type="spellEnd"/>
      <w:r w:rsidRPr="006875AC">
        <w:rPr>
          <w:sz w:val="20"/>
          <w:lang w:val="fr-CA"/>
        </w:rPr>
        <w:t xml:space="preserve"> 2458, qui a infirmé une décision du juge Campbell, 2010 ONSC 1114, 79 C.C.P.B. 301, [2010] O.J. No. 974 (QL), 2010 </w:t>
      </w:r>
      <w:proofErr w:type="spellStart"/>
      <w:r w:rsidRPr="006875AC">
        <w:rPr>
          <w:sz w:val="20"/>
          <w:lang w:val="fr-CA"/>
        </w:rPr>
        <w:t>CarswellOnt</w:t>
      </w:r>
      <w:proofErr w:type="spellEnd"/>
      <w:r w:rsidRPr="006875AC">
        <w:rPr>
          <w:sz w:val="20"/>
          <w:lang w:val="fr-CA"/>
        </w:rPr>
        <w:t xml:space="preserve"> 893.  </w:t>
      </w:r>
      <w:r w:rsidRPr="006F7D7E">
        <w:rPr>
          <w:sz w:val="20"/>
          <w:lang w:val="fr-CA"/>
        </w:rPr>
        <w:t xml:space="preserve">Pourvois accueillis, les juges </w:t>
      </w:r>
      <w:proofErr w:type="spellStart"/>
      <w:r w:rsidRPr="006F7D7E">
        <w:rPr>
          <w:sz w:val="20"/>
          <w:lang w:val="fr-CA"/>
        </w:rPr>
        <w:t>LeBel</w:t>
      </w:r>
      <w:proofErr w:type="spellEnd"/>
      <w:r w:rsidRPr="006F7D7E">
        <w:rPr>
          <w:sz w:val="20"/>
          <w:lang w:val="fr-CA"/>
        </w:rPr>
        <w:t xml:space="preserve"> et Abella sont dissidents.</w:t>
      </w:r>
    </w:p>
    <w:p w:rsidR="006875AC" w:rsidRDefault="006875AC" w:rsidP="006875AC">
      <w:pPr>
        <w:pStyle w:val="SCCNormalDoubleSpacing"/>
        <w:spacing w:line="240" w:lineRule="auto"/>
        <w:rPr>
          <w:sz w:val="20"/>
          <w:lang w:val="fr-CA"/>
        </w:rPr>
      </w:pPr>
    </w:p>
    <w:p w:rsidR="006875AC" w:rsidRPr="006F7D7E" w:rsidRDefault="006875AC" w:rsidP="006875AC">
      <w:pPr>
        <w:pStyle w:val="SCCNormalDoubleSpacing"/>
        <w:spacing w:line="240" w:lineRule="auto"/>
        <w:rPr>
          <w:sz w:val="20"/>
          <w:lang w:val="fr-CA"/>
        </w:rPr>
      </w:pPr>
      <w:r w:rsidRPr="006F7D7E">
        <w:rPr>
          <w:sz w:val="20"/>
          <w:lang w:val="fr-CA"/>
        </w:rPr>
        <w:tab/>
        <w:t xml:space="preserve">POURVOI contre un arrêt de la Cour d’appel de l’Ontario (les juges </w:t>
      </w:r>
      <w:proofErr w:type="spellStart"/>
      <w:r w:rsidRPr="006F7D7E">
        <w:rPr>
          <w:sz w:val="20"/>
          <w:lang w:val="fr-CA"/>
        </w:rPr>
        <w:t>MacPherson</w:t>
      </w:r>
      <w:proofErr w:type="spellEnd"/>
      <w:r w:rsidRPr="006F7D7E">
        <w:rPr>
          <w:sz w:val="20"/>
          <w:lang w:val="fr-CA"/>
        </w:rPr>
        <w:t xml:space="preserve">, </w:t>
      </w:r>
      <w:proofErr w:type="spellStart"/>
      <w:r w:rsidRPr="006F7D7E">
        <w:rPr>
          <w:sz w:val="20"/>
          <w:lang w:val="fr-CA"/>
        </w:rPr>
        <w:t>Gillese</w:t>
      </w:r>
      <w:proofErr w:type="spellEnd"/>
      <w:r w:rsidRPr="006F7D7E">
        <w:rPr>
          <w:sz w:val="20"/>
          <w:lang w:val="fr-CA"/>
        </w:rPr>
        <w:t xml:space="preserve"> et </w:t>
      </w:r>
      <w:proofErr w:type="spellStart"/>
      <w:r w:rsidRPr="006F7D7E">
        <w:rPr>
          <w:sz w:val="20"/>
          <w:lang w:val="fr-CA"/>
        </w:rPr>
        <w:t>Juriansz</w:t>
      </w:r>
      <w:proofErr w:type="spellEnd"/>
      <w:r w:rsidRPr="006F7D7E">
        <w:rPr>
          <w:sz w:val="20"/>
          <w:lang w:val="fr-CA"/>
        </w:rPr>
        <w:t xml:space="preserve">), 2011 ONCA 578, 81 C.B.R. (5th) 165, 92 C.C.P.B. 277, [2011] O.J. No. 3959 (QL), 2011 </w:t>
      </w:r>
      <w:proofErr w:type="spellStart"/>
      <w:r w:rsidRPr="006F7D7E">
        <w:rPr>
          <w:sz w:val="20"/>
          <w:lang w:val="fr-CA"/>
        </w:rPr>
        <w:t>CarswellOnt</w:t>
      </w:r>
      <w:proofErr w:type="spellEnd"/>
      <w:r w:rsidRPr="006F7D7E">
        <w:rPr>
          <w:sz w:val="20"/>
          <w:lang w:val="fr-CA"/>
        </w:rPr>
        <w:t xml:space="preserve"> 9077.  Pourvoi rejeté.</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Benjamin </w:t>
      </w:r>
      <w:proofErr w:type="spellStart"/>
      <w:r w:rsidRPr="006F7D7E">
        <w:rPr>
          <w:i/>
          <w:sz w:val="20"/>
          <w:lang w:val="fr-CA"/>
        </w:rPr>
        <w:t>Zarnett</w:t>
      </w:r>
      <w:proofErr w:type="spellEnd"/>
      <w:r w:rsidRPr="006F7D7E">
        <w:rPr>
          <w:sz w:val="20"/>
          <w:lang w:val="fr-CA"/>
        </w:rPr>
        <w:t xml:space="preserve">, </w:t>
      </w:r>
      <w:r w:rsidRPr="006F7D7E">
        <w:rPr>
          <w:i/>
          <w:sz w:val="20"/>
          <w:lang w:val="fr-CA"/>
        </w:rPr>
        <w:t xml:space="preserve">Frederick L. Myers, Brian F. </w:t>
      </w:r>
      <w:proofErr w:type="spellStart"/>
      <w:r w:rsidRPr="006F7D7E">
        <w:rPr>
          <w:i/>
          <w:sz w:val="20"/>
          <w:lang w:val="fr-CA"/>
        </w:rPr>
        <w:t>Empey</w:t>
      </w:r>
      <w:proofErr w:type="spellEnd"/>
      <w:r w:rsidRPr="006F7D7E">
        <w:rPr>
          <w:sz w:val="20"/>
          <w:lang w:val="fr-CA"/>
        </w:rPr>
        <w:t xml:space="preserve"> et </w:t>
      </w:r>
      <w:r w:rsidRPr="006F7D7E">
        <w:rPr>
          <w:i/>
          <w:sz w:val="20"/>
          <w:lang w:val="fr-CA"/>
        </w:rPr>
        <w:t xml:space="preserve">Peter </w:t>
      </w:r>
      <w:proofErr w:type="spellStart"/>
      <w:r w:rsidRPr="006F7D7E">
        <w:rPr>
          <w:i/>
          <w:sz w:val="20"/>
          <w:lang w:val="fr-CA"/>
        </w:rPr>
        <w:t>Kolla</w:t>
      </w:r>
      <w:proofErr w:type="spellEnd"/>
      <w:r w:rsidRPr="006F7D7E">
        <w:rPr>
          <w:sz w:val="20"/>
          <w:lang w:val="fr-CA"/>
        </w:rPr>
        <w:t xml:space="preserve">, pour l’appelante Sun </w:t>
      </w:r>
      <w:proofErr w:type="spellStart"/>
      <w:r w:rsidRPr="006F7D7E">
        <w:rPr>
          <w:sz w:val="20"/>
          <w:lang w:val="fr-CA"/>
        </w:rPr>
        <w:t>Indalex</w:t>
      </w:r>
      <w:proofErr w:type="spellEnd"/>
      <w:r w:rsidRPr="006F7D7E">
        <w:rPr>
          <w:sz w:val="20"/>
          <w:lang w:val="fr-CA"/>
        </w:rPr>
        <w:t xml:space="preserve"> Finance, LLC.</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Harvey G. </w:t>
      </w:r>
      <w:proofErr w:type="spellStart"/>
      <w:r w:rsidRPr="006F7D7E">
        <w:rPr>
          <w:i/>
          <w:sz w:val="20"/>
          <w:lang w:val="fr-CA"/>
        </w:rPr>
        <w:t>Chaiton</w:t>
      </w:r>
      <w:proofErr w:type="spellEnd"/>
      <w:r w:rsidRPr="006F7D7E">
        <w:rPr>
          <w:sz w:val="20"/>
          <w:lang w:val="fr-CA"/>
        </w:rPr>
        <w:t xml:space="preserve"> et </w:t>
      </w:r>
      <w:r w:rsidRPr="006F7D7E">
        <w:rPr>
          <w:i/>
          <w:sz w:val="20"/>
          <w:lang w:val="fr-CA"/>
        </w:rPr>
        <w:t>George Benchetrit</w:t>
      </w:r>
      <w:r w:rsidRPr="006F7D7E">
        <w:rPr>
          <w:sz w:val="20"/>
          <w:lang w:val="fr-CA"/>
        </w:rPr>
        <w:t xml:space="preserve">, pour l’appelant George L. Miller, syndic de faillite des débitrices </w:t>
      </w:r>
      <w:proofErr w:type="spellStart"/>
      <w:r w:rsidRPr="006F7D7E">
        <w:rPr>
          <w:sz w:val="20"/>
          <w:lang w:val="fr-CA"/>
        </w:rPr>
        <w:t>Indalex</w:t>
      </w:r>
      <w:proofErr w:type="spellEnd"/>
      <w:r w:rsidRPr="006F7D7E">
        <w:rPr>
          <w:sz w:val="20"/>
          <w:lang w:val="fr-CA"/>
        </w:rPr>
        <w:t xml:space="preserve"> É.</w:t>
      </w:r>
      <w:r w:rsidRPr="006F7D7E">
        <w:rPr>
          <w:sz w:val="20"/>
          <w:lang w:val="fr-CA"/>
        </w:rPr>
        <w:noBreakHyphen/>
        <w:t>U., nommé en vertu du chapitre 7.</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David R. </w:t>
      </w:r>
      <w:proofErr w:type="spellStart"/>
      <w:r w:rsidRPr="006F7D7E">
        <w:rPr>
          <w:i/>
          <w:sz w:val="20"/>
          <w:lang w:val="fr-CA"/>
        </w:rPr>
        <w:t>Byers</w:t>
      </w:r>
      <w:proofErr w:type="spellEnd"/>
      <w:r w:rsidRPr="006F7D7E">
        <w:rPr>
          <w:i/>
          <w:sz w:val="20"/>
          <w:lang w:val="fr-CA"/>
        </w:rPr>
        <w:t>, Ashley John Taylor</w:t>
      </w:r>
      <w:r w:rsidRPr="006F7D7E">
        <w:rPr>
          <w:sz w:val="20"/>
          <w:lang w:val="fr-CA"/>
        </w:rPr>
        <w:t xml:space="preserve"> et </w:t>
      </w:r>
      <w:r w:rsidRPr="006F7D7E">
        <w:rPr>
          <w:i/>
          <w:sz w:val="20"/>
          <w:lang w:val="fr-CA"/>
        </w:rPr>
        <w:t xml:space="preserve">Nicholas Peter </w:t>
      </w:r>
      <w:proofErr w:type="spellStart"/>
      <w:r w:rsidRPr="006F7D7E">
        <w:rPr>
          <w:i/>
          <w:sz w:val="20"/>
          <w:lang w:val="fr-CA"/>
        </w:rPr>
        <w:t>McHaffie</w:t>
      </w:r>
      <w:proofErr w:type="spellEnd"/>
      <w:r w:rsidRPr="006F7D7E">
        <w:rPr>
          <w:sz w:val="20"/>
          <w:lang w:val="fr-CA"/>
        </w:rPr>
        <w:t>, pour l’appelante FTI Consulting Canada ULC, en sa qualité de contrôleur d’</w:t>
      </w:r>
      <w:proofErr w:type="spellStart"/>
      <w:r w:rsidRPr="006F7D7E">
        <w:rPr>
          <w:sz w:val="20"/>
          <w:lang w:val="fr-CA"/>
        </w:rPr>
        <w:t>Indalex</w:t>
      </w:r>
      <w:proofErr w:type="spellEnd"/>
      <w:r w:rsidRPr="006F7D7E">
        <w:rPr>
          <w:sz w:val="20"/>
          <w:lang w:val="fr-CA"/>
        </w:rPr>
        <w:t xml:space="preserve"> Limited désigné par le tribunal, au nom d’</w:t>
      </w:r>
      <w:proofErr w:type="spellStart"/>
      <w:r w:rsidRPr="006F7D7E">
        <w:rPr>
          <w:sz w:val="20"/>
          <w:lang w:val="fr-CA"/>
        </w:rPr>
        <w:t>Indalex</w:t>
      </w:r>
      <w:proofErr w:type="spellEnd"/>
      <w:r w:rsidRPr="006F7D7E">
        <w:rPr>
          <w:sz w:val="20"/>
          <w:lang w:val="fr-CA"/>
        </w:rPr>
        <w:t xml:space="preserve"> Limited.</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r>
      <w:proofErr w:type="spellStart"/>
      <w:r w:rsidRPr="006F7D7E">
        <w:rPr>
          <w:i/>
          <w:sz w:val="20"/>
          <w:lang w:val="fr-CA"/>
        </w:rPr>
        <w:t>Darrell</w:t>
      </w:r>
      <w:proofErr w:type="spellEnd"/>
      <w:r w:rsidRPr="006F7D7E">
        <w:rPr>
          <w:i/>
          <w:sz w:val="20"/>
          <w:lang w:val="fr-CA"/>
        </w:rPr>
        <w:t> L. Brown</w:t>
      </w:r>
      <w:r w:rsidRPr="006F7D7E">
        <w:rPr>
          <w:sz w:val="20"/>
          <w:lang w:val="fr-CA"/>
        </w:rPr>
        <w:t>, pour l’</w:t>
      </w:r>
      <w:proofErr w:type="spellStart"/>
      <w:r w:rsidRPr="006F7D7E">
        <w:rPr>
          <w:sz w:val="20"/>
          <w:lang w:val="fr-CA"/>
        </w:rPr>
        <w:t>appellant</w:t>
      </w:r>
      <w:proofErr w:type="spellEnd"/>
      <w:r w:rsidRPr="006F7D7E">
        <w:rPr>
          <w:sz w:val="20"/>
          <w:lang w:val="fr-CA"/>
        </w:rPr>
        <w:t>/intimé le Syndicat des Métallos.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Andrew J. </w:t>
      </w:r>
      <w:proofErr w:type="spellStart"/>
      <w:r w:rsidRPr="006F7D7E">
        <w:rPr>
          <w:i/>
          <w:sz w:val="20"/>
          <w:lang w:val="fr-CA"/>
        </w:rPr>
        <w:t>Hatnay</w:t>
      </w:r>
      <w:proofErr w:type="spellEnd"/>
      <w:r w:rsidRPr="006F7D7E">
        <w:rPr>
          <w:sz w:val="20"/>
          <w:lang w:val="fr-CA"/>
        </w:rPr>
        <w:t xml:space="preserve"> et </w:t>
      </w:r>
      <w:proofErr w:type="spellStart"/>
      <w:r w:rsidRPr="006F7D7E">
        <w:rPr>
          <w:i/>
          <w:sz w:val="20"/>
          <w:lang w:val="fr-CA"/>
        </w:rPr>
        <w:t>Demetrios</w:t>
      </w:r>
      <w:proofErr w:type="spellEnd"/>
      <w:r w:rsidRPr="006F7D7E">
        <w:rPr>
          <w:i/>
          <w:sz w:val="20"/>
          <w:lang w:val="fr-CA"/>
        </w:rPr>
        <w:t xml:space="preserve"> </w:t>
      </w:r>
      <w:proofErr w:type="spellStart"/>
      <w:r w:rsidRPr="006F7D7E">
        <w:rPr>
          <w:i/>
          <w:sz w:val="20"/>
          <w:lang w:val="fr-CA"/>
        </w:rPr>
        <w:t>Yiokaris</w:t>
      </w:r>
      <w:proofErr w:type="spellEnd"/>
      <w:r w:rsidRPr="006F7D7E">
        <w:rPr>
          <w:sz w:val="20"/>
          <w:lang w:val="fr-CA"/>
        </w:rPr>
        <w:t xml:space="preserve">, pour les intimés Keith </w:t>
      </w:r>
      <w:proofErr w:type="spellStart"/>
      <w:r w:rsidRPr="006F7D7E">
        <w:rPr>
          <w:sz w:val="20"/>
          <w:lang w:val="fr-CA"/>
        </w:rPr>
        <w:t>Carruthers</w:t>
      </w:r>
      <w:proofErr w:type="spellEnd"/>
      <w:r w:rsidRPr="006F7D7E">
        <w:rPr>
          <w:sz w:val="20"/>
          <w:lang w:val="fr-CA"/>
        </w:rPr>
        <w:t>, et autres.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Hugh </w:t>
      </w:r>
      <w:proofErr w:type="spellStart"/>
      <w:r w:rsidRPr="006F7D7E">
        <w:rPr>
          <w:i/>
          <w:sz w:val="20"/>
          <w:lang w:val="fr-CA"/>
        </w:rPr>
        <w:t>O’Reilly</w:t>
      </w:r>
      <w:proofErr w:type="spellEnd"/>
      <w:r w:rsidRPr="006F7D7E">
        <w:rPr>
          <w:sz w:val="20"/>
          <w:lang w:val="fr-CA"/>
        </w:rPr>
        <w:t xml:space="preserve"> et </w:t>
      </w:r>
      <w:r w:rsidRPr="006F7D7E">
        <w:rPr>
          <w:i/>
          <w:sz w:val="20"/>
          <w:lang w:val="fr-CA"/>
        </w:rPr>
        <w:t xml:space="preserve">Amanda </w:t>
      </w:r>
      <w:proofErr w:type="spellStart"/>
      <w:r w:rsidRPr="006F7D7E">
        <w:rPr>
          <w:i/>
          <w:sz w:val="20"/>
          <w:lang w:val="fr-CA"/>
        </w:rPr>
        <w:t>Darrach</w:t>
      </w:r>
      <w:proofErr w:type="spellEnd"/>
      <w:r w:rsidRPr="006F7D7E">
        <w:rPr>
          <w:sz w:val="20"/>
          <w:lang w:val="fr-CA"/>
        </w:rPr>
        <w:t xml:space="preserve">, pour l’intimée </w:t>
      </w:r>
      <w:proofErr w:type="spellStart"/>
      <w:r w:rsidRPr="006F7D7E">
        <w:rPr>
          <w:sz w:val="20"/>
          <w:lang w:val="fr-CA"/>
        </w:rPr>
        <w:t>Morneau</w:t>
      </w:r>
      <w:proofErr w:type="spellEnd"/>
      <w:r w:rsidRPr="006F7D7E">
        <w:rPr>
          <w:sz w:val="20"/>
          <w:lang w:val="fr-CA"/>
        </w:rPr>
        <w:t xml:space="preserve"> </w:t>
      </w:r>
      <w:proofErr w:type="spellStart"/>
      <w:r w:rsidRPr="006F7D7E">
        <w:rPr>
          <w:sz w:val="20"/>
          <w:lang w:val="fr-CA"/>
        </w:rPr>
        <w:t>Shepell</w:t>
      </w:r>
      <w:proofErr w:type="spellEnd"/>
      <w:r w:rsidRPr="006F7D7E">
        <w:rPr>
          <w:sz w:val="20"/>
          <w:lang w:val="fr-CA"/>
        </w:rPr>
        <w:t xml:space="preserve"> </w:t>
      </w:r>
      <w:proofErr w:type="spellStart"/>
      <w:r w:rsidRPr="006F7D7E">
        <w:rPr>
          <w:sz w:val="20"/>
          <w:lang w:val="fr-CA"/>
        </w:rPr>
        <w:t>ltée</w:t>
      </w:r>
      <w:proofErr w:type="spellEnd"/>
      <w:r w:rsidRPr="006F7D7E">
        <w:rPr>
          <w:sz w:val="20"/>
          <w:lang w:val="fr-CA"/>
        </w:rPr>
        <w:t xml:space="preserve"> (anciennement connue sous le nom de </w:t>
      </w:r>
      <w:proofErr w:type="spellStart"/>
      <w:r w:rsidRPr="006F7D7E">
        <w:rPr>
          <w:sz w:val="20"/>
          <w:lang w:val="fr-CA"/>
        </w:rPr>
        <w:t>Morneau</w:t>
      </w:r>
      <w:proofErr w:type="spellEnd"/>
      <w:r w:rsidRPr="006F7D7E">
        <w:rPr>
          <w:sz w:val="20"/>
          <w:lang w:val="fr-CA"/>
        </w:rPr>
        <w:t xml:space="preserve"> </w:t>
      </w:r>
      <w:proofErr w:type="spellStart"/>
      <w:r w:rsidRPr="006F7D7E">
        <w:rPr>
          <w:sz w:val="20"/>
          <w:lang w:val="fr-CA"/>
        </w:rPr>
        <w:t>Sobeco</w:t>
      </w:r>
      <w:proofErr w:type="spellEnd"/>
      <w:r w:rsidRPr="006F7D7E">
        <w:rPr>
          <w:sz w:val="20"/>
          <w:lang w:val="fr-CA"/>
        </w:rPr>
        <w:t>, société en commandite).</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Mark Bailey</w:t>
      </w:r>
      <w:r w:rsidRPr="006F7D7E">
        <w:rPr>
          <w:sz w:val="20"/>
          <w:lang w:val="fr-CA"/>
        </w:rPr>
        <w:t xml:space="preserve">, </w:t>
      </w:r>
      <w:r w:rsidRPr="006F7D7E">
        <w:rPr>
          <w:i/>
          <w:sz w:val="20"/>
          <w:lang w:val="fr-CA"/>
        </w:rPr>
        <w:t xml:space="preserve">Leonard </w:t>
      </w:r>
      <w:proofErr w:type="spellStart"/>
      <w:r w:rsidRPr="006F7D7E">
        <w:rPr>
          <w:i/>
          <w:sz w:val="20"/>
          <w:lang w:val="fr-CA"/>
        </w:rPr>
        <w:t>Marsello</w:t>
      </w:r>
      <w:proofErr w:type="spellEnd"/>
      <w:r w:rsidRPr="006F7D7E">
        <w:rPr>
          <w:i/>
          <w:sz w:val="20"/>
          <w:lang w:val="fr-CA"/>
        </w:rPr>
        <w:t xml:space="preserve"> et William </w:t>
      </w:r>
      <w:proofErr w:type="spellStart"/>
      <w:r w:rsidRPr="006F7D7E">
        <w:rPr>
          <w:i/>
          <w:sz w:val="20"/>
          <w:lang w:val="fr-CA"/>
        </w:rPr>
        <w:t>MacLarkey</w:t>
      </w:r>
      <w:proofErr w:type="spellEnd"/>
      <w:r w:rsidRPr="006F7D7E">
        <w:rPr>
          <w:sz w:val="20"/>
          <w:lang w:val="fr-CA"/>
        </w:rPr>
        <w:t>, pour l’intimé/intervenant le Surintendant des services financiers.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Robert I. </w:t>
      </w:r>
      <w:proofErr w:type="spellStart"/>
      <w:r w:rsidRPr="006F7D7E">
        <w:rPr>
          <w:i/>
          <w:sz w:val="20"/>
          <w:lang w:val="fr-CA"/>
        </w:rPr>
        <w:t>Thornton</w:t>
      </w:r>
      <w:proofErr w:type="spellEnd"/>
      <w:r w:rsidRPr="006F7D7E">
        <w:rPr>
          <w:sz w:val="20"/>
          <w:lang w:val="fr-CA"/>
        </w:rPr>
        <w:t xml:space="preserve"> et </w:t>
      </w:r>
      <w:r w:rsidRPr="006F7D7E">
        <w:rPr>
          <w:i/>
          <w:sz w:val="20"/>
          <w:lang w:val="fr-CA"/>
        </w:rPr>
        <w:t>D. J. Miller</w:t>
      </w:r>
      <w:r w:rsidRPr="006F7D7E">
        <w:rPr>
          <w:sz w:val="20"/>
          <w:lang w:val="fr-CA"/>
        </w:rPr>
        <w:t>, pour l’intervenant l’Institut d’insolvabilité du Canada.</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Steven </w:t>
      </w:r>
      <w:proofErr w:type="spellStart"/>
      <w:r w:rsidRPr="006F7D7E">
        <w:rPr>
          <w:i/>
          <w:sz w:val="20"/>
          <w:lang w:val="fr-CA"/>
        </w:rPr>
        <w:t>Barrett</w:t>
      </w:r>
      <w:proofErr w:type="spellEnd"/>
      <w:r w:rsidRPr="006F7D7E">
        <w:rPr>
          <w:sz w:val="20"/>
          <w:lang w:val="fr-CA"/>
        </w:rPr>
        <w:t xml:space="preserve"> et </w:t>
      </w:r>
      <w:r w:rsidRPr="006F7D7E">
        <w:rPr>
          <w:i/>
          <w:sz w:val="20"/>
          <w:lang w:val="fr-CA"/>
        </w:rPr>
        <w:t xml:space="preserve">Ethan </w:t>
      </w:r>
      <w:proofErr w:type="spellStart"/>
      <w:r w:rsidRPr="006F7D7E">
        <w:rPr>
          <w:i/>
          <w:sz w:val="20"/>
          <w:lang w:val="fr-CA"/>
        </w:rPr>
        <w:t>Poskanzer</w:t>
      </w:r>
      <w:proofErr w:type="spellEnd"/>
      <w:r w:rsidRPr="006F7D7E">
        <w:rPr>
          <w:sz w:val="20"/>
          <w:lang w:val="fr-CA"/>
        </w:rPr>
        <w:t>, pour l’intervenant le Congrès du travail du Canada.</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Kenneth T. Rosenberg</w:t>
      </w:r>
      <w:r w:rsidRPr="006F7D7E">
        <w:rPr>
          <w:sz w:val="20"/>
          <w:lang w:val="fr-CA"/>
        </w:rPr>
        <w:t xml:space="preserve">, </w:t>
      </w:r>
      <w:r w:rsidRPr="006F7D7E">
        <w:rPr>
          <w:i/>
          <w:sz w:val="20"/>
          <w:lang w:val="fr-CA"/>
        </w:rPr>
        <w:t xml:space="preserve">Andrew K. </w:t>
      </w:r>
      <w:proofErr w:type="spellStart"/>
      <w:r w:rsidRPr="006F7D7E">
        <w:rPr>
          <w:i/>
          <w:sz w:val="20"/>
          <w:lang w:val="fr-CA"/>
        </w:rPr>
        <w:t>Lokan</w:t>
      </w:r>
      <w:proofErr w:type="spellEnd"/>
      <w:r w:rsidRPr="006F7D7E">
        <w:rPr>
          <w:sz w:val="20"/>
          <w:lang w:val="fr-CA"/>
        </w:rPr>
        <w:t xml:space="preserve"> et </w:t>
      </w:r>
      <w:r w:rsidRPr="006F7D7E">
        <w:rPr>
          <w:i/>
          <w:sz w:val="20"/>
          <w:lang w:val="fr-CA"/>
        </w:rPr>
        <w:t xml:space="preserve">Massimo </w:t>
      </w:r>
      <w:proofErr w:type="spellStart"/>
      <w:r w:rsidRPr="006F7D7E">
        <w:rPr>
          <w:i/>
          <w:sz w:val="20"/>
          <w:lang w:val="fr-CA"/>
        </w:rPr>
        <w:t>Starnino</w:t>
      </w:r>
      <w:proofErr w:type="spellEnd"/>
      <w:r w:rsidRPr="006F7D7E">
        <w:rPr>
          <w:sz w:val="20"/>
          <w:lang w:val="fr-CA"/>
        </w:rPr>
        <w:t>, pour l’intervenante la Fédération canadienne des retraités.</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 xml:space="preserve">Éric </w:t>
      </w:r>
      <w:proofErr w:type="spellStart"/>
      <w:r w:rsidRPr="006F7D7E">
        <w:rPr>
          <w:i/>
          <w:sz w:val="20"/>
          <w:lang w:val="fr-CA"/>
        </w:rPr>
        <w:t>Vallières</w:t>
      </w:r>
      <w:proofErr w:type="spellEnd"/>
      <w:r w:rsidRPr="006F7D7E">
        <w:rPr>
          <w:sz w:val="20"/>
          <w:lang w:val="fr-CA"/>
        </w:rPr>
        <w:t xml:space="preserve">, </w:t>
      </w:r>
      <w:r w:rsidRPr="006F7D7E">
        <w:rPr>
          <w:i/>
          <w:sz w:val="20"/>
          <w:lang w:val="fr-CA"/>
        </w:rPr>
        <w:t xml:space="preserve">Alexandre Forest </w:t>
      </w:r>
      <w:r w:rsidRPr="006F7D7E">
        <w:rPr>
          <w:sz w:val="20"/>
          <w:lang w:val="fr-CA"/>
        </w:rPr>
        <w:t>et</w:t>
      </w:r>
      <w:r w:rsidRPr="006F7D7E">
        <w:rPr>
          <w:i/>
          <w:sz w:val="20"/>
          <w:lang w:val="fr-CA"/>
        </w:rPr>
        <w:t xml:space="preserve"> </w:t>
      </w:r>
      <w:proofErr w:type="spellStart"/>
      <w:r w:rsidRPr="006F7D7E">
        <w:rPr>
          <w:i/>
          <w:sz w:val="20"/>
          <w:lang w:val="fr-CA"/>
        </w:rPr>
        <w:t>Yoine</w:t>
      </w:r>
      <w:proofErr w:type="spellEnd"/>
      <w:r w:rsidRPr="006F7D7E">
        <w:rPr>
          <w:i/>
          <w:sz w:val="20"/>
          <w:lang w:val="fr-CA"/>
        </w:rPr>
        <w:t xml:space="preserve"> Goldstein</w:t>
      </w:r>
      <w:r w:rsidRPr="006F7D7E">
        <w:rPr>
          <w:sz w:val="20"/>
          <w:lang w:val="fr-CA"/>
        </w:rPr>
        <w:t>, pour l’intervenante l’Association canadienne des professionnels de l’insolvabilité et de la réorganisation.</w:t>
      </w:r>
    </w:p>
    <w:p w:rsidR="006875AC" w:rsidRDefault="006875AC" w:rsidP="006875AC">
      <w:pPr>
        <w:pStyle w:val="SCCNormalDoubleSpacing"/>
        <w:spacing w:line="240" w:lineRule="auto"/>
        <w:rPr>
          <w:i/>
          <w:sz w:val="20"/>
          <w:lang w:val="fr-CA"/>
        </w:rPr>
      </w:pPr>
    </w:p>
    <w:p w:rsidR="006875AC" w:rsidRPr="006F7D7E" w:rsidRDefault="006875AC" w:rsidP="006875AC">
      <w:pPr>
        <w:pStyle w:val="SCCNormalDoubleSpacing"/>
        <w:spacing w:line="240" w:lineRule="auto"/>
        <w:rPr>
          <w:sz w:val="20"/>
          <w:lang w:val="fr-CA"/>
        </w:rPr>
      </w:pPr>
      <w:r w:rsidRPr="006F7D7E">
        <w:rPr>
          <w:i/>
          <w:sz w:val="20"/>
          <w:lang w:val="fr-CA"/>
        </w:rPr>
        <w:tab/>
        <w:t>Mahmud Jamal</w:t>
      </w:r>
      <w:r w:rsidRPr="006F7D7E">
        <w:rPr>
          <w:sz w:val="20"/>
          <w:lang w:val="fr-CA"/>
        </w:rPr>
        <w:t xml:space="preserve">, </w:t>
      </w:r>
      <w:r w:rsidRPr="006F7D7E">
        <w:rPr>
          <w:i/>
          <w:sz w:val="20"/>
          <w:lang w:val="fr-CA"/>
        </w:rPr>
        <w:t xml:space="preserve">Jeremy </w:t>
      </w:r>
      <w:proofErr w:type="spellStart"/>
      <w:r w:rsidRPr="006F7D7E">
        <w:rPr>
          <w:i/>
          <w:sz w:val="20"/>
          <w:lang w:val="fr-CA"/>
        </w:rPr>
        <w:t>Dacks</w:t>
      </w:r>
      <w:proofErr w:type="spellEnd"/>
      <w:r w:rsidRPr="006F7D7E">
        <w:rPr>
          <w:i/>
          <w:sz w:val="20"/>
          <w:lang w:val="fr-CA"/>
        </w:rPr>
        <w:t xml:space="preserve"> </w:t>
      </w:r>
      <w:r w:rsidRPr="006F7D7E">
        <w:rPr>
          <w:sz w:val="20"/>
          <w:lang w:val="fr-CA"/>
        </w:rPr>
        <w:t>et</w:t>
      </w:r>
      <w:r w:rsidRPr="006F7D7E">
        <w:rPr>
          <w:i/>
          <w:sz w:val="20"/>
          <w:lang w:val="fr-CA"/>
        </w:rPr>
        <w:t xml:space="preserve"> Tony </w:t>
      </w:r>
      <w:proofErr w:type="spellStart"/>
      <w:r w:rsidRPr="006F7D7E">
        <w:rPr>
          <w:i/>
          <w:sz w:val="20"/>
          <w:lang w:val="fr-CA"/>
        </w:rPr>
        <w:t>Devir</w:t>
      </w:r>
      <w:proofErr w:type="spellEnd"/>
      <w:r w:rsidRPr="006F7D7E">
        <w:rPr>
          <w:sz w:val="20"/>
          <w:lang w:val="fr-CA"/>
        </w:rPr>
        <w:t>, pour l’intervenante l’Association des banquiers canadiens.</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 xml:space="preserve">Procureurs de l’appelante Sun </w:t>
      </w:r>
      <w:proofErr w:type="spellStart"/>
      <w:r w:rsidRPr="006F7D7E">
        <w:rPr>
          <w:sz w:val="20"/>
          <w:lang w:val="fr-CA"/>
        </w:rPr>
        <w:t>Indalex</w:t>
      </w:r>
      <w:proofErr w:type="spellEnd"/>
      <w:r w:rsidRPr="006F7D7E">
        <w:rPr>
          <w:sz w:val="20"/>
          <w:lang w:val="fr-CA"/>
        </w:rPr>
        <w:t xml:space="preserve"> Finance, LLC : </w:t>
      </w:r>
      <w:proofErr w:type="spellStart"/>
      <w:r w:rsidRPr="006F7D7E">
        <w:rPr>
          <w:sz w:val="20"/>
          <w:lang w:val="fr-CA"/>
        </w:rPr>
        <w:t>Goodmans</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 xml:space="preserve">Procureurs de l’appelant George L. Miller, syndic de faillite des débitrices </w:t>
      </w:r>
      <w:proofErr w:type="spellStart"/>
      <w:r w:rsidRPr="006F7D7E">
        <w:rPr>
          <w:sz w:val="20"/>
          <w:lang w:val="fr-CA"/>
        </w:rPr>
        <w:t>Indalex</w:t>
      </w:r>
      <w:proofErr w:type="spellEnd"/>
      <w:r w:rsidRPr="006F7D7E">
        <w:rPr>
          <w:sz w:val="20"/>
          <w:lang w:val="fr-CA"/>
        </w:rPr>
        <w:t xml:space="preserve"> É.</w:t>
      </w:r>
      <w:r w:rsidRPr="006F7D7E">
        <w:rPr>
          <w:sz w:val="20"/>
          <w:lang w:val="fr-CA"/>
        </w:rPr>
        <w:noBreakHyphen/>
        <w:t>U., nommé en vertu du chapitre 7 : </w:t>
      </w:r>
      <w:proofErr w:type="spellStart"/>
      <w:r w:rsidRPr="006F7D7E">
        <w:rPr>
          <w:sz w:val="20"/>
          <w:lang w:val="fr-CA"/>
        </w:rPr>
        <w:t>Chaitons</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Procureurs de l’appelante FTI Consulting Canada ULC, en sa qualité de contrôleur d’</w:t>
      </w:r>
      <w:proofErr w:type="spellStart"/>
      <w:r w:rsidRPr="006F7D7E">
        <w:rPr>
          <w:sz w:val="20"/>
          <w:lang w:val="fr-CA"/>
        </w:rPr>
        <w:t>Indalex</w:t>
      </w:r>
      <w:proofErr w:type="spellEnd"/>
      <w:r w:rsidRPr="006F7D7E">
        <w:rPr>
          <w:sz w:val="20"/>
          <w:lang w:val="fr-CA"/>
        </w:rPr>
        <w:t xml:space="preserve"> Limited désigné par le tribunal, au nom d’</w:t>
      </w:r>
      <w:proofErr w:type="spellStart"/>
      <w:r w:rsidRPr="006F7D7E">
        <w:rPr>
          <w:sz w:val="20"/>
          <w:lang w:val="fr-CA"/>
        </w:rPr>
        <w:t>Indalex</w:t>
      </w:r>
      <w:proofErr w:type="spellEnd"/>
      <w:r w:rsidRPr="006F7D7E">
        <w:rPr>
          <w:sz w:val="20"/>
          <w:lang w:val="fr-CA"/>
        </w:rPr>
        <w:t xml:space="preserve"> Limited : </w:t>
      </w:r>
      <w:proofErr w:type="spellStart"/>
      <w:r w:rsidRPr="006F7D7E">
        <w:rPr>
          <w:sz w:val="20"/>
          <w:lang w:val="fr-CA"/>
        </w:rPr>
        <w:t>Stikeman</w:t>
      </w:r>
      <w:proofErr w:type="spellEnd"/>
      <w:r w:rsidRPr="006F7D7E">
        <w:rPr>
          <w:sz w:val="20"/>
          <w:lang w:val="fr-CA"/>
        </w:rPr>
        <w:t xml:space="preserve"> Elliott,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Procureurs de l’appelant/intimé le Syndicat des Métallos : </w:t>
      </w:r>
      <w:proofErr w:type="spellStart"/>
      <w:r w:rsidRPr="006F7D7E">
        <w:rPr>
          <w:sz w:val="20"/>
          <w:lang w:val="fr-CA"/>
        </w:rPr>
        <w:t>Sack</w:t>
      </w:r>
      <w:proofErr w:type="spellEnd"/>
      <w:r w:rsidRPr="006F7D7E">
        <w:rPr>
          <w:sz w:val="20"/>
          <w:lang w:val="fr-CA"/>
        </w:rPr>
        <w:t xml:space="preserve"> </w:t>
      </w:r>
      <w:proofErr w:type="spellStart"/>
      <w:r w:rsidRPr="006F7D7E">
        <w:rPr>
          <w:sz w:val="20"/>
          <w:lang w:val="fr-CA"/>
        </w:rPr>
        <w:t>Goldblatt</w:t>
      </w:r>
      <w:proofErr w:type="spellEnd"/>
      <w:r w:rsidRPr="006F7D7E">
        <w:rPr>
          <w:sz w:val="20"/>
          <w:lang w:val="fr-CA"/>
        </w:rPr>
        <w:t xml:space="preserve"> Mitchell,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 xml:space="preserve">Procureurs des intimés Keith </w:t>
      </w:r>
      <w:proofErr w:type="spellStart"/>
      <w:r w:rsidRPr="006F7D7E">
        <w:rPr>
          <w:sz w:val="20"/>
          <w:lang w:val="fr-CA"/>
        </w:rPr>
        <w:t>Carruthers</w:t>
      </w:r>
      <w:proofErr w:type="spellEnd"/>
      <w:r w:rsidRPr="006F7D7E">
        <w:rPr>
          <w:sz w:val="20"/>
          <w:lang w:val="fr-CA"/>
        </w:rPr>
        <w:t>, et autres : </w:t>
      </w:r>
      <w:proofErr w:type="spellStart"/>
      <w:r w:rsidRPr="006F7D7E">
        <w:rPr>
          <w:sz w:val="20"/>
          <w:lang w:val="fr-CA"/>
        </w:rPr>
        <w:t>Koskie</w:t>
      </w:r>
      <w:proofErr w:type="spellEnd"/>
      <w:r w:rsidRPr="006F7D7E">
        <w:rPr>
          <w:sz w:val="20"/>
          <w:lang w:val="fr-CA"/>
        </w:rPr>
        <w:t xml:space="preserve"> </w:t>
      </w:r>
      <w:proofErr w:type="spellStart"/>
      <w:r w:rsidRPr="006F7D7E">
        <w:rPr>
          <w:sz w:val="20"/>
          <w:lang w:val="fr-CA"/>
        </w:rPr>
        <w:t>Minsky</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 xml:space="preserve">Procureurs de l’intimée </w:t>
      </w:r>
      <w:proofErr w:type="spellStart"/>
      <w:r w:rsidRPr="006F7D7E">
        <w:rPr>
          <w:sz w:val="20"/>
          <w:lang w:val="fr-CA"/>
        </w:rPr>
        <w:t>Morneau</w:t>
      </w:r>
      <w:proofErr w:type="spellEnd"/>
      <w:r w:rsidRPr="006F7D7E">
        <w:rPr>
          <w:sz w:val="20"/>
          <w:lang w:val="fr-CA"/>
        </w:rPr>
        <w:t xml:space="preserve"> </w:t>
      </w:r>
      <w:proofErr w:type="spellStart"/>
      <w:r w:rsidRPr="006F7D7E">
        <w:rPr>
          <w:sz w:val="20"/>
          <w:lang w:val="fr-CA"/>
        </w:rPr>
        <w:t>Shepell</w:t>
      </w:r>
      <w:proofErr w:type="spellEnd"/>
      <w:r w:rsidRPr="006F7D7E">
        <w:rPr>
          <w:sz w:val="20"/>
          <w:lang w:val="fr-CA"/>
        </w:rPr>
        <w:t xml:space="preserve"> </w:t>
      </w:r>
      <w:proofErr w:type="spellStart"/>
      <w:r w:rsidRPr="006F7D7E">
        <w:rPr>
          <w:sz w:val="20"/>
          <w:lang w:val="fr-CA"/>
        </w:rPr>
        <w:t>ltée</w:t>
      </w:r>
      <w:proofErr w:type="spellEnd"/>
      <w:r w:rsidRPr="006F7D7E">
        <w:rPr>
          <w:sz w:val="20"/>
          <w:lang w:val="fr-CA"/>
        </w:rPr>
        <w:t xml:space="preserve"> (anciennement connue sous le nom de </w:t>
      </w:r>
      <w:proofErr w:type="spellStart"/>
      <w:r w:rsidRPr="006F7D7E">
        <w:rPr>
          <w:sz w:val="20"/>
          <w:lang w:val="fr-CA"/>
        </w:rPr>
        <w:t>Morneau</w:t>
      </w:r>
      <w:proofErr w:type="spellEnd"/>
      <w:r w:rsidRPr="006F7D7E">
        <w:rPr>
          <w:sz w:val="20"/>
          <w:lang w:val="fr-CA"/>
        </w:rPr>
        <w:t xml:space="preserve"> </w:t>
      </w:r>
      <w:proofErr w:type="spellStart"/>
      <w:r w:rsidRPr="006F7D7E">
        <w:rPr>
          <w:sz w:val="20"/>
          <w:lang w:val="fr-CA"/>
        </w:rPr>
        <w:t>Sobeco</w:t>
      </w:r>
      <w:proofErr w:type="spellEnd"/>
      <w:r w:rsidRPr="006F7D7E">
        <w:rPr>
          <w:sz w:val="20"/>
          <w:lang w:val="fr-CA"/>
        </w:rPr>
        <w:t>, société en commandite) : </w:t>
      </w:r>
      <w:proofErr w:type="spellStart"/>
      <w:r w:rsidRPr="006F7D7E">
        <w:rPr>
          <w:sz w:val="20"/>
          <w:lang w:val="fr-CA"/>
        </w:rPr>
        <w:t>Cavalluzzo</w:t>
      </w:r>
      <w:proofErr w:type="spellEnd"/>
      <w:r w:rsidRPr="006F7D7E">
        <w:rPr>
          <w:sz w:val="20"/>
          <w:lang w:val="fr-CA"/>
        </w:rPr>
        <w:t xml:space="preserve"> Hayes </w:t>
      </w:r>
      <w:proofErr w:type="spellStart"/>
      <w:r w:rsidRPr="006F7D7E">
        <w:rPr>
          <w:sz w:val="20"/>
          <w:lang w:val="fr-CA"/>
        </w:rPr>
        <w:t>Shilton</w:t>
      </w:r>
      <w:proofErr w:type="spellEnd"/>
      <w:r w:rsidRPr="006F7D7E">
        <w:rPr>
          <w:sz w:val="20"/>
          <w:lang w:val="fr-CA"/>
        </w:rPr>
        <w:t xml:space="preserve"> McIntyre &amp; </w:t>
      </w:r>
      <w:proofErr w:type="spellStart"/>
      <w:r w:rsidRPr="006F7D7E">
        <w:rPr>
          <w:sz w:val="20"/>
          <w:lang w:val="fr-CA"/>
        </w:rPr>
        <w:t>Cornish</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 de l’intimé/intervenant le Surintendant des services financiers : Procureur général de l’Ontario,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Procureurs de l’intervenant l’Institut d’insolvabilité du Canada : </w:t>
      </w:r>
      <w:proofErr w:type="spellStart"/>
      <w:r w:rsidRPr="006F7D7E">
        <w:rPr>
          <w:sz w:val="20"/>
          <w:lang w:val="fr-CA"/>
        </w:rPr>
        <w:t>Thornton</w:t>
      </w:r>
      <w:proofErr w:type="spellEnd"/>
      <w:r w:rsidRPr="006F7D7E">
        <w:rPr>
          <w:sz w:val="20"/>
          <w:lang w:val="fr-CA"/>
        </w:rPr>
        <w:t xml:space="preserve"> </w:t>
      </w:r>
      <w:proofErr w:type="spellStart"/>
      <w:r w:rsidRPr="006F7D7E">
        <w:rPr>
          <w:sz w:val="20"/>
          <w:lang w:val="fr-CA"/>
        </w:rPr>
        <w:t>Grout</w:t>
      </w:r>
      <w:proofErr w:type="spellEnd"/>
      <w:r w:rsidRPr="006F7D7E">
        <w:rPr>
          <w:sz w:val="20"/>
          <w:lang w:val="fr-CA"/>
        </w:rPr>
        <w:t xml:space="preserve"> </w:t>
      </w:r>
      <w:proofErr w:type="spellStart"/>
      <w:r w:rsidRPr="006F7D7E">
        <w:rPr>
          <w:sz w:val="20"/>
          <w:lang w:val="fr-CA"/>
        </w:rPr>
        <w:t>Finnigan</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Procureurs de l’intervenant le Congrès du travail du Canada : </w:t>
      </w:r>
      <w:proofErr w:type="spellStart"/>
      <w:r w:rsidRPr="006F7D7E">
        <w:rPr>
          <w:sz w:val="20"/>
          <w:lang w:val="fr-CA"/>
        </w:rPr>
        <w:t>Sack</w:t>
      </w:r>
      <w:proofErr w:type="spellEnd"/>
      <w:r w:rsidRPr="006F7D7E">
        <w:rPr>
          <w:sz w:val="20"/>
          <w:lang w:val="fr-CA"/>
        </w:rPr>
        <w:t xml:space="preserve"> </w:t>
      </w:r>
      <w:proofErr w:type="spellStart"/>
      <w:r w:rsidRPr="006F7D7E">
        <w:rPr>
          <w:sz w:val="20"/>
          <w:lang w:val="fr-CA"/>
        </w:rPr>
        <w:t>Goldblatt</w:t>
      </w:r>
      <w:proofErr w:type="spellEnd"/>
      <w:r w:rsidRPr="006F7D7E">
        <w:rPr>
          <w:sz w:val="20"/>
          <w:lang w:val="fr-CA"/>
        </w:rPr>
        <w:t xml:space="preserve"> Mitchell, Toronto.</w:t>
      </w:r>
    </w:p>
    <w:p w:rsidR="006875AC" w:rsidRDefault="006875AC" w:rsidP="006875AC">
      <w:pPr>
        <w:pStyle w:val="SCCLawFirm"/>
        <w:spacing w:line="240" w:lineRule="auto"/>
        <w:rPr>
          <w:sz w:val="20"/>
          <w:lang w:val="fr-CA"/>
        </w:rPr>
      </w:pPr>
    </w:p>
    <w:p w:rsidR="006875AC" w:rsidRDefault="006875AC">
      <w:pPr>
        <w:rPr>
          <w:rFonts w:eastAsia="Times New Roman" w:cs="Times New Roman"/>
          <w:szCs w:val="20"/>
          <w:lang w:val="fr-CA" w:eastAsia="en-CA"/>
        </w:rPr>
      </w:pPr>
      <w:r>
        <w:rPr>
          <w:lang w:val="fr-CA"/>
        </w:rPr>
        <w:br w:type="page"/>
      </w:r>
    </w:p>
    <w:p w:rsidR="006875AC" w:rsidRPr="006F7D7E" w:rsidRDefault="006875AC" w:rsidP="006875AC">
      <w:pPr>
        <w:pStyle w:val="SCCLawFirm"/>
        <w:spacing w:line="240" w:lineRule="auto"/>
        <w:rPr>
          <w:sz w:val="20"/>
          <w:lang w:val="fr-CA"/>
        </w:rPr>
      </w:pPr>
      <w:r w:rsidRPr="006F7D7E">
        <w:rPr>
          <w:sz w:val="20"/>
          <w:lang w:val="fr-CA"/>
        </w:rPr>
        <w:lastRenderedPageBreak/>
        <w:tab/>
        <w:t>Procureurs de l’intervenante la Fédération canadienne des retraités : </w:t>
      </w:r>
      <w:proofErr w:type="spellStart"/>
      <w:r w:rsidRPr="006F7D7E">
        <w:rPr>
          <w:sz w:val="20"/>
          <w:lang w:val="fr-CA"/>
        </w:rPr>
        <w:t>Paliare</w:t>
      </w:r>
      <w:proofErr w:type="spellEnd"/>
      <w:r w:rsidRPr="006F7D7E">
        <w:rPr>
          <w:sz w:val="20"/>
          <w:lang w:val="fr-CA"/>
        </w:rPr>
        <w:t xml:space="preserve">, Roland, Rosenberg, </w:t>
      </w:r>
      <w:proofErr w:type="spellStart"/>
      <w:r w:rsidRPr="006F7D7E">
        <w:rPr>
          <w:sz w:val="20"/>
          <w:lang w:val="fr-CA"/>
        </w:rPr>
        <w:t>Rothstein</w:t>
      </w:r>
      <w:proofErr w:type="spellEnd"/>
      <w:r w:rsidRPr="006F7D7E">
        <w:rPr>
          <w:sz w:val="20"/>
          <w:lang w:val="fr-CA"/>
        </w:rPr>
        <w:t>, Toronto.</w:t>
      </w:r>
    </w:p>
    <w:p w:rsidR="006875AC" w:rsidRDefault="006875AC" w:rsidP="006875AC">
      <w:pPr>
        <w:pStyle w:val="SCCLawFirm"/>
        <w:spacing w:line="240" w:lineRule="auto"/>
        <w:rPr>
          <w:sz w:val="20"/>
          <w:lang w:val="fr-CA"/>
        </w:rPr>
      </w:pPr>
    </w:p>
    <w:p w:rsidR="006875AC" w:rsidRPr="006F7D7E" w:rsidRDefault="006875AC" w:rsidP="006875AC">
      <w:pPr>
        <w:pStyle w:val="SCCLawFirm"/>
        <w:spacing w:line="240" w:lineRule="auto"/>
        <w:rPr>
          <w:sz w:val="20"/>
          <w:lang w:val="fr-CA"/>
        </w:rPr>
      </w:pPr>
      <w:r w:rsidRPr="006F7D7E">
        <w:rPr>
          <w:sz w:val="20"/>
          <w:lang w:val="fr-CA"/>
        </w:rPr>
        <w:tab/>
        <w:t>Procureurs de l’intervenante l’Association canadienne des professionnels de l’insolvabilité et de la réorganisation : </w:t>
      </w:r>
      <w:proofErr w:type="spellStart"/>
      <w:r w:rsidRPr="006F7D7E">
        <w:rPr>
          <w:sz w:val="20"/>
          <w:lang w:val="fr-CA"/>
        </w:rPr>
        <w:t>McMillan</w:t>
      </w:r>
      <w:proofErr w:type="spellEnd"/>
      <w:r w:rsidRPr="006F7D7E">
        <w:rPr>
          <w:sz w:val="20"/>
          <w:lang w:val="fr-CA"/>
        </w:rPr>
        <w:t>, Montréal.</w:t>
      </w:r>
    </w:p>
    <w:p w:rsidR="006875AC" w:rsidRDefault="006875AC" w:rsidP="006875AC">
      <w:pPr>
        <w:pStyle w:val="SCCLawFirm"/>
        <w:spacing w:line="240" w:lineRule="auto"/>
        <w:rPr>
          <w:sz w:val="20"/>
          <w:lang w:val="fr-CA"/>
        </w:rPr>
      </w:pPr>
    </w:p>
    <w:p w:rsidR="006875AC" w:rsidRDefault="006875AC" w:rsidP="006875AC">
      <w:pPr>
        <w:pStyle w:val="SCCLawFirm"/>
        <w:spacing w:line="240" w:lineRule="auto"/>
        <w:rPr>
          <w:sz w:val="20"/>
          <w:lang w:val="fr-CA"/>
        </w:rPr>
      </w:pPr>
      <w:r w:rsidRPr="006F7D7E">
        <w:rPr>
          <w:sz w:val="20"/>
          <w:lang w:val="fr-CA"/>
        </w:rPr>
        <w:tab/>
        <w:t xml:space="preserve">Procureurs de l’intervenante l’Association des banquiers canadiens : Osler, </w:t>
      </w:r>
      <w:proofErr w:type="spellStart"/>
      <w:r w:rsidRPr="006F7D7E">
        <w:rPr>
          <w:sz w:val="20"/>
          <w:lang w:val="fr-CA"/>
        </w:rPr>
        <w:t>Hoskin</w:t>
      </w:r>
      <w:proofErr w:type="spellEnd"/>
      <w:r w:rsidRPr="006F7D7E">
        <w:rPr>
          <w:sz w:val="20"/>
          <w:lang w:val="fr-CA"/>
        </w:rPr>
        <w:t xml:space="preserve"> &amp; Harcourt, Toronto.</w:t>
      </w:r>
    </w:p>
    <w:p w:rsidR="003B3977" w:rsidRDefault="003B3977" w:rsidP="005C6840">
      <w:pPr>
        <w:rPr>
          <w:rFonts w:cs="Times New Roman"/>
          <w:sz w:val="20"/>
          <w:szCs w:val="20"/>
          <w:lang w:val="fr-CA"/>
        </w:rPr>
      </w:pPr>
    </w:p>
    <w:p w:rsidR="003B3977" w:rsidRDefault="00F008AC" w:rsidP="00AB4F4C">
      <w:pPr>
        <w:rPr>
          <w:sz w:val="20"/>
          <w:szCs w:val="20"/>
        </w:rPr>
      </w:pPr>
      <w:r w:rsidRPr="00F008AC">
        <w:rPr>
          <w:rFonts w:cs="Times New Roman"/>
          <w:sz w:val="20"/>
          <w:szCs w:val="20"/>
          <w:lang w:val="fr-CA"/>
        </w:rPr>
        <w:pict>
          <v:rect id="_x0000_i1057" style="width:144.3pt;height:1pt" o:hrpct="300" o:hralign="center" o:hrstd="t" o:hrnoshade="t" o:hr="t" fillcolor="black [3213]" stroked="f"/>
        </w:pict>
      </w:r>
    </w:p>
    <w:p w:rsidR="003B3977" w:rsidRDefault="003B3977" w:rsidP="003B3977">
      <w:pPr>
        <w:rPr>
          <w:sz w:val="20"/>
          <w:szCs w:val="20"/>
        </w:rPr>
      </w:pPr>
    </w:p>
    <w:p w:rsidR="00AB4F4C" w:rsidRPr="003F4721" w:rsidRDefault="00AB4F4C"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224FE">
            <w:pPr>
              <w:keepNext/>
              <w:keepLines/>
              <w:rPr>
                <w:b/>
                <w:szCs w:val="24"/>
              </w:rPr>
            </w:pPr>
            <w:r w:rsidRPr="00C50A5C">
              <w:rPr>
                <w:b/>
                <w:szCs w:val="24"/>
              </w:rPr>
              <w:lastRenderedPageBreak/>
              <w:t xml:space="preserve">AGENDA FOR </w:t>
            </w:r>
            <w:r w:rsidR="007224FE">
              <w:rPr>
                <w:b/>
                <w:szCs w:val="24"/>
              </w:rPr>
              <w:t>F</w:t>
            </w:r>
            <w:r w:rsidRPr="00C50A5C">
              <w:rPr>
                <w:b/>
                <w:szCs w:val="24"/>
              </w:rPr>
              <w:t>E</w:t>
            </w:r>
            <w:r w:rsidR="007224FE">
              <w:rPr>
                <w:b/>
                <w:szCs w:val="24"/>
              </w:rPr>
              <w:t>B</w:t>
            </w:r>
            <w:r w:rsidRPr="00C50A5C">
              <w:rPr>
                <w:b/>
                <w:szCs w:val="24"/>
              </w:rPr>
              <w:t>R</w:t>
            </w:r>
            <w:r w:rsidR="007224FE">
              <w:rPr>
                <w:b/>
                <w:szCs w:val="24"/>
              </w:rPr>
              <w:t>UARY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224FE">
            <w:pPr>
              <w:keepNext/>
              <w:keepLines/>
              <w:rPr>
                <w:b/>
                <w:szCs w:val="24"/>
                <w:lang w:val="fr-CA"/>
              </w:rPr>
            </w:pPr>
            <w:r w:rsidRPr="00C50A5C">
              <w:rPr>
                <w:b/>
                <w:szCs w:val="24"/>
                <w:lang w:val="fr-CA"/>
              </w:rPr>
              <w:t xml:space="preserve">CALENDRIER DE </w:t>
            </w:r>
            <w:r w:rsidR="007224FE">
              <w:rPr>
                <w:b/>
                <w:szCs w:val="24"/>
                <w:lang w:val="fr-CA"/>
              </w:rPr>
              <w:t>FÉVR</w:t>
            </w:r>
            <w:r w:rsidRPr="00C50A5C">
              <w:rPr>
                <w:b/>
                <w:szCs w:val="24"/>
                <w:lang w:val="fr-CA"/>
              </w:rPr>
              <w:t>IER</w:t>
            </w:r>
            <w:r w:rsidR="007224FE">
              <w:rPr>
                <w:b/>
                <w:szCs w:val="24"/>
                <w:lang w:val="fr-CA"/>
              </w:rPr>
              <w:t xml:space="preserve"> 2013</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7224FE">
        <w:rPr>
          <w:b/>
          <w:sz w:val="20"/>
          <w:szCs w:val="20"/>
        </w:rPr>
        <w:t>Feb</w:t>
      </w:r>
      <w:r w:rsidRPr="00DD0B49">
        <w:rPr>
          <w:b/>
          <w:sz w:val="20"/>
          <w:szCs w:val="20"/>
        </w:rPr>
        <w:t>r</w:t>
      </w:r>
      <w:r w:rsidR="007224FE">
        <w:rPr>
          <w:b/>
          <w:sz w:val="20"/>
          <w:szCs w:val="20"/>
        </w:rPr>
        <w:t>uary</w:t>
      </w:r>
      <w:r w:rsidRPr="00DD0B49">
        <w:rPr>
          <w:b/>
          <w:sz w:val="20"/>
          <w:szCs w:val="20"/>
        </w:rPr>
        <w:t xml:space="preserve"> 1</w:t>
      </w:r>
      <w:r w:rsidR="007224FE">
        <w:rPr>
          <w:b/>
          <w:sz w:val="20"/>
          <w:szCs w:val="20"/>
        </w:rPr>
        <w:t>1</w:t>
      </w:r>
      <w:r w:rsidRPr="00DD0B49">
        <w:rPr>
          <w:b/>
          <w:sz w:val="20"/>
          <w:szCs w:val="20"/>
        </w:rPr>
        <w:t xml:space="preserve"> and </w:t>
      </w:r>
      <w:r w:rsidR="007224FE">
        <w:rPr>
          <w:b/>
          <w:sz w:val="20"/>
          <w:szCs w:val="20"/>
        </w:rPr>
        <w:t>1</w:t>
      </w:r>
      <w:r w:rsidRPr="00DD0B49">
        <w:rPr>
          <w:b/>
          <w:sz w:val="20"/>
          <w:szCs w:val="20"/>
        </w:rPr>
        <w:t>8, 201</w:t>
      </w:r>
      <w:r w:rsidR="007224FE">
        <w:rPr>
          <w:b/>
          <w:sz w:val="20"/>
          <w:szCs w:val="20"/>
        </w:rPr>
        <w:t>3</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7224FE">
        <w:rPr>
          <w:b/>
          <w:sz w:val="20"/>
          <w:szCs w:val="20"/>
          <w:lang w:val="fr-CA"/>
        </w:rPr>
        <w:t>1</w:t>
      </w:r>
      <w:r w:rsidRPr="00DD0B49">
        <w:rPr>
          <w:b/>
          <w:sz w:val="20"/>
          <w:szCs w:val="20"/>
          <w:lang w:val="fr-CA"/>
        </w:rPr>
        <w:t xml:space="preserve"> </w:t>
      </w:r>
      <w:r w:rsidR="007224FE">
        <w:rPr>
          <w:b/>
          <w:sz w:val="20"/>
          <w:szCs w:val="20"/>
          <w:lang w:val="fr-CA"/>
        </w:rPr>
        <w:t>fé</w:t>
      </w:r>
      <w:r w:rsidRPr="00DD0B49">
        <w:rPr>
          <w:b/>
          <w:sz w:val="20"/>
          <w:szCs w:val="20"/>
          <w:lang w:val="fr-CA"/>
        </w:rPr>
        <w:t>v</w:t>
      </w:r>
      <w:r w:rsidR="007224FE">
        <w:rPr>
          <w:b/>
          <w:sz w:val="20"/>
          <w:szCs w:val="20"/>
          <w:lang w:val="fr-CA"/>
        </w:rPr>
        <w:t>ri</w:t>
      </w:r>
      <w:r w:rsidRPr="00DD0B49">
        <w:rPr>
          <w:b/>
          <w:sz w:val="20"/>
          <w:szCs w:val="20"/>
          <w:lang w:val="fr-CA"/>
        </w:rPr>
        <w:t>e</w:t>
      </w:r>
      <w:r w:rsidR="007224FE">
        <w:rPr>
          <w:b/>
          <w:sz w:val="20"/>
          <w:szCs w:val="20"/>
          <w:lang w:val="fr-CA"/>
        </w:rPr>
        <w:t>r</w:t>
      </w:r>
      <w:r w:rsidRPr="00DD0B49">
        <w:rPr>
          <w:b/>
          <w:sz w:val="20"/>
          <w:szCs w:val="20"/>
          <w:lang w:val="fr-CA"/>
        </w:rPr>
        <w:t xml:space="preserve"> et celle du </w:t>
      </w:r>
      <w:r w:rsidR="007224FE">
        <w:rPr>
          <w:b/>
          <w:sz w:val="20"/>
          <w:szCs w:val="20"/>
          <w:lang w:val="fr-CA"/>
        </w:rPr>
        <w:t>1</w:t>
      </w:r>
      <w:r w:rsidRPr="00DD0B49">
        <w:rPr>
          <w:b/>
          <w:sz w:val="20"/>
          <w:szCs w:val="20"/>
          <w:lang w:val="fr-CA"/>
        </w:rPr>
        <w:t>8</w:t>
      </w:r>
      <w:r w:rsidR="007224FE">
        <w:rPr>
          <w:b/>
          <w:sz w:val="20"/>
          <w:szCs w:val="20"/>
          <w:lang w:val="fr-CA"/>
        </w:rPr>
        <w:t xml:space="preserve"> fé</w:t>
      </w:r>
      <w:r w:rsidRPr="00DD0B49">
        <w:rPr>
          <w:b/>
          <w:sz w:val="20"/>
          <w:szCs w:val="20"/>
          <w:lang w:val="fr-CA"/>
        </w:rPr>
        <w:t>v</w:t>
      </w:r>
      <w:r w:rsidR="007224FE">
        <w:rPr>
          <w:b/>
          <w:sz w:val="20"/>
          <w:szCs w:val="20"/>
          <w:lang w:val="fr-CA"/>
        </w:rPr>
        <w:t>ri</w:t>
      </w:r>
      <w:r w:rsidRPr="00DD0B49">
        <w:rPr>
          <w:b/>
          <w:sz w:val="20"/>
          <w:szCs w:val="20"/>
          <w:lang w:val="fr-CA"/>
        </w:rPr>
        <w:t>er 201</w:t>
      </w:r>
      <w:r w:rsidR="007224FE">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224FE">
        <w:rPr>
          <w:sz w:val="20"/>
          <w:szCs w:val="20"/>
        </w:rPr>
        <w:t>Fe</w:t>
      </w:r>
      <w:r w:rsidRPr="00DD0B49">
        <w:rPr>
          <w:sz w:val="20"/>
          <w:szCs w:val="20"/>
        </w:rPr>
        <w:t>br</w:t>
      </w:r>
      <w:r w:rsidR="007224FE">
        <w:rPr>
          <w:sz w:val="20"/>
          <w:szCs w:val="20"/>
        </w:rPr>
        <w:t>uary</w:t>
      </w:r>
      <w:r w:rsidRPr="00DD0B49">
        <w:rPr>
          <w:sz w:val="20"/>
          <w:szCs w:val="20"/>
        </w:rPr>
        <w:t xml:space="preserve"> </w:t>
      </w:r>
      <w:r w:rsidR="007224FE">
        <w:rPr>
          <w:sz w:val="20"/>
          <w:szCs w:val="20"/>
        </w:rPr>
        <w:t>4</w:t>
      </w:r>
      <w:r w:rsidRPr="00DD0B49">
        <w:rPr>
          <w:sz w:val="20"/>
          <w:szCs w:val="20"/>
        </w:rPr>
        <w:t xml:space="preserve"> and 2</w:t>
      </w:r>
      <w:r w:rsidR="007224FE">
        <w:rPr>
          <w:sz w:val="20"/>
          <w:szCs w:val="20"/>
        </w:rPr>
        <w:t>5</w:t>
      </w:r>
      <w:r w:rsidRPr="00DD0B49">
        <w:rPr>
          <w:sz w:val="20"/>
          <w:szCs w:val="20"/>
        </w:rPr>
        <w:t>, 201</w:t>
      </w:r>
      <w:r w:rsidR="007224FE">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7224FE">
        <w:rPr>
          <w:sz w:val="20"/>
          <w:szCs w:val="20"/>
          <w:lang w:val="fr-CA"/>
        </w:rPr>
        <w:t>4</w:t>
      </w:r>
      <w:r w:rsidRPr="00DD0B49">
        <w:rPr>
          <w:sz w:val="20"/>
          <w:szCs w:val="20"/>
          <w:lang w:val="fr-CA"/>
        </w:rPr>
        <w:t xml:space="preserve"> et du 2</w:t>
      </w:r>
      <w:r w:rsidR="007224FE">
        <w:rPr>
          <w:sz w:val="20"/>
          <w:szCs w:val="20"/>
          <w:lang w:val="fr-CA"/>
        </w:rPr>
        <w:t>5</w:t>
      </w:r>
      <w:r w:rsidRPr="00DD0B49">
        <w:rPr>
          <w:sz w:val="20"/>
          <w:szCs w:val="20"/>
          <w:lang w:val="fr-CA"/>
        </w:rPr>
        <w:t xml:space="preserve"> </w:t>
      </w:r>
      <w:r w:rsidR="007224FE">
        <w:rPr>
          <w:sz w:val="20"/>
          <w:szCs w:val="20"/>
          <w:lang w:val="fr-CA"/>
        </w:rPr>
        <w:t>fé</w:t>
      </w:r>
      <w:r w:rsidRPr="00DD0B49">
        <w:rPr>
          <w:sz w:val="20"/>
          <w:szCs w:val="20"/>
          <w:lang w:val="fr-CA"/>
        </w:rPr>
        <w:t>vr</w:t>
      </w:r>
      <w:r w:rsidR="007224FE">
        <w:rPr>
          <w:sz w:val="20"/>
          <w:szCs w:val="20"/>
          <w:lang w:val="fr-CA"/>
        </w:rPr>
        <w:t>i</w:t>
      </w:r>
      <w:r w:rsidRPr="00DD0B49">
        <w:rPr>
          <w:sz w:val="20"/>
          <w:szCs w:val="20"/>
          <w:lang w:val="fr-CA"/>
        </w:rPr>
        <w:t>e</w:t>
      </w:r>
      <w:r w:rsidR="007224FE">
        <w:rPr>
          <w:sz w:val="20"/>
          <w:szCs w:val="20"/>
          <w:lang w:val="fr-CA"/>
        </w:rPr>
        <w:t>r</w:t>
      </w:r>
      <w:r w:rsidRPr="00DD0B49">
        <w:rPr>
          <w:sz w:val="20"/>
          <w:szCs w:val="20"/>
          <w:lang w:val="fr-CA"/>
        </w:rPr>
        <w:t xml:space="preserve"> 201</w:t>
      </w:r>
      <w:r w:rsidR="007224FE">
        <w:rPr>
          <w:sz w:val="20"/>
          <w:szCs w:val="20"/>
          <w:lang w:val="fr-CA"/>
        </w:rPr>
        <w:t>3</w:t>
      </w:r>
      <w:r w:rsidRPr="00DD0B49">
        <w:rPr>
          <w:sz w:val="20"/>
          <w:szCs w:val="20"/>
          <w:lang w:val="fr-CA"/>
        </w:rPr>
        <w:t>.</w:t>
      </w:r>
    </w:p>
    <w:p w:rsidR="004B66B4" w:rsidRPr="00DD0B49" w:rsidRDefault="00F008AC" w:rsidP="004B66B4">
      <w:pPr>
        <w:rPr>
          <w:sz w:val="20"/>
          <w:szCs w:val="20"/>
        </w:rPr>
      </w:pPr>
      <w:r w:rsidRPr="00F008AC">
        <w:rPr>
          <w:sz w:val="20"/>
          <w:szCs w:val="20"/>
        </w:rPr>
        <w:pict>
          <v:rect id="_x0000_i1060"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483800" w:rsidTr="007224FE">
        <w:trPr>
          <w:cantSplit/>
        </w:trPr>
        <w:tc>
          <w:tcPr>
            <w:tcW w:w="2398" w:type="dxa"/>
          </w:tcPr>
          <w:p w:rsidR="004E1E0A" w:rsidRPr="003A74F5" w:rsidRDefault="004E1E0A" w:rsidP="007224FE">
            <w:pPr>
              <w:rPr>
                <w:rFonts w:eastAsia="Calibri" w:cs="Times New Roman"/>
                <w:sz w:val="20"/>
                <w:szCs w:val="20"/>
              </w:rPr>
            </w:pPr>
            <w:r w:rsidRPr="003A74F5">
              <w:rPr>
                <w:rFonts w:eastAsia="Calibri" w:cs="Times New Roman"/>
                <w:sz w:val="20"/>
                <w:szCs w:val="20"/>
              </w:rPr>
              <w:t>DATE OF HEARING /</w:t>
            </w:r>
          </w:p>
          <w:p w:rsidR="004E1E0A" w:rsidRPr="003A74F5" w:rsidRDefault="004E1E0A" w:rsidP="007224FE">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7224FE">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7224FE">
            <w:pPr>
              <w:rPr>
                <w:sz w:val="20"/>
                <w:szCs w:val="20"/>
                <w:lang w:val="fr-CA"/>
              </w:rPr>
            </w:pPr>
            <w:r w:rsidRPr="003A74F5">
              <w:rPr>
                <w:rFonts w:eastAsia="Calibri" w:cs="Times New Roman"/>
                <w:sz w:val="20"/>
                <w:szCs w:val="20"/>
                <w:lang w:val="fr-CA"/>
              </w:rPr>
              <w:t>NOM DE LA CAUSE ET NUMÉRO</w:t>
            </w:r>
          </w:p>
          <w:p w:rsidR="004E1E0A" w:rsidRPr="003A74F5" w:rsidRDefault="004E1E0A" w:rsidP="007224FE">
            <w:pPr>
              <w:rPr>
                <w:rFonts w:eastAsia="Calibri" w:cs="Times New Roman"/>
                <w:sz w:val="20"/>
                <w:szCs w:val="20"/>
                <w:lang w:val="fr-CA"/>
              </w:rPr>
            </w:pPr>
          </w:p>
        </w:tc>
      </w:tr>
      <w:tr w:rsidR="007224FE" w:rsidRPr="00483800" w:rsidTr="00735F0F">
        <w:trPr>
          <w:cantSplit/>
          <w:trHeight w:hRule="exact" w:val="396"/>
        </w:trPr>
        <w:tc>
          <w:tcPr>
            <w:tcW w:w="2398" w:type="dxa"/>
          </w:tcPr>
          <w:p w:rsidR="007224FE" w:rsidRPr="003A74F5" w:rsidRDefault="007224FE" w:rsidP="007224FE">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12</w:t>
            </w:r>
          </w:p>
        </w:tc>
        <w:tc>
          <w:tcPr>
            <w:tcW w:w="7178" w:type="dxa"/>
          </w:tcPr>
          <w:p w:rsidR="007224FE" w:rsidRPr="006A56D1" w:rsidRDefault="006A56D1" w:rsidP="00735F0F">
            <w:pPr>
              <w:jc w:val="both"/>
              <w:rPr>
                <w:rFonts w:eastAsia="Calibri" w:cs="Times New Roman"/>
                <w:i/>
                <w:sz w:val="20"/>
                <w:szCs w:val="20"/>
                <w:lang w:val="fr-CA"/>
              </w:rPr>
            </w:pPr>
            <w:r w:rsidRPr="006A56D1">
              <w:rPr>
                <w:rFonts w:eastAsia="Calibri" w:cs="Times New Roman"/>
                <w:i/>
                <w:sz w:val="20"/>
                <w:szCs w:val="20"/>
                <w:lang w:val="fr-CA"/>
              </w:rPr>
              <w:t>Sa M</w:t>
            </w:r>
            <w:r w:rsidR="007224FE" w:rsidRPr="006A56D1">
              <w:rPr>
                <w:rFonts w:eastAsia="Calibri" w:cs="Times New Roman"/>
                <w:i/>
                <w:sz w:val="20"/>
                <w:szCs w:val="20"/>
                <w:lang w:val="fr-CA"/>
              </w:rPr>
              <w:t>a</w:t>
            </w:r>
            <w:r w:rsidRPr="006A56D1">
              <w:rPr>
                <w:rFonts w:eastAsia="Calibri" w:cs="Times New Roman"/>
                <w:i/>
                <w:sz w:val="20"/>
                <w:szCs w:val="20"/>
                <w:lang w:val="fr-CA"/>
              </w:rPr>
              <w:t>jesté la Reine</w:t>
            </w:r>
            <w:r w:rsidR="007224FE" w:rsidRPr="006A56D1">
              <w:rPr>
                <w:rFonts w:eastAsia="Calibri" w:cs="Times New Roman"/>
                <w:i/>
                <w:sz w:val="20"/>
                <w:szCs w:val="20"/>
                <w:lang w:val="fr-CA"/>
              </w:rPr>
              <w:t xml:space="preserve"> </w:t>
            </w:r>
            <w:r w:rsidRPr="006A56D1">
              <w:rPr>
                <w:rFonts w:eastAsia="Calibri" w:cs="Times New Roman"/>
                <w:i/>
                <w:sz w:val="20"/>
                <w:szCs w:val="20"/>
                <w:lang w:val="fr-CA"/>
              </w:rPr>
              <w:t>c</w:t>
            </w:r>
            <w:r w:rsidR="007224FE" w:rsidRPr="006A56D1">
              <w:rPr>
                <w:rFonts w:eastAsia="Calibri" w:cs="Times New Roman"/>
                <w:i/>
                <w:sz w:val="20"/>
                <w:szCs w:val="20"/>
                <w:lang w:val="fr-CA"/>
              </w:rPr>
              <w:t xml:space="preserve">. </w:t>
            </w:r>
            <w:proofErr w:type="spellStart"/>
            <w:r>
              <w:rPr>
                <w:rFonts w:eastAsia="Calibri" w:cs="Times New Roman"/>
                <w:i/>
                <w:sz w:val="20"/>
                <w:szCs w:val="20"/>
                <w:lang w:val="fr-CA"/>
              </w:rPr>
              <w:t>Frédé</w:t>
            </w:r>
            <w:r w:rsidR="007224FE" w:rsidRPr="006A56D1">
              <w:rPr>
                <w:rFonts w:eastAsia="Calibri" w:cs="Times New Roman"/>
                <w:i/>
                <w:sz w:val="20"/>
                <w:szCs w:val="20"/>
                <w:lang w:val="fr-CA"/>
              </w:rPr>
              <w:t>r</w:t>
            </w:r>
            <w:r>
              <w:rPr>
                <w:rFonts w:eastAsia="Calibri" w:cs="Times New Roman"/>
                <w:i/>
                <w:sz w:val="20"/>
                <w:szCs w:val="20"/>
                <w:lang w:val="fr-CA"/>
              </w:rPr>
              <w:t>ick</w:t>
            </w:r>
            <w:proofErr w:type="spellEnd"/>
            <w:r w:rsidR="007224FE" w:rsidRPr="006A56D1">
              <w:rPr>
                <w:rFonts w:eastAsia="Calibri" w:cs="Times New Roman"/>
                <w:i/>
                <w:sz w:val="20"/>
                <w:szCs w:val="20"/>
                <w:lang w:val="fr-CA"/>
              </w:rPr>
              <w:t xml:space="preserve"> </w:t>
            </w:r>
            <w:r>
              <w:rPr>
                <w:rFonts w:eastAsia="Calibri" w:cs="Times New Roman"/>
                <w:i/>
                <w:sz w:val="20"/>
                <w:szCs w:val="20"/>
                <w:lang w:val="fr-CA"/>
              </w:rPr>
              <w:t>Bél</w:t>
            </w:r>
            <w:r w:rsidR="007224FE" w:rsidRPr="006A56D1">
              <w:rPr>
                <w:rFonts w:eastAsia="Calibri" w:cs="Times New Roman"/>
                <w:i/>
                <w:sz w:val="20"/>
                <w:szCs w:val="20"/>
                <w:lang w:val="fr-CA"/>
              </w:rPr>
              <w:t>an</w:t>
            </w:r>
            <w:r>
              <w:rPr>
                <w:rFonts w:eastAsia="Calibri" w:cs="Times New Roman"/>
                <w:i/>
                <w:sz w:val="20"/>
                <w:szCs w:val="20"/>
                <w:lang w:val="fr-CA"/>
              </w:rPr>
              <w:t>g</w:t>
            </w:r>
            <w:r w:rsidR="007224FE" w:rsidRPr="006A56D1">
              <w:rPr>
                <w:rFonts w:eastAsia="Calibri" w:cs="Times New Roman"/>
                <w:i/>
                <w:sz w:val="20"/>
                <w:szCs w:val="20"/>
                <w:lang w:val="fr-CA"/>
              </w:rPr>
              <w:t>e</w:t>
            </w:r>
            <w:r>
              <w:rPr>
                <w:rFonts w:eastAsia="Calibri" w:cs="Times New Roman"/>
                <w:i/>
                <w:sz w:val="20"/>
                <w:szCs w:val="20"/>
                <w:lang w:val="fr-CA"/>
              </w:rPr>
              <w:t>r</w:t>
            </w:r>
            <w:r w:rsidR="007224FE" w:rsidRPr="006A56D1">
              <w:rPr>
                <w:rFonts w:eastAsia="Calibri" w:cs="Times New Roman"/>
                <w:i/>
                <w:sz w:val="20"/>
                <w:szCs w:val="20"/>
                <w:lang w:val="fr-CA"/>
              </w:rPr>
              <w:t xml:space="preserve"> </w:t>
            </w:r>
            <w:r w:rsidR="007224FE" w:rsidRPr="006A56D1">
              <w:rPr>
                <w:rFonts w:eastAsia="Calibri" w:cs="Times New Roman"/>
                <w:sz w:val="20"/>
                <w:szCs w:val="20"/>
                <w:lang w:val="fr-CA"/>
              </w:rPr>
              <w:t>(</w:t>
            </w:r>
            <w:proofErr w:type="spellStart"/>
            <w:r>
              <w:rPr>
                <w:rFonts w:eastAsia="Calibri" w:cs="Times New Roman"/>
                <w:sz w:val="20"/>
                <w:szCs w:val="20"/>
                <w:lang w:val="fr-CA"/>
              </w:rPr>
              <w:t>Qc</w:t>
            </w:r>
            <w:proofErr w:type="spellEnd"/>
            <w:r w:rsidR="007224FE" w:rsidRPr="006A56D1">
              <w:rPr>
                <w:rFonts w:eastAsia="Calibri" w:cs="Times New Roman"/>
                <w:sz w:val="20"/>
                <w:szCs w:val="20"/>
                <w:lang w:val="fr-CA"/>
              </w:rPr>
              <w:t>) (C</w:t>
            </w:r>
            <w:r w:rsidRPr="006A56D1">
              <w:rPr>
                <w:rFonts w:eastAsia="Calibri" w:cs="Times New Roman"/>
                <w:sz w:val="20"/>
                <w:szCs w:val="20"/>
                <w:lang w:val="fr-CA"/>
              </w:rPr>
              <w:t>r</w:t>
            </w:r>
            <w:r w:rsidR="007224FE" w:rsidRPr="006A56D1">
              <w:rPr>
                <w:rFonts w:eastAsia="Calibri" w:cs="Times New Roman"/>
                <w:sz w:val="20"/>
                <w:szCs w:val="20"/>
                <w:lang w:val="fr-CA"/>
              </w:rPr>
              <w:t>i</w:t>
            </w:r>
            <w:r w:rsidRPr="006A56D1">
              <w:rPr>
                <w:rFonts w:eastAsia="Calibri" w:cs="Times New Roman"/>
                <w:sz w:val="20"/>
                <w:szCs w:val="20"/>
                <w:lang w:val="fr-CA"/>
              </w:rPr>
              <w:t>m</w:t>
            </w:r>
            <w:r w:rsidR="007224FE" w:rsidRPr="006A56D1">
              <w:rPr>
                <w:rFonts w:eastAsia="Calibri" w:cs="Times New Roman"/>
                <w:sz w:val="20"/>
                <w:szCs w:val="20"/>
                <w:lang w:val="fr-CA"/>
              </w:rPr>
              <w:t>i</w:t>
            </w:r>
            <w:r w:rsidRPr="006A56D1">
              <w:rPr>
                <w:rFonts w:eastAsia="Calibri" w:cs="Times New Roman"/>
                <w:sz w:val="20"/>
                <w:szCs w:val="20"/>
                <w:lang w:val="fr-CA"/>
              </w:rPr>
              <w:t>ne</w:t>
            </w:r>
            <w:r w:rsidR="007224FE" w:rsidRPr="006A56D1">
              <w:rPr>
                <w:rFonts w:eastAsia="Calibri" w:cs="Times New Roman"/>
                <w:sz w:val="20"/>
                <w:szCs w:val="20"/>
                <w:lang w:val="fr-CA"/>
              </w:rPr>
              <w:t>l</w:t>
            </w:r>
            <w:r w:rsidRPr="006A56D1">
              <w:rPr>
                <w:rFonts w:eastAsia="Calibri" w:cs="Times New Roman"/>
                <w:sz w:val="20"/>
                <w:szCs w:val="20"/>
                <w:lang w:val="fr-CA"/>
              </w:rPr>
              <w:t>le</w:t>
            </w:r>
            <w:r w:rsidR="007224FE" w:rsidRPr="006A56D1">
              <w:rPr>
                <w:rFonts w:eastAsia="Calibri" w:cs="Times New Roman"/>
                <w:sz w:val="20"/>
                <w:szCs w:val="20"/>
                <w:lang w:val="fr-CA"/>
              </w:rPr>
              <w:t>) (</w:t>
            </w:r>
            <w:r w:rsidRPr="006A56D1">
              <w:rPr>
                <w:rFonts w:eastAsia="Calibri" w:cs="Times New Roman"/>
                <w:sz w:val="20"/>
                <w:szCs w:val="20"/>
                <w:lang w:val="fr-CA"/>
              </w:rPr>
              <w:t>Autorisation</w:t>
            </w:r>
            <w:r w:rsidR="007224FE" w:rsidRPr="006A56D1">
              <w:rPr>
                <w:rFonts w:eastAsia="Calibri" w:cs="Times New Roman"/>
                <w:sz w:val="20"/>
                <w:szCs w:val="20"/>
                <w:lang w:val="fr-CA"/>
              </w:rPr>
              <w:t>) (34</w:t>
            </w:r>
            <w:r w:rsidRPr="006A56D1">
              <w:rPr>
                <w:rFonts w:eastAsia="Calibri" w:cs="Times New Roman"/>
                <w:sz w:val="20"/>
                <w:szCs w:val="20"/>
                <w:lang w:val="fr-CA"/>
              </w:rPr>
              <w:t>5</w:t>
            </w:r>
            <w:r w:rsidR="007224FE" w:rsidRPr="006A56D1">
              <w:rPr>
                <w:rFonts w:eastAsia="Calibri" w:cs="Times New Roman"/>
                <w:sz w:val="20"/>
                <w:szCs w:val="20"/>
                <w:lang w:val="fr-CA"/>
              </w:rPr>
              <w:t>1</w:t>
            </w:r>
            <w:r w:rsidRPr="006A56D1">
              <w:rPr>
                <w:rFonts w:eastAsia="Calibri" w:cs="Times New Roman"/>
                <w:sz w:val="20"/>
                <w:szCs w:val="20"/>
                <w:lang w:val="fr-CA"/>
              </w:rPr>
              <w:t>2</w:t>
            </w:r>
            <w:r w:rsidR="007224FE" w:rsidRPr="006A56D1">
              <w:rPr>
                <w:rFonts w:eastAsia="Calibri" w:cs="Times New Roman"/>
                <w:sz w:val="20"/>
                <w:szCs w:val="20"/>
                <w:lang w:val="fr-CA"/>
              </w:rPr>
              <w:t>)</w:t>
            </w:r>
          </w:p>
        </w:tc>
      </w:tr>
      <w:tr w:rsidR="004E1E0A" w:rsidRPr="003A74F5" w:rsidTr="00735F0F">
        <w:trPr>
          <w:cantSplit/>
          <w:trHeight w:hRule="exact" w:val="396"/>
        </w:trPr>
        <w:tc>
          <w:tcPr>
            <w:tcW w:w="2398" w:type="dxa"/>
          </w:tcPr>
          <w:p w:rsidR="004E1E0A" w:rsidRPr="003A74F5" w:rsidRDefault="004E1E0A" w:rsidP="007224FE">
            <w:pPr>
              <w:rPr>
                <w:rFonts w:eastAsia="Calibri" w:cs="Times New Roman"/>
                <w:sz w:val="20"/>
                <w:szCs w:val="20"/>
              </w:rPr>
            </w:pPr>
            <w:r w:rsidRPr="003A74F5">
              <w:rPr>
                <w:rFonts w:eastAsia="Calibri" w:cs="Times New Roman"/>
                <w:sz w:val="20"/>
                <w:szCs w:val="20"/>
              </w:rPr>
              <w:t>201</w:t>
            </w:r>
            <w:r w:rsidR="007224FE">
              <w:rPr>
                <w:rFonts w:eastAsia="Calibri" w:cs="Times New Roman"/>
                <w:sz w:val="20"/>
                <w:szCs w:val="20"/>
              </w:rPr>
              <w:t>3</w:t>
            </w:r>
            <w:r w:rsidRPr="003A74F5">
              <w:rPr>
                <w:rFonts w:eastAsia="Calibri" w:cs="Times New Roman"/>
                <w:sz w:val="20"/>
                <w:szCs w:val="20"/>
              </w:rPr>
              <w:t>-</w:t>
            </w:r>
            <w:r w:rsidR="007224FE">
              <w:rPr>
                <w:rFonts w:eastAsia="Calibri" w:cs="Times New Roman"/>
                <w:sz w:val="20"/>
                <w:szCs w:val="20"/>
              </w:rPr>
              <w:t>02</w:t>
            </w:r>
            <w:r w:rsidRPr="003A74F5">
              <w:rPr>
                <w:rFonts w:eastAsia="Calibri" w:cs="Times New Roman"/>
                <w:sz w:val="20"/>
                <w:szCs w:val="20"/>
              </w:rPr>
              <w:t>-</w:t>
            </w:r>
            <w:r w:rsidR="007224FE">
              <w:rPr>
                <w:rFonts w:eastAsia="Calibri" w:cs="Times New Roman"/>
                <w:sz w:val="20"/>
                <w:szCs w:val="20"/>
              </w:rPr>
              <w:t>13</w:t>
            </w:r>
          </w:p>
        </w:tc>
        <w:tc>
          <w:tcPr>
            <w:tcW w:w="7178" w:type="dxa"/>
          </w:tcPr>
          <w:p w:rsidR="004E1E0A" w:rsidRPr="003A74F5" w:rsidRDefault="006A56D1" w:rsidP="00735F0F">
            <w:pPr>
              <w:jc w:val="both"/>
              <w:rPr>
                <w:rFonts w:eastAsia="Calibri" w:cs="Times New Roman"/>
                <w:sz w:val="20"/>
                <w:szCs w:val="20"/>
              </w:rPr>
            </w:pPr>
            <w:proofErr w:type="spellStart"/>
            <w:r>
              <w:rPr>
                <w:rFonts w:eastAsia="Calibri" w:cs="Times New Roman"/>
                <w:i/>
                <w:sz w:val="20"/>
                <w:szCs w:val="20"/>
                <w:lang w:val="fr-CA"/>
              </w:rPr>
              <w:t>Ci</w:t>
            </w:r>
            <w:r w:rsidRPr="00216AEB">
              <w:rPr>
                <w:rFonts w:eastAsia="Calibri" w:cs="Times New Roman"/>
                <w:i/>
                <w:sz w:val="20"/>
                <w:szCs w:val="20"/>
                <w:lang w:val="fr-CA"/>
              </w:rPr>
              <w:t>n</w:t>
            </w:r>
            <w:r>
              <w:rPr>
                <w:rFonts w:eastAsia="Calibri" w:cs="Times New Roman"/>
                <w:i/>
                <w:sz w:val="20"/>
                <w:szCs w:val="20"/>
                <w:lang w:val="fr-CA"/>
              </w:rPr>
              <w:t>ar</w:t>
            </w:r>
            <w:proofErr w:type="spellEnd"/>
            <w:r>
              <w:rPr>
                <w:rFonts w:eastAsia="Calibri" w:cs="Times New Roman"/>
                <w:i/>
                <w:sz w:val="20"/>
                <w:szCs w:val="20"/>
                <w:lang w:val="fr-CA"/>
              </w:rPr>
              <w:t xml:space="preserve"> Corporation et al. v</w:t>
            </w:r>
            <w:r w:rsidRPr="00216AEB">
              <w:rPr>
                <w:rFonts w:eastAsia="Calibri" w:cs="Times New Roman"/>
                <w:i/>
                <w:sz w:val="20"/>
                <w:szCs w:val="20"/>
                <w:lang w:val="fr-CA"/>
              </w:rPr>
              <w:t xml:space="preserve">. </w:t>
            </w:r>
            <w:r>
              <w:rPr>
                <w:rFonts w:eastAsia="Calibri" w:cs="Times New Roman"/>
                <w:i/>
                <w:sz w:val="20"/>
                <w:szCs w:val="20"/>
                <w:lang w:val="fr-CA"/>
              </w:rPr>
              <w:t xml:space="preserve">Claude Robinson et al. </w:t>
            </w:r>
            <w:r w:rsidRPr="00216AEB">
              <w:rPr>
                <w:rFonts w:eastAsia="Calibri" w:cs="Times New Roman"/>
                <w:sz w:val="20"/>
                <w:szCs w:val="20"/>
                <w:lang w:val="fr-CA"/>
              </w:rPr>
              <w:t>(</w:t>
            </w:r>
            <w:r>
              <w:rPr>
                <w:rFonts w:eastAsia="Calibri" w:cs="Times New Roman"/>
                <w:sz w:val="20"/>
                <w:szCs w:val="20"/>
                <w:lang w:val="fr-CA"/>
              </w:rPr>
              <w:t>Que.</w:t>
            </w:r>
            <w:r w:rsidRPr="00216AEB">
              <w:rPr>
                <w:rFonts w:eastAsia="Calibri" w:cs="Times New Roman"/>
                <w:sz w:val="20"/>
                <w:szCs w:val="20"/>
                <w:lang w:val="fr-CA"/>
              </w:rPr>
              <w:t>) (Ci</w:t>
            </w:r>
            <w:r>
              <w:rPr>
                <w:rFonts w:eastAsia="Calibri" w:cs="Times New Roman"/>
                <w:sz w:val="20"/>
                <w:szCs w:val="20"/>
                <w:lang w:val="fr-CA"/>
              </w:rPr>
              <w:t>v</w:t>
            </w:r>
            <w:r w:rsidRPr="00216AEB">
              <w:rPr>
                <w:rFonts w:eastAsia="Calibri" w:cs="Times New Roman"/>
                <w:sz w:val="20"/>
                <w:szCs w:val="20"/>
                <w:lang w:val="fr-CA"/>
              </w:rPr>
              <w:t>il) (</w:t>
            </w:r>
            <w:r>
              <w:rPr>
                <w:rFonts w:eastAsia="Calibri" w:cs="Times New Roman"/>
                <w:sz w:val="20"/>
                <w:szCs w:val="20"/>
                <w:lang w:val="fr-CA"/>
              </w:rPr>
              <w:t xml:space="preserve">By </w:t>
            </w:r>
            <w:proofErr w:type="spellStart"/>
            <w:r>
              <w:rPr>
                <w:rFonts w:eastAsia="Calibri" w:cs="Times New Roman"/>
                <w:sz w:val="20"/>
                <w:szCs w:val="20"/>
                <w:lang w:val="fr-CA"/>
              </w:rPr>
              <w:t>Leave</w:t>
            </w:r>
            <w:proofErr w:type="spellEnd"/>
            <w:r w:rsidRPr="00216AEB">
              <w:rPr>
                <w:rFonts w:eastAsia="Calibri" w:cs="Times New Roman"/>
                <w:sz w:val="20"/>
                <w:szCs w:val="20"/>
                <w:lang w:val="fr-CA"/>
              </w:rPr>
              <w:t>) (34</w:t>
            </w:r>
            <w:r>
              <w:rPr>
                <w:rFonts w:eastAsia="Calibri" w:cs="Times New Roman"/>
                <w:sz w:val="20"/>
                <w:szCs w:val="20"/>
                <w:lang w:val="fr-CA"/>
              </w:rPr>
              <w:t>466</w:t>
            </w:r>
            <w:r w:rsidR="004E1E0A" w:rsidRPr="003A74F5">
              <w:rPr>
                <w:rFonts w:eastAsia="Calibri" w:cs="Times New Roman"/>
                <w:sz w:val="20"/>
                <w:szCs w:val="20"/>
              </w:rPr>
              <w:t>)</w:t>
            </w:r>
          </w:p>
        </w:tc>
      </w:tr>
      <w:tr w:rsidR="004E1E0A" w:rsidRPr="00483800" w:rsidTr="00735F0F">
        <w:trPr>
          <w:cantSplit/>
          <w:trHeight w:hRule="exact" w:val="576"/>
        </w:trPr>
        <w:tc>
          <w:tcPr>
            <w:tcW w:w="2398" w:type="dxa"/>
          </w:tcPr>
          <w:p w:rsidR="004E1E0A" w:rsidRPr="003A74F5" w:rsidRDefault="00735F0F" w:rsidP="007224FE">
            <w:pPr>
              <w:rPr>
                <w:rFonts w:eastAsia="Calibri" w:cs="Times New Roman"/>
                <w:sz w:val="20"/>
                <w:szCs w:val="20"/>
              </w:rPr>
            </w:pPr>
            <w:r>
              <w:rPr>
                <w:rFonts w:eastAsia="Calibri" w:cs="Times New Roman"/>
                <w:sz w:val="20"/>
                <w:szCs w:val="20"/>
              </w:rPr>
              <w:t>20</w:t>
            </w:r>
            <w:r w:rsidR="004E1E0A" w:rsidRPr="003A74F5">
              <w:rPr>
                <w:rFonts w:eastAsia="Calibri" w:cs="Times New Roman"/>
                <w:sz w:val="20"/>
                <w:szCs w:val="20"/>
              </w:rPr>
              <w:t>1</w:t>
            </w:r>
            <w:r w:rsidR="007224FE">
              <w:rPr>
                <w:rFonts w:eastAsia="Calibri" w:cs="Times New Roman"/>
                <w:sz w:val="20"/>
                <w:szCs w:val="20"/>
              </w:rPr>
              <w:t>3</w:t>
            </w:r>
            <w:r w:rsidR="004E1E0A" w:rsidRPr="003A74F5">
              <w:rPr>
                <w:rFonts w:eastAsia="Calibri" w:cs="Times New Roman"/>
                <w:sz w:val="20"/>
                <w:szCs w:val="20"/>
              </w:rPr>
              <w:t>-</w:t>
            </w:r>
            <w:r w:rsidR="007224FE">
              <w:rPr>
                <w:rFonts w:eastAsia="Calibri" w:cs="Times New Roman"/>
                <w:sz w:val="20"/>
                <w:szCs w:val="20"/>
              </w:rPr>
              <w:t>02</w:t>
            </w:r>
            <w:r w:rsidR="004E1E0A" w:rsidRPr="003A74F5">
              <w:rPr>
                <w:rFonts w:eastAsia="Calibri" w:cs="Times New Roman"/>
                <w:sz w:val="20"/>
                <w:szCs w:val="20"/>
              </w:rPr>
              <w:t>-</w:t>
            </w:r>
            <w:r w:rsidR="007224FE">
              <w:rPr>
                <w:rFonts w:eastAsia="Calibri" w:cs="Times New Roman"/>
                <w:sz w:val="20"/>
                <w:szCs w:val="20"/>
              </w:rPr>
              <w:t>13</w:t>
            </w:r>
          </w:p>
        </w:tc>
        <w:tc>
          <w:tcPr>
            <w:tcW w:w="7178" w:type="dxa"/>
          </w:tcPr>
          <w:p w:rsidR="004E1E0A" w:rsidRDefault="006A56D1" w:rsidP="007224FE">
            <w:pPr>
              <w:jc w:val="both"/>
              <w:rPr>
                <w:rFonts w:eastAsia="Calibri" w:cs="Times New Roman"/>
                <w:sz w:val="20"/>
                <w:szCs w:val="20"/>
                <w:lang w:val="fr-CA"/>
              </w:rPr>
            </w:pPr>
            <w:r>
              <w:rPr>
                <w:rFonts w:eastAsia="Calibri" w:cs="Times New Roman"/>
                <w:i/>
                <w:sz w:val="20"/>
                <w:szCs w:val="20"/>
                <w:lang w:val="fr-CA"/>
              </w:rPr>
              <w:t>Ro</w:t>
            </w:r>
            <w:r w:rsidR="004E1E0A" w:rsidRPr="00216AEB">
              <w:rPr>
                <w:rFonts w:eastAsia="Calibri" w:cs="Times New Roman"/>
                <w:i/>
                <w:sz w:val="20"/>
                <w:szCs w:val="20"/>
                <w:lang w:val="fr-CA"/>
              </w:rPr>
              <w:t>n</w:t>
            </w:r>
            <w:r>
              <w:rPr>
                <w:rFonts w:eastAsia="Calibri" w:cs="Times New Roman"/>
                <w:i/>
                <w:sz w:val="20"/>
                <w:szCs w:val="20"/>
                <w:lang w:val="fr-CA"/>
              </w:rPr>
              <w:t>ald A. Weinberg et autre c</w:t>
            </w:r>
            <w:r w:rsidR="004E1E0A" w:rsidRPr="00216AEB">
              <w:rPr>
                <w:rFonts w:eastAsia="Calibri" w:cs="Times New Roman"/>
                <w:i/>
                <w:sz w:val="20"/>
                <w:szCs w:val="20"/>
                <w:lang w:val="fr-CA"/>
              </w:rPr>
              <w:t xml:space="preserve">. </w:t>
            </w:r>
            <w:r>
              <w:rPr>
                <w:rFonts w:eastAsia="Calibri" w:cs="Times New Roman"/>
                <w:i/>
                <w:sz w:val="20"/>
                <w:szCs w:val="20"/>
                <w:lang w:val="fr-CA"/>
              </w:rPr>
              <w:t xml:space="preserve">Claude Robinson </w:t>
            </w:r>
            <w:r w:rsidR="004E1E0A">
              <w:rPr>
                <w:rFonts w:eastAsia="Calibri" w:cs="Times New Roman"/>
                <w:i/>
                <w:sz w:val="20"/>
                <w:szCs w:val="20"/>
                <w:lang w:val="fr-CA"/>
              </w:rPr>
              <w:t>et a</w:t>
            </w:r>
            <w:r>
              <w:rPr>
                <w:rFonts w:eastAsia="Calibri" w:cs="Times New Roman"/>
                <w:i/>
                <w:sz w:val="20"/>
                <w:szCs w:val="20"/>
                <w:lang w:val="fr-CA"/>
              </w:rPr>
              <w:t>utre</w:t>
            </w:r>
            <w:r w:rsidR="004E1E0A">
              <w:rPr>
                <w:rFonts w:eastAsia="Calibri" w:cs="Times New Roman"/>
                <w:i/>
                <w:sz w:val="20"/>
                <w:szCs w:val="20"/>
                <w:lang w:val="fr-CA"/>
              </w:rPr>
              <w:t xml:space="preserve"> </w:t>
            </w:r>
            <w:r w:rsidR="004E1E0A" w:rsidRPr="00216AEB">
              <w:rPr>
                <w:rFonts w:eastAsia="Calibri" w:cs="Times New Roman"/>
                <w:sz w:val="20"/>
                <w:szCs w:val="20"/>
                <w:lang w:val="fr-CA"/>
              </w:rPr>
              <w:t>(</w:t>
            </w:r>
            <w:proofErr w:type="spellStart"/>
            <w:r w:rsidR="004E1E0A">
              <w:rPr>
                <w:rFonts w:eastAsia="Calibri" w:cs="Times New Roman"/>
                <w:sz w:val="20"/>
                <w:szCs w:val="20"/>
                <w:lang w:val="fr-CA"/>
              </w:rPr>
              <w:t>Q</w:t>
            </w:r>
            <w:r>
              <w:rPr>
                <w:rFonts w:eastAsia="Calibri" w:cs="Times New Roman"/>
                <w:sz w:val="20"/>
                <w:szCs w:val="20"/>
                <w:lang w:val="fr-CA"/>
              </w:rPr>
              <w:t>c</w:t>
            </w:r>
            <w:proofErr w:type="spellEnd"/>
            <w:r w:rsidR="004E1E0A" w:rsidRPr="00216AEB">
              <w:rPr>
                <w:rFonts w:eastAsia="Calibri" w:cs="Times New Roman"/>
                <w:sz w:val="20"/>
                <w:szCs w:val="20"/>
                <w:lang w:val="fr-CA"/>
              </w:rPr>
              <w:t>) (Ci</w:t>
            </w:r>
            <w:r w:rsidR="004E1E0A">
              <w:rPr>
                <w:rFonts w:eastAsia="Calibri" w:cs="Times New Roman"/>
                <w:sz w:val="20"/>
                <w:szCs w:val="20"/>
                <w:lang w:val="fr-CA"/>
              </w:rPr>
              <w:t>v</w:t>
            </w:r>
            <w:r w:rsidR="004E1E0A" w:rsidRPr="00216AEB">
              <w:rPr>
                <w:rFonts w:eastAsia="Calibri" w:cs="Times New Roman"/>
                <w:sz w:val="20"/>
                <w:szCs w:val="20"/>
                <w:lang w:val="fr-CA"/>
              </w:rPr>
              <w:t>il</w:t>
            </w:r>
            <w:r>
              <w:rPr>
                <w:rFonts w:eastAsia="Calibri" w:cs="Times New Roman"/>
                <w:sz w:val="20"/>
                <w:szCs w:val="20"/>
                <w:lang w:val="fr-CA"/>
              </w:rPr>
              <w:t>e</w:t>
            </w:r>
            <w:r w:rsidR="004E1E0A" w:rsidRPr="00216AEB">
              <w:rPr>
                <w:rFonts w:eastAsia="Calibri" w:cs="Times New Roman"/>
                <w:sz w:val="20"/>
                <w:szCs w:val="20"/>
                <w:lang w:val="fr-CA"/>
              </w:rPr>
              <w:t>) (</w:t>
            </w:r>
            <w:r>
              <w:rPr>
                <w:rFonts w:eastAsia="Calibri" w:cs="Times New Roman"/>
                <w:sz w:val="20"/>
                <w:szCs w:val="20"/>
                <w:lang w:val="fr-CA"/>
              </w:rPr>
              <w:t>Autorisation)</w:t>
            </w:r>
            <w:r w:rsidR="004E1E0A" w:rsidRPr="00216AEB">
              <w:rPr>
                <w:rFonts w:eastAsia="Calibri" w:cs="Times New Roman"/>
                <w:sz w:val="20"/>
                <w:szCs w:val="20"/>
                <w:lang w:val="fr-CA"/>
              </w:rPr>
              <w:t xml:space="preserve"> (34</w:t>
            </w:r>
            <w:r>
              <w:rPr>
                <w:rFonts w:eastAsia="Calibri" w:cs="Times New Roman"/>
                <w:sz w:val="20"/>
                <w:szCs w:val="20"/>
                <w:lang w:val="fr-CA"/>
              </w:rPr>
              <w:t>467</w:t>
            </w:r>
            <w:r w:rsidR="004E1E0A" w:rsidRPr="00216AEB">
              <w:rPr>
                <w:rFonts w:eastAsia="Calibri" w:cs="Times New Roman"/>
                <w:sz w:val="20"/>
                <w:szCs w:val="20"/>
                <w:lang w:val="fr-CA"/>
              </w:rPr>
              <w:t>)</w:t>
            </w:r>
          </w:p>
          <w:p w:rsidR="004E1E0A" w:rsidRPr="00216AEB" w:rsidRDefault="004E1E0A" w:rsidP="007224FE">
            <w:pPr>
              <w:jc w:val="both"/>
              <w:rPr>
                <w:rFonts w:eastAsia="Calibri" w:cs="Times New Roman"/>
                <w:sz w:val="20"/>
                <w:szCs w:val="20"/>
                <w:lang w:val="fr-CA"/>
              </w:rPr>
            </w:pPr>
          </w:p>
        </w:tc>
      </w:tr>
      <w:tr w:rsidR="004E1E0A" w:rsidRPr="00483800" w:rsidTr="00735F0F">
        <w:trPr>
          <w:cantSplit/>
          <w:trHeight w:hRule="exact" w:val="576"/>
        </w:trPr>
        <w:tc>
          <w:tcPr>
            <w:tcW w:w="2398" w:type="dxa"/>
          </w:tcPr>
          <w:p w:rsidR="004E1E0A" w:rsidRPr="00216AEB" w:rsidRDefault="004E1E0A" w:rsidP="007224FE">
            <w:pPr>
              <w:rPr>
                <w:rFonts w:eastAsia="Calibri" w:cs="Times New Roman"/>
                <w:sz w:val="20"/>
                <w:szCs w:val="20"/>
                <w:lang w:val="fr-CA"/>
              </w:rPr>
            </w:pPr>
            <w:r w:rsidRPr="00216AEB">
              <w:rPr>
                <w:rFonts w:eastAsia="Calibri" w:cs="Times New Roman"/>
                <w:sz w:val="20"/>
                <w:szCs w:val="20"/>
                <w:lang w:val="fr-CA"/>
              </w:rPr>
              <w:t>201</w:t>
            </w:r>
            <w:r w:rsidR="007224FE">
              <w:rPr>
                <w:rFonts w:eastAsia="Calibri" w:cs="Times New Roman"/>
                <w:sz w:val="20"/>
                <w:szCs w:val="20"/>
                <w:lang w:val="fr-CA"/>
              </w:rPr>
              <w:t>3</w:t>
            </w:r>
            <w:r w:rsidRPr="00216AEB">
              <w:rPr>
                <w:rFonts w:eastAsia="Calibri" w:cs="Times New Roman"/>
                <w:sz w:val="20"/>
                <w:szCs w:val="20"/>
                <w:lang w:val="fr-CA"/>
              </w:rPr>
              <w:t>-</w:t>
            </w:r>
            <w:r w:rsidR="007224FE">
              <w:rPr>
                <w:rFonts w:eastAsia="Calibri" w:cs="Times New Roman"/>
                <w:sz w:val="20"/>
                <w:szCs w:val="20"/>
                <w:lang w:val="fr-CA"/>
              </w:rPr>
              <w:t>02</w:t>
            </w:r>
            <w:r w:rsidRPr="00216AEB">
              <w:rPr>
                <w:rFonts w:eastAsia="Calibri" w:cs="Times New Roman"/>
                <w:sz w:val="20"/>
                <w:szCs w:val="20"/>
                <w:lang w:val="fr-CA"/>
              </w:rPr>
              <w:t>-</w:t>
            </w:r>
            <w:r w:rsidR="007224FE">
              <w:rPr>
                <w:rFonts w:eastAsia="Calibri" w:cs="Times New Roman"/>
                <w:sz w:val="20"/>
                <w:szCs w:val="20"/>
                <w:lang w:val="fr-CA"/>
              </w:rPr>
              <w:t>13</w:t>
            </w:r>
          </w:p>
        </w:tc>
        <w:tc>
          <w:tcPr>
            <w:tcW w:w="7178" w:type="dxa"/>
          </w:tcPr>
          <w:p w:rsidR="004E1E0A" w:rsidRDefault="006A56D1" w:rsidP="007224FE">
            <w:pPr>
              <w:jc w:val="both"/>
              <w:rPr>
                <w:rFonts w:eastAsia="Calibri" w:cs="Times New Roman"/>
                <w:sz w:val="20"/>
                <w:szCs w:val="20"/>
                <w:lang w:val="fr-CA"/>
              </w:rPr>
            </w:pPr>
            <w:r>
              <w:rPr>
                <w:rFonts w:eastAsia="Calibri" w:cs="Times New Roman"/>
                <w:i/>
                <w:sz w:val="20"/>
                <w:szCs w:val="20"/>
                <w:lang w:val="fr-CA"/>
              </w:rPr>
              <w:t>Christophe Izard et autres</w:t>
            </w:r>
            <w:r w:rsidR="004E1E0A" w:rsidRPr="00216AEB">
              <w:rPr>
                <w:rFonts w:eastAsia="Calibri" w:cs="Times New Roman"/>
                <w:i/>
                <w:sz w:val="20"/>
                <w:szCs w:val="20"/>
                <w:lang w:val="fr-CA"/>
              </w:rPr>
              <w:t xml:space="preserve"> </w:t>
            </w:r>
            <w:r>
              <w:rPr>
                <w:rFonts w:eastAsia="Calibri" w:cs="Times New Roman"/>
                <w:i/>
                <w:sz w:val="20"/>
                <w:szCs w:val="20"/>
                <w:lang w:val="fr-CA"/>
              </w:rPr>
              <w:t>c</w:t>
            </w:r>
            <w:r w:rsidRPr="00216AEB">
              <w:rPr>
                <w:rFonts w:eastAsia="Calibri" w:cs="Times New Roman"/>
                <w:i/>
                <w:sz w:val="20"/>
                <w:szCs w:val="20"/>
                <w:lang w:val="fr-CA"/>
              </w:rPr>
              <w:t xml:space="preserve">. </w:t>
            </w:r>
            <w:r>
              <w:rPr>
                <w:rFonts w:eastAsia="Calibri" w:cs="Times New Roman"/>
                <w:i/>
                <w:sz w:val="20"/>
                <w:szCs w:val="20"/>
                <w:lang w:val="fr-CA"/>
              </w:rPr>
              <w:t xml:space="preserve">Claude Robinson et autre </w:t>
            </w:r>
            <w:r w:rsidRPr="00216AEB">
              <w:rPr>
                <w:rFonts w:eastAsia="Calibri" w:cs="Times New Roman"/>
                <w:sz w:val="20"/>
                <w:szCs w:val="20"/>
                <w:lang w:val="fr-CA"/>
              </w:rPr>
              <w:t>(</w:t>
            </w:r>
            <w:proofErr w:type="spellStart"/>
            <w:r>
              <w:rPr>
                <w:rFonts w:eastAsia="Calibri" w:cs="Times New Roman"/>
                <w:sz w:val="20"/>
                <w:szCs w:val="20"/>
                <w:lang w:val="fr-CA"/>
              </w:rPr>
              <w:t>Qc</w:t>
            </w:r>
            <w:proofErr w:type="spellEnd"/>
            <w:r w:rsidRPr="00216AEB">
              <w:rPr>
                <w:rFonts w:eastAsia="Calibri" w:cs="Times New Roman"/>
                <w:sz w:val="20"/>
                <w:szCs w:val="20"/>
                <w:lang w:val="fr-CA"/>
              </w:rPr>
              <w:t>) (Ci</w:t>
            </w:r>
            <w:r>
              <w:rPr>
                <w:rFonts w:eastAsia="Calibri" w:cs="Times New Roman"/>
                <w:sz w:val="20"/>
                <w:szCs w:val="20"/>
                <w:lang w:val="fr-CA"/>
              </w:rPr>
              <w:t>v</w:t>
            </w:r>
            <w:r w:rsidRPr="00216AEB">
              <w:rPr>
                <w:rFonts w:eastAsia="Calibri" w:cs="Times New Roman"/>
                <w:sz w:val="20"/>
                <w:szCs w:val="20"/>
                <w:lang w:val="fr-CA"/>
              </w:rPr>
              <w:t>il</w:t>
            </w:r>
            <w:r>
              <w:rPr>
                <w:rFonts w:eastAsia="Calibri" w:cs="Times New Roman"/>
                <w:sz w:val="20"/>
                <w:szCs w:val="20"/>
                <w:lang w:val="fr-CA"/>
              </w:rPr>
              <w:t>e</w:t>
            </w:r>
            <w:r w:rsidRPr="00216AEB">
              <w:rPr>
                <w:rFonts w:eastAsia="Calibri" w:cs="Times New Roman"/>
                <w:sz w:val="20"/>
                <w:szCs w:val="20"/>
                <w:lang w:val="fr-CA"/>
              </w:rPr>
              <w:t>) (</w:t>
            </w:r>
            <w:r>
              <w:rPr>
                <w:rFonts w:eastAsia="Calibri" w:cs="Times New Roman"/>
                <w:sz w:val="20"/>
                <w:szCs w:val="20"/>
                <w:lang w:val="fr-CA"/>
              </w:rPr>
              <w:t>Autorisation)</w:t>
            </w:r>
            <w:r w:rsidRPr="00216AEB">
              <w:rPr>
                <w:rFonts w:eastAsia="Calibri" w:cs="Times New Roman"/>
                <w:sz w:val="20"/>
                <w:szCs w:val="20"/>
                <w:lang w:val="fr-CA"/>
              </w:rPr>
              <w:t xml:space="preserve"> (34</w:t>
            </w:r>
            <w:r>
              <w:rPr>
                <w:rFonts w:eastAsia="Calibri" w:cs="Times New Roman"/>
                <w:sz w:val="20"/>
                <w:szCs w:val="20"/>
                <w:lang w:val="fr-CA"/>
              </w:rPr>
              <w:t>468</w:t>
            </w:r>
            <w:r w:rsidRPr="00216AEB">
              <w:rPr>
                <w:rFonts w:eastAsia="Calibri" w:cs="Times New Roman"/>
                <w:sz w:val="20"/>
                <w:szCs w:val="20"/>
                <w:lang w:val="fr-CA"/>
              </w:rPr>
              <w:t>)</w:t>
            </w:r>
          </w:p>
          <w:p w:rsidR="004E1E0A" w:rsidRPr="00216AEB" w:rsidRDefault="004E1E0A" w:rsidP="007224FE">
            <w:pPr>
              <w:jc w:val="both"/>
              <w:rPr>
                <w:rFonts w:eastAsia="Calibri" w:cs="Times New Roman"/>
                <w:sz w:val="20"/>
                <w:szCs w:val="20"/>
                <w:lang w:val="fr-CA"/>
              </w:rPr>
            </w:pPr>
          </w:p>
        </w:tc>
      </w:tr>
      <w:tr w:rsidR="004E1E0A" w:rsidRPr="00483800" w:rsidTr="00735F0F">
        <w:trPr>
          <w:cantSplit/>
          <w:trHeight w:hRule="exact" w:val="576"/>
        </w:trPr>
        <w:tc>
          <w:tcPr>
            <w:tcW w:w="2398" w:type="dxa"/>
          </w:tcPr>
          <w:p w:rsidR="004E1E0A" w:rsidRPr="00216AEB" w:rsidRDefault="004E1E0A" w:rsidP="007224FE">
            <w:pPr>
              <w:rPr>
                <w:rFonts w:eastAsia="Calibri" w:cs="Times New Roman"/>
                <w:sz w:val="20"/>
                <w:szCs w:val="20"/>
                <w:lang w:val="fr-CA"/>
              </w:rPr>
            </w:pPr>
            <w:r w:rsidRPr="00216AEB">
              <w:rPr>
                <w:rFonts w:eastAsia="Calibri" w:cs="Times New Roman"/>
                <w:sz w:val="20"/>
                <w:szCs w:val="20"/>
                <w:lang w:val="fr-CA"/>
              </w:rPr>
              <w:t>201</w:t>
            </w:r>
            <w:r w:rsidR="007224FE">
              <w:rPr>
                <w:rFonts w:eastAsia="Calibri" w:cs="Times New Roman"/>
                <w:sz w:val="20"/>
                <w:szCs w:val="20"/>
                <w:lang w:val="fr-CA"/>
              </w:rPr>
              <w:t>3</w:t>
            </w:r>
            <w:r w:rsidRPr="00216AEB">
              <w:rPr>
                <w:rFonts w:eastAsia="Calibri" w:cs="Times New Roman"/>
                <w:sz w:val="20"/>
                <w:szCs w:val="20"/>
                <w:lang w:val="fr-CA"/>
              </w:rPr>
              <w:t>-</w:t>
            </w:r>
            <w:r w:rsidR="007224FE">
              <w:rPr>
                <w:rFonts w:eastAsia="Calibri" w:cs="Times New Roman"/>
                <w:sz w:val="20"/>
                <w:szCs w:val="20"/>
                <w:lang w:val="fr-CA"/>
              </w:rPr>
              <w:t>02</w:t>
            </w:r>
            <w:r w:rsidRPr="00216AEB">
              <w:rPr>
                <w:rFonts w:eastAsia="Calibri" w:cs="Times New Roman"/>
                <w:sz w:val="20"/>
                <w:szCs w:val="20"/>
                <w:lang w:val="fr-CA"/>
              </w:rPr>
              <w:t>-</w:t>
            </w:r>
            <w:r w:rsidR="007224FE">
              <w:rPr>
                <w:rFonts w:eastAsia="Calibri" w:cs="Times New Roman"/>
                <w:sz w:val="20"/>
                <w:szCs w:val="20"/>
                <w:lang w:val="fr-CA"/>
              </w:rPr>
              <w:t>13</w:t>
            </w:r>
          </w:p>
        </w:tc>
        <w:tc>
          <w:tcPr>
            <w:tcW w:w="7178" w:type="dxa"/>
          </w:tcPr>
          <w:p w:rsidR="004E1E0A" w:rsidRPr="00FA010C" w:rsidRDefault="006A56D1" w:rsidP="007224FE">
            <w:pPr>
              <w:jc w:val="both"/>
              <w:rPr>
                <w:rFonts w:eastAsia="Calibri" w:cs="Times New Roman"/>
                <w:sz w:val="20"/>
                <w:szCs w:val="20"/>
                <w:lang w:val="fr-CA"/>
              </w:rPr>
            </w:pPr>
            <w:r w:rsidRPr="00FA010C">
              <w:rPr>
                <w:rFonts w:eastAsia="Calibri" w:cs="Times New Roman"/>
                <w:i/>
                <w:sz w:val="20"/>
                <w:szCs w:val="20"/>
                <w:lang w:val="fr-CA"/>
              </w:rPr>
              <w:t>Claude Robinson et autre</w:t>
            </w:r>
            <w:r w:rsidR="004E1E0A" w:rsidRPr="00FA010C">
              <w:rPr>
                <w:rFonts w:eastAsia="Calibri" w:cs="Times New Roman"/>
                <w:i/>
                <w:sz w:val="20"/>
                <w:szCs w:val="20"/>
                <w:lang w:val="fr-CA"/>
              </w:rPr>
              <w:t xml:space="preserve"> </w:t>
            </w:r>
            <w:r w:rsidRPr="00FA010C">
              <w:rPr>
                <w:rFonts w:eastAsia="Calibri" w:cs="Times New Roman"/>
                <w:i/>
                <w:sz w:val="20"/>
                <w:szCs w:val="20"/>
                <w:lang w:val="fr-CA"/>
              </w:rPr>
              <w:t>c</w:t>
            </w:r>
            <w:r w:rsidR="004E1E0A" w:rsidRPr="00FA010C">
              <w:rPr>
                <w:rFonts w:eastAsia="Calibri" w:cs="Times New Roman"/>
                <w:i/>
                <w:sz w:val="20"/>
                <w:szCs w:val="20"/>
                <w:lang w:val="fr-CA"/>
              </w:rPr>
              <w:t xml:space="preserve">. </w:t>
            </w:r>
            <w:r w:rsidRPr="00FA010C">
              <w:rPr>
                <w:rFonts w:eastAsia="Calibri" w:cs="Times New Roman"/>
                <w:i/>
                <w:sz w:val="20"/>
                <w:szCs w:val="20"/>
                <w:lang w:val="fr-CA"/>
              </w:rPr>
              <w:t>F</w:t>
            </w:r>
            <w:r w:rsidR="004E1E0A" w:rsidRPr="00FA010C">
              <w:rPr>
                <w:rFonts w:eastAsia="Calibri" w:cs="Times New Roman"/>
                <w:i/>
                <w:sz w:val="20"/>
                <w:szCs w:val="20"/>
                <w:lang w:val="fr-CA"/>
              </w:rPr>
              <w:t>ra</w:t>
            </w:r>
            <w:r w:rsidRPr="00FA010C">
              <w:rPr>
                <w:rFonts w:eastAsia="Calibri" w:cs="Times New Roman"/>
                <w:i/>
                <w:sz w:val="20"/>
                <w:szCs w:val="20"/>
                <w:lang w:val="fr-CA"/>
              </w:rPr>
              <w:t>nc</w:t>
            </w:r>
            <w:r w:rsidR="004E1E0A" w:rsidRPr="00FA010C">
              <w:rPr>
                <w:rFonts w:eastAsia="Calibri" w:cs="Times New Roman"/>
                <w:i/>
                <w:sz w:val="20"/>
                <w:szCs w:val="20"/>
                <w:lang w:val="fr-CA"/>
              </w:rPr>
              <w:t>e</w:t>
            </w:r>
            <w:r w:rsidRPr="00FA010C">
              <w:rPr>
                <w:rFonts w:eastAsia="Calibri" w:cs="Times New Roman"/>
                <w:i/>
                <w:sz w:val="20"/>
                <w:szCs w:val="20"/>
                <w:lang w:val="fr-CA"/>
              </w:rPr>
              <w:t xml:space="preserve"> Anima</w:t>
            </w:r>
            <w:r w:rsidR="004E1E0A" w:rsidRPr="00FA010C">
              <w:rPr>
                <w:rFonts w:eastAsia="Calibri" w:cs="Times New Roman"/>
                <w:i/>
                <w:sz w:val="20"/>
                <w:szCs w:val="20"/>
                <w:lang w:val="fr-CA"/>
              </w:rPr>
              <w:t>t</w:t>
            </w:r>
            <w:r w:rsidRPr="00FA010C">
              <w:rPr>
                <w:rFonts w:eastAsia="Calibri" w:cs="Times New Roman"/>
                <w:i/>
                <w:sz w:val="20"/>
                <w:szCs w:val="20"/>
                <w:lang w:val="fr-CA"/>
              </w:rPr>
              <w:t>io</w:t>
            </w:r>
            <w:r w:rsidR="00FA010C" w:rsidRPr="00FA010C">
              <w:rPr>
                <w:rFonts w:eastAsia="Calibri" w:cs="Times New Roman"/>
                <w:i/>
                <w:sz w:val="20"/>
                <w:szCs w:val="20"/>
                <w:lang w:val="fr-CA"/>
              </w:rPr>
              <w:t>n S.</w:t>
            </w:r>
            <w:r w:rsidR="00FA010C">
              <w:rPr>
                <w:rFonts w:eastAsia="Calibri" w:cs="Times New Roman"/>
                <w:i/>
                <w:sz w:val="20"/>
                <w:szCs w:val="20"/>
                <w:lang w:val="fr-CA"/>
              </w:rPr>
              <w:t xml:space="preserve">A. et autres </w:t>
            </w:r>
            <w:r w:rsidR="00FA010C" w:rsidRPr="00216AEB">
              <w:rPr>
                <w:rFonts w:eastAsia="Calibri" w:cs="Times New Roman"/>
                <w:sz w:val="20"/>
                <w:szCs w:val="20"/>
                <w:lang w:val="fr-CA"/>
              </w:rPr>
              <w:t>(</w:t>
            </w:r>
            <w:proofErr w:type="spellStart"/>
            <w:r w:rsidR="00FA010C">
              <w:rPr>
                <w:rFonts w:eastAsia="Calibri" w:cs="Times New Roman"/>
                <w:sz w:val="20"/>
                <w:szCs w:val="20"/>
                <w:lang w:val="fr-CA"/>
              </w:rPr>
              <w:t>Qc</w:t>
            </w:r>
            <w:proofErr w:type="spellEnd"/>
            <w:r w:rsidR="00FA010C" w:rsidRPr="00216AEB">
              <w:rPr>
                <w:rFonts w:eastAsia="Calibri" w:cs="Times New Roman"/>
                <w:sz w:val="20"/>
                <w:szCs w:val="20"/>
                <w:lang w:val="fr-CA"/>
              </w:rPr>
              <w:t>) (Ci</w:t>
            </w:r>
            <w:r w:rsidR="00FA010C">
              <w:rPr>
                <w:rFonts w:eastAsia="Calibri" w:cs="Times New Roman"/>
                <w:sz w:val="20"/>
                <w:szCs w:val="20"/>
                <w:lang w:val="fr-CA"/>
              </w:rPr>
              <w:t>v</w:t>
            </w:r>
            <w:r w:rsidR="00FA010C" w:rsidRPr="00216AEB">
              <w:rPr>
                <w:rFonts w:eastAsia="Calibri" w:cs="Times New Roman"/>
                <w:sz w:val="20"/>
                <w:szCs w:val="20"/>
                <w:lang w:val="fr-CA"/>
              </w:rPr>
              <w:t>il</w:t>
            </w:r>
            <w:r w:rsidR="00FA010C">
              <w:rPr>
                <w:rFonts w:eastAsia="Calibri" w:cs="Times New Roman"/>
                <w:sz w:val="20"/>
                <w:szCs w:val="20"/>
                <w:lang w:val="fr-CA"/>
              </w:rPr>
              <w:t>e</w:t>
            </w:r>
            <w:r w:rsidR="00FA010C" w:rsidRPr="00216AEB">
              <w:rPr>
                <w:rFonts w:eastAsia="Calibri" w:cs="Times New Roman"/>
                <w:sz w:val="20"/>
                <w:szCs w:val="20"/>
                <w:lang w:val="fr-CA"/>
              </w:rPr>
              <w:t>) (</w:t>
            </w:r>
            <w:r w:rsidR="00FA010C">
              <w:rPr>
                <w:rFonts w:eastAsia="Calibri" w:cs="Times New Roman"/>
                <w:sz w:val="20"/>
                <w:szCs w:val="20"/>
                <w:lang w:val="fr-CA"/>
              </w:rPr>
              <w:t>Autorisation)</w:t>
            </w:r>
            <w:r w:rsidR="00FA010C" w:rsidRPr="00216AEB">
              <w:rPr>
                <w:rFonts w:eastAsia="Calibri" w:cs="Times New Roman"/>
                <w:sz w:val="20"/>
                <w:szCs w:val="20"/>
                <w:lang w:val="fr-CA"/>
              </w:rPr>
              <w:t xml:space="preserve"> (34</w:t>
            </w:r>
            <w:r w:rsidR="00FA010C">
              <w:rPr>
                <w:rFonts w:eastAsia="Calibri" w:cs="Times New Roman"/>
                <w:sz w:val="20"/>
                <w:szCs w:val="20"/>
                <w:lang w:val="fr-CA"/>
              </w:rPr>
              <w:t>469</w:t>
            </w:r>
            <w:r w:rsidR="00FA010C" w:rsidRPr="00216AEB">
              <w:rPr>
                <w:rFonts w:eastAsia="Calibri" w:cs="Times New Roman"/>
                <w:sz w:val="20"/>
                <w:szCs w:val="20"/>
                <w:lang w:val="fr-CA"/>
              </w:rPr>
              <w:t>)</w:t>
            </w:r>
          </w:p>
          <w:p w:rsidR="004E1E0A" w:rsidRPr="00FA010C" w:rsidRDefault="004E1E0A" w:rsidP="007224FE">
            <w:pPr>
              <w:jc w:val="both"/>
              <w:rPr>
                <w:rFonts w:eastAsia="Calibri" w:cs="Times New Roman"/>
                <w:sz w:val="20"/>
                <w:szCs w:val="20"/>
                <w:lang w:val="fr-CA"/>
              </w:rPr>
            </w:pPr>
          </w:p>
        </w:tc>
      </w:tr>
      <w:tr w:rsidR="004E1E0A" w:rsidRPr="003A74F5" w:rsidTr="00735F0F">
        <w:trPr>
          <w:cantSplit/>
          <w:trHeight w:hRule="exact" w:val="576"/>
        </w:trPr>
        <w:tc>
          <w:tcPr>
            <w:tcW w:w="2398" w:type="dxa"/>
          </w:tcPr>
          <w:p w:rsidR="004E1E0A" w:rsidRPr="003A74F5" w:rsidRDefault="004E1E0A" w:rsidP="007224FE">
            <w:pPr>
              <w:rPr>
                <w:rFonts w:eastAsia="Calibri" w:cs="Times New Roman"/>
                <w:sz w:val="20"/>
                <w:szCs w:val="20"/>
              </w:rPr>
            </w:pPr>
            <w:r w:rsidRPr="003A74F5">
              <w:rPr>
                <w:rFonts w:eastAsia="Calibri" w:cs="Times New Roman"/>
                <w:sz w:val="20"/>
                <w:szCs w:val="20"/>
              </w:rPr>
              <w:t>201</w:t>
            </w:r>
            <w:r w:rsidR="007224FE">
              <w:rPr>
                <w:rFonts w:eastAsia="Calibri" w:cs="Times New Roman"/>
                <w:sz w:val="20"/>
                <w:szCs w:val="20"/>
              </w:rPr>
              <w:t>3</w:t>
            </w:r>
            <w:r w:rsidRPr="003A74F5">
              <w:rPr>
                <w:rFonts w:eastAsia="Calibri" w:cs="Times New Roman"/>
                <w:sz w:val="20"/>
                <w:szCs w:val="20"/>
              </w:rPr>
              <w:t>-</w:t>
            </w:r>
            <w:r w:rsidR="007224FE">
              <w:rPr>
                <w:rFonts w:eastAsia="Calibri" w:cs="Times New Roman"/>
                <w:sz w:val="20"/>
                <w:szCs w:val="20"/>
              </w:rPr>
              <w:t>02</w:t>
            </w:r>
            <w:r w:rsidRPr="003A74F5">
              <w:rPr>
                <w:rFonts w:eastAsia="Calibri" w:cs="Times New Roman"/>
                <w:sz w:val="20"/>
                <w:szCs w:val="20"/>
              </w:rPr>
              <w:t>-1</w:t>
            </w:r>
            <w:r w:rsidR="007224FE">
              <w:rPr>
                <w:rFonts w:eastAsia="Calibri" w:cs="Times New Roman"/>
                <w:sz w:val="20"/>
                <w:szCs w:val="20"/>
              </w:rPr>
              <w:t>5</w:t>
            </w:r>
          </w:p>
        </w:tc>
        <w:tc>
          <w:tcPr>
            <w:tcW w:w="7178" w:type="dxa"/>
          </w:tcPr>
          <w:p w:rsidR="004E1E0A" w:rsidRDefault="0080071B" w:rsidP="007224FE">
            <w:pPr>
              <w:jc w:val="both"/>
              <w:rPr>
                <w:rFonts w:eastAsia="Calibri" w:cs="Times New Roman"/>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004E1E0A" w:rsidRPr="0085047E">
              <w:rPr>
                <w:rFonts w:eastAsia="Calibri" w:cs="Times New Roman"/>
                <w:i/>
                <w:sz w:val="20"/>
                <w:szCs w:val="20"/>
              </w:rPr>
              <w:t xml:space="preserve"> v. </w:t>
            </w:r>
            <w:r>
              <w:rPr>
                <w:rFonts w:eastAsia="Calibri" w:cs="Times New Roman"/>
                <w:i/>
                <w:sz w:val="20"/>
                <w:szCs w:val="20"/>
              </w:rPr>
              <w:t>F</w:t>
            </w:r>
            <w:r w:rsidR="004E1E0A">
              <w:rPr>
                <w:rFonts w:eastAsia="Calibri" w:cs="Times New Roman"/>
                <w:i/>
                <w:sz w:val="20"/>
                <w:szCs w:val="20"/>
              </w:rPr>
              <w:t>r</w:t>
            </w:r>
            <w:r>
              <w:rPr>
                <w:rFonts w:eastAsia="Calibri" w:cs="Times New Roman"/>
                <w:i/>
                <w:sz w:val="20"/>
                <w:szCs w:val="20"/>
              </w:rPr>
              <w:t>edr</w:t>
            </w:r>
            <w:r w:rsidR="004E1E0A">
              <w:rPr>
                <w:rFonts w:eastAsia="Calibri" w:cs="Times New Roman"/>
                <w:i/>
                <w:sz w:val="20"/>
                <w:szCs w:val="20"/>
              </w:rPr>
              <w:t>i</w:t>
            </w:r>
            <w:r>
              <w:rPr>
                <w:rFonts w:eastAsia="Calibri" w:cs="Times New Roman"/>
                <w:i/>
                <w:sz w:val="20"/>
                <w:szCs w:val="20"/>
              </w:rPr>
              <w:t>ck</w:t>
            </w:r>
            <w:r w:rsidR="004E1E0A">
              <w:rPr>
                <w:rFonts w:eastAsia="Calibri" w:cs="Times New Roman"/>
                <w:i/>
                <w:sz w:val="20"/>
                <w:szCs w:val="20"/>
              </w:rPr>
              <w:t xml:space="preserve"> </w:t>
            </w:r>
            <w:r>
              <w:rPr>
                <w:rFonts w:eastAsia="Calibri" w:cs="Times New Roman"/>
                <w:i/>
                <w:sz w:val="20"/>
                <w:szCs w:val="20"/>
              </w:rPr>
              <w:t xml:space="preserve">Owen </w:t>
            </w:r>
            <w:proofErr w:type="spellStart"/>
            <w:r>
              <w:rPr>
                <w:rFonts w:eastAsia="Calibri" w:cs="Times New Roman"/>
                <w:i/>
                <w:sz w:val="20"/>
                <w:szCs w:val="20"/>
              </w:rPr>
              <w:t>Blacklaws</w:t>
            </w:r>
            <w:proofErr w:type="spellEnd"/>
            <w:r w:rsidR="004E1E0A" w:rsidRPr="0085047E">
              <w:rPr>
                <w:rFonts w:eastAsia="Calibri" w:cs="Times New Roman"/>
                <w:sz w:val="20"/>
                <w:szCs w:val="20"/>
              </w:rPr>
              <w:t xml:space="preserve"> </w:t>
            </w:r>
            <w:r w:rsidR="004E1E0A" w:rsidRPr="003A74F5">
              <w:rPr>
                <w:rFonts w:eastAsia="Calibri" w:cs="Times New Roman"/>
                <w:sz w:val="20"/>
                <w:szCs w:val="20"/>
              </w:rPr>
              <w:t>(B.C.) (C</w:t>
            </w:r>
            <w:r>
              <w:rPr>
                <w:rFonts w:eastAsia="Calibri" w:cs="Times New Roman"/>
                <w:sz w:val="20"/>
                <w:szCs w:val="20"/>
              </w:rPr>
              <w:t>r</w:t>
            </w:r>
            <w:r w:rsidR="004E1E0A" w:rsidRPr="003A74F5">
              <w:rPr>
                <w:rFonts w:eastAsia="Calibri" w:cs="Times New Roman"/>
                <w:sz w:val="20"/>
                <w:szCs w:val="20"/>
              </w:rPr>
              <w:t>i</w:t>
            </w:r>
            <w:r>
              <w:rPr>
                <w:rFonts w:eastAsia="Calibri" w:cs="Times New Roman"/>
                <w:sz w:val="20"/>
                <w:szCs w:val="20"/>
              </w:rPr>
              <w:t>m</w:t>
            </w:r>
            <w:r w:rsidR="004E1E0A" w:rsidRPr="003A74F5">
              <w:rPr>
                <w:rFonts w:eastAsia="Calibri" w:cs="Times New Roman"/>
                <w:sz w:val="20"/>
                <w:szCs w:val="20"/>
              </w:rPr>
              <w:t>i</w:t>
            </w:r>
            <w:r>
              <w:rPr>
                <w:rFonts w:eastAsia="Calibri" w:cs="Times New Roman"/>
                <w:sz w:val="20"/>
                <w:szCs w:val="20"/>
              </w:rPr>
              <w:t>na</w:t>
            </w:r>
            <w:r w:rsidR="004E1E0A" w:rsidRPr="003A74F5">
              <w:rPr>
                <w:rFonts w:eastAsia="Calibri" w:cs="Times New Roman"/>
                <w:sz w:val="20"/>
                <w:szCs w:val="20"/>
              </w:rPr>
              <w:t>l) (</w:t>
            </w:r>
            <w:r>
              <w:rPr>
                <w:rFonts w:eastAsia="Calibri" w:cs="Times New Roman"/>
                <w:sz w:val="20"/>
                <w:szCs w:val="20"/>
              </w:rPr>
              <w:t>As of Right</w:t>
            </w:r>
            <w:r w:rsidR="004E1E0A" w:rsidRPr="003A74F5">
              <w:rPr>
                <w:rFonts w:eastAsia="Calibri" w:cs="Times New Roman"/>
                <w:sz w:val="20"/>
                <w:szCs w:val="20"/>
              </w:rPr>
              <w:t>) (34</w:t>
            </w:r>
            <w:r>
              <w:rPr>
                <w:rFonts w:eastAsia="Calibri" w:cs="Times New Roman"/>
                <w:sz w:val="20"/>
                <w:szCs w:val="20"/>
              </w:rPr>
              <w:t>889</w:t>
            </w:r>
            <w:r w:rsidR="004E1E0A" w:rsidRPr="003A74F5">
              <w:rPr>
                <w:rFonts w:eastAsia="Calibri" w:cs="Times New Roman"/>
                <w:sz w:val="20"/>
                <w:szCs w:val="20"/>
              </w:rPr>
              <w:t>)</w:t>
            </w:r>
          </w:p>
          <w:p w:rsidR="004E1E0A" w:rsidRPr="003A74F5" w:rsidRDefault="004E1E0A" w:rsidP="007224FE">
            <w:pPr>
              <w:jc w:val="both"/>
              <w:rPr>
                <w:rFonts w:eastAsia="Calibri" w:cs="Times New Roman"/>
                <w:sz w:val="20"/>
                <w:szCs w:val="20"/>
              </w:rPr>
            </w:pPr>
          </w:p>
        </w:tc>
      </w:tr>
      <w:tr w:rsidR="004E1E0A" w:rsidRPr="003A74F5" w:rsidTr="00735F0F">
        <w:trPr>
          <w:cantSplit/>
          <w:trHeight w:hRule="exact" w:val="576"/>
        </w:trPr>
        <w:tc>
          <w:tcPr>
            <w:tcW w:w="2398" w:type="dxa"/>
          </w:tcPr>
          <w:p w:rsidR="004E1E0A" w:rsidRPr="003A74F5" w:rsidRDefault="004E1E0A" w:rsidP="007224FE">
            <w:pPr>
              <w:rPr>
                <w:rFonts w:eastAsia="Calibri" w:cs="Times New Roman"/>
                <w:sz w:val="20"/>
                <w:szCs w:val="20"/>
              </w:rPr>
            </w:pPr>
            <w:r w:rsidRPr="003A74F5">
              <w:rPr>
                <w:rFonts w:eastAsia="Calibri" w:cs="Times New Roman"/>
                <w:sz w:val="20"/>
                <w:szCs w:val="20"/>
              </w:rPr>
              <w:t>201</w:t>
            </w:r>
            <w:r w:rsidR="007224FE">
              <w:rPr>
                <w:rFonts w:eastAsia="Calibri" w:cs="Times New Roman"/>
                <w:sz w:val="20"/>
                <w:szCs w:val="20"/>
              </w:rPr>
              <w:t>3</w:t>
            </w:r>
            <w:r w:rsidRPr="003A74F5">
              <w:rPr>
                <w:rFonts w:eastAsia="Calibri" w:cs="Times New Roman"/>
                <w:sz w:val="20"/>
                <w:szCs w:val="20"/>
              </w:rPr>
              <w:t>-</w:t>
            </w:r>
            <w:r w:rsidR="007224FE">
              <w:rPr>
                <w:rFonts w:eastAsia="Calibri" w:cs="Times New Roman"/>
                <w:sz w:val="20"/>
                <w:szCs w:val="20"/>
              </w:rPr>
              <w:t>02</w:t>
            </w:r>
            <w:r w:rsidRPr="003A74F5">
              <w:rPr>
                <w:rFonts w:eastAsia="Calibri" w:cs="Times New Roman"/>
                <w:sz w:val="20"/>
                <w:szCs w:val="20"/>
              </w:rPr>
              <w:t>-1</w:t>
            </w:r>
            <w:r w:rsidR="007224FE">
              <w:rPr>
                <w:rFonts w:eastAsia="Calibri" w:cs="Times New Roman"/>
                <w:sz w:val="20"/>
                <w:szCs w:val="20"/>
              </w:rPr>
              <w:t>8</w:t>
            </w:r>
          </w:p>
        </w:tc>
        <w:tc>
          <w:tcPr>
            <w:tcW w:w="7178" w:type="dxa"/>
          </w:tcPr>
          <w:p w:rsidR="004E1E0A" w:rsidRPr="001C0139" w:rsidRDefault="0080071B" w:rsidP="007224FE">
            <w:pPr>
              <w:jc w:val="both"/>
              <w:rPr>
                <w:rFonts w:eastAsia="Calibri" w:cs="Times New Roman"/>
                <w:sz w:val="20"/>
                <w:szCs w:val="20"/>
              </w:rPr>
            </w:pPr>
            <w:proofErr w:type="spellStart"/>
            <w:r w:rsidRPr="0080071B">
              <w:rPr>
                <w:rFonts w:eastAsia="Calibri" w:cs="Times New Roman"/>
                <w:i/>
                <w:sz w:val="20"/>
                <w:szCs w:val="20"/>
                <w:lang w:val="fr-CA"/>
              </w:rPr>
              <w:t>P</w:t>
            </w:r>
            <w:r w:rsidR="004E1E0A" w:rsidRPr="0080071B">
              <w:rPr>
                <w:rFonts w:eastAsia="Calibri" w:cs="Times New Roman"/>
                <w:i/>
                <w:sz w:val="20"/>
                <w:szCs w:val="20"/>
                <w:lang w:val="fr-CA"/>
              </w:rPr>
              <w:t>ie</w:t>
            </w:r>
            <w:r w:rsidRPr="0080071B">
              <w:rPr>
                <w:rFonts w:eastAsia="Calibri" w:cs="Times New Roman"/>
                <w:i/>
                <w:sz w:val="20"/>
                <w:szCs w:val="20"/>
                <w:lang w:val="fr-CA"/>
              </w:rPr>
              <w:t>ri</w:t>
            </w:r>
            <w:r w:rsidR="004E1E0A" w:rsidRPr="0080071B">
              <w:rPr>
                <w:rFonts w:eastAsia="Calibri" w:cs="Times New Roman"/>
                <w:i/>
                <w:sz w:val="20"/>
                <w:szCs w:val="20"/>
                <w:lang w:val="fr-CA"/>
              </w:rPr>
              <w:t>n</w:t>
            </w:r>
            <w:r w:rsidRPr="0080071B">
              <w:rPr>
                <w:rFonts w:eastAsia="Calibri" w:cs="Times New Roman"/>
                <w:i/>
                <w:sz w:val="20"/>
                <w:szCs w:val="20"/>
                <w:lang w:val="fr-CA"/>
              </w:rPr>
              <w:t>o</w:t>
            </w:r>
            <w:proofErr w:type="spellEnd"/>
            <w:r w:rsidRPr="0080071B">
              <w:rPr>
                <w:rFonts w:eastAsia="Calibri" w:cs="Times New Roman"/>
                <w:i/>
                <w:sz w:val="20"/>
                <w:szCs w:val="20"/>
                <w:lang w:val="fr-CA"/>
              </w:rPr>
              <w:t xml:space="preserve"> </w:t>
            </w:r>
            <w:proofErr w:type="spellStart"/>
            <w:r w:rsidRPr="0080071B">
              <w:rPr>
                <w:rFonts w:eastAsia="Calibri" w:cs="Times New Roman"/>
                <w:i/>
                <w:sz w:val="20"/>
                <w:szCs w:val="20"/>
                <w:lang w:val="fr-CA"/>
              </w:rPr>
              <w:t>Divi</w:t>
            </w:r>
            <w:r w:rsidR="004E1E0A" w:rsidRPr="0080071B">
              <w:rPr>
                <w:rFonts w:eastAsia="Calibri" w:cs="Times New Roman"/>
                <w:i/>
                <w:sz w:val="20"/>
                <w:szCs w:val="20"/>
                <w:lang w:val="fr-CA"/>
              </w:rPr>
              <w:t>t</w:t>
            </w:r>
            <w:r w:rsidRPr="0080071B">
              <w:rPr>
                <w:rFonts w:eastAsia="Calibri" w:cs="Times New Roman"/>
                <w:i/>
                <w:sz w:val="20"/>
                <w:szCs w:val="20"/>
                <w:lang w:val="fr-CA"/>
              </w:rPr>
              <w:t>o</w:t>
            </w:r>
            <w:proofErr w:type="spellEnd"/>
            <w:r w:rsidR="004E1E0A" w:rsidRPr="0080071B">
              <w:rPr>
                <w:rFonts w:eastAsia="Calibri" w:cs="Times New Roman"/>
                <w:i/>
                <w:sz w:val="20"/>
                <w:szCs w:val="20"/>
                <w:lang w:val="fr-CA"/>
              </w:rPr>
              <w:t xml:space="preserve"> </w:t>
            </w:r>
            <w:r w:rsidRPr="0080071B">
              <w:rPr>
                <w:rFonts w:eastAsia="Calibri" w:cs="Times New Roman"/>
                <w:i/>
                <w:sz w:val="20"/>
                <w:szCs w:val="20"/>
                <w:lang w:val="fr-CA"/>
              </w:rPr>
              <w:t>c</w:t>
            </w:r>
            <w:r w:rsidR="004E1E0A" w:rsidRPr="0080071B">
              <w:rPr>
                <w:rFonts w:eastAsia="Calibri" w:cs="Times New Roman"/>
                <w:i/>
                <w:sz w:val="20"/>
                <w:szCs w:val="20"/>
                <w:lang w:val="fr-CA"/>
              </w:rPr>
              <w:t>. M</w:t>
            </w:r>
            <w:r w:rsidRPr="0080071B">
              <w:rPr>
                <w:rFonts w:eastAsia="Calibri" w:cs="Times New Roman"/>
                <w:i/>
                <w:sz w:val="20"/>
                <w:szCs w:val="20"/>
                <w:lang w:val="fr-CA"/>
              </w:rPr>
              <w:t>inistre de la sécurité publique et de la protection civile</w:t>
            </w:r>
            <w:r w:rsidR="004E1E0A" w:rsidRPr="0080071B">
              <w:rPr>
                <w:rFonts w:eastAsia="Calibri" w:cs="Times New Roman"/>
                <w:i/>
                <w:sz w:val="20"/>
                <w:szCs w:val="20"/>
                <w:lang w:val="fr-CA"/>
              </w:rPr>
              <w:t xml:space="preserve"> </w:t>
            </w:r>
            <w:r w:rsidR="004E1E0A" w:rsidRPr="0080071B">
              <w:rPr>
                <w:rFonts w:eastAsia="Calibri" w:cs="Times New Roman"/>
                <w:sz w:val="20"/>
                <w:szCs w:val="20"/>
                <w:lang w:val="fr-CA"/>
              </w:rPr>
              <w:t>(</w:t>
            </w:r>
            <w:r>
              <w:rPr>
                <w:rFonts w:eastAsia="Calibri" w:cs="Times New Roman"/>
                <w:sz w:val="20"/>
                <w:szCs w:val="20"/>
                <w:lang w:val="fr-CA"/>
              </w:rPr>
              <w:t>C</w:t>
            </w:r>
            <w:r w:rsidRPr="0080071B">
              <w:rPr>
                <w:rFonts w:eastAsia="Calibri" w:cs="Times New Roman"/>
                <w:sz w:val="20"/>
                <w:szCs w:val="20"/>
                <w:lang w:val="fr-CA"/>
              </w:rPr>
              <w:t>.</w:t>
            </w:r>
            <w:r>
              <w:rPr>
                <w:rFonts w:eastAsia="Calibri" w:cs="Times New Roman"/>
                <w:sz w:val="20"/>
                <w:szCs w:val="20"/>
                <w:lang w:val="fr-CA"/>
              </w:rPr>
              <w:t>F</w:t>
            </w:r>
            <w:r w:rsidR="004E1E0A" w:rsidRPr="0080071B">
              <w:rPr>
                <w:rFonts w:eastAsia="Calibri" w:cs="Times New Roman"/>
                <w:sz w:val="20"/>
                <w:szCs w:val="20"/>
                <w:lang w:val="fr-CA"/>
              </w:rPr>
              <w:t xml:space="preserve">.) </w:t>
            </w:r>
            <w:r w:rsidR="004E1E0A" w:rsidRPr="007224FE">
              <w:rPr>
                <w:rFonts w:eastAsia="Calibri" w:cs="Times New Roman"/>
                <w:sz w:val="20"/>
                <w:szCs w:val="20"/>
              </w:rPr>
              <w:t>(</w:t>
            </w:r>
            <w:proofErr w:type="spellStart"/>
            <w:r w:rsidR="004E1E0A" w:rsidRPr="007224FE">
              <w:rPr>
                <w:rFonts w:eastAsia="Calibri" w:cs="Times New Roman"/>
                <w:sz w:val="20"/>
                <w:szCs w:val="20"/>
              </w:rPr>
              <w:t>Civil</w:t>
            </w:r>
            <w:r>
              <w:rPr>
                <w:rFonts w:eastAsia="Calibri" w:cs="Times New Roman"/>
                <w:sz w:val="20"/>
                <w:szCs w:val="20"/>
              </w:rPr>
              <w:t>e</w:t>
            </w:r>
            <w:proofErr w:type="spellEnd"/>
            <w:r w:rsidR="004E1E0A" w:rsidRPr="007224FE">
              <w:rPr>
                <w:rFonts w:eastAsia="Calibri" w:cs="Times New Roman"/>
                <w:sz w:val="20"/>
                <w:szCs w:val="20"/>
              </w:rPr>
              <w:t>) (</w:t>
            </w:r>
            <w:proofErr w:type="spellStart"/>
            <w:r>
              <w:rPr>
                <w:rFonts w:eastAsia="Calibri" w:cs="Times New Roman"/>
                <w:sz w:val="20"/>
                <w:szCs w:val="20"/>
              </w:rPr>
              <w:t>Autorisation</w:t>
            </w:r>
            <w:proofErr w:type="spellEnd"/>
            <w:r w:rsidR="004E1E0A" w:rsidRPr="007224FE">
              <w:rPr>
                <w:rFonts w:eastAsia="Calibri" w:cs="Times New Roman"/>
                <w:sz w:val="20"/>
                <w:szCs w:val="20"/>
              </w:rPr>
              <w:t>) (341</w:t>
            </w:r>
            <w:r>
              <w:rPr>
                <w:rFonts w:eastAsia="Calibri" w:cs="Times New Roman"/>
                <w:sz w:val="20"/>
                <w:szCs w:val="20"/>
              </w:rPr>
              <w:t>28</w:t>
            </w:r>
            <w:r w:rsidR="004E1E0A" w:rsidRPr="007224FE">
              <w:rPr>
                <w:rFonts w:eastAsia="Calibri" w:cs="Times New Roman"/>
                <w:sz w:val="20"/>
                <w:szCs w:val="20"/>
              </w:rPr>
              <w:t>)</w:t>
            </w:r>
          </w:p>
          <w:p w:rsidR="004E1E0A" w:rsidRPr="003A74F5" w:rsidRDefault="004E1E0A" w:rsidP="007224FE">
            <w:pPr>
              <w:jc w:val="both"/>
              <w:rPr>
                <w:rFonts w:eastAsia="Calibri" w:cs="Times New Roman"/>
                <w:sz w:val="20"/>
                <w:szCs w:val="20"/>
              </w:rPr>
            </w:pPr>
          </w:p>
        </w:tc>
      </w:tr>
      <w:tr w:rsidR="007224FE" w:rsidRPr="0085047E" w:rsidTr="00735F0F">
        <w:trPr>
          <w:cantSplit/>
          <w:trHeight w:hRule="exact" w:val="576"/>
        </w:trPr>
        <w:tc>
          <w:tcPr>
            <w:tcW w:w="2398" w:type="dxa"/>
          </w:tcPr>
          <w:p w:rsidR="007224FE" w:rsidRPr="003A74F5" w:rsidRDefault="007224FE" w:rsidP="007224FE">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20</w:t>
            </w:r>
          </w:p>
        </w:tc>
        <w:tc>
          <w:tcPr>
            <w:tcW w:w="7178" w:type="dxa"/>
          </w:tcPr>
          <w:p w:rsidR="007224FE" w:rsidRDefault="007224FE" w:rsidP="0060133C">
            <w:pPr>
              <w:jc w:val="both"/>
              <w:rPr>
                <w:rFonts w:eastAsia="Calibri" w:cs="Times New Roman"/>
                <w:sz w:val="20"/>
                <w:szCs w:val="20"/>
              </w:rPr>
            </w:pPr>
            <w:r>
              <w:rPr>
                <w:rFonts w:eastAsia="Calibri" w:cs="Times New Roman"/>
                <w:i/>
                <w:sz w:val="20"/>
                <w:szCs w:val="20"/>
              </w:rPr>
              <w:t>D</w:t>
            </w:r>
            <w:r w:rsidR="0060133C">
              <w:rPr>
                <w:rFonts w:eastAsia="Calibri" w:cs="Times New Roman"/>
                <w:i/>
                <w:sz w:val="20"/>
                <w:szCs w:val="20"/>
              </w:rPr>
              <w:t>aishowa-Marubeni International Ltd</w:t>
            </w:r>
            <w:r w:rsidRPr="003A74F5">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sidR="0080071B">
              <w:rPr>
                <w:rFonts w:eastAsia="Calibri" w:cs="Times New Roman"/>
                <w:i/>
                <w:sz w:val="20"/>
                <w:szCs w:val="20"/>
              </w:rPr>
              <w:t>ty the Queen</w:t>
            </w:r>
            <w:r w:rsidRPr="003A74F5">
              <w:rPr>
                <w:rFonts w:eastAsia="Calibri" w:cs="Times New Roman"/>
                <w:sz w:val="20"/>
                <w:szCs w:val="20"/>
              </w:rPr>
              <w:t xml:space="preserve"> (</w:t>
            </w:r>
            <w:r w:rsidR="0060133C">
              <w:rPr>
                <w:rFonts w:eastAsia="Calibri" w:cs="Times New Roman"/>
                <w:sz w:val="20"/>
                <w:szCs w:val="20"/>
              </w:rPr>
              <w:t>F</w:t>
            </w:r>
            <w:r w:rsidRPr="003A74F5">
              <w:rPr>
                <w:rFonts w:eastAsia="Calibri" w:cs="Times New Roman"/>
                <w:sz w:val="20"/>
                <w:szCs w:val="20"/>
              </w:rPr>
              <w:t>.C.) (Ci</w:t>
            </w:r>
            <w:r w:rsidR="0060133C">
              <w:rPr>
                <w:rFonts w:eastAsia="Calibri" w:cs="Times New Roman"/>
                <w:sz w:val="20"/>
                <w:szCs w:val="20"/>
              </w:rPr>
              <w:t>vi</w:t>
            </w:r>
            <w:r w:rsidRPr="003A74F5">
              <w:rPr>
                <w:rFonts w:eastAsia="Calibri" w:cs="Times New Roman"/>
                <w:sz w:val="20"/>
                <w:szCs w:val="20"/>
              </w:rPr>
              <w:t>l) (</w:t>
            </w:r>
            <w:r w:rsidR="0060133C">
              <w:rPr>
                <w:rFonts w:eastAsia="Calibri" w:cs="Times New Roman"/>
                <w:sz w:val="20"/>
                <w:szCs w:val="20"/>
              </w:rPr>
              <w:t>By</w:t>
            </w:r>
            <w:r w:rsidR="006C3F73">
              <w:rPr>
                <w:rFonts w:eastAsia="Calibri" w:cs="Times New Roman"/>
                <w:sz w:val="20"/>
                <w:szCs w:val="20"/>
              </w:rPr>
              <w:t> </w:t>
            </w:r>
            <w:r w:rsidR="0060133C">
              <w:rPr>
                <w:rFonts w:eastAsia="Calibri" w:cs="Times New Roman"/>
                <w:sz w:val="20"/>
                <w:szCs w:val="20"/>
              </w:rPr>
              <w:t>Leave</w:t>
            </w:r>
            <w:r w:rsidRPr="003A74F5">
              <w:rPr>
                <w:rFonts w:eastAsia="Calibri" w:cs="Times New Roman"/>
                <w:sz w:val="20"/>
                <w:szCs w:val="20"/>
              </w:rPr>
              <w:t>) (34</w:t>
            </w:r>
            <w:r w:rsidR="0060133C">
              <w:rPr>
                <w:rFonts w:eastAsia="Calibri" w:cs="Times New Roman"/>
                <w:sz w:val="20"/>
                <w:szCs w:val="20"/>
              </w:rPr>
              <w:t>5</w:t>
            </w:r>
            <w:r>
              <w:rPr>
                <w:rFonts w:eastAsia="Calibri" w:cs="Times New Roman"/>
                <w:sz w:val="20"/>
                <w:szCs w:val="20"/>
              </w:rPr>
              <w:t>3</w:t>
            </w:r>
            <w:r w:rsidR="0060133C">
              <w:rPr>
                <w:rFonts w:eastAsia="Calibri" w:cs="Times New Roman"/>
                <w:sz w:val="20"/>
                <w:szCs w:val="20"/>
              </w:rPr>
              <w:t>4</w:t>
            </w:r>
            <w:r>
              <w:rPr>
                <w:rFonts w:eastAsia="Calibri" w:cs="Times New Roman"/>
                <w:sz w:val="20"/>
                <w:szCs w:val="20"/>
              </w:rPr>
              <w:t>)</w:t>
            </w:r>
          </w:p>
          <w:p w:rsidR="0060133C" w:rsidRPr="007224FE" w:rsidRDefault="0060133C" w:rsidP="0060133C">
            <w:pPr>
              <w:jc w:val="both"/>
              <w:rPr>
                <w:rFonts w:eastAsia="Calibri" w:cs="Times New Roman"/>
                <w:i/>
                <w:sz w:val="20"/>
                <w:szCs w:val="20"/>
              </w:rPr>
            </w:pPr>
          </w:p>
        </w:tc>
      </w:tr>
      <w:tr w:rsidR="00483800" w:rsidRPr="0085047E" w:rsidTr="00735F0F">
        <w:trPr>
          <w:cantSplit/>
          <w:trHeight w:hRule="exact" w:val="576"/>
        </w:trPr>
        <w:tc>
          <w:tcPr>
            <w:tcW w:w="2398" w:type="dxa"/>
          </w:tcPr>
          <w:p w:rsidR="00483800" w:rsidRPr="003A74F5" w:rsidRDefault="00483800" w:rsidP="00483800">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20</w:t>
            </w:r>
          </w:p>
        </w:tc>
        <w:tc>
          <w:tcPr>
            <w:tcW w:w="7178" w:type="dxa"/>
          </w:tcPr>
          <w:p w:rsidR="00483800" w:rsidRPr="0080071B" w:rsidRDefault="00483800" w:rsidP="00483800">
            <w:pPr>
              <w:jc w:val="both"/>
              <w:rPr>
                <w:rFonts w:eastAsia="Calibri" w:cs="Times New Roman"/>
                <w:sz w:val="20"/>
                <w:szCs w:val="20"/>
              </w:rPr>
            </w:pPr>
            <w:proofErr w:type="spellStart"/>
            <w:r w:rsidRPr="0080071B">
              <w:rPr>
                <w:rFonts w:eastAsia="Calibri" w:cs="Times New Roman"/>
                <w:i/>
                <w:sz w:val="20"/>
                <w:szCs w:val="20"/>
              </w:rPr>
              <w:t>Yousanthan</w:t>
            </w:r>
            <w:proofErr w:type="spellEnd"/>
            <w:r w:rsidRPr="0080071B">
              <w:rPr>
                <w:rFonts w:eastAsia="Calibri" w:cs="Times New Roman"/>
                <w:i/>
                <w:sz w:val="20"/>
                <w:szCs w:val="20"/>
              </w:rPr>
              <w:t xml:space="preserve"> </w:t>
            </w:r>
            <w:proofErr w:type="spellStart"/>
            <w:r w:rsidRPr="0080071B">
              <w:rPr>
                <w:rFonts w:eastAsia="Calibri" w:cs="Times New Roman"/>
                <w:i/>
                <w:sz w:val="20"/>
                <w:szCs w:val="20"/>
              </w:rPr>
              <w:t>Youvarajah</w:t>
            </w:r>
            <w:proofErr w:type="spellEnd"/>
            <w:r w:rsidRPr="0080071B">
              <w:rPr>
                <w:rFonts w:eastAsia="Calibri" w:cs="Times New Roman"/>
                <w:i/>
                <w:sz w:val="20"/>
                <w:szCs w:val="20"/>
              </w:rPr>
              <w:t xml:space="preserve"> v. </w:t>
            </w:r>
            <w:r>
              <w:rPr>
                <w:rFonts w:eastAsia="Calibri" w:cs="Times New Roman"/>
                <w:i/>
                <w:sz w:val="20"/>
                <w:szCs w:val="20"/>
              </w:rPr>
              <w:t>H</w:t>
            </w:r>
            <w:r w:rsidRPr="0080071B">
              <w:rPr>
                <w:rFonts w:eastAsia="Calibri" w:cs="Times New Roman"/>
                <w:i/>
                <w:sz w:val="20"/>
                <w:szCs w:val="20"/>
              </w:rPr>
              <w:t>er</w:t>
            </w:r>
            <w:r>
              <w:rPr>
                <w:rFonts w:eastAsia="Calibri" w:cs="Times New Roman"/>
                <w:i/>
                <w:sz w:val="20"/>
                <w:szCs w:val="20"/>
              </w:rPr>
              <w:t xml:space="preserve"> Majesty the Queen</w:t>
            </w:r>
            <w:r w:rsidRPr="0080071B">
              <w:rPr>
                <w:rFonts w:eastAsia="Calibri" w:cs="Times New Roman"/>
                <w:sz w:val="20"/>
                <w:szCs w:val="20"/>
              </w:rPr>
              <w:t xml:space="preserve"> (</w:t>
            </w:r>
            <w:r>
              <w:rPr>
                <w:rFonts w:eastAsia="Calibri" w:cs="Times New Roman"/>
                <w:sz w:val="20"/>
                <w:szCs w:val="20"/>
              </w:rPr>
              <w:t>On</w:t>
            </w:r>
            <w:r w:rsidRPr="0080071B">
              <w:rPr>
                <w:rFonts w:eastAsia="Calibri" w:cs="Times New Roman"/>
                <w:sz w:val="20"/>
                <w:szCs w:val="20"/>
              </w:rPr>
              <w:t>t.) (C</w:t>
            </w:r>
            <w:r>
              <w:rPr>
                <w:rFonts w:eastAsia="Calibri" w:cs="Times New Roman"/>
                <w:sz w:val="20"/>
                <w:szCs w:val="20"/>
              </w:rPr>
              <w:t>rim</w:t>
            </w:r>
            <w:r w:rsidRPr="0080071B">
              <w:rPr>
                <w:rFonts w:eastAsia="Calibri" w:cs="Times New Roman"/>
                <w:sz w:val="20"/>
                <w:szCs w:val="20"/>
              </w:rPr>
              <w:t>i</w:t>
            </w:r>
            <w:r>
              <w:rPr>
                <w:rFonts w:eastAsia="Calibri" w:cs="Times New Roman"/>
                <w:sz w:val="20"/>
                <w:szCs w:val="20"/>
              </w:rPr>
              <w:t>na</w:t>
            </w:r>
            <w:r w:rsidRPr="0080071B">
              <w:rPr>
                <w:rFonts w:eastAsia="Calibri" w:cs="Times New Roman"/>
                <w:sz w:val="20"/>
                <w:szCs w:val="20"/>
              </w:rPr>
              <w:t>l) (By Leave) (34</w:t>
            </w:r>
            <w:r>
              <w:rPr>
                <w:rFonts w:eastAsia="Calibri" w:cs="Times New Roman"/>
                <w:sz w:val="20"/>
                <w:szCs w:val="20"/>
              </w:rPr>
              <w:t>73</w:t>
            </w:r>
            <w:r w:rsidRPr="0080071B">
              <w:rPr>
                <w:rFonts w:eastAsia="Calibri" w:cs="Times New Roman"/>
                <w:sz w:val="20"/>
                <w:szCs w:val="20"/>
              </w:rPr>
              <w:t>2)</w:t>
            </w:r>
          </w:p>
          <w:p w:rsidR="00483800" w:rsidRDefault="00483800" w:rsidP="0060133C">
            <w:pPr>
              <w:jc w:val="both"/>
              <w:rPr>
                <w:rFonts w:eastAsia="Calibri" w:cs="Times New Roman"/>
                <w:i/>
                <w:sz w:val="20"/>
                <w:szCs w:val="20"/>
              </w:rPr>
            </w:pPr>
          </w:p>
        </w:tc>
      </w:tr>
      <w:tr w:rsidR="007224FE" w:rsidRPr="0085047E" w:rsidTr="00735F0F">
        <w:trPr>
          <w:cantSplit/>
          <w:trHeight w:hRule="exact" w:val="576"/>
        </w:trPr>
        <w:tc>
          <w:tcPr>
            <w:tcW w:w="2398" w:type="dxa"/>
          </w:tcPr>
          <w:p w:rsidR="007224FE" w:rsidRPr="003A74F5" w:rsidRDefault="007224FE" w:rsidP="007224FE">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w:t>
            </w:r>
            <w:r w:rsidRPr="003A74F5">
              <w:rPr>
                <w:rFonts w:eastAsia="Calibri" w:cs="Times New Roman"/>
                <w:sz w:val="20"/>
                <w:szCs w:val="20"/>
              </w:rPr>
              <w:t>1</w:t>
            </w:r>
          </w:p>
        </w:tc>
        <w:tc>
          <w:tcPr>
            <w:tcW w:w="7178" w:type="dxa"/>
          </w:tcPr>
          <w:p w:rsidR="007224FE" w:rsidRDefault="0060133C" w:rsidP="0060133C">
            <w:pPr>
              <w:jc w:val="both"/>
              <w:rPr>
                <w:rFonts w:eastAsia="Calibri" w:cs="Times New Roman"/>
                <w:sz w:val="20"/>
                <w:szCs w:val="20"/>
              </w:rPr>
            </w:pPr>
            <w:r>
              <w:rPr>
                <w:rFonts w:eastAsia="Calibri" w:cs="Times New Roman"/>
                <w:i/>
                <w:sz w:val="20"/>
                <w:szCs w:val="20"/>
              </w:rPr>
              <w:t>Attorney General of Canada on behalf of the Czech Republic and the Minister of Justice of Canada</w:t>
            </w:r>
            <w:r w:rsidR="007224FE" w:rsidRPr="003A74F5">
              <w:rPr>
                <w:rFonts w:eastAsia="Calibri" w:cs="Times New Roman"/>
                <w:i/>
                <w:sz w:val="20"/>
                <w:szCs w:val="20"/>
              </w:rPr>
              <w:t xml:space="preserve"> v. </w:t>
            </w:r>
            <w:proofErr w:type="spellStart"/>
            <w:r>
              <w:rPr>
                <w:rFonts w:eastAsia="Calibri" w:cs="Times New Roman"/>
                <w:i/>
                <w:sz w:val="20"/>
                <w:szCs w:val="20"/>
              </w:rPr>
              <w:t>B</w:t>
            </w:r>
            <w:r w:rsidR="007224FE" w:rsidRPr="003A74F5">
              <w:rPr>
                <w:rFonts w:eastAsia="Calibri" w:cs="Times New Roman"/>
                <w:i/>
                <w:sz w:val="20"/>
                <w:szCs w:val="20"/>
              </w:rPr>
              <w:t>r</w:t>
            </w:r>
            <w:r>
              <w:rPr>
                <w:rFonts w:eastAsia="Calibri" w:cs="Times New Roman"/>
                <w:i/>
                <w:sz w:val="20"/>
                <w:szCs w:val="20"/>
              </w:rPr>
              <w:t>etisl</w:t>
            </w:r>
            <w:r w:rsidR="007224FE" w:rsidRPr="003A74F5">
              <w:rPr>
                <w:rFonts w:eastAsia="Calibri" w:cs="Times New Roman"/>
                <w:i/>
                <w:sz w:val="20"/>
                <w:szCs w:val="20"/>
              </w:rPr>
              <w:t>a</w:t>
            </w:r>
            <w:r>
              <w:rPr>
                <w:rFonts w:eastAsia="Calibri" w:cs="Times New Roman"/>
                <w:i/>
                <w:sz w:val="20"/>
                <w:szCs w:val="20"/>
              </w:rPr>
              <w:t>v</w:t>
            </w:r>
            <w:proofErr w:type="spellEnd"/>
            <w:r>
              <w:rPr>
                <w:rFonts w:eastAsia="Calibri" w:cs="Times New Roman"/>
                <w:i/>
                <w:sz w:val="20"/>
                <w:szCs w:val="20"/>
              </w:rPr>
              <w:t xml:space="preserve"> </w:t>
            </w:r>
            <w:proofErr w:type="spellStart"/>
            <w:r>
              <w:rPr>
                <w:rFonts w:eastAsia="Calibri" w:cs="Times New Roman"/>
                <w:i/>
                <w:sz w:val="20"/>
                <w:szCs w:val="20"/>
              </w:rPr>
              <w:t>Zajicek</w:t>
            </w:r>
            <w:proofErr w:type="spellEnd"/>
            <w:r>
              <w:rPr>
                <w:rFonts w:eastAsia="Calibri" w:cs="Times New Roman"/>
                <w:i/>
                <w:sz w:val="20"/>
                <w:szCs w:val="20"/>
              </w:rPr>
              <w:t xml:space="preserve"> </w:t>
            </w:r>
            <w:r w:rsidR="007224FE" w:rsidRPr="003A74F5">
              <w:rPr>
                <w:rFonts w:eastAsia="Calibri" w:cs="Times New Roman"/>
                <w:sz w:val="20"/>
                <w:szCs w:val="20"/>
              </w:rPr>
              <w:t>(</w:t>
            </w:r>
            <w:r>
              <w:rPr>
                <w:rFonts w:eastAsia="Calibri" w:cs="Times New Roman"/>
                <w:sz w:val="20"/>
                <w:szCs w:val="20"/>
              </w:rPr>
              <w:t>Ont</w:t>
            </w:r>
            <w:r w:rsidR="007224FE" w:rsidRPr="003A74F5">
              <w:rPr>
                <w:rFonts w:eastAsia="Calibri" w:cs="Times New Roman"/>
                <w:sz w:val="20"/>
                <w:szCs w:val="20"/>
              </w:rPr>
              <w:t>.) (C</w:t>
            </w:r>
            <w:r w:rsidR="007224FE">
              <w:rPr>
                <w:rFonts w:eastAsia="Calibri" w:cs="Times New Roman"/>
                <w:sz w:val="20"/>
                <w:szCs w:val="20"/>
              </w:rPr>
              <w:t>r</w:t>
            </w:r>
            <w:r w:rsidR="007224FE" w:rsidRPr="003A74F5">
              <w:rPr>
                <w:rFonts w:eastAsia="Calibri" w:cs="Times New Roman"/>
                <w:sz w:val="20"/>
                <w:szCs w:val="20"/>
              </w:rPr>
              <w:t>i</w:t>
            </w:r>
            <w:r w:rsidR="007224FE">
              <w:rPr>
                <w:rFonts w:eastAsia="Calibri" w:cs="Times New Roman"/>
                <w:sz w:val="20"/>
                <w:szCs w:val="20"/>
              </w:rPr>
              <w:t>m</w:t>
            </w:r>
            <w:r w:rsidR="007224FE" w:rsidRPr="003A74F5">
              <w:rPr>
                <w:rFonts w:eastAsia="Calibri" w:cs="Times New Roman"/>
                <w:sz w:val="20"/>
                <w:szCs w:val="20"/>
              </w:rPr>
              <w:t>i</w:t>
            </w:r>
            <w:r w:rsidR="007224FE">
              <w:rPr>
                <w:rFonts w:eastAsia="Calibri" w:cs="Times New Roman"/>
                <w:sz w:val="20"/>
                <w:szCs w:val="20"/>
              </w:rPr>
              <w:t>na</w:t>
            </w:r>
            <w:r w:rsidR="007224FE" w:rsidRPr="003A74F5">
              <w:rPr>
                <w:rFonts w:eastAsia="Calibri" w:cs="Times New Roman"/>
                <w:sz w:val="20"/>
                <w:szCs w:val="20"/>
              </w:rPr>
              <w:t>l) (By Leave) (34</w:t>
            </w:r>
            <w:r>
              <w:rPr>
                <w:rFonts w:eastAsia="Calibri" w:cs="Times New Roman"/>
                <w:sz w:val="20"/>
                <w:szCs w:val="20"/>
              </w:rPr>
              <w:t>7</w:t>
            </w:r>
            <w:r w:rsidR="007224FE">
              <w:rPr>
                <w:rFonts w:eastAsia="Calibri" w:cs="Times New Roman"/>
                <w:sz w:val="20"/>
                <w:szCs w:val="20"/>
              </w:rPr>
              <w:t>6</w:t>
            </w:r>
            <w:r>
              <w:rPr>
                <w:rFonts w:eastAsia="Calibri" w:cs="Times New Roman"/>
                <w:sz w:val="20"/>
                <w:szCs w:val="20"/>
              </w:rPr>
              <w:t>7</w:t>
            </w:r>
            <w:r w:rsidR="007224FE">
              <w:rPr>
                <w:rFonts w:eastAsia="Calibri" w:cs="Times New Roman"/>
                <w:sz w:val="20"/>
                <w:szCs w:val="20"/>
              </w:rPr>
              <w:t>)</w:t>
            </w:r>
          </w:p>
          <w:p w:rsidR="0060133C" w:rsidRPr="007224FE" w:rsidRDefault="0060133C" w:rsidP="0060133C">
            <w:pPr>
              <w:jc w:val="both"/>
              <w:rPr>
                <w:rFonts w:eastAsia="Calibri" w:cs="Times New Roman"/>
                <w:i/>
                <w:sz w:val="20"/>
                <w:szCs w:val="20"/>
              </w:rPr>
            </w:pPr>
          </w:p>
        </w:tc>
      </w:tr>
      <w:tr w:rsidR="004E1E0A" w:rsidRPr="0085047E" w:rsidTr="00735F0F">
        <w:trPr>
          <w:cantSplit/>
          <w:trHeight w:val="252"/>
        </w:trPr>
        <w:tc>
          <w:tcPr>
            <w:tcW w:w="2398" w:type="dxa"/>
          </w:tcPr>
          <w:p w:rsidR="004E1E0A" w:rsidRPr="0085047E" w:rsidRDefault="004E1E0A" w:rsidP="007224FE">
            <w:pPr>
              <w:rPr>
                <w:rFonts w:eastAsia="Calibri" w:cs="Times New Roman"/>
                <w:sz w:val="20"/>
                <w:szCs w:val="20"/>
                <w:lang w:val="fr-CA"/>
              </w:rPr>
            </w:pPr>
            <w:r w:rsidRPr="0085047E">
              <w:rPr>
                <w:rFonts w:eastAsia="Calibri" w:cs="Times New Roman"/>
                <w:sz w:val="20"/>
                <w:szCs w:val="20"/>
                <w:lang w:val="fr-CA"/>
              </w:rPr>
              <w:t>201</w:t>
            </w:r>
            <w:r w:rsidR="007224FE">
              <w:rPr>
                <w:rFonts w:eastAsia="Calibri" w:cs="Times New Roman"/>
                <w:sz w:val="20"/>
                <w:szCs w:val="20"/>
                <w:lang w:val="fr-CA"/>
              </w:rPr>
              <w:t>3</w:t>
            </w:r>
            <w:r w:rsidRPr="0085047E">
              <w:rPr>
                <w:rFonts w:eastAsia="Calibri" w:cs="Times New Roman"/>
                <w:sz w:val="20"/>
                <w:szCs w:val="20"/>
                <w:lang w:val="fr-CA"/>
              </w:rPr>
              <w:t>-</w:t>
            </w:r>
            <w:r w:rsidR="007224FE">
              <w:rPr>
                <w:rFonts w:eastAsia="Calibri" w:cs="Times New Roman"/>
                <w:sz w:val="20"/>
                <w:szCs w:val="20"/>
                <w:lang w:val="fr-CA"/>
              </w:rPr>
              <w:t>02</w:t>
            </w:r>
            <w:r w:rsidRPr="0085047E">
              <w:rPr>
                <w:rFonts w:eastAsia="Calibri" w:cs="Times New Roman"/>
                <w:sz w:val="20"/>
                <w:szCs w:val="20"/>
                <w:lang w:val="fr-CA"/>
              </w:rPr>
              <w:t>-</w:t>
            </w:r>
            <w:r w:rsidR="007224FE">
              <w:rPr>
                <w:rFonts w:eastAsia="Calibri" w:cs="Times New Roman"/>
                <w:sz w:val="20"/>
                <w:szCs w:val="20"/>
                <w:lang w:val="fr-CA"/>
              </w:rPr>
              <w:t>22</w:t>
            </w:r>
          </w:p>
        </w:tc>
        <w:tc>
          <w:tcPr>
            <w:tcW w:w="7178" w:type="dxa"/>
          </w:tcPr>
          <w:p w:rsidR="004E1E0A" w:rsidRPr="001C0139" w:rsidRDefault="004E1E0A" w:rsidP="0060133C">
            <w:pPr>
              <w:jc w:val="both"/>
              <w:rPr>
                <w:rFonts w:eastAsia="Calibri" w:cs="Times New Roman"/>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sidR="0080071B">
              <w:rPr>
                <w:rFonts w:eastAsia="Calibri" w:cs="Times New Roman"/>
                <w:i/>
                <w:sz w:val="20"/>
                <w:szCs w:val="20"/>
              </w:rPr>
              <w:t>ty the Queen</w:t>
            </w:r>
            <w:r w:rsidR="0060133C">
              <w:rPr>
                <w:rFonts w:eastAsia="Calibri" w:cs="Times New Roman"/>
                <w:i/>
                <w:sz w:val="20"/>
                <w:szCs w:val="20"/>
              </w:rPr>
              <w:t xml:space="preserve"> v. Peter Garfield Taylor</w:t>
            </w:r>
            <w:r w:rsidR="0080071B">
              <w:rPr>
                <w:rFonts w:eastAsia="Calibri" w:cs="Times New Roman"/>
                <w:i/>
                <w:sz w:val="20"/>
                <w:szCs w:val="20"/>
              </w:rPr>
              <w:t xml:space="preserve"> </w:t>
            </w:r>
            <w:r w:rsidRPr="003A74F5">
              <w:rPr>
                <w:rFonts w:eastAsia="Calibri" w:cs="Times New Roman"/>
                <w:sz w:val="20"/>
                <w:szCs w:val="20"/>
              </w:rPr>
              <w:t>(</w:t>
            </w:r>
            <w:r w:rsidR="0060133C">
              <w:rPr>
                <w:rFonts w:eastAsia="Calibri" w:cs="Times New Roman"/>
                <w:sz w:val="20"/>
                <w:szCs w:val="20"/>
              </w:rPr>
              <w:t>N</w:t>
            </w:r>
            <w:r w:rsidRPr="003A74F5">
              <w:rPr>
                <w:rFonts w:eastAsia="Calibri" w:cs="Times New Roman"/>
                <w:sz w:val="20"/>
                <w:szCs w:val="20"/>
              </w:rPr>
              <w:t>.</w:t>
            </w:r>
            <w:r w:rsidR="0060133C">
              <w:rPr>
                <w:rFonts w:eastAsia="Calibri" w:cs="Times New Roman"/>
                <w:sz w:val="20"/>
                <w:szCs w:val="20"/>
              </w:rPr>
              <w:t>L</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Pr>
                <w:rFonts w:eastAsia="Calibri" w:cs="Times New Roman"/>
                <w:sz w:val="20"/>
                <w:szCs w:val="20"/>
              </w:rPr>
              <w:t>As of Right</w:t>
            </w:r>
            <w:r w:rsidRPr="003A74F5">
              <w:rPr>
                <w:rFonts w:eastAsia="Calibri" w:cs="Times New Roman"/>
                <w:sz w:val="20"/>
                <w:szCs w:val="20"/>
              </w:rPr>
              <w:t>) (34</w:t>
            </w:r>
            <w:r w:rsidR="0060133C">
              <w:rPr>
                <w:rFonts w:eastAsia="Calibri" w:cs="Times New Roman"/>
                <w:sz w:val="20"/>
                <w:szCs w:val="20"/>
              </w:rPr>
              <w:t>9</w:t>
            </w:r>
            <w:r>
              <w:rPr>
                <w:rFonts w:eastAsia="Calibri" w:cs="Times New Roman"/>
                <w:sz w:val="20"/>
                <w:szCs w:val="20"/>
              </w:rPr>
              <w:t>3</w:t>
            </w:r>
            <w:r w:rsidR="0060133C">
              <w:rPr>
                <w:rFonts w:eastAsia="Calibri" w:cs="Times New Roman"/>
                <w:sz w:val="20"/>
                <w:szCs w:val="20"/>
              </w:rPr>
              <w:t>4</w:t>
            </w:r>
            <w:r>
              <w:rPr>
                <w:rFonts w:eastAsia="Calibri" w:cs="Times New Roman"/>
                <w:sz w:val="20"/>
                <w:szCs w:val="20"/>
              </w:rPr>
              <w:t>)</w:t>
            </w:r>
          </w:p>
        </w:tc>
      </w:tr>
    </w:tbl>
    <w:p w:rsidR="004B66B4" w:rsidRPr="00DD0B49" w:rsidRDefault="004B66B4" w:rsidP="004B66B4">
      <w:pPr>
        <w:ind w:left="1890" w:hanging="1890"/>
        <w:jc w:val="both"/>
        <w:rPr>
          <w:sz w:val="20"/>
          <w:szCs w:val="20"/>
        </w:rPr>
      </w:pPr>
    </w:p>
    <w:p w:rsidR="004B66B4" w:rsidRPr="00DD0B49" w:rsidRDefault="00F008AC" w:rsidP="002868D0">
      <w:pPr>
        <w:jc w:val="both"/>
        <w:rPr>
          <w:sz w:val="20"/>
          <w:szCs w:val="20"/>
        </w:rPr>
      </w:pPr>
      <w:r w:rsidRPr="00F008AC">
        <w:rPr>
          <w:sz w:val="20"/>
          <w:szCs w:val="20"/>
          <w:lang w:val="fr-CA"/>
        </w:rPr>
        <w:pict>
          <v:rect id="_x0000_i1061"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1" w:name="1"/>
    <w:bookmarkEnd w:id="1"/>
    <w:p w:rsidR="00612860" w:rsidRPr="003102E3" w:rsidRDefault="00F008AC" w:rsidP="00612860">
      <w:pPr>
        <w:widowControl w:val="0"/>
        <w:ind w:left="720" w:hanging="720"/>
        <w:jc w:val="both"/>
        <w:rPr>
          <w:sz w:val="20"/>
          <w:szCs w:val="20"/>
        </w:rPr>
      </w:pPr>
      <w:r w:rsidRPr="003102E3">
        <w:rPr>
          <w:b/>
          <w:sz w:val="20"/>
          <w:szCs w:val="20"/>
        </w:rPr>
        <w:fldChar w:fldCharType="begin"/>
      </w:r>
      <w:r w:rsidR="00612860" w:rsidRPr="003102E3">
        <w:rPr>
          <w:b/>
          <w:sz w:val="20"/>
          <w:szCs w:val="20"/>
        </w:rPr>
        <w:instrText xml:space="preserve"> SEQ CHAPTER \h \r 1</w:instrText>
      </w:r>
      <w:r w:rsidRPr="003102E3">
        <w:rPr>
          <w:b/>
          <w:sz w:val="20"/>
          <w:szCs w:val="20"/>
        </w:rPr>
        <w:fldChar w:fldCharType="end"/>
      </w:r>
      <w:r w:rsidR="00612860" w:rsidRPr="003102E3">
        <w:rPr>
          <w:b/>
          <w:sz w:val="20"/>
          <w:szCs w:val="20"/>
        </w:rPr>
        <w:t>34512</w:t>
      </w:r>
      <w:r w:rsidR="00612860" w:rsidRPr="003102E3">
        <w:rPr>
          <w:sz w:val="20"/>
          <w:szCs w:val="20"/>
        </w:rPr>
        <w:tab/>
      </w:r>
      <w:bookmarkStart w:id="2" w:name="3"/>
      <w:bookmarkEnd w:id="2"/>
      <w:r w:rsidR="00612860" w:rsidRPr="003102E3">
        <w:rPr>
          <w:b/>
          <w:i/>
          <w:sz w:val="20"/>
          <w:szCs w:val="20"/>
        </w:rPr>
        <w:t xml:space="preserve">Her Majesty the Queen v. </w:t>
      </w:r>
      <w:proofErr w:type="spellStart"/>
      <w:r w:rsidR="00612860" w:rsidRPr="003102E3">
        <w:rPr>
          <w:b/>
          <w:i/>
          <w:sz w:val="20"/>
          <w:szCs w:val="20"/>
        </w:rPr>
        <w:t>Frédérick</w:t>
      </w:r>
      <w:proofErr w:type="spellEnd"/>
      <w:r w:rsidR="00612860" w:rsidRPr="003102E3">
        <w:rPr>
          <w:b/>
          <w:i/>
          <w:sz w:val="20"/>
          <w:szCs w:val="20"/>
        </w:rPr>
        <w:t xml:space="preserve"> Bélanger</w:t>
      </w:r>
    </w:p>
    <w:p w:rsidR="00612860" w:rsidRPr="003102E3" w:rsidRDefault="00612860" w:rsidP="00612860">
      <w:pPr>
        <w:widowControl w:val="0"/>
        <w:jc w:val="both"/>
        <w:rPr>
          <w:sz w:val="20"/>
          <w:szCs w:val="20"/>
        </w:rPr>
      </w:pPr>
    </w:p>
    <w:p w:rsidR="00612860" w:rsidRPr="003102E3" w:rsidRDefault="00612860" w:rsidP="00612860">
      <w:pPr>
        <w:jc w:val="both"/>
        <w:rPr>
          <w:sz w:val="20"/>
          <w:szCs w:val="20"/>
        </w:rPr>
      </w:pPr>
      <w:r w:rsidRPr="003102E3">
        <w:rPr>
          <w:sz w:val="20"/>
          <w:szCs w:val="20"/>
        </w:rPr>
        <w:t xml:space="preserve">Criminal law </w:t>
      </w:r>
      <w:r w:rsidRPr="003102E3">
        <w:rPr>
          <w:sz w:val="20"/>
          <w:szCs w:val="20"/>
        </w:rPr>
        <w:noBreakHyphen/>
        <w:t xml:space="preserve"> Offences </w:t>
      </w:r>
      <w:r w:rsidRPr="003102E3">
        <w:rPr>
          <w:sz w:val="20"/>
          <w:szCs w:val="20"/>
        </w:rPr>
        <w:noBreakHyphen/>
        <w:t xml:space="preserve"> Elements of offence </w:t>
      </w:r>
      <w:r w:rsidRPr="003102E3">
        <w:rPr>
          <w:sz w:val="20"/>
          <w:szCs w:val="20"/>
        </w:rPr>
        <w:noBreakHyphen/>
        <w:t xml:space="preserve"> Dangerous driving </w:t>
      </w:r>
      <w:r w:rsidRPr="003102E3">
        <w:rPr>
          <w:sz w:val="20"/>
          <w:szCs w:val="20"/>
        </w:rPr>
        <w:noBreakHyphen/>
        <w:t xml:space="preserve"> Whether Court of Appeal erred in interpreting and applying test developed by Supreme Court of Canada in </w:t>
      </w:r>
      <w:r w:rsidRPr="003102E3">
        <w:rPr>
          <w:i/>
          <w:sz w:val="20"/>
          <w:szCs w:val="20"/>
        </w:rPr>
        <w:t>R.</w:t>
      </w:r>
      <w:r w:rsidRPr="003102E3">
        <w:rPr>
          <w:sz w:val="20"/>
          <w:szCs w:val="20"/>
        </w:rPr>
        <w:t xml:space="preserve"> v. </w:t>
      </w:r>
      <w:r w:rsidRPr="003102E3">
        <w:rPr>
          <w:i/>
          <w:sz w:val="20"/>
          <w:szCs w:val="20"/>
        </w:rPr>
        <w:t>Beatty</w:t>
      </w:r>
      <w:r w:rsidRPr="003102E3">
        <w:rPr>
          <w:sz w:val="20"/>
          <w:szCs w:val="20"/>
        </w:rPr>
        <w:t xml:space="preserve"> for analysis of offence of dangerous operation causing bodily harm or death </w:t>
      </w:r>
      <w:r w:rsidRPr="003102E3">
        <w:rPr>
          <w:sz w:val="20"/>
          <w:szCs w:val="20"/>
        </w:rPr>
        <w:noBreakHyphen/>
        <w:t xml:space="preserve"> </w:t>
      </w:r>
      <w:r w:rsidRPr="003102E3">
        <w:rPr>
          <w:i/>
          <w:sz w:val="20"/>
          <w:szCs w:val="20"/>
        </w:rPr>
        <w:t>Criminal Code</w:t>
      </w:r>
      <w:r w:rsidRPr="003102E3">
        <w:rPr>
          <w:sz w:val="20"/>
          <w:szCs w:val="20"/>
        </w:rPr>
        <w:t>, R.S.C. 1985, c. C</w:t>
      </w:r>
      <w:r w:rsidRPr="003102E3">
        <w:rPr>
          <w:sz w:val="20"/>
          <w:szCs w:val="20"/>
        </w:rPr>
        <w:noBreakHyphen/>
        <w:t>46, s. 249.</w:t>
      </w:r>
    </w:p>
    <w:p w:rsidR="00612860" w:rsidRPr="003102E3" w:rsidRDefault="00612860" w:rsidP="00612860">
      <w:pPr>
        <w:widowControl w:val="0"/>
        <w:jc w:val="both"/>
        <w:rPr>
          <w:sz w:val="20"/>
          <w:szCs w:val="20"/>
        </w:rPr>
      </w:pPr>
    </w:p>
    <w:p w:rsidR="00612860" w:rsidRPr="003102E3" w:rsidRDefault="00612860" w:rsidP="00612860">
      <w:pPr>
        <w:widowControl w:val="0"/>
        <w:jc w:val="both"/>
        <w:rPr>
          <w:sz w:val="20"/>
          <w:szCs w:val="20"/>
        </w:rPr>
      </w:pPr>
      <w:r w:rsidRPr="003102E3">
        <w:rPr>
          <w:sz w:val="20"/>
          <w:szCs w:val="20"/>
        </w:rPr>
        <w:t xml:space="preserve">On October 7, 2007 at about 7:30 p.m., the respondent was driving west on highway 138 near </w:t>
      </w:r>
      <w:proofErr w:type="spellStart"/>
      <w:r w:rsidRPr="003102E3">
        <w:rPr>
          <w:sz w:val="20"/>
          <w:szCs w:val="20"/>
        </w:rPr>
        <w:t>Baie</w:t>
      </w:r>
      <w:r w:rsidRPr="003102E3">
        <w:rPr>
          <w:sz w:val="20"/>
          <w:szCs w:val="20"/>
        </w:rPr>
        <w:noBreakHyphen/>
        <w:t>Comeau</w:t>
      </w:r>
      <w:proofErr w:type="spellEnd"/>
      <w:r w:rsidRPr="003102E3">
        <w:rPr>
          <w:sz w:val="20"/>
          <w:szCs w:val="20"/>
        </w:rPr>
        <w:t>.  He was accompanied by a friend.  He had no specific destination.  He was driving behind a pickup truck and decided to pass it even though there was a solid double line on the roadway.  About five seconds after he pulled out to pass the pickup, the respondent collided head on with an oncoming vehicle driven by the victim, who died instantly.  The fatal collision occurred on the shoulder of the highway, as both drivers had instinctively swerved on to it.  The respondent was unable to return to his own lane because he was parallel to the pickup he was passing.  The collision occurred at a place where passing is still prohibited.  The respondent’s friend escaped with a fractured femur, while the respondent injured his ankle.</w:t>
      </w:r>
    </w:p>
    <w:p w:rsidR="00612860" w:rsidRPr="003102E3" w:rsidRDefault="00612860" w:rsidP="00612860">
      <w:pPr>
        <w:widowControl w:val="0"/>
        <w:jc w:val="both"/>
        <w:rPr>
          <w:sz w:val="20"/>
          <w:szCs w:val="20"/>
        </w:rPr>
      </w:pPr>
    </w:p>
    <w:p w:rsidR="00612860" w:rsidRPr="003102E3" w:rsidRDefault="00612860" w:rsidP="00612860">
      <w:pPr>
        <w:widowControl w:val="0"/>
        <w:jc w:val="both"/>
        <w:rPr>
          <w:sz w:val="20"/>
          <w:szCs w:val="20"/>
        </w:rPr>
      </w:pPr>
      <w:r w:rsidRPr="003102E3">
        <w:rPr>
          <w:sz w:val="20"/>
          <w:szCs w:val="20"/>
        </w:rPr>
        <w:t xml:space="preserve">At trial in the Court of Québec, the respondent was convicted of two counts of dangerous operation, one for causing bodily harm and the other death.  The Quebec Court of Appeal set aside the trial judgment and acquitted the respondent on both counts.  According to the Court of Appeal, the trial judge had erred in law in applying the modified objective test for the </w:t>
      </w:r>
      <w:proofErr w:type="spellStart"/>
      <w:r w:rsidRPr="003102E3">
        <w:rPr>
          <w:i/>
          <w:sz w:val="20"/>
          <w:szCs w:val="20"/>
        </w:rPr>
        <w:t>mens</w:t>
      </w:r>
      <w:proofErr w:type="spellEnd"/>
      <w:r w:rsidRPr="003102E3">
        <w:rPr>
          <w:i/>
          <w:sz w:val="20"/>
          <w:szCs w:val="20"/>
        </w:rPr>
        <w:t> </w:t>
      </w:r>
      <w:proofErr w:type="spellStart"/>
      <w:r w:rsidRPr="003102E3">
        <w:rPr>
          <w:i/>
          <w:sz w:val="20"/>
          <w:szCs w:val="20"/>
        </w:rPr>
        <w:t>rea</w:t>
      </w:r>
      <w:proofErr w:type="spellEnd"/>
      <w:r w:rsidRPr="003102E3">
        <w:rPr>
          <w:i/>
          <w:sz w:val="20"/>
          <w:szCs w:val="20"/>
        </w:rPr>
        <w:t xml:space="preserve"> </w:t>
      </w:r>
      <w:r w:rsidRPr="003102E3">
        <w:rPr>
          <w:sz w:val="20"/>
          <w:szCs w:val="20"/>
        </w:rPr>
        <w:t>of the offence of dangerous driving.</w:t>
      </w:r>
    </w:p>
    <w:p w:rsidR="00612860" w:rsidRPr="003102E3" w:rsidRDefault="00612860" w:rsidP="00612860">
      <w:pPr>
        <w:widowControl w:val="0"/>
        <w:jc w:val="both"/>
        <w:rPr>
          <w:sz w:val="20"/>
          <w:szCs w:val="20"/>
        </w:rPr>
      </w:pPr>
    </w:p>
    <w:p w:rsidR="00612860" w:rsidRPr="003102E3" w:rsidRDefault="00612860" w:rsidP="00612860">
      <w:pPr>
        <w:widowControl w:val="0"/>
        <w:jc w:val="both"/>
        <w:rPr>
          <w:sz w:val="20"/>
          <w:szCs w:val="20"/>
        </w:rPr>
      </w:pPr>
    </w:p>
    <w:p w:rsidR="00612860" w:rsidRPr="003102E3" w:rsidRDefault="00612860" w:rsidP="00612860">
      <w:pPr>
        <w:widowControl w:val="0"/>
        <w:ind w:left="2880" w:hanging="2880"/>
        <w:jc w:val="both"/>
        <w:rPr>
          <w:sz w:val="20"/>
          <w:szCs w:val="20"/>
        </w:rPr>
      </w:pPr>
      <w:r w:rsidRPr="003102E3">
        <w:rPr>
          <w:sz w:val="20"/>
          <w:szCs w:val="20"/>
        </w:rPr>
        <w:t>Origin of the case:</w:t>
      </w:r>
      <w:r w:rsidRPr="003102E3">
        <w:rPr>
          <w:sz w:val="20"/>
          <w:szCs w:val="20"/>
        </w:rPr>
        <w:tab/>
      </w:r>
      <w:bookmarkStart w:id="3" w:name="4"/>
      <w:bookmarkEnd w:id="3"/>
      <w:r w:rsidRPr="003102E3">
        <w:rPr>
          <w:sz w:val="20"/>
          <w:szCs w:val="20"/>
        </w:rPr>
        <w:t>Quebec</w:t>
      </w:r>
    </w:p>
    <w:p w:rsidR="00612860" w:rsidRPr="003102E3" w:rsidRDefault="00612860" w:rsidP="00612860">
      <w:pPr>
        <w:widowControl w:val="0"/>
        <w:ind w:left="2880" w:hanging="2880"/>
        <w:jc w:val="both"/>
        <w:rPr>
          <w:sz w:val="20"/>
          <w:szCs w:val="20"/>
        </w:rPr>
      </w:pPr>
    </w:p>
    <w:p w:rsidR="00612860" w:rsidRPr="003102E3" w:rsidRDefault="00612860" w:rsidP="00612860">
      <w:pPr>
        <w:widowControl w:val="0"/>
        <w:ind w:left="2880" w:hanging="2880"/>
        <w:jc w:val="both"/>
        <w:rPr>
          <w:sz w:val="20"/>
          <w:szCs w:val="20"/>
        </w:rPr>
      </w:pPr>
      <w:r w:rsidRPr="003102E3">
        <w:rPr>
          <w:sz w:val="20"/>
          <w:szCs w:val="20"/>
        </w:rPr>
        <w:t>File No.:</w:t>
      </w:r>
      <w:r w:rsidRPr="003102E3">
        <w:rPr>
          <w:sz w:val="20"/>
          <w:szCs w:val="20"/>
        </w:rPr>
        <w:tab/>
      </w:r>
      <w:bookmarkStart w:id="4" w:name="2"/>
      <w:bookmarkEnd w:id="4"/>
      <w:r w:rsidRPr="003102E3">
        <w:rPr>
          <w:sz w:val="20"/>
          <w:szCs w:val="20"/>
        </w:rPr>
        <w:t>34512</w:t>
      </w:r>
    </w:p>
    <w:p w:rsidR="00612860" w:rsidRPr="003102E3" w:rsidRDefault="00612860" w:rsidP="00612860">
      <w:pPr>
        <w:widowControl w:val="0"/>
        <w:ind w:left="2880" w:hanging="2880"/>
        <w:jc w:val="both"/>
        <w:rPr>
          <w:sz w:val="20"/>
          <w:szCs w:val="20"/>
        </w:rPr>
      </w:pPr>
    </w:p>
    <w:p w:rsidR="00612860" w:rsidRPr="003102E3" w:rsidRDefault="00612860" w:rsidP="00612860">
      <w:pPr>
        <w:widowControl w:val="0"/>
        <w:ind w:left="2880" w:hanging="2880"/>
        <w:jc w:val="both"/>
        <w:rPr>
          <w:sz w:val="20"/>
          <w:szCs w:val="20"/>
        </w:rPr>
      </w:pPr>
      <w:r w:rsidRPr="003102E3">
        <w:rPr>
          <w:sz w:val="20"/>
          <w:szCs w:val="20"/>
        </w:rPr>
        <w:t>Judgment of the Court of Appeal:</w:t>
      </w:r>
      <w:r w:rsidRPr="003102E3">
        <w:rPr>
          <w:sz w:val="20"/>
          <w:szCs w:val="20"/>
        </w:rPr>
        <w:tab/>
      </w:r>
      <w:bookmarkStart w:id="5" w:name="5"/>
      <w:bookmarkEnd w:id="5"/>
      <w:r w:rsidRPr="003102E3">
        <w:rPr>
          <w:sz w:val="20"/>
          <w:szCs w:val="20"/>
        </w:rPr>
        <w:t>September 9, 2011</w:t>
      </w:r>
    </w:p>
    <w:p w:rsidR="00612860" w:rsidRPr="003102E3" w:rsidRDefault="00612860" w:rsidP="00612860">
      <w:pPr>
        <w:widowControl w:val="0"/>
        <w:ind w:left="2880" w:hanging="2880"/>
        <w:jc w:val="both"/>
        <w:rPr>
          <w:sz w:val="20"/>
          <w:szCs w:val="20"/>
        </w:rPr>
      </w:pPr>
    </w:p>
    <w:p w:rsidR="00612860" w:rsidRPr="003102E3" w:rsidRDefault="00612860" w:rsidP="00612860">
      <w:pPr>
        <w:widowControl w:val="0"/>
        <w:ind w:left="2880" w:hanging="2880"/>
        <w:jc w:val="both"/>
        <w:rPr>
          <w:sz w:val="20"/>
          <w:szCs w:val="20"/>
        </w:rPr>
      </w:pPr>
      <w:r w:rsidRPr="003102E3">
        <w:rPr>
          <w:sz w:val="20"/>
          <w:szCs w:val="20"/>
        </w:rPr>
        <w:t>Counsel:</w:t>
      </w:r>
      <w:r w:rsidRPr="003102E3">
        <w:rPr>
          <w:sz w:val="20"/>
          <w:szCs w:val="20"/>
        </w:rPr>
        <w:tab/>
      </w:r>
      <w:bookmarkStart w:id="6" w:name="6"/>
      <w:bookmarkEnd w:id="6"/>
      <w:r w:rsidRPr="003102E3">
        <w:rPr>
          <w:sz w:val="20"/>
          <w:szCs w:val="20"/>
        </w:rPr>
        <w:t xml:space="preserve">Guy </w:t>
      </w:r>
      <w:proofErr w:type="spellStart"/>
      <w:r w:rsidRPr="003102E3">
        <w:rPr>
          <w:sz w:val="20"/>
          <w:szCs w:val="20"/>
        </w:rPr>
        <w:t>Loisel</w:t>
      </w:r>
      <w:proofErr w:type="spellEnd"/>
      <w:r w:rsidRPr="003102E3">
        <w:rPr>
          <w:sz w:val="20"/>
          <w:szCs w:val="20"/>
        </w:rPr>
        <w:t xml:space="preserve"> and Robin Tremblay for the appellant</w:t>
      </w:r>
    </w:p>
    <w:p w:rsidR="00612860" w:rsidRPr="003102E3" w:rsidRDefault="00612860" w:rsidP="00612860">
      <w:pPr>
        <w:widowControl w:val="0"/>
        <w:ind w:left="2880" w:hanging="2880"/>
        <w:jc w:val="both"/>
        <w:rPr>
          <w:sz w:val="20"/>
          <w:szCs w:val="20"/>
        </w:rPr>
      </w:pPr>
      <w:r w:rsidRPr="003102E3">
        <w:rPr>
          <w:sz w:val="20"/>
          <w:szCs w:val="20"/>
        </w:rPr>
        <w:tab/>
      </w:r>
      <w:bookmarkStart w:id="7" w:name="7"/>
      <w:bookmarkEnd w:id="7"/>
      <w:r w:rsidRPr="003102E3">
        <w:rPr>
          <w:sz w:val="20"/>
          <w:szCs w:val="20"/>
        </w:rPr>
        <w:t>Jean</w:t>
      </w:r>
      <w:r w:rsidRPr="003102E3">
        <w:rPr>
          <w:sz w:val="20"/>
          <w:szCs w:val="20"/>
        </w:rPr>
        <w:noBreakHyphen/>
      </w:r>
      <w:proofErr w:type="spellStart"/>
      <w:r w:rsidRPr="003102E3">
        <w:rPr>
          <w:sz w:val="20"/>
          <w:szCs w:val="20"/>
        </w:rPr>
        <w:t>Claude</w:t>
      </w:r>
      <w:proofErr w:type="spellEnd"/>
      <w:r w:rsidRPr="003102E3">
        <w:rPr>
          <w:sz w:val="20"/>
          <w:szCs w:val="20"/>
        </w:rPr>
        <w:t xml:space="preserve"> </w:t>
      </w:r>
      <w:proofErr w:type="spellStart"/>
      <w:r w:rsidRPr="003102E3">
        <w:rPr>
          <w:sz w:val="20"/>
          <w:szCs w:val="20"/>
        </w:rPr>
        <w:t>Dufour</w:t>
      </w:r>
      <w:proofErr w:type="spellEnd"/>
      <w:r w:rsidRPr="003102E3">
        <w:rPr>
          <w:sz w:val="20"/>
          <w:szCs w:val="20"/>
        </w:rPr>
        <w:t xml:space="preserve"> for the respondent</w:t>
      </w:r>
    </w:p>
    <w:p w:rsidR="00612860" w:rsidRPr="003102E3" w:rsidRDefault="00612860" w:rsidP="00612860">
      <w:pPr>
        <w:widowControl w:val="0"/>
        <w:jc w:val="both"/>
        <w:rPr>
          <w:sz w:val="20"/>
          <w:szCs w:val="20"/>
        </w:rPr>
      </w:pPr>
    </w:p>
    <w:p w:rsidR="000B3C9A" w:rsidRPr="00DD0B49" w:rsidRDefault="00F008AC" w:rsidP="000B3C9A">
      <w:pPr>
        <w:tabs>
          <w:tab w:val="left" w:pos="-1440"/>
          <w:tab w:val="left" w:pos="-720"/>
        </w:tabs>
        <w:ind w:left="720" w:hanging="720"/>
        <w:jc w:val="both"/>
        <w:rPr>
          <w:sz w:val="20"/>
          <w:szCs w:val="20"/>
        </w:rPr>
      </w:pPr>
      <w:r w:rsidRPr="00F008AC">
        <w:rPr>
          <w:sz w:val="20"/>
          <w:szCs w:val="20"/>
          <w:lang w:val="fr-CA"/>
        </w:rPr>
        <w:pict>
          <v:rect id="_x0000_i1064"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b/>
          <w:sz w:val="20"/>
          <w:szCs w:val="20"/>
        </w:rPr>
      </w:pP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612860" w:rsidRPr="004F456B" w:rsidRDefault="00F008AC" w:rsidP="00612860">
      <w:pPr>
        <w:widowControl w:val="0"/>
        <w:ind w:left="720" w:hanging="720"/>
        <w:jc w:val="both"/>
        <w:rPr>
          <w:sz w:val="20"/>
          <w:szCs w:val="20"/>
          <w:lang w:val="fr-CA"/>
        </w:rPr>
      </w:pPr>
      <w:r w:rsidRPr="00F008AC">
        <w:rPr>
          <w:b/>
          <w:sz w:val="20"/>
          <w:szCs w:val="20"/>
          <w:lang w:val="fr-CA"/>
        </w:rPr>
        <w:lastRenderedPageBreak/>
        <w:fldChar w:fldCharType="begin"/>
      </w:r>
      <w:r w:rsidR="00612860" w:rsidRPr="004F456B">
        <w:rPr>
          <w:b/>
          <w:sz w:val="20"/>
          <w:szCs w:val="20"/>
          <w:lang w:val="fr-CA"/>
        </w:rPr>
        <w:instrText xml:space="preserve"> SEQ CHAPTER \h \r 1</w:instrText>
      </w:r>
      <w:r w:rsidRPr="004F456B">
        <w:rPr>
          <w:b/>
          <w:sz w:val="20"/>
          <w:szCs w:val="20"/>
        </w:rPr>
        <w:fldChar w:fldCharType="end"/>
      </w:r>
      <w:r w:rsidR="00612860" w:rsidRPr="004F456B">
        <w:rPr>
          <w:b/>
          <w:sz w:val="20"/>
          <w:szCs w:val="20"/>
          <w:lang w:val="fr-CA"/>
        </w:rPr>
        <w:t>34512</w:t>
      </w:r>
      <w:r w:rsidR="00612860" w:rsidRPr="004F456B">
        <w:rPr>
          <w:sz w:val="20"/>
          <w:szCs w:val="20"/>
          <w:lang w:val="fr-CA"/>
        </w:rPr>
        <w:tab/>
      </w:r>
      <w:r w:rsidR="00612860" w:rsidRPr="004F456B">
        <w:rPr>
          <w:b/>
          <w:i/>
          <w:sz w:val="20"/>
          <w:szCs w:val="20"/>
          <w:lang w:val="fr-CA"/>
        </w:rPr>
        <w:t xml:space="preserve">Sa Majesté la Reine c. </w:t>
      </w:r>
      <w:proofErr w:type="spellStart"/>
      <w:r w:rsidR="00612860" w:rsidRPr="004F456B">
        <w:rPr>
          <w:b/>
          <w:i/>
          <w:sz w:val="20"/>
          <w:szCs w:val="20"/>
          <w:lang w:val="fr-CA"/>
        </w:rPr>
        <w:t>Frédérick</w:t>
      </w:r>
      <w:proofErr w:type="spellEnd"/>
      <w:r w:rsidR="00612860" w:rsidRPr="004F456B">
        <w:rPr>
          <w:b/>
          <w:i/>
          <w:sz w:val="20"/>
          <w:szCs w:val="20"/>
          <w:lang w:val="fr-CA"/>
        </w:rPr>
        <w:t xml:space="preserve"> Bélanger</w:t>
      </w:r>
    </w:p>
    <w:p w:rsidR="00612860" w:rsidRPr="004F456B" w:rsidRDefault="00612860" w:rsidP="00612860">
      <w:pPr>
        <w:widowControl w:val="0"/>
        <w:jc w:val="both"/>
        <w:rPr>
          <w:sz w:val="20"/>
          <w:szCs w:val="20"/>
          <w:lang w:val="fr-CA"/>
        </w:rPr>
      </w:pPr>
    </w:p>
    <w:p w:rsidR="00612860" w:rsidRPr="004F456B" w:rsidRDefault="00612860" w:rsidP="00612860">
      <w:pPr>
        <w:jc w:val="both"/>
        <w:rPr>
          <w:sz w:val="20"/>
          <w:szCs w:val="20"/>
          <w:lang w:val="fr-CA"/>
        </w:rPr>
      </w:pPr>
      <w:r w:rsidRPr="004F456B">
        <w:rPr>
          <w:sz w:val="20"/>
          <w:szCs w:val="20"/>
          <w:lang w:val="fr-CA"/>
        </w:rPr>
        <w:t xml:space="preserve">Droit criminel </w:t>
      </w:r>
      <w:r w:rsidRPr="004F456B">
        <w:rPr>
          <w:sz w:val="20"/>
          <w:szCs w:val="20"/>
          <w:lang w:val="fr-CA"/>
        </w:rPr>
        <w:noBreakHyphen/>
        <w:t xml:space="preserve"> Infractions </w:t>
      </w:r>
      <w:r w:rsidRPr="004F456B">
        <w:rPr>
          <w:sz w:val="20"/>
          <w:szCs w:val="20"/>
          <w:lang w:val="fr-CA"/>
        </w:rPr>
        <w:noBreakHyphen/>
        <w:t xml:space="preserve"> Éléments de l’infraction </w:t>
      </w:r>
      <w:r w:rsidRPr="004F456B">
        <w:rPr>
          <w:sz w:val="20"/>
          <w:szCs w:val="20"/>
          <w:lang w:val="fr-CA"/>
        </w:rPr>
        <w:noBreakHyphen/>
        <w:t xml:space="preserve"> Conduite dangereuse </w:t>
      </w:r>
      <w:r w:rsidRPr="004F456B">
        <w:rPr>
          <w:sz w:val="20"/>
          <w:szCs w:val="20"/>
          <w:lang w:val="fr-CA"/>
        </w:rPr>
        <w:noBreakHyphen/>
        <w:t xml:space="preserve"> La Cour d’appel </w:t>
      </w:r>
      <w:proofErr w:type="spellStart"/>
      <w:r w:rsidRPr="004F456B">
        <w:rPr>
          <w:sz w:val="20"/>
          <w:szCs w:val="20"/>
          <w:lang w:val="fr-CA"/>
        </w:rPr>
        <w:t>a</w:t>
      </w:r>
      <w:r w:rsidRPr="004F456B">
        <w:rPr>
          <w:sz w:val="20"/>
          <w:szCs w:val="20"/>
          <w:lang w:val="fr-CA"/>
        </w:rPr>
        <w:noBreakHyphen/>
        <w:t>t</w:t>
      </w:r>
      <w:r w:rsidRPr="004F456B">
        <w:rPr>
          <w:sz w:val="20"/>
          <w:szCs w:val="20"/>
          <w:lang w:val="fr-CA"/>
        </w:rPr>
        <w:noBreakHyphen/>
        <w:t>elle</w:t>
      </w:r>
      <w:proofErr w:type="spellEnd"/>
      <w:r w:rsidRPr="004F456B">
        <w:rPr>
          <w:sz w:val="20"/>
          <w:szCs w:val="20"/>
          <w:lang w:val="fr-CA"/>
        </w:rPr>
        <w:t xml:space="preserve"> erré quant à l’interprétation et à l’application des critères à considérer tel qu’élaborés par la Cour suprême du Canada dans l’affaire </w:t>
      </w:r>
      <w:r w:rsidRPr="004F456B">
        <w:rPr>
          <w:i/>
          <w:sz w:val="20"/>
          <w:szCs w:val="20"/>
          <w:lang w:val="fr-CA"/>
        </w:rPr>
        <w:t>R.</w:t>
      </w:r>
      <w:r w:rsidRPr="004F456B">
        <w:rPr>
          <w:sz w:val="20"/>
          <w:szCs w:val="20"/>
          <w:lang w:val="fr-CA"/>
        </w:rPr>
        <w:t xml:space="preserve"> c. </w:t>
      </w:r>
      <w:r w:rsidRPr="004F456B">
        <w:rPr>
          <w:i/>
          <w:sz w:val="20"/>
          <w:szCs w:val="20"/>
          <w:lang w:val="fr-CA"/>
        </w:rPr>
        <w:t>Beatty</w:t>
      </w:r>
      <w:r w:rsidRPr="004F456B">
        <w:rPr>
          <w:sz w:val="20"/>
          <w:szCs w:val="20"/>
          <w:lang w:val="fr-CA"/>
        </w:rPr>
        <w:t xml:space="preserve"> pour l’analyse de l’infraction de conduite dangereuse causant des lésions corporelles et la mort? </w:t>
      </w:r>
      <w:r w:rsidRPr="004F456B">
        <w:rPr>
          <w:sz w:val="20"/>
          <w:szCs w:val="20"/>
          <w:lang w:val="fr-CA"/>
        </w:rPr>
        <w:noBreakHyphen/>
        <w:t xml:space="preserve"> </w:t>
      </w:r>
      <w:r w:rsidRPr="004F456B">
        <w:rPr>
          <w:i/>
          <w:sz w:val="20"/>
          <w:szCs w:val="20"/>
          <w:lang w:val="fr-CA"/>
        </w:rPr>
        <w:t>Code criminel</w:t>
      </w:r>
      <w:r w:rsidRPr="004F456B">
        <w:rPr>
          <w:sz w:val="20"/>
          <w:szCs w:val="20"/>
          <w:lang w:val="fr-CA"/>
        </w:rPr>
        <w:t>, L.R.C. 1985, ch. C</w:t>
      </w:r>
      <w:r w:rsidRPr="004F456B">
        <w:rPr>
          <w:sz w:val="20"/>
          <w:szCs w:val="20"/>
          <w:lang w:val="fr-CA"/>
        </w:rPr>
        <w:noBreakHyphen/>
        <w:t>46, art. 249.</w:t>
      </w:r>
    </w:p>
    <w:p w:rsidR="00612860" w:rsidRPr="004F456B" w:rsidRDefault="00612860" w:rsidP="00612860">
      <w:pPr>
        <w:widowControl w:val="0"/>
        <w:jc w:val="both"/>
        <w:rPr>
          <w:sz w:val="20"/>
          <w:szCs w:val="20"/>
          <w:lang w:val="fr-CA"/>
        </w:rPr>
      </w:pPr>
    </w:p>
    <w:p w:rsidR="00612860" w:rsidRPr="004F456B" w:rsidRDefault="00612860" w:rsidP="00612860">
      <w:pPr>
        <w:widowControl w:val="0"/>
        <w:jc w:val="both"/>
        <w:rPr>
          <w:sz w:val="20"/>
          <w:szCs w:val="20"/>
          <w:lang w:val="fr-CA"/>
        </w:rPr>
      </w:pPr>
      <w:r w:rsidRPr="004F456B">
        <w:rPr>
          <w:sz w:val="20"/>
          <w:szCs w:val="20"/>
          <w:lang w:val="fr-CA"/>
        </w:rPr>
        <w:t xml:space="preserve">Le 7 octobre 2007 vers 19h30, l’intimé circule sur la route 138 en direction ouest près de </w:t>
      </w:r>
      <w:proofErr w:type="spellStart"/>
      <w:r w:rsidRPr="004F456B">
        <w:rPr>
          <w:sz w:val="20"/>
          <w:szCs w:val="20"/>
          <w:lang w:val="fr-CA"/>
        </w:rPr>
        <w:t>Baie</w:t>
      </w:r>
      <w:r w:rsidRPr="004F456B">
        <w:rPr>
          <w:sz w:val="20"/>
          <w:szCs w:val="20"/>
          <w:lang w:val="fr-CA"/>
        </w:rPr>
        <w:noBreakHyphen/>
        <w:t>Comeau</w:t>
      </w:r>
      <w:proofErr w:type="spellEnd"/>
      <w:r w:rsidRPr="004F456B">
        <w:rPr>
          <w:sz w:val="20"/>
          <w:szCs w:val="20"/>
          <w:lang w:val="fr-CA"/>
        </w:rPr>
        <w:t xml:space="preserve">.  Il est accompagné d’un ami.  Il se promène sans destination précise.  Il roule derrière une camionnette et décide de la dépasser, malgré une ligne double continue sur la route.  Environ 5 secondes après que l’intimé ait amorcé son dépassement, un </w:t>
      </w:r>
      <w:proofErr w:type="spellStart"/>
      <w:r w:rsidRPr="004F456B">
        <w:rPr>
          <w:sz w:val="20"/>
          <w:szCs w:val="20"/>
          <w:lang w:val="fr-CA"/>
        </w:rPr>
        <w:t>face</w:t>
      </w:r>
      <w:r w:rsidRPr="004F456B">
        <w:rPr>
          <w:sz w:val="20"/>
          <w:szCs w:val="20"/>
          <w:lang w:val="fr-CA"/>
        </w:rPr>
        <w:noBreakHyphen/>
        <w:t>à</w:t>
      </w:r>
      <w:r w:rsidRPr="004F456B">
        <w:rPr>
          <w:sz w:val="20"/>
          <w:szCs w:val="20"/>
          <w:lang w:val="fr-CA"/>
        </w:rPr>
        <w:noBreakHyphen/>
        <w:t>face</w:t>
      </w:r>
      <w:proofErr w:type="spellEnd"/>
      <w:r w:rsidRPr="004F456B">
        <w:rPr>
          <w:sz w:val="20"/>
          <w:szCs w:val="20"/>
          <w:lang w:val="fr-CA"/>
        </w:rPr>
        <w:t xml:space="preserve"> se produit avec le véhicule de la victime circulant en sens inverse.  La victime meurt sur le coup.  L’impact mortel se produit sur l’accotement, où les deux véhicules ont eu le réflexe de se ranger en même temps.  L’intimé ne pouvait se ranger dans sa voie, étant alors en parallèle avec la camionnette qu’il dépassait.  L’impact a lieu à un endroit où il est encore interdit de dépasser.  L’ami de l’intimé s’en tire avec une fracture au fémur et l’intimé avec des blessures à la cheville.</w:t>
      </w:r>
    </w:p>
    <w:p w:rsidR="00612860" w:rsidRPr="004F456B" w:rsidRDefault="00612860" w:rsidP="00612860">
      <w:pPr>
        <w:widowControl w:val="0"/>
        <w:jc w:val="both"/>
        <w:rPr>
          <w:sz w:val="20"/>
          <w:szCs w:val="20"/>
          <w:lang w:val="fr-CA"/>
        </w:rPr>
      </w:pPr>
    </w:p>
    <w:p w:rsidR="00612860" w:rsidRPr="004F456B" w:rsidRDefault="00612860" w:rsidP="00612860">
      <w:pPr>
        <w:widowControl w:val="0"/>
        <w:jc w:val="both"/>
        <w:rPr>
          <w:sz w:val="20"/>
          <w:szCs w:val="20"/>
          <w:lang w:val="fr-CA"/>
        </w:rPr>
      </w:pPr>
      <w:r w:rsidRPr="004F456B">
        <w:rPr>
          <w:sz w:val="20"/>
          <w:szCs w:val="20"/>
          <w:lang w:val="fr-CA"/>
        </w:rPr>
        <w:t xml:space="preserve">Au procès en Cour du Québec, l’intimé est trouvé coupable de deux chefs d’accusation de conduite dangereuse causant des lésions corporelles et causant la mort.  La Cour d’appel du Québec infirme le jugement de première instance et acquitte l’intimé des deux chefs d’accusation.  Selon la Cour d’appel, la juge de première instance a erré en droit quant à  l’application du critère objectif modifié de la </w:t>
      </w:r>
      <w:r w:rsidRPr="004F456B">
        <w:rPr>
          <w:i/>
          <w:sz w:val="20"/>
          <w:szCs w:val="20"/>
          <w:lang w:val="fr-CA"/>
        </w:rPr>
        <w:t xml:space="preserve">mens </w:t>
      </w:r>
      <w:proofErr w:type="spellStart"/>
      <w:r w:rsidRPr="004F456B">
        <w:rPr>
          <w:i/>
          <w:sz w:val="20"/>
          <w:szCs w:val="20"/>
          <w:lang w:val="fr-CA"/>
        </w:rPr>
        <w:t>rea</w:t>
      </w:r>
      <w:proofErr w:type="spellEnd"/>
      <w:r w:rsidRPr="004F456B">
        <w:rPr>
          <w:sz w:val="20"/>
          <w:szCs w:val="20"/>
          <w:lang w:val="fr-CA"/>
        </w:rPr>
        <w:t xml:space="preserve"> pour l’infraction de conduite dangereuse.</w:t>
      </w:r>
    </w:p>
    <w:p w:rsidR="00612860" w:rsidRPr="004F456B" w:rsidRDefault="00612860" w:rsidP="00612860">
      <w:pPr>
        <w:widowControl w:val="0"/>
        <w:jc w:val="both"/>
        <w:rPr>
          <w:sz w:val="20"/>
          <w:szCs w:val="20"/>
          <w:lang w:val="fr-CA"/>
        </w:rPr>
      </w:pPr>
    </w:p>
    <w:p w:rsidR="00612860" w:rsidRPr="004F456B" w:rsidRDefault="00612860" w:rsidP="00612860">
      <w:pPr>
        <w:widowControl w:val="0"/>
        <w:jc w:val="both"/>
        <w:rPr>
          <w:sz w:val="20"/>
          <w:szCs w:val="20"/>
          <w:lang w:val="fr-CA"/>
        </w:rPr>
      </w:pPr>
    </w:p>
    <w:p w:rsidR="00612860" w:rsidRPr="004F456B" w:rsidRDefault="00612860" w:rsidP="00612860">
      <w:pPr>
        <w:widowControl w:val="0"/>
        <w:ind w:left="2880" w:hanging="2880"/>
        <w:jc w:val="both"/>
        <w:rPr>
          <w:sz w:val="20"/>
          <w:szCs w:val="20"/>
          <w:lang w:val="fr-CA"/>
        </w:rPr>
      </w:pPr>
      <w:r w:rsidRPr="004F456B">
        <w:rPr>
          <w:sz w:val="20"/>
          <w:szCs w:val="20"/>
          <w:lang w:val="fr-CA"/>
        </w:rPr>
        <w:t>Origine :</w:t>
      </w:r>
      <w:r w:rsidRPr="004F456B">
        <w:rPr>
          <w:sz w:val="20"/>
          <w:szCs w:val="20"/>
          <w:lang w:val="fr-CA"/>
        </w:rPr>
        <w:tab/>
        <w:t>Québec</w:t>
      </w:r>
    </w:p>
    <w:p w:rsidR="00612860" w:rsidRPr="004F456B" w:rsidRDefault="00612860" w:rsidP="00612860">
      <w:pPr>
        <w:widowControl w:val="0"/>
        <w:ind w:left="2880" w:hanging="2880"/>
        <w:jc w:val="both"/>
        <w:rPr>
          <w:sz w:val="20"/>
          <w:szCs w:val="20"/>
          <w:lang w:val="fr-CA"/>
        </w:rPr>
      </w:pPr>
    </w:p>
    <w:p w:rsidR="00612860" w:rsidRPr="004F456B" w:rsidRDefault="00612860" w:rsidP="00612860">
      <w:pPr>
        <w:widowControl w:val="0"/>
        <w:ind w:left="2880" w:hanging="2880"/>
        <w:jc w:val="both"/>
        <w:rPr>
          <w:sz w:val="20"/>
          <w:szCs w:val="20"/>
          <w:lang w:val="fr-CA"/>
        </w:rPr>
      </w:pPr>
      <w:r w:rsidRPr="004F456B">
        <w:rPr>
          <w:sz w:val="20"/>
          <w:szCs w:val="20"/>
          <w:lang w:val="fr-CA"/>
        </w:rPr>
        <w:t>N</w:t>
      </w:r>
      <w:r w:rsidRPr="004F456B">
        <w:rPr>
          <w:sz w:val="20"/>
          <w:szCs w:val="20"/>
          <w:vertAlign w:val="superscript"/>
          <w:lang w:val="fr-CA"/>
        </w:rPr>
        <w:t>o</w:t>
      </w:r>
      <w:r w:rsidRPr="004F456B">
        <w:rPr>
          <w:sz w:val="20"/>
          <w:szCs w:val="20"/>
          <w:lang w:val="fr-CA"/>
        </w:rPr>
        <w:t xml:space="preserve"> du greffe :</w:t>
      </w:r>
      <w:r w:rsidRPr="004F456B">
        <w:rPr>
          <w:sz w:val="20"/>
          <w:szCs w:val="20"/>
          <w:lang w:val="fr-CA"/>
        </w:rPr>
        <w:tab/>
        <w:t>34512</w:t>
      </w:r>
    </w:p>
    <w:p w:rsidR="00612860" w:rsidRPr="004F456B" w:rsidRDefault="00612860" w:rsidP="00612860">
      <w:pPr>
        <w:widowControl w:val="0"/>
        <w:ind w:left="2880" w:hanging="2880"/>
        <w:jc w:val="both"/>
        <w:rPr>
          <w:sz w:val="20"/>
          <w:szCs w:val="20"/>
          <w:lang w:val="fr-CA"/>
        </w:rPr>
      </w:pPr>
    </w:p>
    <w:p w:rsidR="00612860" w:rsidRPr="004F456B" w:rsidRDefault="00612860" w:rsidP="00612860">
      <w:pPr>
        <w:widowControl w:val="0"/>
        <w:ind w:left="2880" w:hanging="2880"/>
        <w:jc w:val="both"/>
        <w:rPr>
          <w:sz w:val="20"/>
          <w:szCs w:val="20"/>
          <w:lang w:val="fr-CA"/>
        </w:rPr>
      </w:pPr>
      <w:r w:rsidRPr="004F456B">
        <w:rPr>
          <w:sz w:val="20"/>
          <w:szCs w:val="20"/>
          <w:lang w:val="fr-CA"/>
        </w:rPr>
        <w:t>Arrêt de la Cour d’appel :</w:t>
      </w:r>
      <w:r w:rsidRPr="004F456B">
        <w:rPr>
          <w:sz w:val="20"/>
          <w:szCs w:val="20"/>
          <w:lang w:val="fr-CA"/>
        </w:rPr>
        <w:tab/>
        <w:t>Le 9 septembre 2011</w:t>
      </w:r>
    </w:p>
    <w:p w:rsidR="00612860" w:rsidRPr="004F456B" w:rsidRDefault="00612860" w:rsidP="00612860">
      <w:pPr>
        <w:widowControl w:val="0"/>
        <w:ind w:left="2880" w:hanging="2880"/>
        <w:jc w:val="both"/>
        <w:rPr>
          <w:sz w:val="20"/>
          <w:szCs w:val="20"/>
          <w:lang w:val="fr-CA"/>
        </w:rPr>
      </w:pPr>
    </w:p>
    <w:p w:rsidR="00612860" w:rsidRPr="004F456B" w:rsidRDefault="00612860" w:rsidP="00612860">
      <w:pPr>
        <w:widowControl w:val="0"/>
        <w:ind w:left="2880" w:hanging="2880"/>
        <w:jc w:val="both"/>
        <w:rPr>
          <w:sz w:val="20"/>
          <w:szCs w:val="20"/>
          <w:lang w:val="fr-CA"/>
        </w:rPr>
      </w:pPr>
      <w:r w:rsidRPr="004F456B">
        <w:rPr>
          <w:sz w:val="20"/>
          <w:szCs w:val="20"/>
          <w:lang w:val="fr-CA"/>
        </w:rPr>
        <w:t>Avocats :</w:t>
      </w:r>
      <w:r w:rsidRPr="004F456B">
        <w:rPr>
          <w:sz w:val="20"/>
          <w:szCs w:val="20"/>
          <w:lang w:val="fr-CA"/>
        </w:rPr>
        <w:tab/>
        <w:t>Guy Loisel et Robin Tremblay pour l’appelante</w:t>
      </w:r>
    </w:p>
    <w:p w:rsidR="00612860" w:rsidRPr="004F456B" w:rsidRDefault="00612860" w:rsidP="00612860">
      <w:pPr>
        <w:widowControl w:val="0"/>
        <w:ind w:left="2880" w:hanging="2880"/>
        <w:jc w:val="both"/>
        <w:rPr>
          <w:sz w:val="20"/>
          <w:szCs w:val="20"/>
          <w:lang w:val="fr-CA"/>
        </w:rPr>
      </w:pPr>
      <w:r w:rsidRPr="004F456B">
        <w:rPr>
          <w:sz w:val="20"/>
          <w:szCs w:val="20"/>
          <w:lang w:val="fr-CA"/>
        </w:rPr>
        <w:tab/>
      </w:r>
      <w:proofErr w:type="spellStart"/>
      <w:r w:rsidRPr="004F456B">
        <w:rPr>
          <w:sz w:val="20"/>
          <w:szCs w:val="20"/>
          <w:lang w:val="fr-CA"/>
        </w:rPr>
        <w:t>Jean</w:t>
      </w:r>
      <w:r w:rsidRPr="004F456B">
        <w:rPr>
          <w:sz w:val="20"/>
          <w:szCs w:val="20"/>
          <w:lang w:val="fr-CA"/>
        </w:rPr>
        <w:noBreakHyphen/>
        <w:t>Claude</w:t>
      </w:r>
      <w:proofErr w:type="spellEnd"/>
      <w:r w:rsidRPr="004F456B">
        <w:rPr>
          <w:sz w:val="20"/>
          <w:szCs w:val="20"/>
          <w:lang w:val="fr-CA"/>
        </w:rPr>
        <w:t xml:space="preserve"> Dufour pour l’intimé</w:t>
      </w:r>
    </w:p>
    <w:p w:rsidR="000B3C9A" w:rsidRPr="00DD0B49" w:rsidRDefault="000B3C9A" w:rsidP="000B3C9A">
      <w:pPr>
        <w:tabs>
          <w:tab w:val="left" w:pos="-1440"/>
          <w:tab w:val="left" w:pos="-720"/>
        </w:tabs>
        <w:jc w:val="both"/>
        <w:rPr>
          <w:sz w:val="20"/>
          <w:szCs w:val="20"/>
          <w:lang w:val="fr-CA"/>
        </w:rPr>
      </w:pPr>
    </w:p>
    <w:p w:rsidR="000B3C9A" w:rsidRDefault="00F008AC" w:rsidP="000B3C9A">
      <w:pPr>
        <w:tabs>
          <w:tab w:val="left" w:pos="-1440"/>
          <w:tab w:val="left" w:pos="-720"/>
        </w:tabs>
        <w:jc w:val="both"/>
        <w:rPr>
          <w:sz w:val="20"/>
          <w:szCs w:val="20"/>
          <w:lang w:val="fr-CA"/>
        </w:rPr>
      </w:pPr>
      <w:r w:rsidRPr="00F008AC">
        <w:rPr>
          <w:sz w:val="20"/>
          <w:szCs w:val="20"/>
          <w:lang w:val="fr-CA"/>
        </w:rPr>
        <w:pict>
          <v:rect id="_x0000_i1065" style="width:2in;height:1pt" o:hrpct="0" o:hralign="center" o:hrstd="t" o:hrnoshade="t" o:hr="t" fillcolor="black [3213]" stroked="f"/>
        </w:pict>
      </w: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A172F9" w:rsidRPr="0051087E" w:rsidRDefault="00F008AC" w:rsidP="00A172F9">
      <w:pPr>
        <w:widowControl w:val="0"/>
        <w:ind w:left="720" w:hanging="720"/>
        <w:rPr>
          <w:b/>
          <w:sz w:val="20"/>
          <w:szCs w:val="20"/>
        </w:rPr>
      </w:pPr>
      <w:r w:rsidRPr="0051087E">
        <w:rPr>
          <w:b/>
          <w:sz w:val="20"/>
          <w:szCs w:val="20"/>
        </w:rPr>
        <w:lastRenderedPageBreak/>
        <w:fldChar w:fldCharType="begin"/>
      </w:r>
      <w:r w:rsidR="00A172F9" w:rsidRPr="0051087E">
        <w:rPr>
          <w:b/>
          <w:sz w:val="20"/>
          <w:szCs w:val="20"/>
        </w:rPr>
        <w:instrText xml:space="preserve"> SEQ CHAPTER \h \r 1</w:instrText>
      </w:r>
      <w:r w:rsidRPr="0051087E">
        <w:rPr>
          <w:b/>
          <w:sz w:val="20"/>
          <w:szCs w:val="20"/>
        </w:rPr>
        <w:fldChar w:fldCharType="end"/>
      </w:r>
      <w:r w:rsidR="00A172F9" w:rsidRPr="0051087E">
        <w:rPr>
          <w:b/>
          <w:sz w:val="20"/>
          <w:szCs w:val="20"/>
        </w:rPr>
        <w:t>34466</w:t>
      </w:r>
      <w:r w:rsidR="00A172F9" w:rsidRPr="0051087E">
        <w:rPr>
          <w:b/>
          <w:sz w:val="20"/>
          <w:szCs w:val="20"/>
        </w:rPr>
        <w:tab/>
      </w:r>
      <w:proofErr w:type="spellStart"/>
      <w:r w:rsidR="00A172F9" w:rsidRPr="0051087E">
        <w:rPr>
          <w:b/>
          <w:i/>
          <w:sz w:val="20"/>
          <w:szCs w:val="20"/>
        </w:rPr>
        <w:t>Cinar</w:t>
      </w:r>
      <w:proofErr w:type="spellEnd"/>
      <w:r w:rsidR="00A172F9" w:rsidRPr="0051087E">
        <w:rPr>
          <w:b/>
          <w:i/>
          <w:sz w:val="20"/>
          <w:szCs w:val="20"/>
        </w:rPr>
        <w:t xml:space="preserve"> Corporation and </w:t>
      </w:r>
      <w:proofErr w:type="spellStart"/>
      <w:r w:rsidR="00A172F9" w:rsidRPr="0051087E">
        <w:rPr>
          <w:b/>
          <w:i/>
          <w:sz w:val="20"/>
          <w:szCs w:val="20"/>
        </w:rPr>
        <w:t>Cinar</w:t>
      </w:r>
      <w:proofErr w:type="spellEnd"/>
      <w:r w:rsidR="00A172F9" w:rsidRPr="0051087E">
        <w:rPr>
          <w:b/>
          <w:i/>
          <w:sz w:val="20"/>
          <w:szCs w:val="20"/>
        </w:rPr>
        <w:t xml:space="preserve"> Films Inc. v. Claude Robinson and Les Productions </w:t>
      </w:r>
      <w:proofErr w:type="spellStart"/>
      <w:r w:rsidR="00A172F9" w:rsidRPr="0051087E">
        <w:rPr>
          <w:b/>
          <w:i/>
          <w:sz w:val="20"/>
          <w:szCs w:val="20"/>
        </w:rPr>
        <w:t>Nilem</w:t>
      </w:r>
      <w:proofErr w:type="spellEnd"/>
      <w:r w:rsidR="00A172F9" w:rsidRPr="0051087E">
        <w:rPr>
          <w:b/>
          <w:i/>
          <w:sz w:val="20"/>
          <w:szCs w:val="20"/>
        </w:rPr>
        <w:t xml:space="preserve"> Inc.</w:t>
      </w:r>
    </w:p>
    <w:p w:rsidR="00A172F9" w:rsidRPr="0051087E" w:rsidRDefault="00A172F9" w:rsidP="00A172F9">
      <w:pPr>
        <w:widowControl w:val="0"/>
        <w:jc w:val="both"/>
        <w:rPr>
          <w:sz w:val="20"/>
          <w:szCs w:val="20"/>
        </w:rPr>
      </w:pPr>
    </w:p>
    <w:p w:rsidR="00A172F9" w:rsidRPr="0051087E" w:rsidRDefault="00A172F9" w:rsidP="00A172F9">
      <w:pPr>
        <w:jc w:val="both"/>
        <w:rPr>
          <w:sz w:val="20"/>
          <w:szCs w:val="20"/>
        </w:rPr>
      </w:pPr>
      <w:r w:rsidRPr="0051087E">
        <w:rPr>
          <w:sz w:val="20"/>
          <w:szCs w:val="20"/>
        </w:rPr>
        <w:t xml:space="preserve">Intellectual property </w:t>
      </w:r>
      <w:r w:rsidRPr="0051087E">
        <w:rPr>
          <w:sz w:val="20"/>
          <w:szCs w:val="20"/>
        </w:rPr>
        <w:noBreakHyphen/>
        <w:t xml:space="preserve"> </w:t>
      </w:r>
      <w:r w:rsidRPr="0051087E">
        <w:rPr>
          <w:i/>
          <w:sz w:val="20"/>
          <w:szCs w:val="20"/>
        </w:rPr>
        <w:t>Copyright Act</w:t>
      </w:r>
      <w:r w:rsidRPr="0051087E">
        <w:rPr>
          <w:sz w:val="20"/>
          <w:szCs w:val="20"/>
        </w:rPr>
        <w:t>, R.S.C. 1985, c. C</w:t>
      </w:r>
      <w:r w:rsidRPr="0051087E">
        <w:rPr>
          <w:sz w:val="20"/>
          <w:szCs w:val="20"/>
        </w:rPr>
        <w:noBreakHyphen/>
        <w:t xml:space="preserve">42 </w:t>
      </w:r>
      <w:r w:rsidRPr="0051087E">
        <w:rPr>
          <w:sz w:val="20"/>
          <w:szCs w:val="20"/>
        </w:rPr>
        <w:noBreakHyphen/>
        <w:t xml:space="preserve"> Infringement </w:t>
      </w:r>
      <w:r w:rsidRPr="0051087E">
        <w:rPr>
          <w:sz w:val="20"/>
          <w:szCs w:val="20"/>
        </w:rPr>
        <w:noBreakHyphen/>
        <w:t xml:space="preserve"> Evidence </w:t>
      </w:r>
      <w:r w:rsidRPr="0051087E">
        <w:rPr>
          <w:sz w:val="20"/>
          <w:szCs w:val="20"/>
        </w:rPr>
        <w:noBreakHyphen/>
        <w:t xml:space="preserve"> Steps and tests for determining whether substantial part of work reproduced within meaning of ss. 2 and 3 of </w:t>
      </w:r>
      <w:r w:rsidRPr="0051087E">
        <w:rPr>
          <w:i/>
          <w:sz w:val="20"/>
          <w:szCs w:val="20"/>
        </w:rPr>
        <w:t>Copyright Act</w:t>
      </w:r>
      <w:r w:rsidRPr="0051087E">
        <w:rPr>
          <w:sz w:val="20"/>
          <w:szCs w:val="20"/>
        </w:rPr>
        <w:t xml:space="preserve"> </w:t>
      </w:r>
      <w:r w:rsidRPr="0051087E">
        <w:rPr>
          <w:sz w:val="20"/>
          <w:szCs w:val="20"/>
        </w:rPr>
        <w:noBreakHyphen/>
        <w:t xml:space="preserve"> Admissibility of expert’s testimony concerning reproduction of substantial part of work within meaning of ss. 2 and 3 of </w:t>
      </w:r>
      <w:r w:rsidRPr="0051087E">
        <w:rPr>
          <w:i/>
          <w:sz w:val="20"/>
          <w:szCs w:val="20"/>
        </w:rPr>
        <w:t>Copyright Act</w:t>
      </w:r>
      <w:r w:rsidRPr="0051087E">
        <w:rPr>
          <w:sz w:val="20"/>
          <w:szCs w:val="20"/>
        </w:rPr>
        <w:t xml:space="preserve"> </w:t>
      </w:r>
      <w:r w:rsidRPr="0051087E">
        <w:rPr>
          <w:sz w:val="20"/>
          <w:szCs w:val="20"/>
        </w:rPr>
        <w:noBreakHyphen/>
        <w:t xml:space="preserve"> Civil liability in context of </w:t>
      </w:r>
      <w:r w:rsidRPr="0051087E">
        <w:rPr>
          <w:i/>
          <w:sz w:val="20"/>
          <w:szCs w:val="20"/>
        </w:rPr>
        <w:t xml:space="preserve">Copyright Act </w:t>
      </w:r>
      <w:r w:rsidRPr="0051087E">
        <w:rPr>
          <w:sz w:val="20"/>
          <w:szCs w:val="20"/>
        </w:rPr>
        <w:noBreakHyphen/>
        <w:t xml:space="preserve"> Legal steps and tests under </w:t>
      </w:r>
      <w:r w:rsidRPr="0051087E">
        <w:rPr>
          <w:i/>
          <w:sz w:val="20"/>
          <w:szCs w:val="20"/>
        </w:rPr>
        <w:t>Copyright Act</w:t>
      </w:r>
      <w:r w:rsidRPr="0051087E">
        <w:rPr>
          <w:sz w:val="20"/>
          <w:szCs w:val="20"/>
        </w:rPr>
        <w:t xml:space="preserve"> for assessing whether substantial part of work reproduced </w:t>
      </w:r>
      <w:r w:rsidRPr="0051087E">
        <w:rPr>
          <w:sz w:val="20"/>
          <w:szCs w:val="20"/>
        </w:rPr>
        <w:noBreakHyphen/>
        <w:t xml:space="preserve"> Where dealing with reproduction of substantial part of work, whether expert’s testimony can be relied on to identify similarities that average observer unable to detect </w:t>
      </w:r>
      <w:r w:rsidRPr="0051087E">
        <w:rPr>
          <w:sz w:val="20"/>
          <w:szCs w:val="20"/>
        </w:rPr>
        <w:noBreakHyphen/>
        <w:t xml:space="preserve"> Whether general character traits specific to genre can be accepted as reproduction of substantial part of work </w:t>
      </w:r>
      <w:r w:rsidRPr="0051087E">
        <w:rPr>
          <w:sz w:val="20"/>
          <w:szCs w:val="20"/>
        </w:rPr>
        <w:noBreakHyphen/>
        <w:t xml:space="preserve"> Step at which such traits must be taken into account or disregarded </w:t>
      </w:r>
      <w:r w:rsidRPr="0051087E">
        <w:rPr>
          <w:sz w:val="20"/>
          <w:szCs w:val="20"/>
        </w:rPr>
        <w:noBreakHyphen/>
        <w:t xml:space="preserve"> Whether both similarities and differences between works must be taken into account in identifying reproduction </w:t>
      </w:r>
      <w:r w:rsidRPr="0051087E">
        <w:rPr>
          <w:sz w:val="20"/>
          <w:szCs w:val="20"/>
        </w:rPr>
        <w:noBreakHyphen/>
        <w:t xml:space="preserve"> Whether </w:t>
      </w:r>
      <w:r w:rsidRPr="0051087E">
        <w:rPr>
          <w:i/>
          <w:sz w:val="20"/>
          <w:szCs w:val="20"/>
        </w:rPr>
        <w:t>Copyright Act</w:t>
      </w:r>
      <w:r w:rsidRPr="0051087E">
        <w:rPr>
          <w:sz w:val="20"/>
          <w:szCs w:val="20"/>
        </w:rPr>
        <w:t xml:space="preserve"> creates scheme of exclusive rights conferred on artists for monopoly on production or reproduction of works </w:t>
      </w:r>
      <w:r w:rsidRPr="0051087E">
        <w:rPr>
          <w:sz w:val="20"/>
          <w:szCs w:val="20"/>
        </w:rPr>
        <w:noBreakHyphen/>
        <w:t xml:space="preserve"> Whether </w:t>
      </w:r>
      <w:proofErr w:type="spellStart"/>
      <w:r w:rsidRPr="0051087E">
        <w:rPr>
          <w:sz w:val="20"/>
          <w:szCs w:val="20"/>
        </w:rPr>
        <w:t>extracontractual</w:t>
      </w:r>
      <w:proofErr w:type="spellEnd"/>
      <w:r w:rsidRPr="0051087E">
        <w:rPr>
          <w:sz w:val="20"/>
          <w:szCs w:val="20"/>
        </w:rPr>
        <w:t xml:space="preserve"> liability of third party may arise in absence of infringement of </w:t>
      </w:r>
      <w:r w:rsidRPr="0051087E">
        <w:rPr>
          <w:i/>
          <w:sz w:val="20"/>
          <w:szCs w:val="20"/>
        </w:rPr>
        <w:t>Copyright Act</w:t>
      </w:r>
      <w:r w:rsidRPr="0051087E">
        <w:rPr>
          <w:sz w:val="20"/>
          <w:szCs w:val="20"/>
        </w:rPr>
        <w:t>.</w:t>
      </w:r>
    </w:p>
    <w:p w:rsidR="00A172F9" w:rsidRPr="0051087E" w:rsidRDefault="00A172F9" w:rsidP="00A172F9">
      <w:pPr>
        <w:widowControl w:val="0"/>
        <w:jc w:val="both"/>
        <w:rPr>
          <w:sz w:val="20"/>
          <w:szCs w:val="20"/>
        </w:rPr>
      </w:pPr>
    </w:p>
    <w:p w:rsidR="00A172F9" w:rsidRPr="0051087E" w:rsidRDefault="00A172F9" w:rsidP="00A172F9">
      <w:pPr>
        <w:jc w:val="both"/>
        <w:rPr>
          <w:sz w:val="20"/>
          <w:szCs w:val="20"/>
        </w:rPr>
      </w:pPr>
      <w:r w:rsidRPr="0051087E">
        <w:rPr>
          <w:sz w:val="20"/>
          <w:szCs w:val="20"/>
        </w:rPr>
        <w:t xml:space="preserve">In 1982, Claude Robinson, an artist, drew the first sketches of the characters for </w:t>
      </w:r>
      <w:proofErr w:type="gramStart"/>
      <w:r w:rsidRPr="0051087E">
        <w:rPr>
          <w:sz w:val="20"/>
          <w:szCs w:val="20"/>
        </w:rPr>
        <w:t>a proposed children’s</w:t>
      </w:r>
      <w:proofErr w:type="gramEnd"/>
      <w:r w:rsidRPr="0051087E">
        <w:rPr>
          <w:sz w:val="20"/>
          <w:szCs w:val="20"/>
        </w:rPr>
        <w:t xml:space="preserve"> television services to be called </w:t>
      </w:r>
      <w:r w:rsidRPr="0051087E">
        <w:rPr>
          <w:i/>
          <w:sz w:val="20"/>
          <w:szCs w:val="20"/>
        </w:rPr>
        <w:t>Robinson Curiosity</w:t>
      </w:r>
      <w:r w:rsidRPr="0051087E">
        <w:rPr>
          <w:sz w:val="20"/>
          <w:szCs w:val="20"/>
        </w:rPr>
        <w:t xml:space="preserve">.  A few years later, in 1985, the Copyright Office issued a certificate of registration for </w:t>
      </w:r>
      <w:r w:rsidRPr="0051087E">
        <w:rPr>
          <w:i/>
          <w:sz w:val="20"/>
          <w:szCs w:val="20"/>
        </w:rPr>
        <w:t>Robinson Curiosity</w:t>
      </w:r>
      <w:r w:rsidRPr="0051087E">
        <w:rPr>
          <w:sz w:val="20"/>
          <w:szCs w:val="20"/>
        </w:rPr>
        <w:t xml:space="preserve"> listing Mr. Robinson as the author of the work and Les Productions </w:t>
      </w:r>
      <w:proofErr w:type="spellStart"/>
      <w:r w:rsidRPr="0051087E">
        <w:rPr>
          <w:sz w:val="20"/>
          <w:szCs w:val="20"/>
        </w:rPr>
        <w:t>Nilem</w:t>
      </w:r>
      <w:proofErr w:type="spellEnd"/>
      <w:r w:rsidRPr="0051087E">
        <w:rPr>
          <w:sz w:val="20"/>
          <w:szCs w:val="20"/>
        </w:rPr>
        <w:t xml:space="preserve"> inc. (“</w:t>
      </w:r>
      <w:proofErr w:type="spellStart"/>
      <w:r w:rsidRPr="0051087E">
        <w:rPr>
          <w:sz w:val="20"/>
          <w:szCs w:val="20"/>
        </w:rPr>
        <w:t>Nilem</w:t>
      </w:r>
      <w:proofErr w:type="spellEnd"/>
      <w:r w:rsidRPr="0051087E">
        <w:rPr>
          <w:sz w:val="20"/>
          <w:szCs w:val="20"/>
        </w:rPr>
        <w:t>”), a corporation of which he was the sole shareholder, as the owner of the work.</w:t>
      </w:r>
    </w:p>
    <w:p w:rsidR="00A172F9" w:rsidRPr="0051087E" w:rsidRDefault="00A172F9" w:rsidP="00A172F9">
      <w:pPr>
        <w:rPr>
          <w:sz w:val="20"/>
          <w:szCs w:val="20"/>
        </w:rPr>
      </w:pPr>
    </w:p>
    <w:p w:rsidR="00A172F9" w:rsidRPr="0051087E" w:rsidRDefault="00A172F9" w:rsidP="00A172F9">
      <w:pPr>
        <w:jc w:val="both"/>
        <w:rPr>
          <w:sz w:val="20"/>
          <w:szCs w:val="20"/>
        </w:rPr>
      </w:pPr>
      <w:r w:rsidRPr="0051087E">
        <w:rPr>
          <w:sz w:val="20"/>
          <w:szCs w:val="20"/>
        </w:rPr>
        <w:t xml:space="preserve">Starting in 1985, Mr. Robinson and </w:t>
      </w:r>
      <w:proofErr w:type="spellStart"/>
      <w:r w:rsidRPr="0051087E">
        <w:rPr>
          <w:sz w:val="20"/>
          <w:szCs w:val="20"/>
        </w:rPr>
        <w:t>Nilem</w:t>
      </w:r>
      <w:proofErr w:type="spellEnd"/>
      <w:r w:rsidRPr="0051087E">
        <w:rPr>
          <w:sz w:val="20"/>
          <w:szCs w:val="20"/>
        </w:rPr>
        <w:t xml:space="preserve"> stepped up their efforts for the promotion and production of </w:t>
      </w:r>
      <w:r w:rsidRPr="0051087E">
        <w:rPr>
          <w:i/>
          <w:sz w:val="20"/>
          <w:szCs w:val="20"/>
        </w:rPr>
        <w:t>Robinson Curiosity</w:t>
      </w:r>
      <w:r w:rsidRPr="0051087E">
        <w:rPr>
          <w:sz w:val="20"/>
          <w:szCs w:val="20"/>
        </w:rPr>
        <w:t xml:space="preserve">, including with </w:t>
      </w:r>
      <w:proofErr w:type="spellStart"/>
      <w:r w:rsidRPr="0051087E">
        <w:rPr>
          <w:sz w:val="20"/>
          <w:szCs w:val="20"/>
        </w:rPr>
        <w:t>Cinar</w:t>
      </w:r>
      <w:proofErr w:type="spellEnd"/>
      <w:r w:rsidRPr="0051087E">
        <w:rPr>
          <w:sz w:val="20"/>
          <w:szCs w:val="20"/>
        </w:rPr>
        <w:t xml:space="preserve"> Corporation/</w:t>
      </w:r>
      <w:proofErr w:type="spellStart"/>
      <w:r w:rsidRPr="0051087E">
        <w:rPr>
          <w:sz w:val="20"/>
          <w:szCs w:val="20"/>
        </w:rPr>
        <w:t>Cinar</w:t>
      </w:r>
      <w:proofErr w:type="spellEnd"/>
      <w:r w:rsidRPr="0051087E">
        <w:rPr>
          <w:sz w:val="20"/>
          <w:szCs w:val="20"/>
        </w:rPr>
        <w:t xml:space="preserve"> Films Inc., but those efforts were unsuccessful for nearly 10 years.  In September 1995, however, the first episode of </w:t>
      </w:r>
      <w:r w:rsidRPr="0051087E">
        <w:rPr>
          <w:i/>
          <w:sz w:val="20"/>
          <w:szCs w:val="20"/>
        </w:rPr>
        <w:t>Robinson </w:t>
      </w:r>
      <w:proofErr w:type="spellStart"/>
      <w:r w:rsidRPr="0051087E">
        <w:rPr>
          <w:i/>
          <w:sz w:val="20"/>
          <w:szCs w:val="20"/>
        </w:rPr>
        <w:t>Sucroe</w:t>
      </w:r>
      <w:proofErr w:type="spellEnd"/>
      <w:r w:rsidRPr="0051087E">
        <w:rPr>
          <w:sz w:val="20"/>
          <w:szCs w:val="20"/>
        </w:rPr>
        <w:t xml:space="preserve">, a work produced by </w:t>
      </w:r>
      <w:proofErr w:type="spellStart"/>
      <w:r w:rsidRPr="0051087E">
        <w:rPr>
          <w:sz w:val="20"/>
          <w:szCs w:val="20"/>
        </w:rPr>
        <w:t>Cinar</w:t>
      </w:r>
      <w:proofErr w:type="spellEnd"/>
      <w:r w:rsidRPr="0051087E">
        <w:rPr>
          <w:sz w:val="20"/>
          <w:szCs w:val="20"/>
        </w:rPr>
        <w:t xml:space="preserve"> Corporation/</w:t>
      </w:r>
      <w:proofErr w:type="spellStart"/>
      <w:r w:rsidRPr="0051087E">
        <w:rPr>
          <w:sz w:val="20"/>
          <w:szCs w:val="20"/>
        </w:rPr>
        <w:t>Cinar</w:t>
      </w:r>
      <w:proofErr w:type="spellEnd"/>
      <w:r w:rsidRPr="0051087E">
        <w:rPr>
          <w:sz w:val="20"/>
          <w:szCs w:val="20"/>
        </w:rPr>
        <w:t xml:space="preserve"> Films Inc., France Animation S.A. and </w:t>
      </w:r>
      <w:proofErr w:type="spellStart"/>
      <w:r w:rsidRPr="0051087E">
        <w:rPr>
          <w:sz w:val="20"/>
          <w:szCs w:val="20"/>
        </w:rPr>
        <w:t>Ravensburger</w:t>
      </w:r>
      <w:proofErr w:type="spellEnd"/>
      <w:r w:rsidRPr="0051087E">
        <w:rPr>
          <w:sz w:val="20"/>
          <w:szCs w:val="20"/>
        </w:rPr>
        <w:t xml:space="preserve"> Film + TV GmbH, was broadcast in Quebec.</w:t>
      </w:r>
    </w:p>
    <w:p w:rsidR="00A172F9" w:rsidRPr="0051087E" w:rsidRDefault="00A172F9" w:rsidP="00A172F9">
      <w:pPr>
        <w:rPr>
          <w:sz w:val="20"/>
          <w:szCs w:val="20"/>
        </w:rPr>
      </w:pPr>
    </w:p>
    <w:p w:rsidR="00A172F9" w:rsidRPr="0051087E" w:rsidRDefault="00A172F9" w:rsidP="00A172F9">
      <w:pPr>
        <w:jc w:val="both"/>
        <w:rPr>
          <w:sz w:val="20"/>
          <w:szCs w:val="20"/>
        </w:rPr>
      </w:pPr>
      <w:r w:rsidRPr="0051087E">
        <w:rPr>
          <w:sz w:val="20"/>
          <w:szCs w:val="20"/>
        </w:rPr>
        <w:t xml:space="preserve">Since Mr. Robinson and </w:t>
      </w:r>
      <w:proofErr w:type="spellStart"/>
      <w:r w:rsidRPr="0051087E">
        <w:rPr>
          <w:sz w:val="20"/>
          <w:szCs w:val="20"/>
        </w:rPr>
        <w:t>Nilem</w:t>
      </w:r>
      <w:proofErr w:type="spellEnd"/>
      <w:r w:rsidRPr="0051087E">
        <w:rPr>
          <w:sz w:val="20"/>
          <w:szCs w:val="20"/>
        </w:rPr>
        <w:t xml:space="preserve"> found similarities between their work, </w:t>
      </w:r>
      <w:r w:rsidRPr="0051087E">
        <w:rPr>
          <w:i/>
          <w:sz w:val="20"/>
          <w:szCs w:val="20"/>
        </w:rPr>
        <w:t>Robinson Curiosity</w:t>
      </w:r>
      <w:r w:rsidRPr="0051087E">
        <w:rPr>
          <w:sz w:val="20"/>
          <w:szCs w:val="20"/>
        </w:rPr>
        <w:t xml:space="preserve">, and the work produced as </w:t>
      </w:r>
      <w:r w:rsidRPr="0051087E">
        <w:rPr>
          <w:i/>
          <w:sz w:val="20"/>
          <w:szCs w:val="20"/>
        </w:rPr>
        <w:t xml:space="preserve">Robinson </w:t>
      </w:r>
      <w:proofErr w:type="spellStart"/>
      <w:r w:rsidRPr="0051087E">
        <w:rPr>
          <w:i/>
          <w:sz w:val="20"/>
          <w:szCs w:val="20"/>
        </w:rPr>
        <w:t>Sucroe</w:t>
      </w:r>
      <w:proofErr w:type="spellEnd"/>
      <w:r w:rsidRPr="0051087E">
        <w:rPr>
          <w:sz w:val="20"/>
          <w:szCs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A172F9" w:rsidRPr="0051087E" w:rsidRDefault="00A172F9" w:rsidP="00A172F9">
      <w:pPr>
        <w:widowControl w:val="0"/>
        <w:jc w:val="both"/>
        <w:rPr>
          <w:sz w:val="20"/>
          <w:szCs w:val="20"/>
        </w:rPr>
      </w:pPr>
    </w:p>
    <w:p w:rsidR="00A172F9" w:rsidRPr="0051087E" w:rsidRDefault="00A172F9" w:rsidP="00A172F9">
      <w:pPr>
        <w:widowControl w:val="0"/>
        <w:jc w:val="both"/>
        <w:rPr>
          <w:sz w:val="20"/>
          <w:szCs w:val="20"/>
        </w:rPr>
      </w:pPr>
    </w:p>
    <w:p w:rsidR="00A172F9" w:rsidRPr="0051087E" w:rsidRDefault="00A172F9" w:rsidP="00A172F9">
      <w:pPr>
        <w:widowControl w:val="0"/>
        <w:ind w:left="2880" w:hanging="2880"/>
        <w:jc w:val="both"/>
        <w:rPr>
          <w:sz w:val="20"/>
          <w:szCs w:val="20"/>
        </w:rPr>
      </w:pPr>
      <w:r w:rsidRPr="0051087E">
        <w:rPr>
          <w:sz w:val="20"/>
          <w:szCs w:val="20"/>
        </w:rPr>
        <w:t>Origin of the case:</w:t>
      </w:r>
      <w:r w:rsidRPr="0051087E">
        <w:rPr>
          <w:sz w:val="20"/>
          <w:szCs w:val="20"/>
        </w:rPr>
        <w:tab/>
        <w:t>Quebec</w:t>
      </w:r>
    </w:p>
    <w:p w:rsidR="00A172F9" w:rsidRPr="0051087E" w:rsidRDefault="00A172F9" w:rsidP="00A172F9">
      <w:pPr>
        <w:widowControl w:val="0"/>
        <w:ind w:left="2880" w:hanging="2880"/>
        <w:jc w:val="both"/>
        <w:rPr>
          <w:sz w:val="20"/>
          <w:szCs w:val="20"/>
        </w:rPr>
      </w:pPr>
    </w:p>
    <w:p w:rsidR="00A172F9" w:rsidRPr="0051087E" w:rsidRDefault="00A172F9" w:rsidP="00A172F9">
      <w:pPr>
        <w:widowControl w:val="0"/>
        <w:ind w:left="2880" w:hanging="2880"/>
        <w:jc w:val="both"/>
        <w:rPr>
          <w:sz w:val="20"/>
          <w:szCs w:val="20"/>
        </w:rPr>
      </w:pPr>
      <w:r w:rsidRPr="0051087E">
        <w:rPr>
          <w:sz w:val="20"/>
          <w:szCs w:val="20"/>
        </w:rPr>
        <w:t>File No.:</w:t>
      </w:r>
      <w:r w:rsidRPr="0051087E">
        <w:rPr>
          <w:sz w:val="20"/>
          <w:szCs w:val="20"/>
        </w:rPr>
        <w:tab/>
        <w:t>34466</w:t>
      </w:r>
    </w:p>
    <w:p w:rsidR="00A172F9" w:rsidRPr="0051087E" w:rsidRDefault="00A172F9" w:rsidP="00A172F9">
      <w:pPr>
        <w:widowControl w:val="0"/>
        <w:ind w:left="2880" w:hanging="2880"/>
        <w:jc w:val="both"/>
        <w:rPr>
          <w:sz w:val="20"/>
          <w:szCs w:val="20"/>
        </w:rPr>
      </w:pPr>
    </w:p>
    <w:p w:rsidR="00A172F9" w:rsidRPr="0051087E" w:rsidRDefault="00A172F9" w:rsidP="00A172F9">
      <w:pPr>
        <w:widowControl w:val="0"/>
        <w:ind w:left="2880" w:hanging="2880"/>
        <w:jc w:val="both"/>
        <w:rPr>
          <w:sz w:val="20"/>
          <w:szCs w:val="20"/>
        </w:rPr>
      </w:pPr>
      <w:r w:rsidRPr="0051087E">
        <w:rPr>
          <w:sz w:val="20"/>
          <w:szCs w:val="20"/>
        </w:rPr>
        <w:t>Judgment of the Court of Appeal:</w:t>
      </w:r>
      <w:r w:rsidRPr="0051087E">
        <w:rPr>
          <w:sz w:val="20"/>
          <w:szCs w:val="20"/>
        </w:rPr>
        <w:tab/>
        <w:t>July 20, 2011</w:t>
      </w:r>
    </w:p>
    <w:p w:rsidR="00A172F9" w:rsidRPr="0051087E" w:rsidRDefault="00A172F9" w:rsidP="00A172F9">
      <w:pPr>
        <w:widowControl w:val="0"/>
        <w:ind w:left="2880" w:hanging="2880"/>
        <w:jc w:val="both"/>
        <w:rPr>
          <w:sz w:val="20"/>
          <w:szCs w:val="20"/>
        </w:rPr>
      </w:pPr>
    </w:p>
    <w:p w:rsidR="00A172F9" w:rsidRPr="0051087E" w:rsidRDefault="00A172F9" w:rsidP="00A172F9">
      <w:pPr>
        <w:widowControl w:val="0"/>
        <w:ind w:left="2880" w:hanging="2880"/>
        <w:jc w:val="both"/>
        <w:rPr>
          <w:sz w:val="20"/>
          <w:szCs w:val="20"/>
        </w:rPr>
      </w:pPr>
      <w:r w:rsidRPr="0051087E">
        <w:rPr>
          <w:sz w:val="20"/>
          <w:szCs w:val="20"/>
        </w:rPr>
        <w:t>Counsel:</w:t>
      </w:r>
      <w:r w:rsidRPr="0051087E">
        <w:rPr>
          <w:sz w:val="20"/>
          <w:szCs w:val="20"/>
        </w:rPr>
        <w:tab/>
        <w:t xml:space="preserve">William Brock, </w:t>
      </w:r>
      <w:proofErr w:type="spellStart"/>
      <w:proofErr w:type="gramStart"/>
      <w:r w:rsidRPr="0051087E">
        <w:rPr>
          <w:sz w:val="20"/>
          <w:szCs w:val="20"/>
        </w:rPr>
        <w:t>Ad.E</w:t>
      </w:r>
      <w:proofErr w:type="spellEnd"/>
      <w:r w:rsidRPr="0051087E">
        <w:rPr>
          <w:sz w:val="20"/>
          <w:szCs w:val="20"/>
        </w:rPr>
        <w:t>.,</w:t>
      </w:r>
      <w:proofErr w:type="gramEnd"/>
      <w:r w:rsidRPr="0051087E">
        <w:rPr>
          <w:sz w:val="20"/>
          <w:szCs w:val="20"/>
        </w:rPr>
        <w:t xml:space="preserve"> and Cara Cameron for the appellants</w:t>
      </w:r>
    </w:p>
    <w:p w:rsidR="00A172F9" w:rsidRPr="0051087E" w:rsidRDefault="00A172F9" w:rsidP="00A172F9">
      <w:pPr>
        <w:widowControl w:val="0"/>
        <w:ind w:left="2880" w:hanging="2880"/>
        <w:jc w:val="both"/>
        <w:rPr>
          <w:sz w:val="20"/>
          <w:szCs w:val="20"/>
        </w:rPr>
      </w:pPr>
      <w:r w:rsidRPr="0051087E">
        <w:rPr>
          <w:sz w:val="20"/>
          <w:szCs w:val="20"/>
        </w:rPr>
        <w:tab/>
        <w:t xml:space="preserve">Gilles M. Daigle and Guy </w:t>
      </w:r>
      <w:proofErr w:type="spellStart"/>
      <w:r w:rsidRPr="0051087E">
        <w:rPr>
          <w:sz w:val="20"/>
          <w:szCs w:val="20"/>
        </w:rPr>
        <w:t>Régimbald</w:t>
      </w:r>
      <w:proofErr w:type="spellEnd"/>
      <w:r w:rsidRPr="0051087E">
        <w:rPr>
          <w:sz w:val="20"/>
          <w:szCs w:val="20"/>
        </w:rPr>
        <w:t xml:space="preserve"> for the respondents</w:t>
      </w:r>
    </w:p>
    <w:p w:rsidR="003320D5" w:rsidRPr="00A172F9"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66"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CB168C" w:rsidRPr="004B0E80" w:rsidRDefault="00F008AC" w:rsidP="00CB168C">
      <w:pPr>
        <w:widowControl w:val="0"/>
        <w:ind w:left="720" w:hanging="720"/>
        <w:rPr>
          <w:b/>
          <w:sz w:val="20"/>
          <w:szCs w:val="20"/>
          <w:lang w:val="fr-CA"/>
        </w:rPr>
      </w:pPr>
      <w:r w:rsidRPr="00F008AC">
        <w:rPr>
          <w:b/>
          <w:sz w:val="20"/>
          <w:szCs w:val="20"/>
          <w:lang w:val="fr-CA"/>
        </w:rPr>
        <w:lastRenderedPageBreak/>
        <w:fldChar w:fldCharType="begin"/>
      </w:r>
      <w:r w:rsidR="00CB168C" w:rsidRPr="004B0E80">
        <w:rPr>
          <w:b/>
          <w:sz w:val="20"/>
          <w:szCs w:val="20"/>
          <w:lang w:val="fr-CA"/>
        </w:rPr>
        <w:instrText xml:space="preserve"> SEQ CHAPTER \h \r 1</w:instrText>
      </w:r>
      <w:r w:rsidRPr="004B0E80">
        <w:rPr>
          <w:b/>
          <w:sz w:val="20"/>
          <w:szCs w:val="20"/>
        </w:rPr>
        <w:fldChar w:fldCharType="end"/>
      </w:r>
      <w:r w:rsidR="00CB168C" w:rsidRPr="004B0E80">
        <w:rPr>
          <w:b/>
          <w:sz w:val="20"/>
          <w:szCs w:val="20"/>
          <w:lang w:val="fr-CA"/>
        </w:rPr>
        <w:t>34466</w:t>
      </w:r>
      <w:r w:rsidR="0077742B">
        <w:rPr>
          <w:b/>
          <w:sz w:val="20"/>
          <w:szCs w:val="20"/>
          <w:lang w:val="fr-CA"/>
        </w:rPr>
        <w:tab/>
      </w:r>
      <w:proofErr w:type="spellStart"/>
      <w:r w:rsidR="00CB168C" w:rsidRPr="004B0E80">
        <w:rPr>
          <w:b/>
          <w:i/>
          <w:sz w:val="20"/>
          <w:szCs w:val="20"/>
          <w:lang w:val="fr-CA"/>
        </w:rPr>
        <w:t>Cinar</w:t>
      </w:r>
      <w:proofErr w:type="spellEnd"/>
      <w:r w:rsidR="00CB168C" w:rsidRPr="004B0E80">
        <w:rPr>
          <w:b/>
          <w:i/>
          <w:sz w:val="20"/>
          <w:szCs w:val="20"/>
          <w:lang w:val="fr-CA"/>
        </w:rPr>
        <w:t xml:space="preserve"> Corporation et Les Films </w:t>
      </w:r>
      <w:proofErr w:type="spellStart"/>
      <w:r w:rsidR="00CB168C" w:rsidRPr="004B0E80">
        <w:rPr>
          <w:b/>
          <w:i/>
          <w:sz w:val="20"/>
          <w:szCs w:val="20"/>
          <w:lang w:val="fr-CA"/>
        </w:rPr>
        <w:t>Cinar</w:t>
      </w:r>
      <w:proofErr w:type="spellEnd"/>
      <w:r w:rsidR="00CB168C" w:rsidRPr="004B0E80">
        <w:rPr>
          <w:b/>
          <w:i/>
          <w:sz w:val="20"/>
          <w:szCs w:val="20"/>
          <w:lang w:val="fr-CA"/>
        </w:rPr>
        <w:t xml:space="preserve"> Inc. c. Claude Robinson et Les Productions </w:t>
      </w:r>
      <w:proofErr w:type="spellStart"/>
      <w:r w:rsidR="00CB168C" w:rsidRPr="004B0E80">
        <w:rPr>
          <w:b/>
          <w:i/>
          <w:sz w:val="20"/>
          <w:szCs w:val="20"/>
          <w:lang w:val="fr-CA"/>
        </w:rPr>
        <w:t>Nilem</w:t>
      </w:r>
      <w:proofErr w:type="spellEnd"/>
      <w:r w:rsidR="00CB168C" w:rsidRPr="004B0E80">
        <w:rPr>
          <w:b/>
          <w:i/>
          <w:sz w:val="20"/>
          <w:szCs w:val="20"/>
          <w:lang w:val="fr-CA"/>
        </w:rPr>
        <w:t xml:space="preserve"> Inc.</w:t>
      </w:r>
    </w:p>
    <w:p w:rsidR="00CB168C" w:rsidRPr="004B0E80" w:rsidRDefault="00CB168C" w:rsidP="00CB168C">
      <w:pPr>
        <w:widowControl w:val="0"/>
        <w:jc w:val="both"/>
        <w:rPr>
          <w:sz w:val="20"/>
          <w:szCs w:val="20"/>
          <w:lang w:val="fr-CA"/>
        </w:rPr>
      </w:pPr>
    </w:p>
    <w:p w:rsidR="00CB168C" w:rsidRPr="004B0E80" w:rsidRDefault="00CB168C" w:rsidP="00CB168C">
      <w:pPr>
        <w:jc w:val="both"/>
        <w:rPr>
          <w:sz w:val="20"/>
          <w:szCs w:val="20"/>
          <w:lang w:val="fr-CA"/>
        </w:rPr>
      </w:pPr>
      <w:r w:rsidRPr="004B0E80">
        <w:rPr>
          <w:sz w:val="20"/>
          <w:szCs w:val="20"/>
          <w:lang w:val="fr-CA"/>
        </w:rPr>
        <w:t xml:space="preserve">Propriété intellectuelle </w:t>
      </w:r>
      <w:r w:rsidRPr="004B0E80">
        <w:rPr>
          <w:sz w:val="20"/>
          <w:szCs w:val="20"/>
          <w:lang w:val="fr-CA"/>
        </w:rPr>
        <w:noBreakHyphen/>
        <w:t xml:space="preserve"> </w:t>
      </w:r>
      <w:r w:rsidRPr="004B0E80">
        <w:rPr>
          <w:i/>
          <w:sz w:val="20"/>
          <w:szCs w:val="20"/>
          <w:lang w:val="fr-CA"/>
        </w:rPr>
        <w:t>Loi sur le droit d’auteur</w:t>
      </w:r>
      <w:r w:rsidRPr="004B0E80">
        <w:rPr>
          <w:sz w:val="20"/>
          <w:szCs w:val="20"/>
          <w:lang w:val="fr-CA"/>
        </w:rPr>
        <w:t>, L.R.C. (1985), c. C</w:t>
      </w:r>
      <w:r w:rsidRPr="004B0E80">
        <w:rPr>
          <w:sz w:val="20"/>
          <w:szCs w:val="20"/>
          <w:lang w:val="fr-CA"/>
        </w:rPr>
        <w:noBreakHyphen/>
        <w:t xml:space="preserve">42 </w:t>
      </w:r>
      <w:r w:rsidRPr="004B0E80">
        <w:rPr>
          <w:sz w:val="20"/>
          <w:szCs w:val="20"/>
          <w:lang w:val="fr-CA"/>
        </w:rPr>
        <w:noBreakHyphen/>
        <w:t xml:space="preserve"> Contrefaçon </w:t>
      </w:r>
      <w:r w:rsidRPr="004B0E80">
        <w:rPr>
          <w:sz w:val="20"/>
          <w:szCs w:val="20"/>
          <w:lang w:val="fr-CA"/>
        </w:rPr>
        <w:noBreakHyphen/>
        <w:t xml:space="preserve"> Preuve </w:t>
      </w:r>
      <w:r w:rsidRPr="004B0E80">
        <w:rPr>
          <w:sz w:val="20"/>
          <w:szCs w:val="20"/>
          <w:lang w:val="fr-CA"/>
        </w:rPr>
        <w:noBreakHyphen/>
        <w:t xml:space="preserve"> Étapes et critères applicables en matière de reprise d’une partie importante ou substantielle d’une œuvre au sens des articles 2 et 3 de la </w:t>
      </w:r>
      <w:r w:rsidRPr="004B0E80">
        <w:rPr>
          <w:i/>
          <w:sz w:val="20"/>
          <w:szCs w:val="20"/>
          <w:lang w:val="fr-CA"/>
        </w:rPr>
        <w:t>Loi sur le droit d’auteur</w:t>
      </w:r>
      <w:r w:rsidRPr="004B0E80">
        <w:rPr>
          <w:sz w:val="20"/>
          <w:szCs w:val="20"/>
          <w:lang w:val="fr-CA"/>
        </w:rPr>
        <w:t xml:space="preserve"> </w:t>
      </w:r>
      <w:r w:rsidRPr="004B0E80">
        <w:rPr>
          <w:sz w:val="20"/>
          <w:szCs w:val="20"/>
          <w:lang w:val="fr-CA"/>
        </w:rPr>
        <w:noBreakHyphen/>
        <w:t xml:space="preserve"> Admissibilité du témoignage d’un expert quant à la reprise d’une partie importante ou substantielle d’une œuvre au sens des articles 2 et 3 de la </w:t>
      </w:r>
      <w:r w:rsidRPr="004B0E80">
        <w:rPr>
          <w:i/>
          <w:sz w:val="20"/>
          <w:szCs w:val="20"/>
          <w:lang w:val="fr-CA"/>
        </w:rPr>
        <w:t>Loi sur le droit d’auteur</w:t>
      </w:r>
      <w:r w:rsidRPr="004B0E80">
        <w:rPr>
          <w:sz w:val="20"/>
          <w:szCs w:val="20"/>
          <w:lang w:val="fr-CA"/>
        </w:rPr>
        <w:t xml:space="preserve"> </w:t>
      </w:r>
      <w:r w:rsidRPr="004B0E80">
        <w:rPr>
          <w:sz w:val="20"/>
          <w:szCs w:val="20"/>
          <w:lang w:val="fr-CA"/>
        </w:rPr>
        <w:noBreakHyphen/>
        <w:t xml:space="preserve"> Responsabilité civile en marge de la </w:t>
      </w:r>
      <w:r w:rsidRPr="004B0E80">
        <w:rPr>
          <w:i/>
          <w:sz w:val="20"/>
          <w:szCs w:val="20"/>
          <w:lang w:val="fr-CA"/>
        </w:rPr>
        <w:t>Loi sur le droit d’auteur</w:t>
      </w:r>
      <w:r w:rsidRPr="004B0E80">
        <w:rPr>
          <w:sz w:val="20"/>
          <w:szCs w:val="20"/>
          <w:lang w:val="fr-CA"/>
        </w:rPr>
        <w:t xml:space="preserve"> </w:t>
      </w:r>
      <w:r w:rsidRPr="004B0E80">
        <w:rPr>
          <w:sz w:val="20"/>
          <w:szCs w:val="20"/>
          <w:lang w:val="fr-CA"/>
        </w:rPr>
        <w:noBreakHyphen/>
        <w:t xml:space="preserve"> Quels sont, en vertu de la </w:t>
      </w:r>
      <w:r w:rsidRPr="004B0E80">
        <w:rPr>
          <w:i/>
          <w:sz w:val="20"/>
          <w:szCs w:val="20"/>
          <w:lang w:val="fr-CA"/>
        </w:rPr>
        <w:t>Loi sur le droit d’auteur</w:t>
      </w:r>
      <w:r w:rsidRPr="004B0E80">
        <w:rPr>
          <w:sz w:val="20"/>
          <w:szCs w:val="20"/>
          <w:lang w:val="fr-CA"/>
        </w:rPr>
        <w:t xml:space="preserve">, les étapes et les critères juridiques applicables permettant d’évaluer s’il y a reprise d’une partie importante ou substantielle d’une œuvre? </w:t>
      </w:r>
      <w:r w:rsidRPr="004B0E80">
        <w:rPr>
          <w:sz w:val="20"/>
          <w:szCs w:val="20"/>
          <w:lang w:val="fr-CA"/>
        </w:rPr>
        <w:noBreakHyphen/>
        <w:t xml:space="preserve"> </w:t>
      </w:r>
      <w:proofErr w:type="spellStart"/>
      <w:r w:rsidRPr="004B0E80">
        <w:rPr>
          <w:sz w:val="20"/>
          <w:szCs w:val="20"/>
          <w:lang w:val="fr-CA"/>
        </w:rPr>
        <w:t>Peut</w:t>
      </w:r>
      <w:r w:rsidRPr="004B0E80">
        <w:rPr>
          <w:sz w:val="20"/>
          <w:szCs w:val="20"/>
          <w:lang w:val="fr-CA"/>
        </w:rPr>
        <w:noBreakHyphen/>
        <w:t>on</w:t>
      </w:r>
      <w:proofErr w:type="spellEnd"/>
      <w:r w:rsidRPr="004B0E80">
        <w:rPr>
          <w:sz w:val="20"/>
          <w:szCs w:val="20"/>
          <w:lang w:val="fr-CA"/>
        </w:rPr>
        <w:t xml:space="preserve">, en cas de reprise d’une partie importante ou substantielle d’une œuvre, se fonder sur le témoignage d’un expert pour identifier des similitudes que l’observateur moyen n’est pas en mesure de percevoir? </w:t>
      </w:r>
      <w:r w:rsidRPr="004B0E80">
        <w:rPr>
          <w:sz w:val="20"/>
          <w:szCs w:val="20"/>
          <w:lang w:val="fr-CA"/>
        </w:rPr>
        <w:noBreakHyphen/>
        <w:t xml:space="preserve"> </w:t>
      </w:r>
      <w:proofErr w:type="spellStart"/>
      <w:r w:rsidRPr="004B0E80">
        <w:rPr>
          <w:sz w:val="20"/>
          <w:szCs w:val="20"/>
          <w:lang w:val="fr-CA"/>
        </w:rPr>
        <w:t>Peut</w:t>
      </w:r>
      <w:r w:rsidRPr="004B0E80">
        <w:rPr>
          <w:sz w:val="20"/>
          <w:szCs w:val="20"/>
          <w:lang w:val="fr-CA"/>
        </w:rPr>
        <w:noBreakHyphen/>
        <w:t>on</w:t>
      </w:r>
      <w:proofErr w:type="spellEnd"/>
      <w:r w:rsidRPr="004B0E80">
        <w:rPr>
          <w:sz w:val="20"/>
          <w:szCs w:val="20"/>
          <w:lang w:val="fr-CA"/>
        </w:rPr>
        <w:t xml:space="preserve"> retenir des traits de caractère généraux propres au genre comme reprise d’une partie substantielle de l’œuvre et à quelle étape </w:t>
      </w:r>
      <w:proofErr w:type="spellStart"/>
      <w:r w:rsidRPr="004B0E80">
        <w:rPr>
          <w:sz w:val="20"/>
          <w:szCs w:val="20"/>
          <w:lang w:val="fr-CA"/>
        </w:rPr>
        <w:t>doit</w:t>
      </w:r>
      <w:r w:rsidRPr="004B0E80">
        <w:rPr>
          <w:sz w:val="20"/>
          <w:szCs w:val="20"/>
          <w:lang w:val="fr-CA"/>
        </w:rPr>
        <w:noBreakHyphen/>
        <w:t>on</w:t>
      </w:r>
      <w:proofErr w:type="spellEnd"/>
      <w:r w:rsidRPr="004B0E80">
        <w:rPr>
          <w:sz w:val="20"/>
          <w:szCs w:val="20"/>
          <w:lang w:val="fr-CA"/>
        </w:rPr>
        <w:t xml:space="preserve"> en tenir compte ou les écarter? </w:t>
      </w:r>
      <w:r w:rsidRPr="004B0E80">
        <w:rPr>
          <w:sz w:val="20"/>
          <w:szCs w:val="20"/>
          <w:lang w:val="fr-CA"/>
        </w:rPr>
        <w:noBreakHyphen/>
        <w:t xml:space="preserve"> </w:t>
      </w:r>
      <w:proofErr w:type="spellStart"/>
      <w:r w:rsidRPr="004B0E80">
        <w:rPr>
          <w:sz w:val="20"/>
          <w:szCs w:val="20"/>
          <w:lang w:val="fr-CA"/>
        </w:rPr>
        <w:t>Doit</w:t>
      </w:r>
      <w:r w:rsidRPr="004B0E80">
        <w:rPr>
          <w:sz w:val="20"/>
          <w:szCs w:val="20"/>
          <w:lang w:val="fr-CA"/>
        </w:rPr>
        <w:noBreakHyphen/>
        <w:t>on</w:t>
      </w:r>
      <w:proofErr w:type="spellEnd"/>
      <w:r w:rsidRPr="004B0E80">
        <w:rPr>
          <w:sz w:val="20"/>
          <w:szCs w:val="20"/>
          <w:lang w:val="fr-CA"/>
        </w:rPr>
        <w:t xml:space="preserve">, dans l’identification d’une reprise, tenir compte à la fois des similitudes et des différences entre les œuvres? </w:t>
      </w:r>
      <w:r w:rsidRPr="004B0E80">
        <w:rPr>
          <w:sz w:val="20"/>
          <w:szCs w:val="20"/>
          <w:lang w:val="fr-CA"/>
        </w:rPr>
        <w:noBreakHyphen/>
        <w:t xml:space="preserve"> </w:t>
      </w:r>
      <w:proofErr w:type="spellStart"/>
      <w:r w:rsidRPr="004B0E80">
        <w:rPr>
          <w:sz w:val="20"/>
          <w:szCs w:val="20"/>
          <w:lang w:val="fr-CA"/>
        </w:rPr>
        <w:t>Est</w:t>
      </w:r>
      <w:r w:rsidRPr="004B0E80">
        <w:rPr>
          <w:sz w:val="20"/>
          <w:szCs w:val="20"/>
          <w:lang w:val="fr-CA"/>
        </w:rPr>
        <w:noBreakHyphen/>
        <w:t>ce</w:t>
      </w:r>
      <w:proofErr w:type="spellEnd"/>
      <w:r w:rsidRPr="004B0E80">
        <w:rPr>
          <w:sz w:val="20"/>
          <w:szCs w:val="20"/>
          <w:lang w:val="fr-CA"/>
        </w:rPr>
        <w:t xml:space="preserve"> que la </w:t>
      </w:r>
      <w:r w:rsidRPr="004B0E80">
        <w:rPr>
          <w:i/>
          <w:sz w:val="20"/>
          <w:szCs w:val="20"/>
          <w:lang w:val="fr-CA"/>
        </w:rPr>
        <w:t>Loi sur le droit d’auteur</w:t>
      </w:r>
      <w:r w:rsidRPr="004B0E80">
        <w:rPr>
          <w:sz w:val="20"/>
          <w:szCs w:val="20"/>
          <w:lang w:val="fr-CA"/>
        </w:rPr>
        <w:t xml:space="preserve"> crée un régime de droits exclusifs conférés aux artistes pour le monopole de la production ou de la reproduction d’œuvres?  La responsabilité extracontractuelle d’un tiers </w:t>
      </w:r>
      <w:proofErr w:type="spellStart"/>
      <w:r w:rsidRPr="004B0E80">
        <w:rPr>
          <w:sz w:val="20"/>
          <w:szCs w:val="20"/>
          <w:lang w:val="fr-CA"/>
        </w:rPr>
        <w:t>peut</w:t>
      </w:r>
      <w:r w:rsidRPr="004B0E80">
        <w:rPr>
          <w:sz w:val="20"/>
          <w:szCs w:val="20"/>
          <w:lang w:val="fr-CA"/>
        </w:rPr>
        <w:noBreakHyphen/>
        <w:t>elle</w:t>
      </w:r>
      <w:proofErr w:type="spellEnd"/>
      <w:r w:rsidRPr="004B0E80">
        <w:rPr>
          <w:sz w:val="20"/>
          <w:szCs w:val="20"/>
          <w:lang w:val="fr-CA"/>
        </w:rPr>
        <w:t xml:space="preserve"> être engagée en l’absence d’une violation de la </w:t>
      </w:r>
      <w:r w:rsidRPr="004B0E80">
        <w:rPr>
          <w:i/>
          <w:sz w:val="20"/>
          <w:szCs w:val="20"/>
          <w:lang w:val="fr-CA"/>
        </w:rPr>
        <w:t>Loi sur le droit d’auteur</w:t>
      </w:r>
      <w:r w:rsidRPr="004B0E80">
        <w:rPr>
          <w:sz w:val="20"/>
          <w:szCs w:val="20"/>
          <w:lang w:val="fr-CA"/>
        </w:rPr>
        <w:t>?</w:t>
      </w:r>
    </w:p>
    <w:p w:rsidR="00CB168C" w:rsidRPr="004B0E80" w:rsidRDefault="00CB168C" w:rsidP="00CB168C">
      <w:pPr>
        <w:widowControl w:val="0"/>
        <w:jc w:val="both"/>
        <w:rPr>
          <w:sz w:val="20"/>
          <w:szCs w:val="20"/>
          <w:lang w:val="fr-CA"/>
        </w:rPr>
      </w:pPr>
    </w:p>
    <w:p w:rsidR="00CB168C" w:rsidRPr="004B0E80" w:rsidRDefault="00CB168C" w:rsidP="00CB168C">
      <w:pPr>
        <w:jc w:val="both"/>
        <w:rPr>
          <w:sz w:val="20"/>
          <w:szCs w:val="20"/>
          <w:lang w:val="fr-CA"/>
        </w:rPr>
      </w:pPr>
      <w:r w:rsidRPr="004B0E80">
        <w:rPr>
          <w:sz w:val="20"/>
          <w:szCs w:val="20"/>
          <w:lang w:val="fr-CA"/>
        </w:rPr>
        <w:t xml:space="preserve">M. Claude Robinson est un artiste qui a dessiné, en 1982, les premiers croquis des personnages d’un projet de série télévisée pour enfants qui porterait le nom de </w:t>
      </w:r>
      <w:r w:rsidRPr="004B0E80">
        <w:rPr>
          <w:i/>
          <w:sz w:val="20"/>
          <w:szCs w:val="20"/>
          <w:lang w:val="fr-CA"/>
        </w:rPr>
        <w:t>Robinson Curiosité</w:t>
      </w:r>
      <w:r w:rsidRPr="004B0E80">
        <w:rPr>
          <w:sz w:val="20"/>
          <w:szCs w:val="20"/>
          <w:lang w:val="fr-CA"/>
        </w:rPr>
        <w:t xml:space="preserve">.  Quelques années plus tard, en 1985, le Bureau du droit d’auteur délivre un certificat d’enregistrement de </w:t>
      </w:r>
      <w:r w:rsidRPr="004B0E80">
        <w:rPr>
          <w:i/>
          <w:sz w:val="20"/>
          <w:szCs w:val="20"/>
          <w:lang w:val="fr-CA"/>
        </w:rPr>
        <w:t>Robinson Curiosité</w:t>
      </w:r>
      <w:r w:rsidRPr="004B0E80">
        <w:rPr>
          <w:sz w:val="20"/>
          <w:szCs w:val="20"/>
          <w:lang w:val="fr-CA"/>
        </w:rPr>
        <w:t xml:space="preserve"> indiquant que M. Robinson est l’auteur de l’œuvre et que les Productions </w:t>
      </w:r>
      <w:proofErr w:type="spellStart"/>
      <w:r w:rsidRPr="004B0E80">
        <w:rPr>
          <w:sz w:val="20"/>
          <w:szCs w:val="20"/>
          <w:lang w:val="fr-CA"/>
        </w:rPr>
        <w:t>Nilem</w:t>
      </w:r>
      <w:proofErr w:type="spellEnd"/>
      <w:r w:rsidRPr="004B0E80">
        <w:rPr>
          <w:sz w:val="20"/>
          <w:szCs w:val="20"/>
          <w:lang w:val="fr-CA"/>
        </w:rPr>
        <w:t xml:space="preserve"> </w:t>
      </w:r>
      <w:proofErr w:type="spellStart"/>
      <w:r w:rsidRPr="004B0E80">
        <w:rPr>
          <w:sz w:val="20"/>
          <w:szCs w:val="20"/>
          <w:lang w:val="fr-CA"/>
        </w:rPr>
        <w:t>inc</w:t>
      </w:r>
      <w:proofErr w:type="spellEnd"/>
      <w:r w:rsidRPr="004B0E80">
        <w:rPr>
          <w:sz w:val="20"/>
          <w:szCs w:val="20"/>
          <w:lang w:val="fr-CA"/>
        </w:rPr>
        <w:t>. (</w:t>
      </w:r>
      <w:proofErr w:type="spellStart"/>
      <w:r w:rsidRPr="004B0E80">
        <w:rPr>
          <w:sz w:val="20"/>
          <w:szCs w:val="20"/>
          <w:lang w:val="fr-CA"/>
        </w:rPr>
        <w:t>ci</w:t>
      </w:r>
      <w:r w:rsidRPr="004B0E80">
        <w:rPr>
          <w:sz w:val="20"/>
          <w:szCs w:val="20"/>
          <w:lang w:val="fr-CA"/>
        </w:rPr>
        <w:noBreakHyphen/>
        <w:t>après</w:t>
      </w:r>
      <w:proofErr w:type="spellEnd"/>
      <w:r w:rsidRPr="004B0E80">
        <w:rPr>
          <w:sz w:val="20"/>
          <w:szCs w:val="20"/>
          <w:lang w:val="fr-CA"/>
        </w:rPr>
        <w:t xml:space="preserve"> « </w:t>
      </w:r>
      <w:proofErr w:type="spellStart"/>
      <w:r w:rsidRPr="004B0E80">
        <w:rPr>
          <w:sz w:val="20"/>
          <w:szCs w:val="20"/>
          <w:lang w:val="fr-CA"/>
        </w:rPr>
        <w:t>Nilem</w:t>
      </w:r>
      <w:proofErr w:type="spellEnd"/>
      <w:r w:rsidRPr="004B0E80">
        <w:rPr>
          <w:sz w:val="20"/>
          <w:szCs w:val="20"/>
          <w:lang w:val="fr-CA"/>
        </w:rPr>
        <w:t> »), une société commerciale dont il est le seul actionnaire, en est le propriétaire.</w:t>
      </w:r>
    </w:p>
    <w:p w:rsidR="00CB168C" w:rsidRPr="004B0E80" w:rsidRDefault="00CB168C" w:rsidP="00CB168C">
      <w:pPr>
        <w:rPr>
          <w:sz w:val="20"/>
          <w:szCs w:val="20"/>
          <w:lang w:val="fr-CA"/>
        </w:rPr>
      </w:pPr>
    </w:p>
    <w:p w:rsidR="00CB168C" w:rsidRPr="004B0E80" w:rsidRDefault="00CB168C" w:rsidP="00CB168C">
      <w:pPr>
        <w:jc w:val="both"/>
        <w:rPr>
          <w:sz w:val="20"/>
          <w:szCs w:val="20"/>
          <w:lang w:val="fr-CA"/>
        </w:rPr>
      </w:pPr>
      <w:r w:rsidRPr="004B0E80">
        <w:rPr>
          <w:sz w:val="20"/>
          <w:szCs w:val="20"/>
          <w:lang w:val="fr-CA"/>
        </w:rPr>
        <w:t xml:space="preserve">À compter de 1985, M. Robinson et </w:t>
      </w:r>
      <w:proofErr w:type="spellStart"/>
      <w:r w:rsidRPr="004B0E80">
        <w:rPr>
          <w:sz w:val="20"/>
          <w:szCs w:val="20"/>
          <w:lang w:val="fr-CA"/>
        </w:rPr>
        <w:t>Nilem</w:t>
      </w:r>
      <w:proofErr w:type="spellEnd"/>
      <w:r w:rsidRPr="004B0E80">
        <w:rPr>
          <w:sz w:val="20"/>
          <w:szCs w:val="20"/>
          <w:lang w:val="fr-CA"/>
        </w:rPr>
        <w:t xml:space="preserve"> multiplient les démarches destinées à faire la promotion et la production de </w:t>
      </w:r>
      <w:r w:rsidRPr="004B0E80">
        <w:rPr>
          <w:i/>
          <w:sz w:val="20"/>
          <w:szCs w:val="20"/>
          <w:lang w:val="fr-CA"/>
        </w:rPr>
        <w:t>Robinson Curiosité</w:t>
      </w:r>
      <w:r w:rsidRPr="004B0E80">
        <w:rPr>
          <w:sz w:val="20"/>
          <w:szCs w:val="20"/>
          <w:lang w:val="fr-CA"/>
        </w:rPr>
        <w:t xml:space="preserve">, y compris avec Corporation </w:t>
      </w:r>
      <w:proofErr w:type="spellStart"/>
      <w:r w:rsidRPr="004B0E80">
        <w:rPr>
          <w:sz w:val="20"/>
          <w:szCs w:val="20"/>
          <w:lang w:val="fr-CA"/>
        </w:rPr>
        <w:t>Cinar</w:t>
      </w:r>
      <w:proofErr w:type="spellEnd"/>
      <w:r w:rsidRPr="004B0E80">
        <w:rPr>
          <w:sz w:val="20"/>
          <w:szCs w:val="20"/>
          <w:lang w:val="fr-CA"/>
        </w:rPr>
        <w:t xml:space="preserve">/Les Films </w:t>
      </w:r>
      <w:proofErr w:type="spellStart"/>
      <w:r w:rsidRPr="004B0E80">
        <w:rPr>
          <w:sz w:val="20"/>
          <w:szCs w:val="20"/>
          <w:lang w:val="fr-CA"/>
        </w:rPr>
        <w:t>Cinar</w:t>
      </w:r>
      <w:proofErr w:type="spellEnd"/>
      <w:r w:rsidRPr="004B0E80">
        <w:rPr>
          <w:sz w:val="20"/>
          <w:szCs w:val="20"/>
          <w:lang w:val="fr-CA"/>
        </w:rPr>
        <w:t xml:space="preserve"> </w:t>
      </w:r>
      <w:proofErr w:type="spellStart"/>
      <w:r w:rsidRPr="004B0E80">
        <w:rPr>
          <w:sz w:val="20"/>
          <w:szCs w:val="20"/>
          <w:lang w:val="fr-CA"/>
        </w:rPr>
        <w:t>inc</w:t>
      </w:r>
      <w:proofErr w:type="spellEnd"/>
      <w:r w:rsidRPr="004B0E80">
        <w:rPr>
          <w:sz w:val="20"/>
          <w:szCs w:val="20"/>
          <w:lang w:val="fr-CA"/>
        </w:rPr>
        <w:t xml:space="preserve">., mais pendant près de 10 ans, ces démarches sont infructueuses.  En septembre 1995, il y a cependant diffusion au Québec du premier épisode de </w:t>
      </w:r>
      <w:r w:rsidRPr="004B0E80">
        <w:rPr>
          <w:i/>
          <w:sz w:val="20"/>
          <w:szCs w:val="20"/>
          <w:lang w:val="fr-CA"/>
        </w:rPr>
        <w:t xml:space="preserve">Robinson </w:t>
      </w:r>
      <w:proofErr w:type="spellStart"/>
      <w:r w:rsidRPr="004B0E80">
        <w:rPr>
          <w:i/>
          <w:sz w:val="20"/>
          <w:szCs w:val="20"/>
          <w:lang w:val="fr-CA"/>
        </w:rPr>
        <w:t>Sucroë</w:t>
      </w:r>
      <w:proofErr w:type="spellEnd"/>
      <w:r w:rsidRPr="004B0E80">
        <w:rPr>
          <w:sz w:val="20"/>
          <w:szCs w:val="20"/>
          <w:lang w:val="fr-CA"/>
        </w:rPr>
        <w:t xml:space="preserve">, œuvre produite par Corporation </w:t>
      </w:r>
      <w:proofErr w:type="spellStart"/>
      <w:r w:rsidRPr="004B0E80">
        <w:rPr>
          <w:sz w:val="20"/>
          <w:szCs w:val="20"/>
          <w:lang w:val="fr-CA"/>
        </w:rPr>
        <w:t>Cinar</w:t>
      </w:r>
      <w:proofErr w:type="spellEnd"/>
      <w:r w:rsidRPr="004B0E80">
        <w:rPr>
          <w:sz w:val="20"/>
          <w:szCs w:val="20"/>
          <w:lang w:val="fr-CA"/>
        </w:rPr>
        <w:t xml:space="preserve">/Les Films </w:t>
      </w:r>
      <w:proofErr w:type="spellStart"/>
      <w:r w:rsidRPr="004B0E80">
        <w:rPr>
          <w:sz w:val="20"/>
          <w:szCs w:val="20"/>
          <w:lang w:val="fr-CA"/>
        </w:rPr>
        <w:t>Cinar</w:t>
      </w:r>
      <w:proofErr w:type="spellEnd"/>
      <w:r w:rsidRPr="004B0E80">
        <w:rPr>
          <w:sz w:val="20"/>
          <w:szCs w:val="20"/>
          <w:lang w:val="fr-CA"/>
        </w:rPr>
        <w:t xml:space="preserve"> </w:t>
      </w:r>
      <w:proofErr w:type="spellStart"/>
      <w:r w:rsidRPr="004B0E80">
        <w:rPr>
          <w:sz w:val="20"/>
          <w:szCs w:val="20"/>
          <w:lang w:val="fr-CA"/>
        </w:rPr>
        <w:t>inc</w:t>
      </w:r>
      <w:proofErr w:type="spellEnd"/>
      <w:r w:rsidRPr="004B0E80">
        <w:rPr>
          <w:sz w:val="20"/>
          <w:szCs w:val="20"/>
          <w:lang w:val="fr-CA"/>
        </w:rPr>
        <w:t xml:space="preserve">., France Animation S.A. et Ravensburger Film + TV </w:t>
      </w:r>
      <w:proofErr w:type="spellStart"/>
      <w:r w:rsidRPr="004B0E80">
        <w:rPr>
          <w:sz w:val="20"/>
          <w:szCs w:val="20"/>
          <w:lang w:val="fr-CA"/>
        </w:rPr>
        <w:t>GmbH</w:t>
      </w:r>
      <w:proofErr w:type="spellEnd"/>
      <w:r w:rsidRPr="004B0E80">
        <w:rPr>
          <w:sz w:val="20"/>
          <w:szCs w:val="20"/>
          <w:lang w:val="fr-CA"/>
        </w:rPr>
        <w:t>.</w:t>
      </w:r>
    </w:p>
    <w:p w:rsidR="00CB168C" w:rsidRPr="004B0E80" w:rsidRDefault="00CB168C" w:rsidP="00CB168C">
      <w:pPr>
        <w:rPr>
          <w:sz w:val="20"/>
          <w:szCs w:val="20"/>
          <w:lang w:val="fr-CA"/>
        </w:rPr>
      </w:pPr>
    </w:p>
    <w:p w:rsidR="00CB168C" w:rsidRPr="004B0E80" w:rsidRDefault="00CB168C" w:rsidP="00CB168C">
      <w:pPr>
        <w:jc w:val="both"/>
        <w:rPr>
          <w:sz w:val="20"/>
          <w:szCs w:val="20"/>
          <w:lang w:val="fr-CA"/>
        </w:rPr>
      </w:pPr>
      <w:r w:rsidRPr="004B0E80">
        <w:rPr>
          <w:sz w:val="20"/>
          <w:szCs w:val="20"/>
          <w:lang w:val="fr-CA"/>
        </w:rPr>
        <w:t xml:space="preserve">Constatant des similitudes entre son œuvre, </w:t>
      </w:r>
      <w:r w:rsidRPr="004B0E80">
        <w:rPr>
          <w:i/>
          <w:sz w:val="20"/>
          <w:szCs w:val="20"/>
          <w:lang w:val="fr-CA"/>
        </w:rPr>
        <w:t>Robinson Curiosité</w:t>
      </w:r>
      <w:r w:rsidRPr="004B0E80">
        <w:rPr>
          <w:sz w:val="20"/>
          <w:szCs w:val="20"/>
          <w:lang w:val="fr-CA"/>
        </w:rPr>
        <w:t xml:space="preserve">, et l’œuvre produite sous le titre </w:t>
      </w:r>
      <w:r w:rsidRPr="004B0E80">
        <w:rPr>
          <w:i/>
          <w:sz w:val="20"/>
          <w:szCs w:val="20"/>
          <w:lang w:val="fr-CA"/>
        </w:rPr>
        <w:t xml:space="preserve">Robinson </w:t>
      </w:r>
      <w:proofErr w:type="spellStart"/>
      <w:r w:rsidRPr="004B0E80">
        <w:rPr>
          <w:i/>
          <w:sz w:val="20"/>
          <w:szCs w:val="20"/>
          <w:lang w:val="fr-CA"/>
        </w:rPr>
        <w:t>Sucroë</w:t>
      </w:r>
      <w:proofErr w:type="spellEnd"/>
      <w:r w:rsidRPr="004B0E80">
        <w:rPr>
          <w:sz w:val="20"/>
          <w:szCs w:val="20"/>
          <w:lang w:val="fr-CA"/>
        </w:rPr>
        <w:t xml:space="preserve">, M. Robinson et </w:t>
      </w:r>
      <w:proofErr w:type="spellStart"/>
      <w:r w:rsidRPr="004B0E80">
        <w:rPr>
          <w:sz w:val="20"/>
          <w:szCs w:val="20"/>
          <w:lang w:val="fr-CA"/>
        </w:rPr>
        <w:t>Nilem</w:t>
      </w:r>
      <w:proofErr w:type="spellEnd"/>
      <w:r w:rsidRPr="004B0E80">
        <w:rPr>
          <w:sz w:val="20"/>
          <w:szCs w:val="20"/>
          <w:lang w:val="fr-CA"/>
        </w:rPr>
        <w:t xml:space="preserve">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CB168C" w:rsidRPr="004B0E80" w:rsidRDefault="00CB168C" w:rsidP="00CB168C">
      <w:pPr>
        <w:widowControl w:val="0"/>
        <w:jc w:val="both"/>
        <w:rPr>
          <w:sz w:val="20"/>
          <w:szCs w:val="20"/>
          <w:lang w:val="fr-CA"/>
        </w:rPr>
      </w:pPr>
    </w:p>
    <w:p w:rsidR="00CB168C" w:rsidRPr="004B0E80" w:rsidRDefault="00CB168C" w:rsidP="00CB168C">
      <w:pPr>
        <w:widowControl w:val="0"/>
        <w:jc w:val="both"/>
        <w:rPr>
          <w:sz w:val="20"/>
          <w:szCs w:val="20"/>
          <w:lang w:val="fr-CA"/>
        </w:rPr>
      </w:pPr>
    </w:p>
    <w:p w:rsidR="00CB168C" w:rsidRPr="004B0E80" w:rsidRDefault="00CB168C" w:rsidP="00CB168C">
      <w:pPr>
        <w:widowControl w:val="0"/>
        <w:ind w:left="2880" w:hanging="2880"/>
        <w:jc w:val="both"/>
        <w:rPr>
          <w:sz w:val="20"/>
          <w:szCs w:val="20"/>
          <w:lang w:val="fr-CA"/>
        </w:rPr>
      </w:pPr>
      <w:r w:rsidRPr="004B0E80">
        <w:rPr>
          <w:sz w:val="20"/>
          <w:szCs w:val="20"/>
          <w:lang w:val="fr-CA"/>
        </w:rPr>
        <w:t>Origine :</w:t>
      </w:r>
      <w:r w:rsidRPr="004B0E80">
        <w:rPr>
          <w:sz w:val="20"/>
          <w:szCs w:val="20"/>
          <w:lang w:val="fr-CA"/>
        </w:rPr>
        <w:tab/>
        <w:t>Québec</w:t>
      </w:r>
    </w:p>
    <w:p w:rsidR="00CB168C" w:rsidRPr="004B0E80" w:rsidRDefault="00CB168C" w:rsidP="00CB168C">
      <w:pPr>
        <w:widowControl w:val="0"/>
        <w:ind w:left="2880" w:hanging="2880"/>
        <w:jc w:val="both"/>
        <w:rPr>
          <w:sz w:val="20"/>
          <w:szCs w:val="20"/>
          <w:lang w:val="fr-CA"/>
        </w:rPr>
      </w:pPr>
    </w:p>
    <w:p w:rsidR="00CB168C" w:rsidRPr="004B0E80" w:rsidRDefault="00CB168C" w:rsidP="00CB168C">
      <w:pPr>
        <w:widowControl w:val="0"/>
        <w:ind w:left="2880" w:hanging="2880"/>
        <w:jc w:val="both"/>
        <w:rPr>
          <w:sz w:val="20"/>
          <w:szCs w:val="20"/>
          <w:lang w:val="fr-CA"/>
        </w:rPr>
      </w:pPr>
      <w:r w:rsidRPr="004B0E80">
        <w:rPr>
          <w:sz w:val="20"/>
          <w:szCs w:val="20"/>
          <w:lang w:val="fr-CA"/>
        </w:rPr>
        <w:t>N</w:t>
      </w:r>
      <w:r w:rsidRPr="004B0E80">
        <w:rPr>
          <w:sz w:val="20"/>
          <w:szCs w:val="20"/>
          <w:vertAlign w:val="superscript"/>
          <w:lang w:val="fr-CA"/>
        </w:rPr>
        <w:t>o</w:t>
      </w:r>
      <w:r w:rsidRPr="004B0E80">
        <w:rPr>
          <w:sz w:val="20"/>
          <w:szCs w:val="20"/>
          <w:lang w:val="fr-CA"/>
        </w:rPr>
        <w:t xml:space="preserve"> du greffe :</w:t>
      </w:r>
      <w:r w:rsidRPr="004B0E80">
        <w:rPr>
          <w:sz w:val="20"/>
          <w:szCs w:val="20"/>
          <w:lang w:val="fr-CA"/>
        </w:rPr>
        <w:tab/>
        <w:t>34466</w:t>
      </w:r>
    </w:p>
    <w:p w:rsidR="00CB168C" w:rsidRPr="004B0E80" w:rsidRDefault="00CB168C" w:rsidP="00CB168C">
      <w:pPr>
        <w:widowControl w:val="0"/>
        <w:ind w:left="2880" w:hanging="2880"/>
        <w:jc w:val="both"/>
        <w:rPr>
          <w:sz w:val="20"/>
          <w:szCs w:val="20"/>
          <w:lang w:val="fr-CA"/>
        </w:rPr>
      </w:pPr>
    </w:p>
    <w:p w:rsidR="00CB168C" w:rsidRPr="004B0E80" w:rsidRDefault="00CB168C" w:rsidP="00CB168C">
      <w:pPr>
        <w:widowControl w:val="0"/>
        <w:ind w:left="2880" w:hanging="2880"/>
        <w:jc w:val="both"/>
        <w:rPr>
          <w:sz w:val="20"/>
          <w:szCs w:val="20"/>
          <w:lang w:val="fr-CA"/>
        </w:rPr>
      </w:pPr>
      <w:r w:rsidRPr="004B0E80">
        <w:rPr>
          <w:sz w:val="20"/>
          <w:szCs w:val="20"/>
          <w:lang w:val="fr-CA"/>
        </w:rPr>
        <w:t>Arrêt de la Cour d’appel :</w:t>
      </w:r>
      <w:r w:rsidRPr="004B0E80">
        <w:rPr>
          <w:sz w:val="20"/>
          <w:szCs w:val="20"/>
          <w:lang w:val="fr-CA"/>
        </w:rPr>
        <w:tab/>
        <w:t>Le 20 juillet 2011</w:t>
      </w:r>
    </w:p>
    <w:p w:rsidR="00CB168C" w:rsidRPr="004B0E80" w:rsidRDefault="00CB168C" w:rsidP="00CB168C">
      <w:pPr>
        <w:widowControl w:val="0"/>
        <w:ind w:left="2880" w:hanging="2880"/>
        <w:jc w:val="both"/>
        <w:rPr>
          <w:sz w:val="20"/>
          <w:szCs w:val="20"/>
          <w:lang w:val="fr-CA"/>
        </w:rPr>
      </w:pPr>
    </w:p>
    <w:p w:rsidR="00CB168C" w:rsidRPr="004B0E80" w:rsidRDefault="00CB168C" w:rsidP="00CB168C">
      <w:pPr>
        <w:widowControl w:val="0"/>
        <w:ind w:left="2880" w:hanging="2880"/>
        <w:jc w:val="both"/>
        <w:rPr>
          <w:sz w:val="20"/>
          <w:szCs w:val="20"/>
          <w:lang w:val="fr-CA"/>
        </w:rPr>
      </w:pPr>
      <w:r w:rsidRPr="004B0E80">
        <w:rPr>
          <w:sz w:val="20"/>
          <w:szCs w:val="20"/>
          <w:lang w:val="fr-CA"/>
        </w:rPr>
        <w:t>Avocats :</w:t>
      </w:r>
      <w:r w:rsidRPr="004B0E80">
        <w:rPr>
          <w:sz w:val="20"/>
          <w:szCs w:val="20"/>
          <w:lang w:val="fr-CA"/>
        </w:rPr>
        <w:tab/>
        <w:t xml:space="preserve">William </w:t>
      </w:r>
      <w:proofErr w:type="spellStart"/>
      <w:r w:rsidRPr="004B0E80">
        <w:rPr>
          <w:sz w:val="20"/>
          <w:szCs w:val="20"/>
          <w:lang w:val="fr-CA"/>
        </w:rPr>
        <w:t>Brock</w:t>
      </w:r>
      <w:proofErr w:type="spellEnd"/>
      <w:r w:rsidRPr="004B0E80">
        <w:rPr>
          <w:sz w:val="20"/>
          <w:szCs w:val="20"/>
          <w:lang w:val="fr-CA"/>
        </w:rPr>
        <w:t xml:space="preserve">, </w:t>
      </w:r>
      <w:proofErr w:type="spellStart"/>
      <w:r w:rsidRPr="004B0E80">
        <w:rPr>
          <w:sz w:val="20"/>
          <w:szCs w:val="20"/>
          <w:lang w:val="fr-CA"/>
        </w:rPr>
        <w:t>Ad.E.</w:t>
      </w:r>
      <w:proofErr w:type="spellEnd"/>
      <w:r w:rsidRPr="004B0E80">
        <w:rPr>
          <w:sz w:val="20"/>
          <w:szCs w:val="20"/>
          <w:lang w:val="fr-CA"/>
        </w:rPr>
        <w:t xml:space="preserve"> </w:t>
      </w:r>
      <w:proofErr w:type="gramStart"/>
      <w:r w:rsidRPr="004B0E80">
        <w:rPr>
          <w:sz w:val="20"/>
          <w:szCs w:val="20"/>
          <w:lang w:val="fr-CA"/>
        </w:rPr>
        <w:t>et</w:t>
      </w:r>
      <w:proofErr w:type="gramEnd"/>
      <w:r w:rsidRPr="004B0E80">
        <w:rPr>
          <w:sz w:val="20"/>
          <w:szCs w:val="20"/>
          <w:lang w:val="fr-CA"/>
        </w:rPr>
        <w:t xml:space="preserve"> Cara Cameron pour les appelants</w:t>
      </w:r>
    </w:p>
    <w:p w:rsidR="00CB168C" w:rsidRPr="004B0E80" w:rsidRDefault="00CB168C" w:rsidP="00CB168C">
      <w:pPr>
        <w:widowControl w:val="0"/>
        <w:ind w:left="2880" w:hanging="2880"/>
        <w:jc w:val="both"/>
        <w:rPr>
          <w:sz w:val="20"/>
          <w:szCs w:val="20"/>
          <w:lang w:val="fr-CA"/>
        </w:rPr>
      </w:pPr>
      <w:r w:rsidRPr="004B0E80">
        <w:rPr>
          <w:sz w:val="20"/>
          <w:szCs w:val="20"/>
          <w:lang w:val="fr-CA"/>
        </w:rPr>
        <w:tab/>
        <w:t xml:space="preserve">Gilles M. </w:t>
      </w:r>
      <w:proofErr w:type="spellStart"/>
      <w:r w:rsidRPr="004B0E80">
        <w:rPr>
          <w:sz w:val="20"/>
          <w:szCs w:val="20"/>
          <w:lang w:val="fr-CA"/>
        </w:rPr>
        <w:t>Daigle</w:t>
      </w:r>
      <w:proofErr w:type="spellEnd"/>
      <w:r w:rsidRPr="004B0E80">
        <w:rPr>
          <w:sz w:val="20"/>
          <w:szCs w:val="20"/>
          <w:lang w:val="fr-CA"/>
        </w:rPr>
        <w:t xml:space="preserve"> et Guy </w:t>
      </w:r>
      <w:proofErr w:type="spellStart"/>
      <w:r w:rsidRPr="004B0E80">
        <w:rPr>
          <w:sz w:val="20"/>
          <w:szCs w:val="20"/>
          <w:lang w:val="fr-CA"/>
        </w:rPr>
        <w:t>Régimbald</w:t>
      </w:r>
      <w:proofErr w:type="spellEnd"/>
      <w:r w:rsidRPr="004B0E80">
        <w:rPr>
          <w:sz w:val="20"/>
          <w:szCs w:val="20"/>
          <w:lang w:val="fr-CA"/>
        </w:rPr>
        <w:t xml:space="preserve"> pour les intimés</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67"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CB168C" w:rsidRPr="005C3B80" w:rsidRDefault="00F008AC" w:rsidP="0077742B">
      <w:pPr>
        <w:widowControl w:val="0"/>
        <w:ind w:left="720" w:hanging="720"/>
        <w:jc w:val="both"/>
        <w:rPr>
          <w:b/>
          <w:i/>
          <w:sz w:val="20"/>
          <w:szCs w:val="20"/>
        </w:rPr>
      </w:pPr>
      <w:r w:rsidRPr="005C3B80">
        <w:rPr>
          <w:b/>
          <w:sz w:val="20"/>
          <w:szCs w:val="20"/>
        </w:rPr>
        <w:lastRenderedPageBreak/>
        <w:fldChar w:fldCharType="begin"/>
      </w:r>
      <w:r w:rsidR="00CB168C" w:rsidRPr="005C3B80">
        <w:rPr>
          <w:b/>
          <w:sz w:val="20"/>
          <w:szCs w:val="20"/>
        </w:rPr>
        <w:instrText xml:space="preserve"> SEQ CHAPTER \h \r 1</w:instrText>
      </w:r>
      <w:r w:rsidRPr="005C3B80">
        <w:rPr>
          <w:b/>
          <w:sz w:val="20"/>
          <w:szCs w:val="20"/>
        </w:rPr>
        <w:fldChar w:fldCharType="end"/>
      </w:r>
      <w:r w:rsidR="00CB168C" w:rsidRPr="005C3B80">
        <w:rPr>
          <w:b/>
          <w:sz w:val="20"/>
          <w:szCs w:val="20"/>
        </w:rPr>
        <w:t>34467</w:t>
      </w:r>
      <w:r w:rsidR="00CB168C" w:rsidRPr="005C3B80">
        <w:rPr>
          <w:b/>
          <w:sz w:val="20"/>
          <w:szCs w:val="20"/>
        </w:rPr>
        <w:tab/>
      </w:r>
      <w:r w:rsidR="00CB168C" w:rsidRPr="005C3B80">
        <w:rPr>
          <w:b/>
          <w:i/>
          <w:sz w:val="20"/>
          <w:szCs w:val="20"/>
        </w:rPr>
        <w:t xml:space="preserve">Ronald A. Weinberg and Ronald A. Weinberg, in his capacity as sole liquidator of the succession of the late Micheline Charest v. Claude Robison and Les Productions </w:t>
      </w:r>
      <w:proofErr w:type="spellStart"/>
      <w:r w:rsidR="00CB168C" w:rsidRPr="005C3B80">
        <w:rPr>
          <w:b/>
          <w:i/>
          <w:sz w:val="20"/>
          <w:szCs w:val="20"/>
        </w:rPr>
        <w:t>Nilem</w:t>
      </w:r>
      <w:proofErr w:type="spellEnd"/>
      <w:r w:rsidR="00CB168C" w:rsidRPr="005C3B80">
        <w:rPr>
          <w:b/>
          <w:i/>
          <w:sz w:val="20"/>
          <w:szCs w:val="20"/>
        </w:rPr>
        <w:t xml:space="preserve"> Inc.</w:t>
      </w:r>
    </w:p>
    <w:p w:rsidR="0077742B" w:rsidRDefault="0077742B" w:rsidP="00CB168C">
      <w:pPr>
        <w:jc w:val="both"/>
        <w:rPr>
          <w:sz w:val="20"/>
          <w:szCs w:val="20"/>
        </w:rPr>
      </w:pPr>
    </w:p>
    <w:p w:rsidR="00CB168C" w:rsidRPr="005C3B80" w:rsidRDefault="00CB168C" w:rsidP="00CB168C">
      <w:pPr>
        <w:jc w:val="both"/>
        <w:rPr>
          <w:sz w:val="20"/>
          <w:szCs w:val="20"/>
        </w:rPr>
      </w:pPr>
      <w:r w:rsidRPr="005C3B80">
        <w:rPr>
          <w:sz w:val="20"/>
          <w:szCs w:val="20"/>
        </w:rPr>
        <w:t xml:space="preserve">Intellectual property </w:t>
      </w:r>
      <w:r w:rsidRPr="005C3B80">
        <w:rPr>
          <w:sz w:val="20"/>
          <w:szCs w:val="20"/>
        </w:rPr>
        <w:noBreakHyphen/>
        <w:t xml:space="preserve"> </w:t>
      </w:r>
      <w:r w:rsidRPr="005C3B80">
        <w:rPr>
          <w:i/>
          <w:sz w:val="20"/>
          <w:szCs w:val="20"/>
        </w:rPr>
        <w:t>Copyright Act</w:t>
      </w:r>
      <w:r w:rsidRPr="005C3B80">
        <w:rPr>
          <w:sz w:val="20"/>
          <w:szCs w:val="20"/>
        </w:rPr>
        <w:t>, R.S.C. 1985, c. C</w:t>
      </w:r>
      <w:r w:rsidRPr="005C3B80">
        <w:rPr>
          <w:sz w:val="20"/>
          <w:szCs w:val="20"/>
        </w:rPr>
        <w:noBreakHyphen/>
        <w:t xml:space="preserve">42 </w:t>
      </w:r>
      <w:r w:rsidRPr="005C3B80">
        <w:rPr>
          <w:sz w:val="20"/>
          <w:szCs w:val="20"/>
        </w:rPr>
        <w:noBreakHyphen/>
        <w:t xml:space="preserve"> Infringement </w:t>
      </w:r>
      <w:r w:rsidRPr="005C3B80">
        <w:rPr>
          <w:sz w:val="20"/>
          <w:szCs w:val="20"/>
        </w:rPr>
        <w:noBreakHyphen/>
        <w:t xml:space="preserve"> Evidence </w:t>
      </w:r>
      <w:r w:rsidRPr="005C3B80">
        <w:rPr>
          <w:sz w:val="20"/>
          <w:szCs w:val="20"/>
        </w:rPr>
        <w:noBreakHyphen/>
        <w:t xml:space="preserve"> Steps and tests for determining whether substantial part of work reproduced within meaning of ss. 2 and 3 of </w:t>
      </w:r>
      <w:r w:rsidRPr="005C3B80">
        <w:rPr>
          <w:i/>
          <w:sz w:val="20"/>
          <w:szCs w:val="20"/>
        </w:rPr>
        <w:t>Copyright Act</w:t>
      </w:r>
      <w:r w:rsidRPr="005C3B80">
        <w:rPr>
          <w:sz w:val="20"/>
          <w:szCs w:val="20"/>
        </w:rPr>
        <w:t xml:space="preserve"> </w:t>
      </w:r>
      <w:r w:rsidRPr="005C3B80">
        <w:rPr>
          <w:sz w:val="20"/>
          <w:szCs w:val="20"/>
        </w:rPr>
        <w:noBreakHyphen/>
        <w:t xml:space="preserve"> Admissibility of expert’s testimony concerning reproduction of substantial part of work within meaning of ss. 2 and 3 of </w:t>
      </w:r>
      <w:r w:rsidRPr="005C3B80">
        <w:rPr>
          <w:i/>
          <w:sz w:val="20"/>
          <w:szCs w:val="20"/>
        </w:rPr>
        <w:t>Copyright Act</w:t>
      </w:r>
      <w:r w:rsidRPr="005C3B80">
        <w:rPr>
          <w:sz w:val="20"/>
          <w:szCs w:val="20"/>
        </w:rPr>
        <w:t xml:space="preserve"> </w:t>
      </w:r>
      <w:r w:rsidRPr="005C3B80">
        <w:rPr>
          <w:sz w:val="20"/>
          <w:szCs w:val="20"/>
        </w:rPr>
        <w:noBreakHyphen/>
        <w:t xml:space="preserve"> Tests for assignment of copyright within meaning of s. 13(4) of </w:t>
      </w:r>
      <w:r w:rsidRPr="005C3B80">
        <w:rPr>
          <w:i/>
          <w:sz w:val="20"/>
          <w:szCs w:val="20"/>
        </w:rPr>
        <w:t>Copyright Act</w:t>
      </w:r>
      <w:r w:rsidRPr="005C3B80">
        <w:rPr>
          <w:sz w:val="20"/>
          <w:szCs w:val="20"/>
        </w:rPr>
        <w:t xml:space="preserve"> </w:t>
      </w:r>
      <w:r w:rsidRPr="005C3B80">
        <w:rPr>
          <w:sz w:val="20"/>
          <w:szCs w:val="20"/>
        </w:rPr>
        <w:noBreakHyphen/>
        <w:t xml:space="preserve"> Scope of existence of reasonable and valid defence in case of liability for infringement of </w:t>
      </w:r>
      <w:r w:rsidRPr="005C3B80">
        <w:rPr>
          <w:i/>
          <w:sz w:val="20"/>
          <w:szCs w:val="20"/>
        </w:rPr>
        <w:t>Copyright Act</w:t>
      </w:r>
      <w:r w:rsidRPr="005C3B80">
        <w:rPr>
          <w:sz w:val="20"/>
          <w:szCs w:val="20"/>
        </w:rPr>
        <w:t xml:space="preserve"> </w:t>
      </w:r>
      <w:r w:rsidRPr="005C3B80">
        <w:rPr>
          <w:sz w:val="20"/>
          <w:szCs w:val="20"/>
        </w:rPr>
        <w:noBreakHyphen/>
        <w:t xml:space="preserve"> Whether ownership of copyright at issue dependent on retroactive </w:t>
      </w:r>
      <w:proofErr w:type="spellStart"/>
      <w:r w:rsidRPr="005C3B80">
        <w:rPr>
          <w:sz w:val="20"/>
          <w:szCs w:val="20"/>
        </w:rPr>
        <w:t>resolutory</w:t>
      </w:r>
      <w:proofErr w:type="spellEnd"/>
      <w:r w:rsidRPr="005C3B80">
        <w:rPr>
          <w:sz w:val="20"/>
          <w:szCs w:val="20"/>
        </w:rPr>
        <w:t xml:space="preserve"> clause </w:t>
      </w:r>
      <w:r w:rsidRPr="005C3B80">
        <w:rPr>
          <w:sz w:val="20"/>
          <w:szCs w:val="20"/>
        </w:rPr>
        <w:noBreakHyphen/>
        <w:t xml:space="preserve"> Whether that clause met requirements of s. 13(4) of </w:t>
      </w:r>
      <w:r w:rsidRPr="005C3B80">
        <w:rPr>
          <w:i/>
          <w:sz w:val="20"/>
          <w:szCs w:val="20"/>
        </w:rPr>
        <w:t>Copyright Act</w:t>
      </w:r>
      <w:r w:rsidRPr="005C3B80">
        <w:rPr>
          <w:sz w:val="20"/>
          <w:szCs w:val="20"/>
        </w:rPr>
        <w:t xml:space="preserve"> </w:t>
      </w:r>
      <w:r w:rsidRPr="005C3B80">
        <w:rPr>
          <w:sz w:val="20"/>
          <w:szCs w:val="20"/>
        </w:rPr>
        <w:noBreakHyphen/>
        <w:t xml:space="preserve"> If so, whether this meant owner of copyright had interest in this case </w:t>
      </w:r>
      <w:r w:rsidRPr="005C3B80">
        <w:rPr>
          <w:sz w:val="20"/>
          <w:szCs w:val="20"/>
        </w:rPr>
        <w:noBreakHyphen/>
        <w:t xml:space="preserve"> Whether appellants personally liable under </w:t>
      </w:r>
      <w:r w:rsidRPr="005C3B80">
        <w:rPr>
          <w:i/>
          <w:sz w:val="20"/>
          <w:szCs w:val="20"/>
        </w:rPr>
        <w:t>Copyright Act</w:t>
      </w:r>
      <w:r w:rsidRPr="005C3B80">
        <w:rPr>
          <w:sz w:val="20"/>
          <w:szCs w:val="20"/>
        </w:rPr>
        <w:t xml:space="preserve"> as officers </w:t>
      </w:r>
      <w:r w:rsidRPr="005C3B80">
        <w:rPr>
          <w:sz w:val="20"/>
          <w:szCs w:val="20"/>
        </w:rPr>
        <w:noBreakHyphen/>
        <w:t xml:space="preserve"> Whether appellants incurred </w:t>
      </w:r>
      <w:proofErr w:type="spellStart"/>
      <w:r w:rsidRPr="005C3B80">
        <w:rPr>
          <w:sz w:val="20"/>
          <w:szCs w:val="20"/>
        </w:rPr>
        <w:t>extracontractual</w:t>
      </w:r>
      <w:proofErr w:type="spellEnd"/>
      <w:r w:rsidRPr="005C3B80">
        <w:rPr>
          <w:sz w:val="20"/>
          <w:szCs w:val="20"/>
        </w:rPr>
        <w:t xml:space="preserve"> liability to respondents.</w:t>
      </w:r>
    </w:p>
    <w:p w:rsidR="00CB168C" w:rsidRPr="005C3B80" w:rsidRDefault="00CB168C" w:rsidP="00CB168C">
      <w:pPr>
        <w:widowControl w:val="0"/>
        <w:jc w:val="both"/>
        <w:rPr>
          <w:sz w:val="20"/>
          <w:szCs w:val="20"/>
        </w:rPr>
      </w:pPr>
    </w:p>
    <w:p w:rsidR="00CB168C" w:rsidRPr="005C3B80" w:rsidRDefault="00CB168C" w:rsidP="00CB168C">
      <w:pPr>
        <w:jc w:val="both"/>
        <w:rPr>
          <w:sz w:val="20"/>
          <w:szCs w:val="20"/>
        </w:rPr>
      </w:pPr>
      <w:r w:rsidRPr="005C3B80">
        <w:rPr>
          <w:sz w:val="20"/>
          <w:szCs w:val="20"/>
        </w:rPr>
        <w:t xml:space="preserve">In 1982, Claude Robinson, an artist, drew the first sketches of the characters for </w:t>
      </w:r>
      <w:proofErr w:type="gramStart"/>
      <w:r w:rsidRPr="005C3B80">
        <w:rPr>
          <w:sz w:val="20"/>
          <w:szCs w:val="20"/>
        </w:rPr>
        <w:t>a proposed children’s</w:t>
      </w:r>
      <w:proofErr w:type="gramEnd"/>
      <w:r w:rsidRPr="005C3B80">
        <w:rPr>
          <w:sz w:val="20"/>
          <w:szCs w:val="20"/>
        </w:rPr>
        <w:t xml:space="preserve"> television services to be called </w:t>
      </w:r>
      <w:r w:rsidRPr="005C3B80">
        <w:rPr>
          <w:i/>
          <w:sz w:val="20"/>
          <w:szCs w:val="20"/>
        </w:rPr>
        <w:t>Robinson Curiosity</w:t>
      </w:r>
      <w:r w:rsidRPr="005C3B80">
        <w:rPr>
          <w:sz w:val="20"/>
          <w:szCs w:val="20"/>
        </w:rPr>
        <w:t xml:space="preserve">.  A few years later, in 1985, the Copyright Office issued a certificate of registration for </w:t>
      </w:r>
      <w:r w:rsidRPr="005C3B80">
        <w:rPr>
          <w:i/>
          <w:sz w:val="20"/>
          <w:szCs w:val="20"/>
        </w:rPr>
        <w:t>Robinson Curiosity</w:t>
      </w:r>
      <w:r w:rsidRPr="005C3B80">
        <w:rPr>
          <w:sz w:val="20"/>
          <w:szCs w:val="20"/>
        </w:rPr>
        <w:t xml:space="preserve"> listing Mr. Robinson as the author of the work and Les Productions </w:t>
      </w:r>
      <w:proofErr w:type="spellStart"/>
      <w:r w:rsidRPr="005C3B80">
        <w:rPr>
          <w:sz w:val="20"/>
          <w:szCs w:val="20"/>
        </w:rPr>
        <w:t>Nilem</w:t>
      </w:r>
      <w:proofErr w:type="spellEnd"/>
      <w:r w:rsidRPr="005C3B80">
        <w:rPr>
          <w:sz w:val="20"/>
          <w:szCs w:val="20"/>
        </w:rPr>
        <w:t xml:space="preserve"> inc. (“</w:t>
      </w:r>
      <w:proofErr w:type="spellStart"/>
      <w:r w:rsidRPr="005C3B80">
        <w:rPr>
          <w:sz w:val="20"/>
          <w:szCs w:val="20"/>
        </w:rPr>
        <w:t>Nilem</w:t>
      </w:r>
      <w:proofErr w:type="spellEnd"/>
      <w:r w:rsidRPr="005C3B80">
        <w:rPr>
          <w:sz w:val="20"/>
          <w:szCs w:val="20"/>
        </w:rPr>
        <w:t>”), a corporation of which he was the sole shareholder, as the owner of the work.</w:t>
      </w:r>
    </w:p>
    <w:p w:rsidR="00CB168C" w:rsidRPr="005C3B80" w:rsidRDefault="00CB168C" w:rsidP="00CB168C">
      <w:pPr>
        <w:rPr>
          <w:sz w:val="20"/>
          <w:szCs w:val="20"/>
        </w:rPr>
      </w:pPr>
    </w:p>
    <w:p w:rsidR="00CB168C" w:rsidRPr="005C3B80" w:rsidRDefault="00CB168C" w:rsidP="00CB168C">
      <w:pPr>
        <w:jc w:val="both"/>
        <w:rPr>
          <w:sz w:val="20"/>
          <w:szCs w:val="20"/>
        </w:rPr>
      </w:pPr>
      <w:r w:rsidRPr="005C3B80">
        <w:rPr>
          <w:sz w:val="20"/>
          <w:szCs w:val="20"/>
        </w:rPr>
        <w:t xml:space="preserve">Starting in 1985, Mr. Robinson and </w:t>
      </w:r>
      <w:proofErr w:type="spellStart"/>
      <w:r w:rsidRPr="005C3B80">
        <w:rPr>
          <w:sz w:val="20"/>
          <w:szCs w:val="20"/>
        </w:rPr>
        <w:t>Nilem</w:t>
      </w:r>
      <w:proofErr w:type="spellEnd"/>
      <w:r w:rsidRPr="005C3B80">
        <w:rPr>
          <w:sz w:val="20"/>
          <w:szCs w:val="20"/>
        </w:rPr>
        <w:t xml:space="preserve"> stepped up their efforts for the promotion and production of </w:t>
      </w:r>
      <w:r w:rsidRPr="005C3B80">
        <w:rPr>
          <w:i/>
          <w:sz w:val="20"/>
          <w:szCs w:val="20"/>
        </w:rPr>
        <w:t>Robinson Curiosity</w:t>
      </w:r>
      <w:r w:rsidRPr="005C3B80">
        <w:rPr>
          <w:sz w:val="20"/>
          <w:szCs w:val="20"/>
        </w:rPr>
        <w:t xml:space="preserve">, including with </w:t>
      </w:r>
      <w:proofErr w:type="spellStart"/>
      <w:r w:rsidRPr="005C3B80">
        <w:rPr>
          <w:sz w:val="20"/>
          <w:szCs w:val="20"/>
        </w:rPr>
        <w:t>Cinar</w:t>
      </w:r>
      <w:proofErr w:type="spellEnd"/>
      <w:r w:rsidRPr="005C3B80">
        <w:rPr>
          <w:sz w:val="20"/>
          <w:szCs w:val="20"/>
        </w:rPr>
        <w:t xml:space="preserve"> Corporation/</w:t>
      </w:r>
      <w:proofErr w:type="spellStart"/>
      <w:r w:rsidRPr="005C3B80">
        <w:rPr>
          <w:sz w:val="20"/>
          <w:szCs w:val="20"/>
        </w:rPr>
        <w:t>Cinar</w:t>
      </w:r>
      <w:proofErr w:type="spellEnd"/>
      <w:r w:rsidRPr="005C3B80">
        <w:rPr>
          <w:sz w:val="20"/>
          <w:szCs w:val="20"/>
        </w:rPr>
        <w:t xml:space="preserve"> Films Inc., but those efforts were unsuccessful for nearly 10 years.  In September 1995, however, the first episode of </w:t>
      </w:r>
      <w:r w:rsidRPr="005C3B80">
        <w:rPr>
          <w:i/>
          <w:sz w:val="20"/>
          <w:szCs w:val="20"/>
        </w:rPr>
        <w:t>Robinson </w:t>
      </w:r>
      <w:proofErr w:type="spellStart"/>
      <w:r w:rsidRPr="005C3B80">
        <w:rPr>
          <w:i/>
          <w:sz w:val="20"/>
          <w:szCs w:val="20"/>
        </w:rPr>
        <w:t>Sucroe</w:t>
      </w:r>
      <w:proofErr w:type="spellEnd"/>
      <w:r w:rsidRPr="005C3B80">
        <w:rPr>
          <w:sz w:val="20"/>
          <w:szCs w:val="20"/>
        </w:rPr>
        <w:t xml:space="preserve">, a work produced by </w:t>
      </w:r>
      <w:proofErr w:type="spellStart"/>
      <w:r w:rsidRPr="005C3B80">
        <w:rPr>
          <w:sz w:val="20"/>
          <w:szCs w:val="20"/>
        </w:rPr>
        <w:t>Cinar</w:t>
      </w:r>
      <w:proofErr w:type="spellEnd"/>
      <w:r w:rsidRPr="005C3B80">
        <w:rPr>
          <w:sz w:val="20"/>
          <w:szCs w:val="20"/>
        </w:rPr>
        <w:t xml:space="preserve"> Corporation/</w:t>
      </w:r>
      <w:proofErr w:type="spellStart"/>
      <w:r w:rsidRPr="005C3B80">
        <w:rPr>
          <w:sz w:val="20"/>
          <w:szCs w:val="20"/>
        </w:rPr>
        <w:t>Cinar</w:t>
      </w:r>
      <w:proofErr w:type="spellEnd"/>
      <w:r w:rsidRPr="005C3B80">
        <w:rPr>
          <w:sz w:val="20"/>
          <w:szCs w:val="20"/>
        </w:rPr>
        <w:t xml:space="preserve"> Films Inc., France Animation S.A. and </w:t>
      </w:r>
      <w:proofErr w:type="spellStart"/>
      <w:r w:rsidRPr="005C3B80">
        <w:rPr>
          <w:sz w:val="20"/>
          <w:szCs w:val="20"/>
        </w:rPr>
        <w:t>Ravensburger</w:t>
      </w:r>
      <w:proofErr w:type="spellEnd"/>
      <w:r w:rsidRPr="005C3B80">
        <w:rPr>
          <w:sz w:val="20"/>
          <w:szCs w:val="20"/>
        </w:rPr>
        <w:t xml:space="preserve"> Film + TV GmbH, was broadcast in Quebec.</w:t>
      </w:r>
    </w:p>
    <w:p w:rsidR="00CB168C" w:rsidRPr="005C3B80" w:rsidRDefault="00CB168C" w:rsidP="00CB168C">
      <w:pPr>
        <w:rPr>
          <w:sz w:val="20"/>
          <w:szCs w:val="20"/>
        </w:rPr>
      </w:pPr>
    </w:p>
    <w:p w:rsidR="00CB168C" w:rsidRPr="005C3B80" w:rsidRDefault="00CB168C" w:rsidP="00CB168C">
      <w:pPr>
        <w:jc w:val="both"/>
        <w:rPr>
          <w:sz w:val="20"/>
          <w:szCs w:val="20"/>
        </w:rPr>
      </w:pPr>
      <w:r w:rsidRPr="005C3B80">
        <w:rPr>
          <w:sz w:val="20"/>
          <w:szCs w:val="20"/>
        </w:rPr>
        <w:t xml:space="preserve">Since Mr. Robinson and </w:t>
      </w:r>
      <w:proofErr w:type="spellStart"/>
      <w:r w:rsidRPr="005C3B80">
        <w:rPr>
          <w:sz w:val="20"/>
          <w:szCs w:val="20"/>
        </w:rPr>
        <w:t>Nilem</w:t>
      </w:r>
      <w:proofErr w:type="spellEnd"/>
      <w:r w:rsidRPr="005C3B80">
        <w:rPr>
          <w:sz w:val="20"/>
          <w:szCs w:val="20"/>
        </w:rPr>
        <w:t xml:space="preserve"> found similarities between their work, </w:t>
      </w:r>
      <w:r w:rsidRPr="005C3B80">
        <w:rPr>
          <w:i/>
          <w:sz w:val="20"/>
          <w:szCs w:val="20"/>
        </w:rPr>
        <w:t>Robinson Curiosity</w:t>
      </w:r>
      <w:r w:rsidRPr="005C3B80">
        <w:rPr>
          <w:sz w:val="20"/>
          <w:szCs w:val="20"/>
        </w:rPr>
        <w:t xml:space="preserve">, and the work produced as </w:t>
      </w:r>
      <w:r w:rsidRPr="005C3B80">
        <w:rPr>
          <w:i/>
          <w:sz w:val="20"/>
          <w:szCs w:val="20"/>
        </w:rPr>
        <w:t xml:space="preserve">Robinson </w:t>
      </w:r>
      <w:proofErr w:type="spellStart"/>
      <w:r w:rsidRPr="005C3B80">
        <w:rPr>
          <w:i/>
          <w:sz w:val="20"/>
          <w:szCs w:val="20"/>
        </w:rPr>
        <w:t>Sucroe</w:t>
      </w:r>
      <w:proofErr w:type="spellEnd"/>
      <w:r w:rsidRPr="005C3B80">
        <w:rPr>
          <w:sz w:val="20"/>
          <w:szCs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CB168C" w:rsidRPr="005C3B80" w:rsidRDefault="00CB168C" w:rsidP="00CB168C">
      <w:pPr>
        <w:widowControl w:val="0"/>
        <w:jc w:val="both"/>
        <w:rPr>
          <w:sz w:val="20"/>
          <w:szCs w:val="20"/>
        </w:rPr>
      </w:pPr>
    </w:p>
    <w:p w:rsidR="00CB168C" w:rsidRPr="005C3B80" w:rsidRDefault="00CB168C" w:rsidP="00CB168C">
      <w:pPr>
        <w:widowControl w:val="0"/>
        <w:jc w:val="both"/>
        <w:rPr>
          <w:sz w:val="20"/>
          <w:szCs w:val="20"/>
        </w:rPr>
      </w:pPr>
    </w:p>
    <w:p w:rsidR="00CB168C" w:rsidRPr="005C3B80" w:rsidRDefault="00CB168C" w:rsidP="00CB168C">
      <w:pPr>
        <w:widowControl w:val="0"/>
        <w:ind w:left="2880" w:hanging="2880"/>
        <w:jc w:val="both"/>
        <w:rPr>
          <w:sz w:val="20"/>
          <w:szCs w:val="20"/>
        </w:rPr>
      </w:pPr>
      <w:r w:rsidRPr="005C3B80">
        <w:rPr>
          <w:sz w:val="20"/>
          <w:szCs w:val="20"/>
        </w:rPr>
        <w:t>Origin of the case:</w:t>
      </w:r>
      <w:r w:rsidRPr="005C3B80">
        <w:rPr>
          <w:sz w:val="20"/>
          <w:szCs w:val="20"/>
        </w:rPr>
        <w:tab/>
        <w:t>Quebec</w:t>
      </w:r>
    </w:p>
    <w:p w:rsidR="00CB168C" w:rsidRPr="005C3B80" w:rsidRDefault="00CB168C" w:rsidP="00CB168C">
      <w:pPr>
        <w:widowControl w:val="0"/>
        <w:ind w:left="2880" w:hanging="2880"/>
        <w:jc w:val="both"/>
        <w:rPr>
          <w:sz w:val="20"/>
          <w:szCs w:val="20"/>
        </w:rPr>
      </w:pPr>
    </w:p>
    <w:p w:rsidR="00CB168C" w:rsidRPr="005C3B80" w:rsidRDefault="00CB168C" w:rsidP="00CB168C">
      <w:pPr>
        <w:widowControl w:val="0"/>
        <w:ind w:left="2880" w:hanging="2880"/>
        <w:jc w:val="both"/>
        <w:rPr>
          <w:sz w:val="20"/>
          <w:szCs w:val="20"/>
        </w:rPr>
      </w:pPr>
      <w:r w:rsidRPr="005C3B80">
        <w:rPr>
          <w:sz w:val="20"/>
          <w:szCs w:val="20"/>
        </w:rPr>
        <w:t>File No.:</w:t>
      </w:r>
      <w:r w:rsidRPr="005C3B80">
        <w:rPr>
          <w:sz w:val="20"/>
          <w:szCs w:val="20"/>
        </w:rPr>
        <w:tab/>
        <w:t>34467</w:t>
      </w:r>
    </w:p>
    <w:p w:rsidR="00CB168C" w:rsidRPr="005C3B80" w:rsidRDefault="00CB168C" w:rsidP="00CB168C">
      <w:pPr>
        <w:widowControl w:val="0"/>
        <w:ind w:left="2880" w:hanging="2880"/>
        <w:jc w:val="both"/>
        <w:rPr>
          <w:sz w:val="20"/>
          <w:szCs w:val="20"/>
        </w:rPr>
      </w:pPr>
    </w:p>
    <w:p w:rsidR="00CB168C" w:rsidRPr="005C3B80" w:rsidRDefault="00CB168C" w:rsidP="00CB168C">
      <w:pPr>
        <w:widowControl w:val="0"/>
        <w:ind w:left="2880" w:hanging="2880"/>
        <w:jc w:val="both"/>
        <w:rPr>
          <w:sz w:val="20"/>
          <w:szCs w:val="20"/>
        </w:rPr>
      </w:pPr>
      <w:r w:rsidRPr="005C3B80">
        <w:rPr>
          <w:sz w:val="20"/>
          <w:szCs w:val="20"/>
        </w:rPr>
        <w:t>Judgment of the Court of Appeal:</w:t>
      </w:r>
      <w:r w:rsidRPr="005C3B80">
        <w:rPr>
          <w:sz w:val="20"/>
          <w:szCs w:val="20"/>
        </w:rPr>
        <w:tab/>
        <w:t>July 20, 2011</w:t>
      </w:r>
    </w:p>
    <w:p w:rsidR="00CB168C" w:rsidRPr="005C3B80" w:rsidRDefault="00CB168C" w:rsidP="00CB168C">
      <w:pPr>
        <w:widowControl w:val="0"/>
        <w:ind w:left="2880" w:hanging="2880"/>
        <w:jc w:val="both"/>
        <w:rPr>
          <w:sz w:val="20"/>
          <w:szCs w:val="20"/>
        </w:rPr>
      </w:pPr>
    </w:p>
    <w:p w:rsidR="00CB168C" w:rsidRPr="005C3B80" w:rsidRDefault="00CB168C" w:rsidP="00CB168C">
      <w:pPr>
        <w:widowControl w:val="0"/>
        <w:ind w:left="2880" w:hanging="2880"/>
        <w:jc w:val="both"/>
        <w:rPr>
          <w:sz w:val="20"/>
          <w:szCs w:val="20"/>
        </w:rPr>
      </w:pPr>
      <w:r w:rsidRPr="005C3B80">
        <w:rPr>
          <w:sz w:val="20"/>
          <w:szCs w:val="20"/>
        </w:rPr>
        <w:t>Counsel:</w:t>
      </w:r>
      <w:r w:rsidRPr="005C3B80">
        <w:rPr>
          <w:sz w:val="20"/>
          <w:szCs w:val="20"/>
        </w:rPr>
        <w:tab/>
      </w:r>
      <w:proofErr w:type="spellStart"/>
      <w:r w:rsidRPr="005C3B80">
        <w:rPr>
          <w:sz w:val="20"/>
          <w:szCs w:val="20"/>
        </w:rPr>
        <w:t>Raynold</w:t>
      </w:r>
      <w:proofErr w:type="spellEnd"/>
      <w:r w:rsidRPr="005C3B80">
        <w:rPr>
          <w:sz w:val="20"/>
          <w:szCs w:val="20"/>
        </w:rPr>
        <w:t xml:space="preserve"> </w:t>
      </w:r>
      <w:proofErr w:type="spellStart"/>
      <w:r w:rsidRPr="005C3B80">
        <w:rPr>
          <w:sz w:val="20"/>
          <w:szCs w:val="20"/>
        </w:rPr>
        <w:t>Langlois</w:t>
      </w:r>
      <w:proofErr w:type="spellEnd"/>
      <w:r w:rsidRPr="005C3B80">
        <w:rPr>
          <w:sz w:val="20"/>
          <w:szCs w:val="20"/>
        </w:rPr>
        <w:t xml:space="preserve">, </w:t>
      </w:r>
      <w:proofErr w:type="spellStart"/>
      <w:r w:rsidRPr="005C3B80">
        <w:rPr>
          <w:sz w:val="20"/>
          <w:szCs w:val="20"/>
        </w:rPr>
        <w:t>Dimitri</w:t>
      </w:r>
      <w:proofErr w:type="spellEnd"/>
      <w:r w:rsidRPr="005C3B80">
        <w:rPr>
          <w:sz w:val="20"/>
          <w:szCs w:val="20"/>
        </w:rPr>
        <w:t xml:space="preserve"> </w:t>
      </w:r>
      <w:proofErr w:type="spellStart"/>
      <w:r w:rsidRPr="005C3B80">
        <w:rPr>
          <w:sz w:val="20"/>
          <w:szCs w:val="20"/>
        </w:rPr>
        <w:t>Maniatis</w:t>
      </w:r>
      <w:proofErr w:type="spellEnd"/>
      <w:r w:rsidRPr="005C3B80">
        <w:rPr>
          <w:sz w:val="20"/>
          <w:szCs w:val="20"/>
        </w:rPr>
        <w:t>, Jean</w:t>
      </w:r>
      <w:r w:rsidRPr="005C3B80">
        <w:rPr>
          <w:sz w:val="20"/>
          <w:szCs w:val="20"/>
        </w:rPr>
        <w:noBreakHyphen/>
      </w:r>
      <w:proofErr w:type="spellStart"/>
      <w:r w:rsidRPr="005C3B80">
        <w:rPr>
          <w:sz w:val="20"/>
          <w:szCs w:val="20"/>
        </w:rPr>
        <w:t>Patrick</w:t>
      </w:r>
      <w:proofErr w:type="spellEnd"/>
      <w:r w:rsidRPr="005C3B80">
        <w:rPr>
          <w:sz w:val="20"/>
          <w:szCs w:val="20"/>
        </w:rPr>
        <w:t xml:space="preserve"> </w:t>
      </w:r>
      <w:proofErr w:type="spellStart"/>
      <w:r w:rsidRPr="005C3B80">
        <w:rPr>
          <w:sz w:val="20"/>
          <w:szCs w:val="20"/>
        </w:rPr>
        <w:t>Dallaire</w:t>
      </w:r>
      <w:proofErr w:type="spellEnd"/>
      <w:r w:rsidRPr="005C3B80">
        <w:rPr>
          <w:sz w:val="20"/>
          <w:szCs w:val="20"/>
        </w:rPr>
        <w:t xml:space="preserve"> and </w:t>
      </w:r>
      <w:proofErr w:type="spellStart"/>
      <w:r w:rsidRPr="005C3B80">
        <w:rPr>
          <w:sz w:val="20"/>
          <w:szCs w:val="20"/>
        </w:rPr>
        <w:t>Fabrice</w:t>
      </w:r>
      <w:proofErr w:type="spellEnd"/>
      <w:r w:rsidRPr="005C3B80">
        <w:rPr>
          <w:sz w:val="20"/>
          <w:szCs w:val="20"/>
        </w:rPr>
        <w:t xml:space="preserve"> </w:t>
      </w:r>
      <w:proofErr w:type="spellStart"/>
      <w:r w:rsidRPr="005C3B80">
        <w:rPr>
          <w:sz w:val="20"/>
          <w:szCs w:val="20"/>
        </w:rPr>
        <w:t>Vil</w:t>
      </w:r>
      <w:proofErr w:type="spellEnd"/>
      <w:r w:rsidRPr="005C3B80">
        <w:rPr>
          <w:sz w:val="20"/>
          <w:szCs w:val="20"/>
        </w:rPr>
        <w:t xml:space="preserve"> for the appellants</w:t>
      </w:r>
    </w:p>
    <w:p w:rsidR="00CB168C" w:rsidRPr="005C3B80" w:rsidRDefault="00CB168C" w:rsidP="00CB168C">
      <w:pPr>
        <w:widowControl w:val="0"/>
        <w:ind w:left="2880" w:hanging="2880"/>
        <w:jc w:val="both"/>
        <w:rPr>
          <w:sz w:val="20"/>
          <w:szCs w:val="20"/>
        </w:rPr>
      </w:pPr>
      <w:r w:rsidRPr="005C3B80">
        <w:rPr>
          <w:sz w:val="20"/>
          <w:szCs w:val="20"/>
        </w:rPr>
        <w:tab/>
        <w:t xml:space="preserve">Gilles M. Daigle and Guy </w:t>
      </w:r>
      <w:proofErr w:type="spellStart"/>
      <w:r w:rsidRPr="005C3B80">
        <w:rPr>
          <w:sz w:val="20"/>
          <w:szCs w:val="20"/>
        </w:rPr>
        <w:t>Régimbald</w:t>
      </w:r>
      <w:proofErr w:type="spellEnd"/>
      <w:r w:rsidRPr="005C3B80">
        <w:rPr>
          <w:sz w:val="20"/>
          <w:szCs w:val="20"/>
        </w:rPr>
        <w:t xml:space="preserve"> for the respondents</w:t>
      </w:r>
    </w:p>
    <w:p w:rsidR="003320D5" w:rsidRPr="00CB168C"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68"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77742B" w:rsidRDefault="00F008AC" w:rsidP="0077742B">
      <w:pPr>
        <w:widowControl w:val="0"/>
        <w:ind w:left="720" w:hanging="720"/>
        <w:jc w:val="both"/>
        <w:rPr>
          <w:b/>
          <w:i/>
          <w:sz w:val="20"/>
          <w:szCs w:val="20"/>
          <w:lang w:val="fr-CA"/>
        </w:rPr>
      </w:pPr>
      <w:r w:rsidRPr="00F008AC">
        <w:rPr>
          <w:b/>
          <w:sz w:val="20"/>
          <w:szCs w:val="20"/>
          <w:lang w:val="fr-CA"/>
        </w:rPr>
        <w:lastRenderedPageBreak/>
        <w:fldChar w:fldCharType="begin"/>
      </w:r>
      <w:r w:rsidR="0077742B" w:rsidRPr="008963C3">
        <w:rPr>
          <w:b/>
          <w:sz w:val="20"/>
          <w:szCs w:val="20"/>
          <w:lang w:val="fr-CA"/>
        </w:rPr>
        <w:instrText xml:space="preserve"> SEQ CHAPTER \h \r 1</w:instrText>
      </w:r>
      <w:r w:rsidRPr="008963C3">
        <w:rPr>
          <w:b/>
          <w:sz w:val="20"/>
          <w:szCs w:val="20"/>
        </w:rPr>
        <w:fldChar w:fldCharType="end"/>
      </w:r>
      <w:r w:rsidR="0077742B" w:rsidRPr="008963C3">
        <w:rPr>
          <w:b/>
          <w:sz w:val="20"/>
          <w:szCs w:val="20"/>
          <w:lang w:val="fr-CA"/>
        </w:rPr>
        <w:t>34467</w:t>
      </w:r>
      <w:r w:rsidR="0077742B">
        <w:rPr>
          <w:b/>
          <w:sz w:val="20"/>
          <w:szCs w:val="20"/>
          <w:lang w:val="fr-CA"/>
        </w:rPr>
        <w:tab/>
      </w:r>
      <w:r w:rsidR="0077742B" w:rsidRPr="008963C3">
        <w:rPr>
          <w:b/>
          <w:i/>
          <w:sz w:val="20"/>
          <w:szCs w:val="20"/>
          <w:lang w:val="fr-CA"/>
        </w:rPr>
        <w:t xml:space="preserve">Ronald A. Weinberg et Ronald A. Weinberg, en qualité d’unique liquidateur de la succession de feu Micheline Charest c. Claude Robinson et Les Productions </w:t>
      </w:r>
      <w:proofErr w:type="spellStart"/>
      <w:r w:rsidR="0077742B" w:rsidRPr="008963C3">
        <w:rPr>
          <w:b/>
          <w:i/>
          <w:sz w:val="20"/>
          <w:szCs w:val="20"/>
          <w:lang w:val="fr-CA"/>
        </w:rPr>
        <w:t>Nilem</w:t>
      </w:r>
      <w:proofErr w:type="spellEnd"/>
      <w:r w:rsidR="0077742B" w:rsidRPr="008963C3">
        <w:rPr>
          <w:b/>
          <w:i/>
          <w:sz w:val="20"/>
          <w:szCs w:val="20"/>
          <w:lang w:val="fr-CA"/>
        </w:rPr>
        <w:t xml:space="preserve"> Inc</w:t>
      </w:r>
      <w:r w:rsidR="0077742B">
        <w:rPr>
          <w:b/>
          <w:i/>
          <w:sz w:val="20"/>
          <w:szCs w:val="20"/>
          <w:lang w:val="fr-CA"/>
        </w:rPr>
        <w:t>.</w:t>
      </w:r>
    </w:p>
    <w:p w:rsidR="0077742B" w:rsidRPr="008963C3" w:rsidRDefault="0077742B" w:rsidP="0077742B">
      <w:pPr>
        <w:widowControl w:val="0"/>
        <w:ind w:left="720" w:hanging="720"/>
        <w:rPr>
          <w:b/>
          <w:i/>
          <w:sz w:val="20"/>
          <w:szCs w:val="20"/>
          <w:lang w:val="fr-CA"/>
        </w:rPr>
      </w:pPr>
    </w:p>
    <w:p w:rsidR="0077742B" w:rsidRPr="008963C3" w:rsidRDefault="0077742B" w:rsidP="0077742B">
      <w:pPr>
        <w:jc w:val="both"/>
        <w:rPr>
          <w:sz w:val="20"/>
          <w:szCs w:val="20"/>
          <w:lang w:val="fr-CA"/>
        </w:rPr>
      </w:pPr>
      <w:r w:rsidRPr="008963C3">
        <w:rPr>
          <w:sz w:val="20"/>
          <w:szCs w:val="20"/>
          <w:lang w:val="fr-CA"/>
        </w:rPr>
        <w:t xml:space="preserve">Propriété intellectuelle </w:t>
      </w:r>
      <w:r w:rsidRPr="008963C3">
        <w:rPr>
          <w:sz w:val="20"/>
          <w:szCs w:val="20"/>
          <w:lang w:val="fr-CA"/>
        </w:rPr>
        <w:noBreakHyphen/>
        <w:t xml:space="preserve"> </w:t>
      </w:r>
      <w:r w:rsidRPr="008963C3">
        <w:rPr>
          <w:i/>
          <w:sz w:val="20"/>
          <w:szCs w:val="20"/>
          <w:lang w:val="fr-CA"/>
        </w:rPr>
        <w:t>Loi sur le droit d’auteur</w:t>
      </w:r>
      <w:r w:rsidRPr="008963C3">
        <w:rPr>
          <w:sz w:val="20"/>
          <w:szCs w:val="20"/>
          <w:lang w:val="fr-CA"/>
        </w:rPr>
        <w:t>, L.R.C. (1985), c. C</w:t>
      </w:r>
      <w:r w:rsidRPr="008963C3">
        <w:rPr>
          <w:sz w:val="20"/>
          <w:szCs w:val="20"/>
          <w:lang w:val="fr-CA"/>
        </w:rPr>
        <w:noBreakHyphen/>
        <w:t xml:space="preserve">42 </w:t>
      </w:r>
      <w:r w:rsidRPr="008963C3">
        <w:rPr>
          <w:sz w:val="20"/>
          <w:szCs w:val="20"/>
          <w:lang w:val="fr-CA"/>
        </w:rPr>
        <w:noBreakHyphen/>
        <w:t xml:space="preserve"> Contrefaçon </w:t>
      </w:r>
      <w:r w:rsidRPr="008963C3">
        <w:rPr>
          <w:sz w:val="20"/>
          <w:szCs w:val="20"/>
          <w:lang w:val="fr-CA"/>
        </w:rPr>
        <w:noBreakHyphen/>
        <w:t xml:space="preserve"> Preuve </w:t>
      </w:r>
      <w:r w:rsidRPr="008963C3">
        <w:rPr>
          <w:sz w:val="20"/>
          <w:szCs w:val="20"/>
          <w:lang w:val="fr-CA"/>
        </w:rPr>
        <w:noBreakHyphen/>
        <w:t xml:space="preserve"> Étapes et critères applicables en matière de reprise d’une partie importante ou substantielle d’une œuvre au sens des articles 2 et 3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Admissibilité du témoignage d’un expert quant à la reprise d’une partie importante ou substantielle d’une œuvre au sens des articles 2 et 3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Critères applicables en matière de cession de droit d’auteur au sens de l’article 13(4)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Portée de l’existence d’une défense raisonnable et valable en cas de responsabilité pour violation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La </w:t>
      </w:r>
      <w:proofErr w:type="spellStart"/>
      <w:r w:rsidRPr="008963C3">
        <w:rPr>
          <w:sz w:val="20"/>
          <w:szCs w:val="20"/>
          <w:lang w:val="fr-CA"/>
        </w:rPr>
        <w:t>titularité</w:t>
      </w:r>
      <w:proofErr w:type="spellEnd"/>
      <w:r w:rsidRPr="008963C3">
        <w:rPr>
          <w:sz w:val="20"/>
          <w:szCs w:val="20"/>
          <w:lang w:val="fr-CA"/>
        </w:rPr>
        <w:t xml:space="preserve"> des droits d’auteur en cause </w:t>
      </w:r>
      <w:proofErr w:type="spellStart"/>
      <w:r w:rsidRPr="008963C3">
        <w:rPr>
          <w:sz w:val="20"/>
          <w:szCs w:val="20"/>
          <w:lang w:val="fr-CA"/>
        </w:rPr>
        <w:t>est</w:t>
      </w:r>
      <w:r w:rsidRPr="008963C3">
        <w:rPr>
          <w:sz w:val="20"/>
          <w:szCs w:val="20"/>
          <w:lang w:val="fr-CA"/>
        </w:rPr>
        <w:noBreakHyphen/>
        <w:t>elle</w:t>
      </w:r>
      <w:proofErr w:type="spellEnd"/>
      <w:r w:rsidRPr="008963C3">
        <w:rPr>
          <w:sz w:val="20"/>
          <w:szCs w:val="20"/>
          <w:lang w:val="fr-CA"/>
        </w:rPr>
        <w:t xml:space="preserve"> tributaire d’une clause résolutoire rétroactive? </w:t>
      </w:r>
      <w:r w:rsidRPr="008963C3">
        <w:rPr>
          <w:sz w:val="20"/>
          <w:szCs w:val="20"/>
          <w:lang w:val="fr-CA"/>
        </w:rPr>
        <w:noBreakHyphen/>
        <w:t xml:space="preserve"> Cette clause </w:t>
      </w:r>
      <w:proofErr w:type="spellStart"/>
      <w:r w:rsidRPr="008963C3">
        <w:rPr>
          <w:sz w:val="20"/>
          <w:szCs w:val="20"/>
          <w:lang w:val="fr-CA"/>
        </w:rPr>
        <w:t>rencontre</w:t>
      </w:r>
      <w:r w:rsidRPr="008963C3">
        <w:rPr>
          <w:sz w:val="20"/>
          <w:szCs w:val="20"/>
          <w:lang w:val="fr-CA"/>
        </w:rPr>
        <w:noBreakHyphen/>
        <w:t>t</w:t>
      </w:r>
      <w:r w:rsidRPr="008963C3">
        <w:rPr>
          <w:sz w:val="20"/>
          <w:szCs w:val="20"/>
          <w:lang w:val="fr-CA"/>
        </w:rPr>
        <w:noBreakHyphen/>
        <w:t>elle</w:t>
      </w:r>
      <w:proofErr w:type="spellEnd"/>
      <w:r w:rsidRPr="008963C3">
        <w:rPr>
          <w:sz w:val="20"/>
          <w:szCs w:val="20"/>
          <w:lang w:val="fr-CA"/>
        </w:rPr>
        <w:t xml:space="preserve"> les exigences de l’article 13(4)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Dans l’affirmative, le titulaire des droits d’auteur </w:t>
      </w:r>
      <w:proofErr w:type="spellStart"/>
      <w:r w:rsidRPr="008963C3">
        <w:rPr>
          <w:sz w:val="20"/>
          <w:szCs w:val="20"/>
          <w:lang w:val="fr-CA"/>
        </w:rPr>
        <w:t>détient</w:t>
      </w:r>
      <w:r w:rsidRPr="008963C3">
        <w:rPr>
          <w:sz w:val="20"/>
          <w:szCs w:val="20"/>
          <w:lang w:val="fr-CA"/>
        </w:rPr>
        <w:noBreakHyphen/>
        <w:t>il</w:t>
      </w:r>
      <w:proofErr w:type="spellEnd"/>
      <w:r w:rsidRPr="008963C3">
        <w:rPr>
          <w:sz w:val="20"/>
          <w:szCs w:val="20"/>
          <w:lang w:val="fr-CA"/>
        </w:rPr>
        <w:t xml:space="preserve"> pour autant un intérêt dans cette cause? </w:t>
      </w:r>
      <w:r w:rsidRPr="008963C3">
        <w:rPr>
          <w:sz w:val="20"/>
          <w:szCs w:val="20"/>
          <w:lang w:val="fr-CA"/>
        </w:rPr>
        <w:noBreakHyphen/>
        <w:t xml:space="preserve"> Les Appelants </w:t>
      </w:r>
      <w:proofErr w:type="spellStart"/>
      <w:r w:rsidRPr="008963C3">
        <w:rPr>
          <w:sz w:val="20"/>
          <w:szCs w:val="20"/>
          <w:lang w:val="fr-CA"/>
        </w:rPr>
        <w:t>ont</w:t>
      </w:r>
      <w:r w:rsidRPr="008963C3">
        <w:rPr>
          <w:sz w:val="20"/>
          <w:szCs w:val="20"/>
          <w:lang w:val="fr-CA"/>
        </w:rPr>
        <w:noBreakHyphen/>
        <w:t>ils</w:t>
      </w:r>
      <w:proofErr w:type="spellEnd"/>
      <w:r w:rsidRPr="008963C3">
        <w:rPr>
          <w:sz w:val="20"/>
          <w:szCs w:val="20"/>
          <w:lang w:val="fr-CA"/>
        </w:rPr>
        <w:t xml:space="preserve">, à titre de dirigeants, engagé leur responsabilité personnelle en vertu de la </w:t>
      </w:r>
      <w:r w:rsidRPr="008963C3">
        <w:rPr>
          <w:i/>
          <w:sz w:val="20"/>
          <w:szCs w:val="20"/>
          <w:lang w:val="fr-CA"/>
        </w:rPr>
        <w:t>Loi sur le droit d’auteur</w:t>
      </w:r>
      <w:r w:rsidRPr="008963C3">
        <w:rPr>
          <w:sz w:val="20"/>
          <w:szCs w:val="20"/>
          <w:lang w:val="fr-CA"/>
        </w:rPr>
        <w:t xml:space="preserve">? </w:t>
      </w:r>
      <w:r w:rsidRPr="008963C3">
        <w:rPr>
          <w:sz w:val="20"/>
          <w:szCs w:val="20"/>
          <w:lang w:val="fr-CA"/>
        </w:rPr>
        <w:noBreakHyphen/>
        <w:t xml:space="preserve"> Les Appelants </w:t>
      </w:r>
      <w:proofErr w:type="spellStart"/>
      <w:r w:rsidRPr="008963C3">
        <w:rPr>
          <w:sz w:val="20"/>
          <w:szCs w:val="20"/>
          <w:lang w:val="fr-CA"/>
        </w:rPr>
        <w:t>ont</w:t>
      </w:r>
      <w:r w:rsidRPr="008963C3">
        <w:rPr>
          <w:sz w:val="20"/>
          <w:szCs w:val="20"/>
          <w:lang w:val="fr-CA"/>
        </w:rPr>
        <w:noBreakHyphen/>
        <w:t>ils</w:t>
      </w:r>
      <w:proofErr w:type="spellEnd"/>
      <w:r w:rsidRPr="008963C3">
        <w:rPr>
          <w:sz w:val="20"/>
          <w:szCs w:val="20"/>
          <w:lang w:val="fr-CA"/>
        </w:rPr>
        <w:t xml:space="preserve"> engagé leur responsabilité extracontractuelle envers les Intimés?</w:t>
      </w:r>
    </w:p>
    <w:p w:rsidR="0077742B" w:rsidRPr="008963C3" w:rsidRDefault="0077742B" w:rsidP="0077742B">
      <w:pPr>
        <w:widowControl w:val="0"/>
        <w:jc w:val="both"/>
        <w:rPr>
          <w:sz w:val="20"/>
          <w:szCs w:val="20"/>
          <w:lang w:val="fr-CA"/>
        </w:rPr>
      </w:pPr>
    </w:p>
    <w:p w:rsidR="0077742B" w:rsidRPr="008963C3" w:rsidRDefault="0077742B" w:rsidP="0077742B">
      <w:pPr>
        <w:jc w:val="both"/>
        <w:rPr>
          <w:sz w:val="20"/>
          <w:szCs w:val="20"/>
          <w:lang w:val="fr-CA"/>
        </w:rPr>
      </w:pPr>
      <w:r w:rsidRPr="008963C3">
        <w:rPr>
          <w:sz w:val="20"/>
          <w:szCs w:val="20"/>
          <w:lang w:val="fr-CA"/>
        </w:rPr>
        <w:t xml:space="preserve">M. Claude Robinson est un artiste qui a dessiné, en 1982, les premiers croquis des personnages d’un projet de série télévisée pour enfants qui porterait le nom de </w:t>
      </w:r>
      <w:r w:rsidRPr="008963C3">
        <w:rPr>
          <w:i/>
          <w:sz w:val="20"/>
          <w:szCs w:val="20"/>
          <w:lang w:val="fr-CA"/>
        </w:rPr>
        <w:t>Robinson Curiosité</w:t>
      </w:r>
      <w:r w:rsidRPr="008963C3">
        <w:rPr>
          <w:sz w:val="20"/>
          <w:szCs w:val="20"/>
          <w:lang w:val="fr-CA"/>
        </w:rPr>
        <w:t xml:space="preserve">.  Quelques années plus tard, en 1985, le Bureau du droit d’auteur délivre un certificat d’enregistrement de </w:t>
      </w:r>
      <w:r w:rsidRPr="008963C3">
        <w:rPr>
          <w:i/>
          <w:sz w:val="20"/>
          <w:szCs w:val="20"/>
          <w:lang w:val="fr-CA"/>
        </w:rPr>
        <w:t>Robinson Curiosité</w:t>
      </w:r>
      <w:r w:rsidRPr="008963C3">
        <w:rPr>
          <w:sz w:val="20"/>
          <w:szCs w:val="20"/>
          <w:lang w:val="fr-CA"/>
        </w:rPr>
        <w:t xml:space="preserve"> indiquant que M. Robinson est l’auteur de l’œuvre et que les Productions </w:t>
      </w:r>
      <w:proofErr w:type="spellStart"/>
      <w:r w:rsidRPr="008963C3">
        <w:rPr>
          <w:sz w:val="20"/>
          <w:szCs w:val="20"/>
          <w:lang w:val="fr-CA"/>
        </w:rPr>
        <w:t>Nilem</w:t>
      </w:r>
      <w:proofErr w:type="spellEnd"/>
      <w:r w:rsidRPr="008963C3">
        <w:rPr>
          <w:sz w:val="20"/>
          <w:szCs w:val="20"/>
          <w:lang w:val="fr-CA"/>
        </w:rPr>
        <w:t xml:space="preserve"> </w:t>
      </w:r>
      <w:proofErr w:type="spellStart"/>
      <w:r w:rsidRPr="008963C3">
        <w:rPr>
          <w:sz w:val="20"/>
          <w:szCs w:val="20"/>
          <w:lang w:val="fr-CA"/>
        </w:rPr>
        <w:t>inc</w:t>
      </w:r>
      <w:proofErr w:type="spellEnd"/>
      <w:r w:rsidRPr="008963C3">
        <w:rPr>
          <w:sz w:val="20"/>
          <w:szCs w:val="20"/>
          <w:lang w:val="fr-CA"/>
        </w:rPr>
        <w:t>. (</w:t>
      </w:r>
      <w:proofErr w:type="spellStart"/>
      <w:r w:rsidRPr="008963C3">
        <w:rPr>
          <w:sz w:val="20"/>
          <w:szCs w:val="20"/>
          <w:lang w:val="fr-CA"/>
        </w:rPr>
        <w:t>ci</w:t>
      </w:r>
      <w:r w:rsidRPr="008963C3">
        <w:rPr>
          <w:sz w:val="20"/>
          <w:szCs w:val="20"/>
          <w:lang w:val="fr-CA"/>
        </w:rPr>
        <w:noBreakHyphen/>
        <w:t>après</w:t>
      </w:r>
      <w:proofErr w:type="spellEnd"/>
      <w:r w:rsidRPr="008963C3">
        <w:rPr>
          <w:sz w:val="20"/>
          <w:szCs w:val="20"/>
          <w:lang w:val="fr-CA"/>
        </w:rPr>
        <w:t xml:space="preserve"> « </w:t>
      </w:r>
      <w:proofErr w:type="spellStart"/>
      <w:r w:rsidRPr="008963C3">
        <w:rPr>
          <w:sz w:val="20"/>
          <w:szCs w:val="20"/>
          <w:lang w:val="fr-CA"/>
        </w:rPr>
        <w:t>Nilem</w:t>
      </w:r>
      <w:proofErr w:type="spellEnd"/>
      <w:r w:rsidRPr="008963C3">
        <w:rPr>
          <w:sz w:val="20"/>
          <w:szCs w:val="20"/>
          <w:lang w:val="fr-CA"/>
        </w:rPr>
        <w:t> »), une société commerciale dont il est le seul actionnaire, en est le propriétaire.</w:t>
      </w:r>
    </w:p>
    <w:p w:rsidR="0077742B" w:rsidRPr="008963C3" w:rsidRDefault="0077742B" w:rsidP="0077742B">
      <w:pPr>
        <w:rPr>
          <w:sz w:val="20"/>
          <w:szCs w:val="20"/>
          <w:lang w:val="fr-CA"/>
        </w:rPr>
      </w:pPr>
    </w:p>
    <w:p w:rsidR="0077742B" w:rsidRPr="008963C3" w:rsidRDefault="0077742B" w:rsidP="0077742B">
      <w:pPr>
        <w:jc w:val="both"/>
        <w:rPr>
          <w:sz w:val="20"/>
          <w:szCs w:val="20"/>
          <w:lang w:val="fr-CA"/>
        </w:rPr>
      </w:pPr>
      <w:r w:rsidRPr="008963C3">
        <w:rPr>
          <w:sz w:val="20"/>
          <w:szCs w:val="20"/>
          <w:lang w:val="fr-CA"/>
        </w:rPr>
        <w:t xml:space="preserve">À compter de 1985, M. Robinson et </w:t>
      </w:r>
      <w:proofErr w:type="spellStart"/>
      <w:r w:rsidRPr="008963C3">
        <w:rPr>
          <w:sz w:val="20"/>
          <w:szCs w:val="20"/>
          <w:lang w:val="fr-CA"/>
        </w:rPr>
        <w:t>Nilem</w:t>
      </w:r>
      <w:proofErr w:type="spellEnd"/>
      <w:r w:rsidRPr="008963C3">
        <w:rPr>
          <w:sz w:val="20"/>
          <w:szCs w:val="20"/>
          <w:lang w:val="fr-CA"/>
        </w:rPr>
        <w:t xml:space="preserve"> multiplient les démarches destinées à faire la promotion et la production de </w:t>
      </w:r>
      <w:r w:rsidRPr="008963C3">
        <w:rPr>
          <w:i/>
          <w:sz w:val="20"/>
          <w:szCs w:val="20"/>
          <w:lang w:val="fr-CA"/>
        </w:rPr>
        <w:t>Robinson Curiosité</w:t>
      </w:r>
      <w:r w:rsidRPr="008963C3">
        <w:rPr>
          <w:sz w:val="20"/>
          <w:szCs w:val="20"/>
          <w:lang w:val="fr-CA"/>
        </w:rPr>
        <w:t xml:space="preserve">, y compris avec Corporation </w:t>
      </w:r>
      <w:proofErr w:type="spellStart"/>
      <w:r w:rsidRPr="008963C3">
        <w:rPr>
          <w:sz w:val="20"/>
          <w:szCs w:val="20"/>
          <w:lang w:val="fr-CA"/>
        </w:rPr>
        <w:t>Cinar</w:t>
      </w:r>
      <w:proofErr w:type="spellEnd"/>
      <w:r w:rsidRPr="008963C3">
        <w:rPr>
          <w:sz w:val="20"/>
          <w:szCs w:val="20"/>
          <w:lang w:val="fr-CA"/>
        </w:rPr>
        <w:t xml:space="preserve">/Les Films </w:t>
      </w:r>
      <w:proofErr w:type="spellStart"/>
      <w:r w:rsidRPr="008963C3">
        <w:rPr>
          <w:sz w:val="20"/>
          <w:szCs w:val="20"/>
          <w:lang w:val="fr-CA"/>
        </w:rPr>
        <w:t>Cinar</w:t>
      </w:r>
      <w:proofErr w:type="spellEnd"/>
      <w:r w:rsidRPr="008963C3">
        <w:rPr>
          <w:sz w:val="20"/>
          <w:szCs w:val="20"/>
          <w:lang w:val="fr-CA"/>
        </w:rPr>
        <w:t xml:space="preserve"> </w:t>
      </w:r>
      <w:proofErr w:type="spellStart"/>
      <w:r w:rsidRPr="008963C3">
        <w:rPr>
          <w:sz w:val="20"/>
          <w:szCs w:val="20"/>
          <w:lang w:val="fr-CA"/>
        </w:rPr>
        <w:t>inc</w:t>
      </w:r>
      <w:proofErr w:type="spellEnd"/>
      <w:r w:rsidRPr="008963C3">
        <w:rPr>
          <w:sz w:val="20"/>
          <w:szCs w:val="20"/>
          <w:lang w:val="fr-CA"/>
        </w:rPr>
        <w:t xml:space="preserve">., mais pendant près de 10 ans, ces démarches sont infructueuses.  En septembre 1995, il y a cependant diffusion au Québec du premier épisode de </w:t>
      </w:r>
      <w:r w:rsidRPr="008963C3">
        <w:rPr>
          <w:i/>
          <w:sz w:val="20"/>
          <w:szCs w:val="20"/>
          <w:lang w:val="fr-CA"/>
        </w:rPr>
        <w:t xml:space="preserve">Robinson </w:t>
      </w:r>
      <w:proofErr w:type="spellStart"/>
      <w:r w:rsidRPr="008963C3">
        <w:rPr>
          <w:i/>
          <w:sz w:val="20"/>
          <w:szCs w:val="20"/>
          <w:lang w:val="fr-CA"/>
        </w:rPr>
        <w:t>Sucroë</w:t>
      </w:r>
      <w:proofErr w:type="spellEnd"/>
      <w:r w:rsidRPr="008963C3">
        <w:rPr>
          <w:sz w:val="20"/>
          <w:szCs w:val="20"/>
          <w:lang w:val="fr-CA"/>
        </w:rPr>
        <w:t xml:space="preserve">, œuvre produite par Corporation </w:t>
      </w:r>
      <w:proofErr w:type="spellStart"/>
      <w:r w:rsidRPr="008963C3">
        <w:rPr>
          <w:sz w:val="20"/>
          <w:szCs w:val="20"/>
          <w:lang w:val="fr-CA"/>
        </w:rPr>
        <w:t>Cinar</w:t>
      </w:r>
      <w:proofErr w:type="spellEnd"/>
      <w:r w:rsidRPr="008963C3">
        <w:rPr>
          <w:sz w:val="20"/>
          <w:szCs w:val="20"/>
          <w:lang w:val="fr-CA"/>
        </w:rPr>
        <w:t xml:space="preserve">/Les Films </w:t>
      </w:r>
      <w:proofErr w:type="spellStart"/>
      <w:r w:rsidRPr="008963C3">
        <w:rPr>
          <w:sz w:val="20"/>
          <w:szCs w:val="20"/>
          <w:lang w:val="fr-CA"/>
        </w:rPr>
        <w:t>Cinar</w:t>
      </w:r>
      <w:proofErr w:type="spellEnd"/>
      <w:r w:rsidRPr="008963C3">
        <w:rPr>
          <w:sz w:val="20"/>
          <w:szCs w:val="20"/>
          <w:lang w:val="fr-CA"/>
        </w:rPr>
        <w:t xml:space="preserve"> </w:t>
      </w:r>
      <w:proofErr w:type="spellStart"/>
      <w:r w:rsidRPr="008963C3">
        <w:rPr>
          <w:sz w:val="20"/>
          <w:szCs w:val="20"/>
          <w:lang w:val="fr-CA"/>
        </w:rPr>
        <w:t>inc</w:t>
      </w:r>
      <w:proofErr w:type="spellEnd"/>
      <w:r w:rsidRPr="008963C3">
        <w:rPr>
          <w:sz w:val="20"/>
          <w:szCs w:val="20"/>
          <w:lang w:val="fr-CA"/>
        </w:rPr>
        <w:t xml:space="preserve">., France Animation S.A. et Ravensburger Film + TV </w:t>
      </w:r>
      <w:proofErr w:type="spellStart"/>
      <w:r w:rsidRPr="008963C3">
        <w:rPr>
          <w:sz w:val="20"/>
          <w:szCs w:val="20"/>
          <w:lang w:val="fr-CA"/>
        </w:rPr>
        <w:t>GmbH</w:t>
      </w:r>
      <w:proofErr w:type="spellEnd"/>
      <w:r w:rsidRPr="008963C3">
        <w:rPr>
          <w:sz w:val="20"/>
          <w:szCs w:val="20"/>
          <w:lang w:val="fr-CA"/>
        </w:rPr>
        <w:t>.</w:t>
      </w:r>
    </w:p>
    <w:p w:rsidR="0077742B" w:rsidRPr="008963C3" w:rsidRDefault="0077742B" w:rsidP="0077742B">
      <w:pPr>
        <w:rPr>
          <w:sz w:val="20"/>
          <w:szCs w:val="20"/>
          <w:lang w:val="fr-CA"/>
        </w:rPr>
      </w:pPr>
    </w:p>
    <w:p w:rsidR="0077742B" w:rsidRPr="008963C3" w:rsidRDefault="0077742B" w:rsidP="0077742B">
      <w:pPr>
        <w:jc w:val="both"/>
        <w:rPr>
          <w:sz w:val="20"/>
          <w:szCs w:val="20"/>
          <w:lang w:val="fr-CA"/>
        </w:rPr>
      </w:pPr>
      <w:r w:rsidRPr="008963C3">
        <w:rPr>
          <w:sz w:val="20"/>
          <w:szCs w:val="20"/>
          <w:lang w:val="fr-CA"/>
        </w:rPr>
        <w:t xml:space="preserve">Constatant des similitudes entre son œuvre, </w:t>
      </w:r>
      <w:r w:rsidRPr="008963C3">
        <w:rPr>
          <w:i/>
          <w:sz w:val="20"/>
          <w:szCs w:val="20"/>
          <w:lang w:val="fr-CA"/>
        </w:rPr>
        <w:t>Robinson Curiosité</w:t>
      </w:r>
      <w:r w:rsidRPr="008963C3">
        <w:rPr>
          <w:sz w:val="20"/>
          <w:szCs w:val="20"/>
          <w:lang w:val="fr-CA"/>
        </w:rPr>
        <w:t xml:space="preserve">, et l’œuvre produite sous le titre </w:t>
      </w:r>
      <w:r w:rsidRPr="008963C3">
        <w:rPr>
          <w:i/>
          <w:sz w:val="20"/>
          <w:szCs w:val="20"/>
          <w:lang w:val="fr-CA"/>
        </w:rPr>
        <w:t xml:space="preserve">Robinson </w:t>
      </w:r>
      <w:proofErr w:type="spellStart"/>
      <w:r w:rsidRPr="008963C3">
        <w:rPr>
          <w:i/>
          <w:sz w:val="20"/>
          <w:szCs w:val="20"/>
          <w:lang w:val="fr-CA"/>
        </w:rPr>
        <w:t>Sucroë</w:t>
      </w:r>
      <w:proofErr w:type="spellEnd"/>
      <w:r w:rsidRPr="008963C3">
        <w:rPr>
          <w:sz w:val="20"/>
          <w:szCs w:val="20"/>
          <w:lang w:val="fr-CA"/>
        </w:rPr>
        <w:t xml:space="preserve">, M. Robinson et </w:t>
      </w:r>
      <w:proofErr w:type="spellStart"/>
      <w:r w:rsidRPr="008963C3">
        <w:rPr>
          <w:sz w:val="20"/>
          <w:szCs w:val="20"/>
          <w:lang w:val="fr-CA"/>
        </w:rPr>
        <w:t>Nilem</w:t>
      </w:r>
      <w:proofErr w:type="spellEnd"/>
      <w:r w:rsidRPr="008963C3">
        <w:rPr>
          <w:sz w:val="20"/>
          <w:szCs w:val="20"/>
          <w:lang w:val="fr-CA"/>
        </w:rPr>
        <w:t xml:space="preserve">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77742B" w:rsidRPr="008963C3" w:rsidRDefault="0077742B" w:rsidP="0077742B">
      <w:pPr>
        <w:widowControl w:val="0"/>
        <w:jc w:val="both"/>
        <w:rPr>
          <w:sz w:val="20"/>
          <w:szCs w:val="20"/>
          <w:lang w:val="fr-CA"/>
        </w:rPr>
      </w:pPr>
    </w:p>
    <w:p w:rsidR="0077742B" w:rsidRPr="008963C3" w:rsidRDefault="0077742B" w:rsidP="0077742B">
      <w:pPr>
        <w:widowControl w:val="0"/>
        <w:jc w:val="both"/>
        <w:rPr>
          <w:sz w:val="20"/>
          <w:szCs w:val="20"/>
          <w:lang w:val="fr-CA"/>
        </w:rPr>
      </w:pPr>
    </w:p>
    <w:p w:rsidR="0077742B" w:rsidRPr="008963C3" w:rsidRDefault="0077742B" w:rsidP="0077742B">
      <w:pPr>
        <w:widowControl w:val="0"/>
        <w:ind w:left="2880" w:hanging="2880"/>
        <w:jc w:val="both"/>
        <w:rPr>
          <w:sz w:val="20"/>
          <w:szCs w:val="20"/>
          <w:lang w:val="fr-CA"/>
        </w:rPr>
      </w:pPr>
      <w:r w:rsidRPr="008963C3">
        <w:rPr>
          <w:sz w:val="20"/>
          <w:szCs w:val="20"/>
          <w:lang w:val="fr-CA"/>
        </w:rPr>
        <w:t>Origine:</w:t>
      </w:r>
      <w:r w:rsidRPr="008963C3">
        <w:rPr>
          <w:sz w:val="20"/>
          <w:szCs w:val="20"/>
          <w:lang w:val="fr-CA"/>
        </w:rPr>
        <w:tab/>
        <w:t>Québec</w:t>
      </w:r>
    </w:p>
    <w:p w:rsidR="0077742B" w:rsidRPr="008963C3" w:rsidRDefault="0077742B" w:rsidP="0077742B">
      <w:pPr>
        <w:widowControl w:val="0"/>
        <w:ind w:left="2880" w:hanging="2880"/>
        <w:jc w:val="both"/>
        <w:rPr>
          <w:sz w:val="20"/>
          <w:szCs w:val="20"/>
          <w:lang w:val="fr-CA"/>
        </w:rPr>
      </w:pPr>
    </w:p>
    <w:p w:rsidR="0077742B" w:rsidRPr="008963C3" w:rsidRDefault="0077742B" w:rsidP="0077742B">
      <w:pPr>
        <w:widowControl w:val="0"/>
        <w:ind w:left="2880" w:hanging="2880"/>
        <w:jc w:val="both"/>
        <w:rPr>
          <w:sz w:val="20"/>
          <w:szCs w:val="20"/>
          <w:lang w:val="fr-CA"/>
        </w:rPr>
      </w:pPr>
      <w:r w:rsidRPr="008963C3">
        <w:rPr>
          <w:sz w:val="20"/>
          <w:szCs w:val="20"/>
          <w:lang w:val="fr-CA"/>
        </w:rPr>
        <w:t>N</w:t>
      </w:r>
      <w:r w:rsidRPr="008963C3">
        <w:rPr>
          <w:sz w:val="20"/>
          <w:szCs w:val="20"/>
          <w:vertAlign w:val="superscript"/>
          <w:lang w:val="fr-CA"/>
        </w:rPr>
        <w:t>o</w:t>
      </w:r>
      <w:r w:rsidRPr="008963C3">
        <w:rPr>
          <w:sz w:val="20"/>
          <w:szCs w:val="20"/>
          <w:lang w:val="fr-CA"/>
        </w:rPr>
        <w:t xml:space="preserve"> du greffe:</w:t>
      </w:r>
      <w:r w:rsidRPr="008963C3">
        <w:rPr>
          <w:sz w:val="20"/>
          <w:szCs w:val="20"/>
          <w:lang w:val="fr-CA"/>
        </w:rPr>
        <w:tab/>
        <w:t>34467</w:t>
      </w:r>
    </w:p>
    <w:p w:rsidR="0077742B" w:rsidRPr="008963C3" w:rsidRDefault="0077742B" w:rsidP="0077742B">
      <w:pPr>
        <w:widowControl w:val="0"/>
        <w:ind w:left="2880" w:hanging="2880"/>
        <w:jc w:val="both"/>
        <w:rPr>
          <w:sz w:val="20"/>
          <w:szCs w:val="20"/>
          <w:lang w:val="fr-CA"/>
        </w:rPr>
      </w:pPr>
    </w:p>
    <w:p w:rsidR="0077742B" w:rsidRPr="008963C3" w:rsidRDefault="0077742B" w:rsidP="0077742B">
      <w:pPr>
        <w:widowControl w:val="0"/>
        <w:ind w:left="2880" w:hanging="2880"/>
        <w:jc w:val="both"/>
        <w:rPr>
          <w:sz w:val="20"/>
          <w:szCs w:val="20"/>
          <w:lang w:val="fr-CA"/>
        </w:rPr>
      </w:pPr>
      <w:r w:rsidRPr="008963C3">
        <w:rPr>
          <w:sz w:val="20"/>
          <w:szCs w:val="20"/>
          <w:lang w:val="fr-CA"/>
        </w:rPr>
        <w:t>Arrêt de la Cour d’appel:</w:t>
      </w:r>
      <w:r w:rsidRPr="008963C3">
        <w:rPr>
          <w:sz w:val="20"/>
          <w:szCs w:val="20"/>
          <w:lang w:val="fr-CA"/>
        </w:rPr>
        <w:tab/>
        <w:t>Le 20 juillet 2011</w:t>
      </w:r>
    </w:p>
    <w:p w:rsidR="0077742B" w:rsidRPr="008963C3" w:rsidRDefault="0077742B" w:rsidP="0077742B">
      <w:pPr>
        <w:widowControl w:val="0"/>
        <w:ind w:left="2880" w:hanging="2880"/>
        <w:jc w:val="both"/>
        <w:rPr>
          <w:sz w:val="20"/>
          <w:szCs w:val="20"/>
          <w:lang w:val="fr-CA"/>
        </w:rPr>
      </w:pPr>
    </w:p>
    <w:p w:rsidR="0077742B" w:rsidRPr="008963C3" w:rsidRDefault="0077742B" w:rsidP="0077742B">
      <w:pPr>
        <w:widowControl w:val="0"/>
        <w:ind w:left="2880" w:hanging="2880"/>
        <w:jc w:val="both"/>
        <w:rPr>
          <w:sz w:val="20"/>
          <w:szCs w:val="20"/>
          <w:lang w:val="fr-CA"/>
        </w:rPr>
      </w:pPr>
      <w:r w:rsidRPr="008963C3">
        <w:rPr>
          <w:sz w:val="20"/>
          <w:szCs w:val="20"/>
          <w:lang w:val="fr-CA"/>
        </w:rPr>
        <w:t>Avocats:</w:t>
      </w:r>
      <w:r w:rsidRPr="008963C3">
        <w:rPr>
          <w:sz w:val="20"/>
          <w:szCs w:val="20"/>
          <w:lang w:val="fr-CA"/>
        </w:rPr>
        <w:tab/>
      </w:r>
      <w:proofErr w:type="spellStart"/>
      <w:r w:rsidRPr="008963C3">
        <w:rPr>
          <w:sz w:val="20"/>
          <w:szCs w:val="20"/>
          <w:lang w:val="fr-CA"/>
        </w:rPr>
        <w:t>Raynold</w:t>
      </w:r>
      <w:proofErr w:type="spellEnd"/>
      <w:r w:rsidRPr="008963C3">
        <w:rPr>
          <w:sz w:val="20"/>
          <w:szCs w:val="20"/>
          <w:lang w:val="fr-CA"/>
        </w:rPr>
        <w:t xml:space="preserve"> Langlois, Dimitri </w:t>
      </w:r>
      <w:proofErr w:type="spellStart"/>
      <w:r w:rsidRPr="008963C3">
        <w:rPr>
          <w:sz w:val="20"/>
          <w:szCs w:val="20"/>
          <w:lang w:val="fr-CA"/>
        </w:rPr>
        <w:t>Maniatis</w:t>
      </w:r>
      <w:proofErr w:type="spellEnd"/>
      <w:r w:rsidRPr="008963C3">
        <w:rPr>
          <w:sz w:val="20"/>
          <w:szCs w:val="20"/>
          <w:lang w:val="fr-CA"/>
        </w:rPr>
        <w:t xml:space="preserve">, </w:t>
      </w:r>
      <w:proofErr w:type="spellStart"/>
      <w:r w:rsidRPr="008963C3">
        <w:rPr>
          <w:sz w:val="20"/>
          <w:szCs w:val="20"/>
          <w:lang w:val="fr-CA"/>
        </w:rPr>
        <w:t>Jean</w:t>
      </w:r>
      <w:r w:rsidRPr="008963C3">
        <w:rPr>
          <w:sz w:val="20"/>
          <w:szCs w:val="20"/>
          <w:lang w:val="fr-CA"/>
        </w:rPr>
        <w:noBreakHyphen/>
        <w:t>Patrick</w:t>
      </w:r>
      <w:proofErr w:type="spellEnd"/>
      <w:r w:rsidRPr="008963C3">
        <w:rPr>
          <w:sz w:val="20"/>
          <w:szCs w:val="20"/>
          <w:lang w:val="fr-CA"/>
        </w:rPr>
        <w:t xml:space="preserve"> </w:t>
      </w:r>
      <w:proofErr w:type="spellStart"/>
      <w:r w:rsidRPr="008963C3">
        <w:rPr>
          <w:sz w:val="20"/>
          <w:szCs w:val="20"/>
          <w:lang w:val="fr-CA"/>
        </w:rPr>
        <w:t>Dallaire</w:t>
      </w:r>
      <w:proofErr w:type="spellEnd"/>
      <w:r w:rsidRPr="008963C3">
        <w:rPr>
          <w:sz w:val="20"/>
          <w:szCs w:val="20"/>
          <w:lang w:val="fr-CA"/>
        </w:rPr>
        <w:t xml:space="preserve"> et Fabrice Vil pour les appelants</w:t>
      </w:r>
    </w:p>
    <w:p w:rsidR="0077742B" w:rsidRPr="008963C3" w:rsidRDefault="0077742B" w:rsidP="0077742B">
      <w:pPr>
        <w:widowControl w:val="0"/>
        <w:ind w:left="2880" w:hanging="2880"/>
        <w:jc w:val="both"/>
        <w:rPr>
          <w:sz w:val="20"/>
          <w:szCs w:val="20"/>
          <w:lang w:val="fr-CA"/>
        </w:rPr>
      </w:pPr>
      <w:r w:rsidRPr="008963C3">
        <w:rPr>
          <w:sz w:val="20"/>
          <w:szCs w:val="20"/>
          <w:lang w:val="fr-CA"/>
        </w:rPr>
        <w:tab/>
        <w:t xml:space="preserve">Gilles M. </w:t>
      </w:r>
      <w:proofErr w:type="spellStart"/>
      <w:r w:rsidRPr="008963C3">
        <w:rPr>
          <w:sz w:val="20"/>
          <w:szCs w:val="20"/>
          <w:lang w:val="fr-CA"/>
        </w:rPr>
        <w:t>Daigle</w:t>
      </w:r>
      <w:proofErr w:type="spellEnd"/>
      <w:r w:rsidRPr="008963C3">
        <w:rPr>
          <w:sz w:val="20"/>
          <w:szCs w:val="20"/>
          <w:lang w:val="fr-CA"/>
        </w:rPr>
        <w:t xml:space="preserve"> et Guy </w:t>
      </w:r>
      <w:proofErr w:type="spellStart"/>
      <w:r w:rsidRPr="008963C3">
        <w:rPr>
          <w:sz w:val="20"/>
          <w:szCs w:val="20"/>
          <w:lang w:val="fr-CA"/>
        </w:rPr>
        <w:t>Régimbald</w:t>
      </w:r>
      <w:proofErr w:type="spellEnd"/>
      <w:r w:rsidRPr="008963C3">
        <w:rPr>
          <w:sz w:val="20"/>
          <w:szCs w:val="20"/>
          <w:lang w:val="fr-CA"/>
        </w:rPr>
        <w:t xml:space="preserve"> pour les intimés</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69"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77742B" w:rsidRPr="0077742B" w:rsidRDefault="00F008AC" w:rsidP="0077742B">
      <w:pPr>
        <w:widowControl w:val="0"/>
        <w:ind w:left="720" w:hanging="720"/>
        <w:rPr>
          <w:rFonts w:eastAsia="Times New Roman" w:cs="Times New Roman"/>
          <w:b/>
          <w:i/>
          <w:sz w:val="20"/>
          <w:szCs w:val="20"/>
          <w:lang w:eastAsia="en-CA"/>
        </w:rPr>
      </w:pPr>
      <w:r w:rsidRPr="0077742B">
        <w:rPr>
          <w:rFonts w:eastAsia="Times New Roman" w:cs="Times New Roman"/>
          <w:b/>
          <w:sz w:val="20"/>
          <w:szCs w:val="20"/>
          <w:lang w:eastAsia="en-CA"/>
        </w:rPr>
        <w:lastRenderedPageBreak/>
        <w:fldChar w:fldCharType="begin"/>
      </w:r>
      <w:r w:rsidR="0077742B" w:rsidRPr="0077742B">
        <w:rPr>
          <w:rFonts w:eastAsia="Times New Roman" w:cs="Times New Roman"/>
          <w:b/>
          <w:sz w:val="20"/>
          <w:szCs w:val="20"/>
          <w:lang w:eastAsia="en-CA"/>
        </w:rPr>
        <w:instrText xml:space="preserve"> SEQ CHAPTER \h \r 1</w:instrText>
      </w:r>
      <w:r w:rsidRPr="0077742B">
        <w:rPr>
          <w:rFonts w:eastAsia="Times New Roman" w:cs="Times New Roman"/>
          <w:b/>
          <w:sz w:val="20"/>
          <w:szCs w:val="20"/>
          <w:lang w:eastAsia="en-CA"/>
        </w:rPr>
        <w:fldChar w:fldCharType="end"/>
      </w:r>
      <w:r w:rsidR="0077742B" w:rsidRPr="0077742B">
        <w:rPr>
          <w:rFonts w:eastAsia="Times New Roman" w:cs="Times New Roman"/>
          <w:b/>
          <w:sz w:val="20"/>
          <w:szCs w:val="20"/>
          <w:lang w:eastAsia="en-CA"/>
        </w:rPr>
        <w:t>34468</w:t>
      </w:r>
      <w:r w:rsidR="0077742B" w:rsidRPr="0077742B">
        <w:rPr>
          <w:rFonts w:eastAsia="Times New Roman" w:cs="Times New Roman"/>
          <w:b/>
          <w:sz w:val="20"/>
          <w:szCs w:val="20"/>
          <w:lang w:eastAsia="en-CA"/>
        </w:rPr>
        <w:tab/>
      </w:r>
      <w:r w:rsidR="0077742B" w:rsidRPr="0077742B">
        <w:rPr>
          <w:rFonts w:eastAsia="Times New Roman" w:cs="Times New Roman"/>
          <w:b/>
          <w:i/>
          <w:sz w:val="20"/>
          <w:szCs w:val="20"/>
          <w:lang w:eastAsia="en-CA"/>
        </w:rPr>
        <w:t xml:space="preserve">Christophe </w:t>
      </w:r>
      <w:proofErr w:type="spellStart"/>
      <w:r w:rsidR="0077742B" w:rsidRPr="0077742B">
        <w:rPr>
          <w:rFonts w:eastAsia="Times New Roman" w:cs="Times New Roman"/>
          <w:b/>
          <w:i/>
          <w:sz w:val="20"/>
          <w:szCs w:val="20"/>
          <w:lang w:eastAsia="en-CA"/>
        </w:rPr>
        <w:t>Izard</w:t>
      </w:r>
      <w:proofErr w:type="spellEnd"/>
      <w:r w:rsidR="0077742B" w:rsidRPr="0077742B">
        <w:rPr>
          <w:rFonts w:eastAsia="Times New Roman" w:cs="Times New Roman"/>
          <w:b/>
          <w:i/>
          <w:sz w:val="20"/>
          <w:szCs w:val="20"/>
          <w:lang w:eastAsia="en-CA"/>
        </w:rPr>
        <w:t xml:space="preserve">, France Animation S.A., </w:t>
      </w:r>
      <w:proofErr w:type="spellStart"/>
      <w:r w:rsidR="0077742B" w:rsidRPr="0077742B">
        <w:rPr>
          <w:rFonts w:eastAsia="Times New Roman" w:cs="Times New Roman"/>
          <w:b/>
          <w:i/>
          <w:sz w:val="20"/>
          <w:szCs w:val="20"/>
          <w:lang w:eastAsia="en-CA"/>
        </w:rPr>
        <w:t>Ravensburger</w:t>
      </w:r>
      <w:proofErr w:type="spellEnd"/>
      <w:r w:rsidR="0077742B" w:rsidRPr="0077742B">
        <w:rPr>
          <w:rFonts w:eastAsia="Times New Roman" w:cs="Times New Roman"/>
          <w:b/>
          <w:i/>
          <w:sz w:val="20"/>
          <w:szCs w:val="20"/>
          <w:lang w:eastAsia="en-CA"/>
        </w:rPr>
        <w:t xml:space="preserve"> Film + TV GmbH and RTV Family Entertainment AG v. Claude Robinson and Les Productions </w:t>
      </w:r>
      <w:proofErr w:type="spellStart"/>
      <w:r w:rsidR="0077742B" w:rsidRPr="0077742B">
        <w:rPr>
          <w:rFonts w:eastAsia="Times New Roman" w:cs="Times New Roman"/>
          <w:b/>
          <w:i/>
          <w:sz w:val="20"/>
          <w:szCs w:val="20"/>
          <w:lang w:eastAsia="en-CA"/>
        </w:rPr>
        <w:t>Nilem</w:t>
      </w:r>
      <w:proofErr w:type="spellEnd"/>
      <w:r w:rsidR="0077742B" w:rsidRPr="0077742B">
        <w:rPr>
          <w:rFonts w:eastAsia="Times New Roman" w:cs="Times New Roman"/>
          <w:b/>
          <w:i/>
          <w:sz w:val="20"/>
          <w:szCs w:val="20"/>
          <w:lang w:eastAsia="en-CA"/>
        </w:rPr>
        <w:t xml:space="preserve"> Inc.</w:t>
      </w:r>
    </w:p>
    <w:p w:rsidR="0077742B" w:rsidRPr="0077742B" w:rsidRDefault="0077742B" w:rsidP="0077742B">
      <w:pPr>
        <w:rPr>
          <w:rFonts w:eastAsia="Times New Roman" w:cs="Times New Roman"/>
          <w:sz w:val="20"/>
          <w:szCs w:val="20"/>
          <w:lang w:eastAsia="en-CA"/>
        </w:rPr>
      </w:pPr>
    </w:p>
    <w:p w:rsidR="0077742B" w:rsidRPr="0077742B" w:rsidRDefault="0077742B" w:rsidP="0077742B">
      <w:pPr>
        <w:jc w:val="both"/>
        <w:rPr>
          <w:rFonts w:eastAsia="Times New Roman" w:cs="Times New Roman"/>
          <w:sz w:val="20"/>
          <w:szCs w:val="20"/>
          <w:lang w:eastAsia="en-CA"/>
        </w:rPr>
      </w:pPr>
      <w:r w:rsidRPr="0077742B">
        <w:rPr>
          <w:rFonts w:eastAsia="Times New Roman" w:cs="Times New Roman"/>
          <w:sz w:val="20"/>
          <w:szCs w:val="20"/>
          <w:lang w:eastAsia="en-CA"/>
        </w:rPr>
        <w:t xml:space="preserve">Intellectual property </w:t>
      </w:r>
      <w:r w:rsidRPr="0077742B">
        <w:rPr>
          <w:rFonts w:eastAsia="Times New Roman" w:cs="Times New Roman"/>
          <w:sz w:val="20"/>
          <w:szCs w:val="20"/>
          <w:lang w:eastAsia="en-CA"/>
        </w:rPr>
        <w:noBreakHyphen/>
        <w:t xml:space="preserve"> </w:t>
      </w:r>
      <w:r w:rsidRPr="0077742B">
        <w:rPr>
          <w:rFonts w:eastAsia="Times New Roman" w:cs="Times New Roman"/>
          <w:i/>
          <w:sz w:val="20"/>
          <w:szCs w:val="20"/>
          <w:lang w:eastAsia="en-CA"/>
        </w:rPr>
        <w:t>Copyright Act</w:t>
      </w:r>
      <w:r w:rsidRPr="0077742B">
        <w:rPr>
          <w:rFonts w:eastAsia="Times New Roman" w:cs="Times New Roman"/>
          <w:sz w:val="20"/>
          <w:szCs w:val="20"/>
          <w:lang w:eastAsia="en-CA"/>
        </w:rPr>
        <w:t>, R.S.C. 1985, c. C</w:t>
      </w:r>
      <w:r w:rsidRPr="0077742B">
        <w:rPr>
          <w:rFonts w:eastAsia="Times New Roman" w:cs="Times New Roman"/>
          <w:sz w:val="20"/>
          <w:szCs w:val="20"/>
          <w:lang w:eastAsia="en-CA"/>
        </w:rPr>
        <w:noBreakHyphen/>
        <w:t xml:space="preserve">42 </w:t>
      </w:r>
      <w:r w:rsidRPr="0077742B">
        <w:rPr>
          <w:rFonts w:eastAsia="Times New Roman" w:cs="Times New Roman"/>
          <w:sz w:val="20"/>
          <w:szCs w:val="20"/>
          <w:lang w:eastAsia="en-CA"/>
        </w:rPr>
        <w:noBreakHyphen/>
        <w:t xml:space="preserve"> Infringement </w:t>
      </w:r>
      <w:r w:rsidRPr="0077742B">
        <w:rPr>
          <w:rFonts w:eastAsia="Times New Roman" w:cs="Times New Roman"/>
          <w:sz w:val="20"/>
          <w:szCs w:val="20"/>
          <w:lang w:eastAsia="en-CA"/>
        </w:rPr>
        <w:noBreakHyphen/>
        <w:t xml:space="preserve"> Evidence </w:t>
      </w:r>
      <w:r w:rsidRPr="0077742B">
        <w:rPr>
          <w:rFonts w:eastAsia="Times New Roman" w:cs="Times New Roman"/>
          <w:sz w:val="20"/>
          <w:szCs w:val="20"/>
          <w:lang w:eastAsia="en-CA"/>
        </w:rPr>
        <w:noBreakHyphen/>
        <w:t xml:space="preserve"> Steps and tests for determining whether substantial part of work reproduced within meaning of ss. 2 and 3 of </w:t>
      </w:r>
      <w:r w:rsidRPr="0077742B">
        <w:rPr>
          <w:rFonts w:eastAsia="Times New Roman" w:cs="Times New Roman"/>
          <w:i/>
          <w:sz w:val="20"/>
          <w:szCs w:val="20"/>
          <w:lang w:eastAsia="en-CA"/>
        </w:rPr>
        <w:t>Copyright Act</w:t>
      </w:r>
      <w:r w:rsidRPr="0077742B">
        <w:rPr>
          <w:rFonts w:eastAsia="Times New Roman" w:cs="Times New Roman"/>
          <w:sz w:val="20"/>
          <w:szCs w:val="20"/>
          <w:lang w:eastAsia="en-CA"/>
        </w:rPr>
        <w:t xml:space="preserve"> </w:t>
      </w:r>
      <w:r w:rsidRPr="0077742B">
        <w:rPr>
          <w:rFonts w:eastAsia="Times New Roman" w:cs="Times New Roman"/>
          <w:sz w:val="20"/>
          <w:szCs w:val="20"/>
          <w:lang w:eastAsia="en-CA"/>
        </w:rPr>
        <w:noBreakHyphen/>
        <w:t xml:space="preserve"> Admissibility of expert’s testimony concerning reproduction of substantial part of work within meaning of ss. 2 and 3 of </w:t>
      </w:r>
      <w:r w:rsidRPr="0077742B">
        <w:rPr>
          <w:rFonts w:eastAsia="Times New Roman" w:cs="Times New Roman"/>
          <w:i/>
          <w:sz w:val="20"/>
          <w:szCs w:val="20"/>
          <w:lang w:eastAsia="en-CA"/>
        </w:rPr>
        <w:t>Copyright Act</w:t>
      </w:r>
      <w:r w:rsidR="00A2215D" w:rsidRPr="0077742B">
        <w:rPr>
          <w:rFonts w:eastAsia="Times New Roman" w:cs="Times New Roman"/>
          <w:sz w:val="20"/>
          <w:szCs w:val="20"/>
          <w:lang w:eastAsia="en-CA"/>
        </w:rPr>
        <w:t xml:space="preserve"> </w:t>
      </w:r>
      <w:r w:rsidR="00A2215D" w:rsidRPr="0077742B">
        <w:rPr>
          <w:rFonts w:eastAsia="Times New Roman" w:cs="Times New Roman"/>
          <w:sz w:val="20"/>
          <w:szCs w:val="20"/>
          <w:lang w:eastAsia="en-CA"/>
        </w:rPr>
        <w:noBreakHyphen/>
        <w:t xml:space="preserve"> </w:t>
      </w:r>
      <w:r w:rsidRPr="0077742B">
        <w:rPr>
          <w:rFonts w:eastAsia="Times New Roman" w:cs="Times New Roman"/>
          <w:sz w:val="20"/>
          <w:szCs w:val="20"/>
          <w:lang w:eastAsia="en-CA"/>
        </w:rPr>
        <w:t xml:space="preserve">Legal steps for assessing whether substantial part of work reproduced </w:t>
      </w:r>
      <w:r w:rsidRPr="0077742B">
        <w:rPr>
          <w:rFonts w:eastAsia="Times New Roman" w:cs="Times New Roman"/>
          <w:sz w:val="20"/>
          <w:szCs w:val="20"/>
          <w:lang w:eastAsia="en-CA"/>
        </w:rPr>
        <w:noBreakHyphen/>
        <w:t xml:space="preserve"> Whether trial judge complied with first step, namely defining work at issue </w:t>
      </w:r>
      <w:r w:rsidRPr="0077742B">
        <w:rPr>
          <w:rFonts w:eastAsia="Times New Roman" w:cs="Times New Roman"/>
          <w:sz w:val="20"/>
          <w:szCs w:val="20"/>
          <w:lang w:eastAsia="en-CA"/>
        </w:rPr>
        <w:noBreakHyphen/>
        <w:t xml:space="preserve"> In application of second step, namely comparing two works, whether law allows court to rely on expert’s testimony to identify similarities not detected by average observer </w:t>
      </w:r>
      <w:r w:rsidRPr="0077742B">
        <w:rPr>
          <w:rFonts w:eastAsia="Times New Roman" w:cs="Times New Roman"/>
          <w:sz w:val="20"/>
          <w:szCs w:val="20"/>
          <w:lang w:eastAsia="en-CA"/>
        </w:rPr>
        <w:noBreakHyphen/>
        <w:t xml:space="preserve"> Whether, at second step of comparing two works, law requires that all similarities be taken into account </w:t>
      </w:r>
      <w:r w:rsidRPr="0077742B">
        <w:rPr>
          <w:rFonts w:eastAsia="Times New Roman" w:cs="Times New Roman"/>
          <w:sz w:val="20"/>
          <w:szCs w:val="20"/>
          <w:lang w:eastAsia="en-CA"/>
        </w:rPr>
        <w:noBreakHyphen/>
        <w:t xml:space="preserve"> Specifically, whether similarities relating to general character traits specific to genre, similarities in public domain and similarities based on idea must be disregarded </w:t>
      </w:r>
      <w:r w:rsidRPr="0077742B">
        <w:rPr>
          <w:rFonts w:eastAsia="Times New Roman" w:cs="Times New Roman"/>
          <w:sz w:val="20"/>
          <w:szCs w:val="20"/>
          <w:lang w:eastAsia="en-CA"/>
        </w:rPr>
        <w:noBreakHyphen/>
        <w:t xml:space="preserve"> Whether law requires that differences between two works be taken into account at second step.</w:t>
      </w:r>
    </w:p>
    <w:p w:rsidR="0077742B" w:rsidRPr="0077742B" w:rsidRDefault="0077742B" w:rsidP="0077742B">
      <w:pPr>
        <w:widowControl w:val="0"/>
        <w:jc w:val="both"/>
        <w:rPr>
          <w:rFonts w:eastAsia="Times New Roman" w:cs="Times New Roman"/>
          <w:sz w:val="20"/>
          <w:szCs w:val="20"/>
          <w:lang w:eastAsia="en-CA"/>
        </w:rPr>
      </w:pPr>
    </w:p>
    <w:p w:rsidR="0077742B" w:rsidRPr="0077742B" w:rsidRDefault="0077742B" w:rsidP="0077742B">
      <w:pPr>
        <w:jc w:val="both"/>
        <w:rPr>
          <w:rFonts w:eastAsia="Times New Roman" w:cs="Times New Roman"/>
          <w:sz w:val="20"/>
          <w:szCs w:val="20"/>
          <w:lang w:eastAsia="en-CA"/>
        </w:rPr>
      </w:pPr>
      <w:r w:rsidRPr="0077742B">
        <w:rPr>
          <w:rFonts w:eastAsia="Times New Roman" w:cs="Times New Roman"/>
          <w:sz w:val="20"/>
          <w:szCs w:val="20"/>
          <w:lang w:eastAsia="en-CA"/>
        </w:rPr>
        <w:t xml:space="preserve">In 1982, Claude Robinson, an artist, drew the first sketches of the characters for </w:t>
      </w:r>
      <w:proofErr w:type="gramStart"/>
      <w:r w:rsidRPr="0077742B">
        <w:rPr>
          <w:rFonts w:eastAsia="Times New Roman" w:cs="Times New Roman"/>
          <w:sz w:val="20"/>
          <w:szCs w:val="20"/>
          <w:lang w:eastAsia="en-CA"/>
        </w:rPr>
        <w:t>a proposed children’s</w:t>
      </w:r>
      <w:proofErr w:type="gramEnd"/>
      <w:r w:rsidRPr="0077742B">
        <w:rPr>
          <w:rFonts w:eastAsia="Times New Roman" w:cs="Times New Roman"/>
          <w:sz w:val="20"/>
          <w:szCs w:val="20"/>
          <w:lang w:eastAsia="en-CA"/>
        </w:rPr>
        <w:t xml:space="preserve"> television services to be called </w:t>
      </w:r>
      <w:r w:rsidRPr="0077742B">
        <w:rPr>
          <w:rFonts w:eastAsia="Times New Roman" w:cs="Times New Roman"/>
          <w:i/>
          <w:sz w:val="20"/>
          <w:szCs w:val="20"/>
          <w:lang w:eastAsia="en-CA"/>
        </w:rPr>
        <w:t>Robinson Curiosity</w:t>
      </w:r>
      <w:r w:rsidRPr="0077742B">
        <w:rPr>
          <w:rFonts w:eastAsia="Times New Roman" w:cs="Times New Roman"/>
          <w:sz w:val="20"/>
          <w:szCs w:val="20"/>
          <w:lang w:eastAsia="en-CA"/>
        </w:rPr>
        <w:t xml:space="preserve">.  A few years later, in 1985, the Copyright Office issued a certificate of registration for </w:t>
      </w:r>
      <w:r w:rsidRPr="0077742B">
        <w:rPr>
          <w:rFonts w:eastAsia="Times New Roman" w:cs="Times New Roman"/>
          <w:i/>
          <w:sz w:val="20"/>
          <w:szCs w:val="20"/>
          <w:lang w:eastAsia="en-CA"/>
        </w:rPr>
        <w:t>Robinson Curiosity</w:t>
      </w:r>
      <w:r w:rsidRPr="0077742B">
        <w:rPr>
          <w:rFonts w:eastAsia="Times New Roman" w:cs="Times New Roman"/>
          <w:sz w:val="20"/>
          <w:szCs w:val="20"/>
          <w:lang w:eastAsia="en-CA"/>
        </w:rPr>
        <w:t xml:space="preserve"> listing Mr. Robinson as the author of the work and Les Productions </w:t>
      </w:r>
      <w:proofErr w:type="spellStart"/>
      <w:r w:rsidRPr="0077742B">
        <w:rPr>
          <w:rFonts w:eastAsia="Times New Roman" w:cs="Times New Roman"/>
          <w:sz w:val="20"/>
          <w:szCs w:val="20"/>
          <w:lang w:eastAsia="en-CA"/>
        </w:rPr>
        <w:t>Nilem</w:t>
      </w:r>
      <w:proofErr w:type="spellEnd"/>
      <w:r w:rsidRPr="0077742B">
        <w:rPr>
          <w:rFonts w:eastAsia="Times New Roman" w:cs="Times New Roman"/>
          <w:sz w:val="20"/>
          <w:szCs w:val="20"/>
          <w:lang w:eastAsia="en-CA"/>
        </w:rPr>
        <w:t xml:space="preserve"> inc. (“</w:t>
      </w:r>
      <w:proofErr w:type="spellStart"/>
      <w:r w:rsidRPr="0077742B">
        <w:rPr>
          <w:rFonts w:eastAsia="Times New Roman" w:cs="Times New Roman"/>
          <w:sz w:val="20"/>
          <w:szCs w:val="20"/>
          <w:lang w:eastAsia="en-CA"/>
        </w:rPr>
        <w:t>Nilem</w:t>
      </w:r>
      <w:proofErr w:type="spellEnd"/>
      <w:r w:rsidRPr="0077742B">
        <w:rPr>
          <w:rFonts w:eastAsia="Times New Roman" w:cs="Times New Roman"/>
          <w:sz w:val="20"/>
          <w:szCs w:val="20"/>
          <w:lang w:eastAsia="en-CA"/>
        </w:rPr>
        <w:t>”), a corporation of which he was the sole shareholder, as the owner of the work.</w:t>
      </w:r>
    </w:p>
    <w:p w:rsidR="0077742B" w:rsidRPr="0077742B" w:rsidRDefault="0077742B" w:rsidP="0077742B">
      <w:pPr>
        <w:rPr>
          <w:rFonts w:eastAsia="Times New Roman" w:cs="Times New Roman"/>
          <w:sz w:val="20"/>
          <w:szCs w:val="20"/>
          <w:lang w:eastAsia="en-CA"/>
        </w:rPr>
      </w:pPr>
    </w:p>
    <w:p w:rsidR="0077742B" w:rsidRPr="0077742B" w:rsidRDefault="0077742B" w:rsidP="0077742B">
      <w:pPr>
        <w:jc w:val="both"/>
        <w:rPr>
          <w:rFonts w:eastAsia="Times New Roman" w:cs="Times New Roman"/>
          <w:sz w:val="20"/>
          <w:szCs w:val="20"/>
          <w:lang w:eastAsia="en-CA"/>
        </w:rPr>
      </w:pPr>
      <w:r w:rsidRPr="0077742B">
        <w:rPr>
          <w:rFonts w:eastAsia="Times New Roman" w:cs="Times New Roman"/>
          <w:sz w:val="20"/>
          <w:szCs w:val="20"/>
          <w:lang w:eastAsia="en-CA"/>
        </w:rPr>
        <w:t xml:space="preserve">Starting in 1985, Mr. Robinson and </w:t>
      </w:r>
      <w:proofErr w:type="spellStart"/>
      <w:r w:rsidRPr="0077742B">
        <w:rPr>
          <w:rFonts w:eastAsia="Times New Roman" w:cs="Times New Roman"/>
          <w:sz w:val="20"/>
          <w:szCs w:val="20"/>
          <w:lang w:eastAsia="en-CA"/>
        </w:rPr>
        <w:t>Nilem</w:t>
      </w:r>
      <w:proofErr w:type="spellEnd"/>
      <w:r w:rsidRPr="0077742B">
        <w:rPr>
          <w:rFonts w:eastAsia="Times New Roman" w:cs="Times New Roman"/>
          <w:sz w:val="20"/>
          <w:szCs w:val="20"/>
          <w:lang w:eastAsia="en-CA"/>
        </w:rPr>
        <w:t xml:space="preserve"> stepped up their efforts for the promotion and production of </w:t>
      </w:r>
      <w:r w:rsidRPr="0077742B">
        <w:rPr>
          <w:rFonts w:eastAsia="Times New Roman" w:cs="Times New Roman"/>
          <w:i/>
          <w:sz w:val="20"/>
          <w:szCs w:val="20"/>
          <w:lang w:eastAsia="en-CA"/>
        </w:rPr>
        <w:t>Robinson Curiosity</w:t>
      </w:r>
      <w:r w:rsidRPr="0077742B">
        <w:rPr>
          <w:rFonts w:eastAsia="Times New Roman" w:cs="Times New Roman"/>
          <w:sz w:val="20"/>
          <w:szCs w:val="20"/>
          <w:lang w:eastAsia="en-CA"/>
        </w:rPr>
        <w:t xml:space="preserve">, including with </w:t>
      </w:r>
      <w:proofErr w:type="spellStart"/>
      <w:r w:rsidRPr="0077742B">
        <w:rPr>
          <w:rFonts w:eastAsia="Times New Roman" w:cs="Times New Roman"/>
          <w:sz w:val="20"/>
          <w:szCs w:val="20"/>
          <w:lang w:eastAsia="en-CA"/>
        </w:rPr>
        <w:t>Cinar</w:t>
      </w:r>
      <w:proofErr w:type="spellEnd"/>
      <w:r w:rsidRPr="0077742B">
        <w:rPr>
          <w:rFonts w:eastAsia="Times New Roman" w:cs="Times New Roman"/>
          <w:sz w:val="20"/>
          <w:szCs w:val="20"/>
          <w:lang w:eastAsia="en-CA"/>
        </w:rPr>
        <w:t xml:space="preserve"> Corporation/</w:t>
      </w:r>
      <w:proofErr w:type="spellStart"/>
      <w:r w:rsidRPr="0077742B">
        <w:rPr>
          <w:rFonts w:eastAsia="Times New Roman" w:cs="Times New Roman"/>
          <w:sz w:val="20"/>
          <w:szCs w:val="20"/>
          <w:lang w:eastAsia="en-CA"/>
        </w:rPr>
        <w:t>Cinar</w:t>
      </w:r>
      <w:proofErr w:type="spellEnd"/>
      <w:r w:rsidRPr="0077742B">
        <w:rPr>
          <w:rFonts w:eastAsia="Times New Roman" w:cs="Times New Roman"/>
          <w:sz w:val="20"/>
          <w:szCs w:val="20"/>
          <w:lang w:eastAsia="en-CA"/>
        </w:rPr>
        <w:t xml:space="preserve"> Films Inc., but those efforts were unsuccessful for nearly 10 years.  In September 1995, however, the first episode of </w:t>
      </w:r>
      <w:r w:rsidRPr="0077742B">
        <w:rPr>
          <w:rFonts w:eastAsia="Times New Roman" w:cs="Times New Roman"/>
          <w:i/>
          <w:sz w:val="20"/>
          <w:szCs w:val="20"/>
          <w:lang w:eastAsia="en-CA"/>
        </w:rPr>
        <w:t>Robinson </w:t>
      </w:r>
      <w:proofErr w:type="spellStart"/>
      <w:r w:rsidRPr="0077742B">
        <w:rPr>
          <w:rFonts w:eastAsia="Times New Roman" w:cs="Times New Roman"/>
          <w:i/>
          <w:sz w:val="20"/>
          <w:szCs w:val="20"/>
          <w:lang w:eastAsia="en-CA"/>
        </w:rPr>
        <w:t>Sucroe</w:t>
      </w:r>
      <w:proofErr w:type="spellEnd"/>
      <w:r w:rsidRPr="0077742B">
        <w:rPr>
          <w:rFonts w:eastAsia="Times New Roman" w:cs="Times New Roman"/>
          <w:sz w:val="20"/>
          <w:szCs w:val="20"/>
          <w:lang w:eastAsia="en-CA"/>
        </w:rPr>
        <w:t xml:space="preserve">, a work produced by </w:t>
      </w:r>
      <w:proofErr w:type="spellStart"/>
      <w:r w:rsidRPr="0077742B">
        <w:rPr>
          <w:rFonts w:eastAsia="Times New Roman" w:cs="Times New Roman"/>
          <w:sz w:val="20"/>
          <w:szCs w:val="20"/>
          <w:lang w:eastAsia="en-CA"/>
        </w:rPr>
        <w:t>Cinar</w:t>
      </w:r>
      <w:proofErr w:type="spellEnd"/>
      <w:r w:rsidRPr="0077742B">
        <w:rPr>
          <w:rFonts w:eastAsia="Times New Roman" w:cs="Times New Roman"/>
          <w:sz w:val="20"/>
          <w:szCs w:val="20"/>
          <w:lang w:eastAsia="en-CA"/>
        </w:rPr>
        <w:t xml:space="preserve"> Corporation/</w:t>
      </w:r>
      <w:proofErr w:type="spellStart"/>
      <w:r w:rsidRPr="0077742B">
        <w:rPr>
          <w:rFonts w:eastAsia="Times New Roman" w:cs="Times New Roman"/>
          <w:sz w:val="20"/>
          <w:szCs w:val="20"/>
          <w:lang w:eastAsia="en-CA"/>
        </w:rPr>
        <w:t>Cinar</w:t>
      </w:r>
      <w:proofErr w:type="spellEnd"/>
      <w:r w:rsidRPr="0077742B">
        <w:rPr>
          <w:rFonts w:eastAsia="Times New Roman" w:cs="Times New Roman"/>
          <w:sz w:val="20"/>
          <w:szCs w:val="20"/>
          <w:lang w:eastAsia="en-CA"/>
        </w:rPr>
        <w:t xml:space="preserve"> Films Inc., France Animation S.A. and </w:t>
      </w:r>
      <w:proofErr w:type="spellStart"/>
      <w:r w:rsidRPr="0077742B">
        <w:rPr>
          <w:rFonts w:eastAsia="Times New Roman" w:cs="Times New Roman"/>
          <w:sz w:val="20"/>
          <w:szCs w:val="20"/>
          <w:lang w:eastAsia="en-CA"/>
        </w:rPr>
        <w:t>Ravensburger</w:t>
      </w:r>
      <w:proofErr w:type="spellEnd"/>
      <w:r w:rsidRPr="0077742B">
        <w:rPr>
          <w:rFonts w:eastAsia="Times New Roman" w:cs="Times New Roman"/>
          <w:sz w:val="20"/>
          <w:szCs w:val="20"/>
          <w:lang w:eastAsia="en-CA"/>
        </w:rPr>
        <w:t xml:space="preserve"> Film + TV GmbH, was broadcast in Quebec.</w:t>
      </w:r>
    </w:p>
    <w:p w:rsidR="0077742B" w:rsidRPr="0077742B" w:rsidRDefault="0077742B" w:rsidP="0077742B">
      <w:pPr>
        <w:rPr>
          <w:rFonts w:eastAsia="Times New Roman" w:cs="Times New Roman"/>
          <w:sz w:val="20"/>
          <w:szCs w:val="20"/>
          <w:lang w:eastAsia="en-CA"/>
        </w:rPr>
      </w:pPr>
    </w:p>
    <w:p w:rsidR="0077742B" w:rsidRPr="0077742B" w:rsidRDefault="0077742B" w:rsidP="0077742B">
      <w:pPr>
        <w:jc w:val="both"/>
        <w:rPr>
          <w:rFonts w:eastAsia="Times New Roman" w:cs="Times New Roman"/>
          <w:sz w:val="20"/>
          <w:szCs w:val="20"/>
          <w:lang w:eastAsia="en-CA"/>
        </w:rPr>
      </w:pPr>
      <w:r w:rsidRPr="0077742B">
        <w:rPr>
          <w:rFonts w:eastAsia="Times New Roman" w:cs="Times New Roman"/>
          <w:sz w:val="20"/>
          <w:szCs w:val="20"/>
          <w:lang w:eastAsia="en-CA"/>
        </w:rPr>
        <w:t xml:space="preserve">Since Mr. Robinson and </w:t>
      </w:r>
      <w:proofErr w:type="spellStart"/>
      <w:r w:rsidRPr="0077742B">
        <w:rPr>
          <w:rFonts w:eastAsia="Times New Roman" w:cs="Times New Roman"/>
          <w:sz w:val="20"/>
          <w:szCs w:val="20"/>
          <w:lang w:eastAsia="en-CA"/>
        </w:rPr>
        <w:t>Nilem</w:t>
      </w:r>
      <w:proofErr w:type="spellEnd"/>
      <w:r w:rsidRPr="0077742B">
        <w:rPr>
          <w:rFonts w:eastAsia="Times New Roman" w:cs="Times New Roman"/>
          <w:sz w:val="20"/>
          <w:szCs w:val="20"/>
          <w:lang w:eastAsia="en-CA"/>
        </w:rPr>
        <w:t xml:space="preserve"> found similarities between their work, </w:t>
      </w:r>
      <w:r w:rsidRPr="0077742B">
        <w:rPr>
          <w:rFonts w:eastAsia="Times New Roman" w:cs="Times New Roman"/>
          <w:i/>
          <w:sz w:val="20"/>
          <w:szCs w:val="20"/>
          <w:lang w:eastAsia="en-CA"/>
        </w:rPr>
        <w:t>Robinson Curiosity</w:t>
      </w:r>
      <w:r w:rsidRPr="0077742B">
        <w:rPr>
          <w:rFonts w:eastAsia="Times New Roman" w:cs="Times New Roman"/>
          <w:sz w:val="20"/>
          <w:szCs w:val="20"/>
          <w:lang w:eastAsia="en-CA"/>
        </w:rPr>
        <w:t xml:space="preserve">, and the work produced as </w:t>
      </w:r>
      <w:r w:rsidRPr="0077742B">
        <w:rPr>
          <w:rFonts w:eastAsia="Times New Roman" w:cs="Times New Roman"/>
          <w:i/>
          <w:sz w:val="20"/>
          <w:szCs w:val="20"/>
          <w:lang w:eastAsia="en-CA"/>
        </w:rPr>
        <w:t xml:space="preserve">Robinson </w:t>
      </w:r>
      <w:proofErr w:type="spellStart"/>
      <w:r w:rsidRPr="0077742B">
        <w:rPr>
          <w:rFonts w:eastAsia="Times New Roman" w:cs="Times New Roman"/>
          <w:i/>
          <w:sz w:val="20"/>
          <w:szCs w:val="20"/>
          <w:lang w:eastAsia="en-CA"/>
        </w:rPr>
        <w:t>Sucroe</w:t>
      </w:r>
      <w:proofErr w:type="spellEnd"/>
      <w:r w:rsidRPr="0077742B">
        <w:rPr>
          <w:rFonts w:eastAsia="Times New Roman" w:cs="Times New Roman"/>
          <w:sz w:val="20"/>
          <w:szCs w:val="20"/>
          <w:lang w:eastAsia="en-CA"/>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77742B" w:rsidRPr="0077742B" w:rsidRDefault="0077742B" w:rsidP="0077742B">
      <w:pPr>
        <w:widowControl w:val="0"/>
        <w:jc w:val="both"/>
        <w:rPr>
          <w:rFonts w:eastAsia="Times New Roman" w:cs="Times New Roman"/>
          <w:sz w:val="20"/>
          <w:szCs w:val="20"/>
          <w:lang w:eastAsia="en-CA"/>
        </w:rPr>
      </w:pPr>
    </w:p>
    <w:p w:rsidR="0077742B" w:rsidRPr="0077742B" w:rsidRDefault="0077742B" w:rsidP="0077742B">
      <w:pPr>
        <w:widowControl w:val="0"/>
        <w:jc w:val="both"/>
        <w:rPr>
          <w:rFonts w:eastAsia="Times New Roman" w:cs="Times New Roman"/>
          <w:sz w:val="20"/>
          <w:szCs w:val="20"/>
          <w:lang w:eastAsia="en-CA"/>
        </w:rPr>
      </w:pPr>
    </w:p>
    <w:p w:rsidR="0077742B" w:rsidRPr="0077742B" w:rsidRDefault="0077742B" w:rsidP="0077742B">
      <w:pPr>
        <w:widowControl w:val="0"/>
        <w:ind w:left="2880" w:hanging="2880"/>
        <w:jc w:val="both"/>
        <w:rPr>
          <w:rFonts w:eastAsia="Times New Roman" w:cs="Times New Roman"/>
          <w:sz w:val="20"/>
          <w:szCs w:val="20"/>
          <w:lang w:eastAsia="en-CA"/>
        </w:rPr>
      </w:pPr>
      <w:r w:rsidRPr="0077742B">
        <w:rPr>
          <w:rFonts w:eastAsia="Times New Roman" w:cs="Times New Roman"/>
          <w:sz w:val="20"/>
          <w:szCs w:val="20"/>
          <w:lang w:eastAsia="en-CA"/>
        </w:rPr>
        <w:t>Origin of the case:</w:t>
      </w:r>
      <w:r w:rsidRPr="0077742B">
        <w:rPr>
          <w:rFonts w:eastAsia="Times New Roman" w:cs="Times New Roman"/>
          <w:sz w:val="20"/>
          <w:szCs w:val="20"/>
          <w:lang w:eastAsia="en-CA"/>
        </w:rPr>
        <w:tab/>
        <w:t>Quebec</w:t>
      </w:r>
    </w:p>
    <w:p w:rsidR="0077742B" w:rsidRPr="0077742B" w:rsidRDefault="0077742B" w:rsidP="0077742B">
      <w:pPr>
        <w:widowControl w:val="0"/>
        <w:ind w:left="2880" w:hanging="2880"/>
        <w:jc w:val="both"/>
        <w:rPr>
          <w:rFonts w:eastAsia="Times New Roman" w:cs="Times New Roman"/>
          <w:sz w:val="20"/>
          <w:szCs w:val="20"/>
          <w:lang w:eastAsia="en-CA"/>
        </w:rPr>
      </w:pPr>
    </w:p>
    <w:p w:rsidR="0077742B" w:rsidRPr="0077742B" w:rsidRDefault="0077742B" w:rsidP="0077742B">
      <w:pPr>
        <w:widowControl w:val="0"/>
        <w:ind w:left="2880" w:hanging="2880"/>
        <w:jc w:val="both"/>
        <w:rPr>
          <w:rFonts w:eastAsia="Times New Roman" w:cs="Times New Roman"/>
          <w:sz w:val="20"/>
          <w:szCs w:val="20"/>
          <w:lang w:eastAsia="en-CA"/>
        </w:rPr>
      </w:pPr>
      <w:r w:rsidRPr="0077742B">
        <w:rPr>
          <w:rFonts w:eastAsia="Times New Roman" w:cs="Times New Roman"/>
          <w:sz w:val="20"/>
          <w:szCs w:val="20"/>
          <w:lang w:eastAsia="en-CA"/>
        </w:rPr>
        <w:t>File No.:</w:t>
      </w:r>
      <w:r w:rsidRPr="0077742B">
        <w:rPr>
          <w:rFonts w:eastAsia="Times New Roman" w:cs="Times New Roman"/>
          <w:sz w:val="20"/>
          <w:szCs w:val="20"/>
          <w:lang w:eastAsia="en-CA"/>
        </w:rPr>
        <w:tab/>
        <w:t>34468</w:t>
      </w:r>
    </w:p>
    <w:p w:rsidR="0077742B" w:rsidRPr="0077742B" w:rsidRDefault="0077742B" w:rsidP="0077742B">
      <w:pPr>
        <w:widowControl w:val="0"/>
        <w:ind w:left="2880" w:hanging="2880"/>
        <w:jc w:val="both"/>
        <w:rPr>
          <w:rFonts w:eastAsia="Times New Roman" w:cs="Times New Roman"/>
          <w:sz w:val="20"/>
          <w:szCs w:val="20"/>
          <w:lang w:eastAsia="en-CA"/>
        </w:rPr>
      </w:pPr>
    </w:p>
    <w:p w:rsidR="0077742B" w:rsidRPr="0077742B" w:rsidRDefault="0077742B" w:rsidP="0077742B">
      <w:pPr>
        <w:widowControl w:val="0"/>
        <w:ind w:left="2880" w:hanging="2880"/>
        <w:jc w:val="both"/>
        <w:rPr>
          <w:rFonts w:eastAsia="Times New Roman" w:cs="Times New Roman"/>
          <w:sz w:val="20"/>
          <w:szCs w:val="20"/>
          <w:lang w:eastAsia="en-CA"/>
        </w:rPr>
      </w:pPr>
      <w:r w:rsidRPr="0077742B">
        <w:rPr>
          <w:rFonts w:eastAsia="Times New Roman" w:cs="Times New Roman"/>
          <w:sz w:val="20"/>
          <w:szCs w:val="20"/>
          <w:lang w:eastAsia="en-CA"/>
        </w:rPr>
        <w:t>Judgment of the Court of Appeal:</w:t>
      </w:r>
      <w:r w:rsidRPr="0077742B">
        <w:rPr>
          <w:rFonts w:eastAsia="Times New Roman" w:cs="Times New Roman"/>
          <w:sz w:val="20"/>
          <w:szCs w:val="20"/>
          <w:lang w:eastAsia="en-CA"/>
        </w:rPr>
        <w:tab/>
        <w:t>July 20, 2011</w:t>
      </w:r>
    </w:p>
    <w:p w:rsidR="0077742B" w:rsidRPr="0077742B" w:rsidRDefault="0077742B" w:rsidP="0077742B">
      <w:pPr>
        <w:widowControl w:val="0"/>
        <w:ind w:left="2880" w:hanging="2880"/>
        <w:jc w:val="both"/>
        <w:rPr>
          <w:rFonts w:eastAsia="Times New Roman" w:cs="Times New Roman"/>
          <w:sz w:val="20"/>
          <w:szCs w:val="20"/>
          <w:lang w:eastAsia="en-CA"/>
        </w:rPr>
      </w:pPr>
    </w:p>
    <w:p w:rsidR="0077742B" w:rsidRPr="0077742B" w:rsidRDefault="0077742B" w:rsidP="0077742B">
      <w:pPr>
        <w:widowControl w:val="0"/>
        <w:ind w:left="2880" w:hanging="2880"/>
        <w:jc w:val="both"/>
        <w:rPr>
          <w:rFonts w:eastAsia="Times New Roman" w:cs="Times New Roman"/>
          <w:sz w:val="20"/>
          <w:szCs w:val="20"/>
          <w:lang w:eastAsia="en-CA"/>
        </w:rPr>
      </w:pPr>
      <w:r w:rsidRPr="0077742B">
        <w:rPr>
          <w:rFonts w:eastAsia="Times New Roman" w:cs="Times New Roman"/>
          <w:sz w:val="20"/>
          <w:szCs w:val="20"/>
          <w:lang w:eastAsia="en-CA"/>
        </w:rPr>
        <w:t>Counsel:</w:t>
      </w:r>
      <w:r w:rsidRPr="0077742B">
        <w:rPr>
          <w:rFonts w:eastAsia="Times New Roman" w:cs="Times New Roman"/>
          <w:sz w:val="20"/>
          <w:szCs w:val="20"/>
          <w:lang w:eastAsia="en-CA"/>
        </w:rPr>
        <w:tab/>
        <w:t xml:space="preserve">Pierre Y. Lefebvre, Alain Y. </w:t>
      </w:r>
      <w:proofErr w:type="spellStart"/>
      <w:r w:rsidRPr="0077742B">
        <w:rPr>
          <w:rFonts w:eastAsia="Times New Roman" w:cs="Times New Roman"/>
          <w:sz w:val="20"/>
          <w:szCs w:val="20"/>
          <w:lang w:eastAsia="en-CA"/>
        </w:rPr>
        <w:t>Dussault</w:t>
      </w:r>
      <w:proofErr w:type="spellEnd"/>
      <w:r w:rsidRPr="0077742B">
        <w:rPr>
          <w:rFonts w:eastAsia="Times New Roman" w:cs="Times New Roman"/>
          <w:sz w:val="20"/>
          <w:szCs w:val="20"/>
          <w:lang w:eastAsia="en-CA"/>
        </w:rPr>
        <w:t xml:space="preserve"> and </w:t>
      </w:r>
      <w:proofErr w:type="spellStart"/>
      <w:r w:rsidRPr="0077742B">
        <w:rPr>
          <w:rFonts w:eastAsia="Times New Roman" w:cs="Times New Roman"/>
          <w:sz w:val="20"/>
          <w:szCs w:val="20"/>
          <w:lang w:eastAsia="en-CA"/>
        </w:rPr>
        <w:t>Silviu</w:t>
      </w:r>
      <w:proofErr w:type="spellEnd"/>
      <w:r w:rsidRPr="0077742B">
        <w:rPr>
          <w:rFonts w:eastAsia="Times New Roman" w:cs="Times New Roman"/>
          <w:sz w:val="20"/>
          <w:szCs w:val="20"/>
          <w:lang w:eastAsia="en-CA"/>
        </w:rPr>
        <w:t xml:space="preserve"> </w:t>
      </w:r>
      <w:proofErr w:type="spellStart"/>
      <w:r w:rsidRPr="0077742B">
        <w:rPr>
          <w:rFonts w:eastAsia="Times New Roman" w:cs="Times New Roman"/>
          <w:sz w:val="20"/>
          <w:szCs w:val="20"/>
          <w:lang w:eastAsia="en-CA"/>
        </w:rPr>
        <w:t>Bursenascu</w:t>
      </w:r>
      <w:proofErr w:type="spellEnd"/>
      <w:r w:rsidRPr="0077742B">
        <w:rPr>
          <w:rFonts w:eastAsia="Times New Roman" w:cs="Times New Roman"/>
          <w:sz w:val="20"/>
          <w:szCs w:val="20"/>
          <w:lang w:eastAsia="en-CA"/>
        </w:rPr>
        <w:t xml:space="preserve"> for the appellants</w:t>
      </w:r>
    </w:p>
    <w:p w:rsidR="0077742B" w:rsidRPr="0077742B" w:rsidRDefault="0077742B" w:rsidP="0077742B">
      <w:pPr>
        <w:widowControl w:val="0"/>
        <w:ind w:left="2880" w:hanging="2880"/>
        <w:jc w:val="both"/>
        <w:rPr>
          <w:rFonts w:eastAsia="Times New Roman" w:cs="Times New Roman"/>
          <w:sz w:val="20"/>
          <w:szCs w:val="20"/>
          <w:lang w:eastAsia="en-CA"/>
        </w:rPr>
      </w:pPr>
      <w:r w:rsidRPr="0077742B">
        <w:rPr>
          <w:rFonts w:eastAsia="Times New Roman" w:cs="Times New Roman"/>
          <w:sz w:val="20"/>
          <w:szCs w:val="20"/>
          <w:lang w:eastAsia="en-CA"/>
        </w:rPr>
        <w:tab/>
        <w:t xml:space="preserve">Gilles M. Daigle and Guy </w:t>
      </w:r>
      <w:proofErr w:type="spellStart"/>
      <w:r w:rsidRPr="0077742B">
        <w:rPr>
          <w:rFonts w:eastAsia="Times New Roman" w:cs="Times New Roman"/>
          <w:sz w:val="20"/>
          <w:szCs w:val="20"/>
          <w:lang w:eastAsia="en-CA"/>
        </w:rPr>
        <w:t>Régimbald</w:t>
      </w:r>
      <w:proofErr w:type="spellEnd"/>
      <w:r w:rsidRPr="0077742B">
        <w:rPr>
          <w:rFonts w:eastAsia="Times New Roman" w:cs="Times New Roman"/>
          <w:sz w:val="20"/>
          <w:szCs w:val="20"/>
          <w:lang w:eastAsia="en-CA"/>
        </w:rPr>
        <w:t xml:space="preserve"> for the respondents</w:t>
      </w:r>
    </w:p>
    <w:p w:rsidR="003320D5" w:rsidRPr="0077742B"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0"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284766" w:rsidRPr="00284766" w:rsidRDefault="00F008AC" w:rsidP="00284766">
      <w:pPr>
        <w:widowControl w:val="0"/>
        <w:ind w:left="720" w:hanging="720"/>
        <w:rPr>
          <w:rFonts w:eastAsia="Times New Roman" w:cs="Times New Roman"/>
          <w:b/>
          <w:i/>
          <w:sz w:val="20"/>
          <w:szCs w:val="20"/>
          <w:lang w:val="fr-CA" w:eastAsia="en-CA"/>
        </w:rPr>
      </w:pPr>
      <w:r w:rsidRPr="00F008AC">
        <w:rPr>
          <w:rFonts w:eastAsia="Times New Roman" w:cs="Times New Roman"/>
          <w:b/>
          <w:sz w:val="20"/>
          <w:szCs w:val="20"/>
          <w:lang w:val="fr-CA" w:eastAsia="en-CA"/>
        </w:rPr>
        <w:lastRenderedPageBreak/>
        <w:fldChar w:fldCharType="begin"/>
      </w:r>
      <w:r w:rsidR="00284766" w:rsidRPr="00284766">
        <w:rPr>
          <w:rFonts w:eastAsia="Times New Roman" w:cs="Times New Roman"/>
          <w:b/>
          <w:sz w:val="20"/>
          <w:szCs w:val="20"/>
          <w:lang w:val="fr-CA" w:eastAsia="en-CA"/>
        </w:rPr>
        <w:instrText xml:space="preserve"> SEQ CHAPTER \h \r 1</w:instrText>
      </w:r>
      <w:r w:rsidRPr="00284766">
        <w:rPr>
          <w:rFonts w:eastAsia="Times New Roman" w:cs="Times New Roman"/>
          <w:b/>
          <w:sz w:val="20"/>
          <w:szCs w:val="20"/>
          <w:lang w:val="en-US" w:eastAsia="en-CA"/>
        </w:rPr>
        <w:fldChar w:fldCharType="end"/>
      </w:r>
      <w:r w:rsidR="00284766" w:rsidRPr="00284766">
        <w:rPr>
          <w:rFonts w:eastAsia="Times New Roman" w:cs="Times New Roman"/>
          <w:b/>
          <w:sz w:val="20"/>
          <w:szCs w:val="20"/>
          <w:lang w:val="fr-CA" w:eastAsia="en-CA"/>
        </w:rPr>
        <w:t>34468</w:t>
      </w:r>
      <w:r w:rsidR="00284766">
        <w:rPr>
          <w:rFonts w:eastAsia="Times New Roman" w:cs="Times New Roman"/>
          <w:b/>
          <w:sz w:val="20"/>
          <w:szCs w:val="20"/>
          <w:lang w:val="fr-CA" w:eastAsia="en-CA"/>
        </w:rPr>
        <w:tab/>
      </w:r>
      <w:r w:rsidR="00284766" w:rsidRPr="00284766">
        <w:rPr>
          <w:rFonts w:eastAsia="Times New Roman" w:cs="Times New Roman"/>
          <w:b/>
          <w:i/>
          <w:sz w:val="20"/>
          <w:szCs w:val="20"/>
          <w:lang w:val="fr-CA" w:eastAsia="en-CA"/>
        </w:rPr>
        <w:t xml:space="preserve">Christophe Izard, France Animation S.A., Ravensburger Film + TV </w:t>
      </w:r>
      <w:proofErr w:type="spellStart"/>
      <w:r w:rsidR="00284766" w:rsidRPr="00284766">
        <w:rPr>
          <w:rFonts w:eastAsia="Times New Roman" w:cs="Times New Roman"/>
          <w:b/>
          <w:i/>
          <w:sz w:val="20"/>
          <w:szCs w:val="20"/>
          <w:lang w:val="fr-CA" w:eastAsia="en-CA"/>
        </w:rPr>
        <w:t>GmbH</w:t>
      </w:r>
      <w:proofErr w:type="spellEnd"/>
      <w:r w:rsidR="00284766" w:rsidRPr="00284766">
        <w:rPr>
          <w:rFonts w:eastAsia="Times New Roman" w:cs="Times New Roman"/>
          <w:b/>
          <w:i/>
          <w:sz w:val="20"/>
          <w:szCs w:val="20"/>
          <w:lang w:val="fr-CA" w:eastAsia="en-CA"/>
        </w:rPr>
        <w:t xml:space="preserve"> et RTV </w:t>
      </w:r>
      <w:proofErr w:type="spellStart"/>
      <w:r w:rsidR="00284766" w:rsidRPr="00284766">
        <w:rPr>
          <w:rFonts w:eastAsia="Times New Roman" w:cs="Times New Roman"/>
          <w:b/>
          <w:i/>
          <w:sz w:val="20"/>
          <w:szCs w:val="20"/>
          <w:lang w:val="fr-CA" w:eastAsia="en-CA"/>
        </w:rPr>
        <w:t>Family</w:t>
      </w:r>
      <w:proofErr w:type="spellEnd"/>
      <w:r w:rsidR="00284766" w:rsidRPr="00284766">
        <w:rPr>
          <w:rFonts w:eastAsia="Times New Roman" w:cs="Times New Roman"/>
          <w:b/>
          <w:i/>
          <w:sz w:val="20"/>
          <w:szCs w:val="20"/>
          <w:lang w:val="fr-CA" w:eastAsia="en-CA"/>
        </w:rPr>
        <w:t xml:space="preserve"> Entertainment AG c. Claude Robinson et Les Productions </w:t>
      </w:r>
      <w:proofErr w:type="spellStart"/>
      <w:r w:rsidR="00284766" w:rsidRPr="00284766">
        <w:rPr>
          <w:rFonts w:eastAsia="Times New Roman" w:cs="Times New Roman"/>
          <w:b/>
          <w:i/>
          <w:sz w:val="20"/>
          <w:szCs w:val="20"/>
          <w:lang w:val="fr-CA" w:eastAsia="en-CA"/>
        </w:rPr>
        <w:t>Nilem</w:t>
      </w:r>
      <w:proofErr w:type="spellEnd"/>
      <w:r w:rsidR="00284766" w:rsidRPr="00284766">
        <w:rPr>
          <w:rFonts w:eastAsia="Times New Roman" w:cs="Times New Roman"/>
          <w:b/>
          <w:i/>
          <w:sz w:val="20"/>
          <w:szCs w:val="20"/>
          <w:lang w:val="fr-CA" w:eastAsia="en-CA"/>
        </w:rPr>
        <w:t xml:space="preserve"> Inc.</w:t>
      </w:r>
    </w:p>
    <w:p w:rsidR="00284766" w:rsidRPr="00284766" w:rsidRDefault="00284766" w:rsidP="00284766">
      <w:pPr>
        <w:rPr>
          <w:rFonts w:eastAsia="Times New Roman" w:cs="Times New Roman"/>
          <w:sz w:val="20"/>
          <w:szCs w:val="20"/>
          <w:lang w:val="fr-CA" w:eastAsia="en-CA"/>
        </w:rPr>
      </w:pPr>
    </w:p>
    <w:p w:rsidR="00284766" w:rsidRPr="00284766" w:rsidRDefault="00284766" w:rsidP="00284766">
      <w:pPr>
        <w:jc w:val="both"/>
        <w:rPr>
          <w:rFonts w:eastAsia="Times New Roman" w:cs="Times New Roman"/>
          <w:sz w:val="20"/>
          <w:szCs w:val="20"/>
          <w:lang w:val="fr-CA" w:eastAsia="en-CA"/>
        </w:rPr>
      </w:pPr>
      <w:r w:rsidRPr="00284766">
        <w:rPr>
          <w:rFonts w:eastAsia="Times New Roman" w:cs="Times New Roman"/>
          <w:sz w:val="20"/>
          <w:szCs w:val="20"/>
          <w:lang w:val="fr-CA" w:eastAsia="en-CA"/>
        </w:rPr>
        <w:t xml:space="preserve">Propriété intellectuelle </w:t>
      </w:r>
      <w:r w:rsidRPr="00284766">
        <w:rPr>
          <w:rFonts w:eastAsia="Times New Roman" w:cs="Times New Roman"/>
          <w:sz w:val="20"/>
          <w:szCs w:val="20"/>
          <w:lang w:val="fr-CA" w:eastAsia="en-CA"/>
        </w:rPr>
        <w:noBreakHyphen/>
        <w:t xml:space="preserve"> </w:t>
      </w:r>
      <w:r w:rsidRPr="00284766">
        <w:rPr>
          <w:rFonts w:eastAsia="Times New Roman" w:cs="Times New Roman"/>
          <w:i/>
          <w:sz w:val="20"/>
          <w:szCs w:val="20"/>
          <w:lang w:val="fr-CA" w:eastAsia="en-CA"/>
        </w:rPr>
        <w:t>Loi sur le droit d’auteur</w:t>
      </w:r>
      <w:r w:rsidRPr="00284766">
        <w:rPr>
          <w:rFonts w:eastAsia="Times New Roman" w:cs="Times New Roman"/>
          <w:sz w:val="20"/>
          <w:szCs w:val="20"/>
          <w:lang w:val="fr-CA" w:eastAsia="en-CA"/>
        </w:rPr>
        <w:t>, L.R.C. (1985), c. C</w:t>
      </w:r>
      <w:r w:rsidRPr="00284766">
        <w:rPr>
          <w:rFonts w:eastAsia="Times New Roman" w:cs="Times New Roman"/>
          <w:sz w:val="20"/>
          <w:szCs w:val="20"/>
          <w:lang w:val="fr-CA" w:eastAsia="en-CA"/>
        </w:rPr>
        <w:noBreakHyphen/>
        <w:t xml:space="preserve">42 </w:t>
      </w:r>
      <w:r w:rsidRPr="00284766">
        <w:rPr>
          <w:rFonts w:eastAsia="Times New Roman" w:cs="Times New Roman"/>
          <w:sz w:val="20"/>
          <w:szCs w:val="20"/>
          <w:lang w:val="fr-CA" w:eastAsia="en-CA"/>
        </w:rPr>
        <w:noBreakHyphen/>
        <w:t xml:space="preserve"> Contrefaçon </w:t>
      </w:r>
      <w:r w:rsidRPr="00284766">
        <w:rPr>
          <w:rFonts w:eastAsia="Times New Roman" w:cs="Times New Roman"/>
          <w:sz w:val="20"/>
          <w:szCs w:val="20"/>
          <w:lang w:val="fr-CA" w:eastAsia="en-CA"/>
        </w:rPr>
        <w:noBreakHyphen/>
        <w:t xml:space="preserve"> Preuve </w:t>
      </w:r>
      <w:r w:rsidRPr="00284766">
        <w:rPr>
          <w:rFonts w:eastAsia="Times New Roman" w:cs="Times New Roman"/>
          <w:sz w:val="20"/>
          <w:szCs w:val="20"/>
          <w:lang w:val="fr-CA" w:eastAsia="en-CA"/>
        </w:rPr>
        <w:noBreakHyphen/>
        <w:t xml:space="preserve"> Étapes et critères applicables en matière de reprise d’une partie importante ou substantielle d’une œuvre au sens des articles 2 et 3 de la </w:t>
      </w:r>
      <w:r w:rsidRPr="00284766">
        <w:rPr>
          <w:rFonts w:eastAsia="Times New Roman" w:cs="Times New Roman"/>
          <w:i/>
          <w:sz w:val="20"/>
          <w:szCs w:val="20"/>
          <w:lang w:val="fr-CA" w:eastAsia="en-CA"/>
        </w:rPr>
        <w:t>Loi sur le droit d’auteur</w:t>
      </w:r>
      <w:r w:rsidRPr="00284766">
        <w:rPr>
          <w:rFonts w:eastAsia="Times New Roman" w:cs="Times New Roman"/>
          <w:sz w:val="20"/>
          <w:szCs w:val="20"/>
          <w:lang w:val="fr-CA" w:eastAsia="en-CA"/>
        </w:rPr>
        <w:t xml:space="preserve"> </w:t>
      </w:r>
      <w:r w:rsidRPr="00284766">
        <w:rPr>
          <w:rFonts w:eastAsia="Times New Roman" w:cs="Times New Roman"/>
          <w:sz w:val="20"/>
          <w:szCs w:val="20"/>
          <w:lang w:val="fr-CA" w:eastAsia="en-CA"/>
        </w:rPr>
        <w:noBreakHyphen/>
        <w:t xml:space="preserve"> Admissibilité du témoignage d’un expert quant à la reprise d’une partie importante ou substantielle d’une œuvre au sens des articles 2 et 3 de la </w:t>
      </w:r>
      <w:r w:rsidRPr="00284766">
        <w:rPr>
          <w:rFonts w:eastAsia="Times New Roman" w:cs="Times New Roman"/>
          <w:i/>
          <w:sz w:val="20"/>
          <w:szCs w:val="20"/>
          <w:lang w:val="fr-CA" w:eastAsia="en-CA"/>
        </w:rPr>
        <w:t>Loi sur le droit d’auteur</w:t>
      </w:r>
      <w:r w:rsidRPr="00284766">
        <w:rPr>
          <w:rFonts w:eastAsia="Times New Roman" w:cs="Times New Roman"/>
          <w:sz w:val="20"/>
          <w:szCs w:val="20"/>
          <w:lang w:val="fr-CA" w:eastAsia="en-CA"/>
        </w:rPr>
        <w:t xml:space="preserve"> </w:t>
      </w:r>
      <w:r w:rsidRPr="00284766">
        <w:rPr>
          <w:rFonts w:eastAsia="Times New Roman" w:cs="Times New Roman"/>
          <w:sz w:val="20"/>
          <w:szCs w:val="20"/>
          <w:lang w:val="fr-CA" w:eastAsia="en-CA"/>
        </w:rPr>
        <w:noBreakHyphen/>
        <w:t xml:space="preserve"> Quelles sont en droit les étapes qui permettent d’évaluer s’il y a reprise d’une partie importante d’une œuvre? </w:t>
      </w:r>
      <w:r w:rsidRPr="00284766">
        <w:rPr>
          <w:rFonts w:eastAsia="Times New Roman" w:cs="Times New Roman"/>
          <w:sz w:val="20"/>
          <w:szCs w:val="20"/>
          <w:lang w:val="fr-CA" w:eastAsia="en-CA"/>
        </w:rPr>
        <w:noBreakHyphen/>
        <w:t xml:space="preserve"> Le juge de première instance </w:t>
      </w:r>
      <w:proofErr w:type="spellStart"/>
      <w:r w:rsidRPr="00284766">
        <w:rPr>
          <w:rFonts w:eastAsia="Times New Roman" w:cs="Times New Roman"/>
          <w:sz w:val="20"/>
          <w:szCs w:val="20"/>
          <w:lang w:val="fr-CA" w:eastAsia="en-CA"/>
        </w:rPr>
        <w:t>a</w:t>
      </w:r>
      <w:r w:rsidRPr="00284766">
        <w:rPr>
          <w:rFonts w:eastAsia="Times New Roman" w:cs="Times New Roman"/>
          <w:sz w:val="20"/>
          <w:szCs w:val="20"/>
          <w:lang w:val="fr-CA" w:eastAsia="en-CA"/>
        </w:rPr>
        <w:noBreakHyphen/>
        <w:t>t</w:t>
      </w:r>
      <w:r w:rsidRPr="00284766">
        <w:rPr>
          <w:rFonts w:eastAsia="Times New Roman" w:cs="Times New Roman"/>
          <w:sz w:val="20"/>
          <w:szCs w:val="20"/>
          <w:lang w:val="fr-CA" w:eastAsia="en-CA"/>
        </w:rPr>
        <w:noBreakHyphen/>
        <w:t>il</w:t>
      </w:r>
      <w:proofErr w:type="spellEnd"/>
      <w:r w:rsidRPr="00284766">
        <w:rPr>
          <w:rFonts w:eastAsia="Times New Roman" w:cs="Times New Roman"/>
          <w:sz w:val="20"/>
          <w:szCs w:val="20"/>
          <w:lang w:val="fr-CA" w:eastAsia="en-CA"/>
        </w:rPr>
        <w:t xml:space="preserve"> respecté la première de ces étapes, soit celle de définir l’œuvre en cause? </w:t>
      </w:r>
      <w:r w:rsidRPr="00284766">
        <w:rPr>
          <w:rFonts w:eastAsia="Times New Roman" w:cs="Times New Roman"/>
          <w:sz w:val="20"/>
          <w:szCs w:val="20"/>
          <w:lang w:val="fr-CA" w:eastAsia="en-CA"/>
        </w:rPr>
        <w:noBreakHyphen/>
        <w:t xml:space="preserve"> Pour procéder à la deuxième étape, soit celle de comparer les deux œuvres, la Cour </w:t>
      </w:r>
      <w:proofErr w:type="spellStart"/>
      <w:r w:rsidRPr="00284766">
        <w:rPr>
          <w:rFonts w:eastAsia="Times New Roman" w:cs="Times New Roman"/>
          <w:sz w:val="20"/>
          <w:szCs w:val="20"/>
          <w:lang w:val="fr-CA" w:eastAsia="en-CA"/>
        </w:rPr>
        <w:t>peut</w:t>
      </w:r>
      <w:r w:rsidRPr="00284766">
        <w:rPr>
          <w:rFonts w:eastAsia="Times New Roman" w:cs="Times New Roman"/>
          <w:sz w:val="20"/>
          <w:szCs w:val="20"/>
          <w:lang w:val="fr-CA" w:eastAsia="en-CA"/>
        </w:rPr>
        <w:noBreakHyphen/>
        <w:t>elle</w:t>
      </w:r>
      <w:proofErr w:type="spellEnd"/>
      <w:r w:rsidRPr="00284766">
        <w:rPr>
          <w:rFonts w:eastAsia="Times New Roman" w:cs="Times New Roman"/>
          <w:sz w:val="20"/>
          <w:szCs w:val="20"/>
          <w:lang w:val="fr-CA" w:eastAsia="en-CA"/>
        </w:rPr>
        <w:t xml:space="preserve"> se fonder en droit sur le témoignage d’un expert pour identifier des similitudes que l’observateur moyen ne perçoit pas? </w:t>
      </w:r>
      <w:r w:rsidRPr="00284766">
        <w:rPr>
          <w:rFonts w:eastAsia="Times New Roman" w:cs="Times New Roman"/>
          <w:sz w:val="20"/>
          <w:szCs w:val="20"/>
          <w:lang w:val="fr-CA" w:eastAsia="en-CA"/>
        </w:rPr>
        <w:noBreakHyphen/>
        <w:t xml:space="preserve"> À la deuxième étape, soit celle de comparer les deux œuvres, </w:t>
      </w:r>
      <w:proofErr w:type="spellStart"/>
      <w:r w:rsidRPr="00284766">
        <w:rPr>
          <w:rFonts w:eastAsia="Times New Roman" w:cs="Times New Roman"/>
          <w:sz w:val="20"/>
          <w:szCs w:val="20"/>
          <w:lang w:val="fr-CA" w:eastAsia="en-CA"/>
        </w:rPr>
        <w:t>doit</w:t>
      </w:r>
      <w:r w:rsidRPr="00284766">
        <w:rPr>
          <w:rFonts w:eastAsia="Times New Roman" w:cs="Times New Roman"/>
          <w:sz w:val="20"/>
          <w:szCs w:val="20"/>
          <w:lang w:val="fr-CA" w:eastAsia="en-CA"/>
        </w:rPr>
        <w:noBreakHyphen/>
        <w:t>on</w:t>
      </w:r>
      <w:proofErr w:type="spellEnd"/>
      <w:r w:rsidRPr="00284766">
        <w:rPr>
          <w:rFonts w:eastAsia="Times New Roman" w:cs="Times New Roman"/>
          <w:sz w:val="20"/>
          <w:szCs w:val="20"/>
          <w:lang w:val="fr-CA" w:eastAsia="en-CA"/>
        </w:rPr>
        <w:t xml:space="preserve"> en droit tenir compte de toutes les similitudes? </w:t>
      </w:r>
      <w:r w:rsidRPr="00284766">
        <w:rPr>
          <w:rFonts w:eastAsia="Times New Roman" w:cs="Times New Roman"/>
          <w:sz w:val="20"/>
          <w:szCs w:val="20"/>
          <w:lang w:val="fr-CA" w:eastAsia="en-CA"/>
        </w:rPr>
        <w:noBreakHyphen/>
        <w:t xml:space="preserve"> Plus précisément, </w:t>
      </w:r>
      <w:proofErr w:type="spellStart"/>
      <w:r w:rsidRPr="00284766">
        <w:rPr>
          <w:rFonts w:eastAsia="Times New Roman" w:cs="Times New Roman"/>
          <w:sz w:val="20"/>
          <w:szCs w:val="20"/>
          <w:lang w:val="fr-CA" w:eastAsia="en-CA"/>
        </w:rPr>
        <w:t>doit</w:t>
      </w:r>
      <w:r w:rsidRPr="00284766">
        <w:rPr>
          <w:rFonts w:eastAsia="Times New Roman" w:cs="Times New Roman"/>
          <w:sz w:val="20"/>
          <w:szCs w:val="20"/>
          <w:lang w:val="fr-CA" w:eastAsia="en-CA"/>
        </w:rPr>
        <w:noBreakHyphen/>
        <w:t>on</w:t>
      </w:r>
      <w:proofErr w:type="spellEnd"/>
      <w:r w:rsidRPr="00284766">
        <w:rPr>
          <w:rFonts w:eastAsia="Times New Roman" w:cs="Times New Roman"/>
          <w:sz w:val="20"/>
          <w:szCs w:val="20"/>
          <w:lang w:val="fr-CA" w:eastAsia="en-CA"/>
        </w:rPr>
        <w:t xml:space="preserve"> écarter les similitudes relatives aux traits de caractère généraux, propres au genre, celles qui appartiennent au domaine public ou qui relèvent de l’idée? </w:t>
      </w:r>
      <w:r w:rsidRPr="00284766">
        <w:rPr>
          <w:rFonts w:eastAsia="Times New Roman" w:cs="Times New Roman"/>
          <w:sz w:val="20"/>
          <w:szCs w:val="20"/>
          <w:lang w:val="fr-CA" w:eastAsia="en-CA"/>
        </w:rPr>
        <w:noBreakHyphen/>
        <w:t xml:space="preserve"> À la deuxième étape, </w:t>
      </w:r>
      <w:proofErr w:type="spellStart"/>
      <w:r w:rsidRPr="00284766">
        <w:rPr>
          <w:rFonts w:eastAsia="Times New Roman" w:cs="Times New Roman"/>
          <w:sz w:val="20"/>
          <w:szCs w:val="20"/>
          <w:lang w:val="fr-CA" w:eastAsia="en-CA"/>
        </w:rPr>
        <w:t>doit</w:t>
      </w:r>
      <w:r w:rsidRPr="00284766">
        <w:rPr>
          <w:rFonts w:eastAsia="Times New Roman" w:cs="Times New Roman"/>
          <w:sz w:val="20"/>
          <w:szCs w:val="20"/>
          <w:lang w:val="fr-CA" w:eastAsia="en-CA"/>
        </w:rPr>
        <w:noBreakHyphen/>
        <w:t>on</w:t>
      </w:r>
      <w:proofErr w:type="spellEnd"/>
      <w:r w:rsidRPr="00284766">
        <w:rPr>
          <w:rFonts w:eastAsia="Times New Roman" w:cs="Times New Roman"/>
          <w:sz w:val="20"/>
          <w:szCs w:val="20"/>
          <w:lang w:val="fr-CA" w:eastAsia="en-CA"/>
        </w:rPr>
        <w:t xml:space="preserve"> en droit tenir compte des différences entre les deux œuvres?</w:t>
      </w:r>
    </w:p>
    <w:p w:rsidR="00284766" w:rsidRPr="00284766" w:rsidRDefault="00284766" w:rsidP="00284766">
      <w:pPr>
        <w:widowControl w:val="0"/>
        <w:jc w:val="both"/>
        <w:rPr>
          <w:rFonts w:eastAsia="Times New Roman" w:cs="Times New Roman"/>
          <w:sz w:val="20"/>
          <w:szCs w:val="20"/>
          <w:lang w:val="fr-CA" w:eastAsia="en-CA"/>
        </w:rPr>
      </w:pPr>
    </w:p>
    <w:p w:rsidR="00284766" w:rsidRPr="00284766" w:rsidRDefault="00284766" w:rsidP="00284766">
      <w:pPr>
        <w:jc w:val="both"/>
        <w:rPr>
          <w:rFonts w:eastAsia="Times New Roman" w:cs="Times New Roman"/>
          <w:sz w:val="20"/>
          <w:szCs w:val="20"/>
          <w:lang w:val="fr-CA" w:eastAsia="en-CA"/>
        </w:rPr>
      </w:pPr>
      <w:r w:rsidRPr="00284766">
        <w:rPr>
          <w:rFonts w:eastAsia="Times New Roman" w:cs="Times New Roman"/>
          <w:sz w:val="20"/>
          <w:szCs w:val="20"/>
          <w:lang w:val="fr-CA" w:eastAsia="en-CA"/>
        </w:rPr>
        <w:t xml:space="preserve">M. Claude Robinson est un artiste qui a dessiné, en 1982, les premiers croquis des personnages d’un projet de série télévisée pour enfants qui porterait le nom de </w:t>
      </w:r>
      <w:r w:rsidRPr="00284766">
        <w:rPr>
          <w:rFonts w:eastAsia="Times New Roman" w:cs="Times New Roman"/>
          <w:i/>
          <w:sz w:val="20"/>
          <w:szCs w:val="20"/>
          <w:lang w:val="fr-CA" w:eastAsia="en-CA"/>
        </w:rPr>
        <w:t>Robinson Curiosité</w:t>
      </w:r>
      <w:r w:rsidRPr="00284766">
        <w:rPr>
          <w:rFonts w:eastAsia="Times New Roman" w:cs="Times New Roman"/>
          <w:sz w:val="20"/>
          <w:szCs w:val="20"/>
          <w:lang w:val="fr-CA" w:eastAsia="en-CA"/>
        </w:rPr>
        <w:t xml:space="preserve">.  Quelques années plus tard, en 1985, le Bureau du droit d’auteur délivre un certificat d’enregistrement de </w:t>
      </w:r>
      <w:r w:rsidRPr="00284766">
        <w:rPr>
          <w:rFonts w:eastAsia="Times New Roman" w:cs="Times New Roman"/>
          <w:i/>
          <w:sz w:val="20"/>
          <w:szCs w:val="20"/>
          <w:lang w:val="fr-CA" w:eastAsia="en-CA"/>
        </w:rPr>
        <w:t>Robinson Curiosité</w:t>
      </w:r>
      <w:r w:rsidRPr="00284766">
        <w:rPr>
          <w:rFonts w:eastAsia="Times New Roman" w:cs="Times New Roman"/>
          <w:sz w:val="20"/>
          <w:szCs w:val="20"/>
          <w:lang w:val="fr-CA" w:eastAsia="en-CA"/>
        </w:rPr>
        <w:t xml:space="preserve"> indiquant que M. Robinson est l’auteur de l’œuvre et que les Productions </w:t>
      </w:r>
      <w:proofErr w:type="spellStart"/>
      <w:r w:rsidRPr="00284766">
        <w:rPr>
          <w:rFonts w:eastAsia="Times New Roman" w:cs="Times New Roman"/>
          <w:sz w:val="20"/>
          <w:szCs w:val="20"/>
          <w:lang w:val="fr-CA" w:eastAsia="en-CA"/>
        </w:rPr>
        <w:t>Nilem</w:t>
      </w:r>
      <w:proofErr w:type="spellEnd"/>
      <w:r w:rsidRPr="00284766">
        <w:rPr>
          <w:rFonts w:eastAsia="Times New Roman" w:cs="Times New Roman"/>
          <w:sz w:val="20"/>
          <w:szCs w:val="20"/>
          <w:lang w:val="fr-CA" w:eastAsia="en-CA"/>
        </w:rPr>
        <w:t xml:space="preserve"> </w:t>
      </w:r>
      <w:proofErr w:type="spellStart"/>
      <w:r w:rsidRPr="00284766">
        <w:rPr>
          <w:rFonts w:eastAsia="Times New Roman" w:cs="Times New Roman"/>
          <w:sz w:val="20"/>
          <w:szCs w:val="20"/>
          <w:lang w:val="fr-CA" w:eastAsia="en-CA"/>
        </w:rPr>
        <w:t>inc</w:t>
      </w:r>
      <w:proofErr w:type="spellEnd"/>
      <w:r w:rsidRPr="00284766">
        <w:rPr>
          <w:rFonts w:eastAsia="Times New Roman" w:cs="Times New Roman"/>
          <w:sz w:val="20"/>
          <w:szCs w:val="20"/>
          <w:lang w:val="fr-CA" w:eastAsia="en-CA"/>
        </w:rPr>
        <w:t>. (</w:t>
      </w:r>
      <w:proofErr w:type="spellStart"/>
      <w:r w:rsidRPr="00284766">
        <w:rPr>
          <w:rFonts w:eastAsia="Times New Roman" w:cs="Times New Roman"/>
          <w:sz w:val="20"/>
          <w:szCs w:val="20"/>
          <w:lang w:val="fr-CA" w:eastAsia="en-CA"/>
        </w:rPr>
        <w:t>ci</w:t>
      </w:r>
      <w:r w:rsidRPr="00284766">
        <w:rPr>
          <w:rFonts w:eastAsia="Times New Roman" w:cs="Times New Roman"/>
          <w:sz w:val="20"/>
          <w:szCs w:val="20"/>
          <w:lang w:val="fr-CA" w:eastAsia="en-CA"/>
        </w:rPr>
        <w:noBreakHyphen/>
        <w:t>après</w:t>
      </w:r>
      <w:proofErr w:type="spellEnd"/>
      <w:r w:rsidRPr="00284766">
        <w:rPr>
          <w:rFonts w:eastAsia="Times New Roman" w:cs="Times New Roman"/>
          <w:sz w:val="20"/>
          <w:szCs w:val="20"/>
          <w:lang w:val="fr-CA" w:eastAsia="en-CA"/>
        </w:rPr>
        <w:t xml:space="preserve"> « </w:t>
      </w:r>
      <w:proofErr w:type="spellStart"/>
      <w:r w:rsidRPr="00284766">
        <w:rPr>
          <w:rFonts w:eastAsia="Times New Roman" w:cs="Times New Roman"/>
          <w:sz w:val="20"/>
          <w:szCs w:val="20"/>
          <w:lang w:val="fr-CA" w:eastAsia="en-CA"/>
        </w:rPr>
        <w:t>Nilem</w:t>
      </w:r>
      <w:proofErr w:type="spellEnd"/>
      <w:r w:rsidRPr="00284766">
        <w:rPr>
          <w:rFonts w:eastAsia="Times New Roman" w:cs="Times New Roman"/>
          <w:sz w:val="20"/>
          <w:szCs w:val="20"/>
          <w:lang w:val="fr-CA" w:eastAsia="en-CA"/>
        </w:rPr>
        <w:t> »), une société commerciale dont il est le seul actionnaire, en est le propriétaire.</w:t>
      </w:r>
    </w:p>
    <w:p w:rsidR="00284766" w:rsidRPr="00284766" w:rsidRDefault="00284766" w:rsidP="00284766">
      <w:pPr>
        <w:rPr>
          <w:rFonts w:eastAsia="Times New Roman" w:cs="Times New Roman"/>
          <w:sz w:val="20"/>
          <w:szCs w:val="20"/>
          <w:lang w:val="fr-CA" w:eastAsia="en-CA"/>
        </w:rPr>
      </w:pPr>
    </w:p>
    <w:p w:rsidR="00284766" w:rsidRPr="00284766" w:rsidRDefault="00284766" w:rsidP="00284766">
      <w:pPr>
        <w:jc w:val="both"/>
        <w:rPr>
          <w:rFonts w:eastAsia="Times New Roman" w:cs="Times New Roman"/>
          <w:sz w:val="20"/>
          <w:szCs w:val="20"/>
          <w:lang w:val="fr-CA" w:eastAsia="en-CA"/>
        </w:rPr>
      </w:pPr>
      <w:r w:rsidRPr="00284766">
        <w:rPr>
          <w:rFonts w:eastAsia="Times New Roman" w:cs="Times New Roman"/>
          <w:sz w:val="20"/>
          <w:szCs w:val="20"/>
          <w:lang w:val="fr-CA" w:eastAsia="en-CA"/>
        </w:rPr>
        <w:t xml:space="preserve">À compter de 1985, M. Robinson et </w:t>
      </w:r>
      <w:proofErr w:type="spellStart"/>
      <w:r w:rsidRPr="00284766">
        <w:rPr>
          <w:rFonts w:eastAsia="Times New Roman" w:cs="Times New Roman"/>
          <w:sz w:val="20"/>
          <w:szCs w:val="20"/>
          <w:lang w:val="fr-CA" w:eastAsia="en-CA"/>
        </w:rPr>
        <w:t>Nilem</w:t>
      </w:r>
      <w:proofErr w:type="spellEnd"/>
      <w:r w:rsidRPr="00284766">
        <w:rPr>
          <w:rFonts w:eastAsia="Times New Roman" w:cs="Times New Roman"/>
          <w:sz w:val="20"/>
          <w:szCs w:val="20"/>
          <w:lang w:val="fr-CA" w:eastAsia="en-CA"/>
        </w:rPr>
        <w:t xml:space="preserve"> multiplient les démarches destinées à faire la promotion et la production de </w:t>
      </w:r>
      <w:r w:rsidRPr="00284766">
        <w:rPr>
          <w:rFonts w:eastAsia="Times New Roman" w:cs="Times New Roman"/>
          <w:i/>
          <w:sz w:val="20"/>
          <w:szCs w:val="20"/>
          <w:lang w:val="fr-CA" w:eastAsia="en-CA"/>
        </w:rPr>
        <w:t>Robinson Curiosité</w:t>
      </w:r>
      <w:r w:rsidRPr="00284766">
        <w:rPr>
          <w:rFonts w:eastAsia="Times New Roman" w:cs="Times New Roman"/>
          <w:sz w:val="20"/>
          <w:szCs w:val="20"/>
          <w:lang w:val="fr-CA" w:eastAsia="en-CA"/>
        </w:rPr>
        <w:t xml:space="preserve">, y compris avec Corporation </w:t>
      </w:r>
      <w:proofErr w:type="spellStart"/>
      <w:r w:rsidRPr="00284766">
        <w:rPr>
          <w:rFonts w:eastAsia="Times New Roman" w:cs="Times New Roman"/>
          <w:sz w:val="20"/>
          <w:szCs w:val="20"/>
          <w:lang w:val="fr-CA" w:eastAsia="en-CA"/>
        </w:rPr>
        <w:t>Cinar</w:t>
      </w:r>
      <w:proofErr w:type="spellEnd"/>
      <w:r w:rsidRPr="00284766">
        <w:rPr>
          <w:rFonts w:eastAsia="Times New Roman" w:cs="Times New Roman"/>
          <w:sz w:val="20"/>
          <w:szCs w:val="20"/>
          <w:lang w:val="fr-CA" w:eastAsia="en-CA"/>
        </w:rPr>
        <w:t xml:space="preserve">/Les Films </w:t>
      </w:r>
      <w:proofErr w:type="spellStart"/>
      <w:r w:rsidRPr="00284766">
        <w:rPr>
          <w:rFonts w:eastAsia="Times New Roman" w:cs="Times New Roman"/>
          <w:sz w:val="20"/>
          <w:szCs w:val="20"/>
          <w:lang w:val="fr-CA" w:eastAsia="en-CA"/>
        </w:rPr>
        <w:t>Cinar</w:t>
      </w:r>
      <w:proofErr w:type="spellEnd"/>
      <w:r w:rsidRPr="00284766">
        <w:rPr>
          <w:rFonts w:eastAsia="Times New Roman" w:cs="Times New Roman"/>
          <w:sz w:val="20"/>
          <w:szCs w:val="20"/>
          <w:lang w:val="fr-CA" w:eastAsia="en-CA"/>
        </w:rPr>
        <w:t xml:space="preserve"> </w:t>
      </w:r>
      <w:proofErr w:type="spellStart"/>
      <w:r w:rsidRPr="00284766">
        <w:rPr>
          <w:rFonts w:eastAsia="Times New Roman" w:cs="Times New Roman"/>
          <w:sz w:val="20"/>
          <w:szCs w:val="20"/>
          <w:lang w:val="fr-CA" w:eastAsia="en-CA"/>
        </w:rPr>
        <w:t>inc</w:t>
      </w:r>
      <w:proofErr w:type="spellEnd"/>
      <w:r w:rsidRPr="00284766">
        <w:rPr>
          <w:rFonts w:eastAsia="Times New Roman" w:cs="Times New Roman"/>
          <w:sz w:val="20"/>
          <w:szCs w:val="20"/>
          <w:lang w:val="fr-CA" w:eastAsia="en-CA"/>
        </w:rPr>
        <w:t xml:space="preserve">., mais pendant près de 10 ans, ces démarches sont infructueuses.  En septembre 1995, il y a cependant diffusion au Québec du premier épisode de </w:t>
      </w:r>
      <w:r w:rsidRPr="00284766">
        <w:rPr>
          <w:rFonts w:eastAsia="Times New Roman" w:cs="Times New Roman"/>
          <w:i/>
          <w:sz w:val="20"/>
          <w:szCs w:val="20"/>
          <w:lang w:val="fr-CA" w:eastAsia="en-CA"/>
        </w:rPr>
        <w:t xml:space="preserve">Robinson </w:t>
      </w:r>
      <w:proofErr w:type="spellStart"/>
      <w:r w:rsidRPr="00284766">
        <w:rPr>
          <w:rFonts w:eastAsia="Times New Roman" w:cs="Times New Roman"/>
          <w:i/>
          <w:sz w:val="20"/>
          <w:szCs w:val="20"/>
          <w:lang w:val="fr-CA" w:eastAsia="en-CA"/>
        </w:rPr>
        <w:t>Sucroë</w:t>
      </w:r>
      <w:proofErr w:type="spellEnd"/>
      <w:r w:rsidRPr="00284766">
        <w:rPr>
          <w:rFonts w:eastAsia="Times New Roman" w:cs="Times New Roman"/>
          <w:sz w:val="20"/>
          <w:szCs w:val="20"/>
          <w:lang w:val="fr-CA" w:eastAsia="en-CA"/>
        </w:rPr>
        <w:t xml:space="preserve">, œuvre produite par Corporation </w:t>
      </w:r>
      <w:proofErr w:type="spellStart"/>
      <w:r w:rsidRPr="00284766">
        <w:rPr>
          <w:rFonts w:eastAsia="Times New Roman" w:cs="Times New Roman"/>
          <w:sz w:val="20"/>
          <w:szCs w:val="20"/>
          <w:lang w:val="fr-CA" w:eastAsia="en-CA"/>
        </w:rPr>
        <w:t>Cinar</w:t>
      </w:r>
      <w:proofErr w:type="spellEnd"/>
      <w:r w:rsidRPr="00284766">
        <w:rPr>
          <w:rFonts w:eastAsia="Times New Roman" w:cs="Times New Roman"/>
          <w:sz w:val="20"/>
          <w:szCs w:val="20"/>
          <w:lang w:val="fr-CA" w:eastAsia="en-CA"/>
        </w:rPr>
        <w:t xml:space="preserve">/Les Films </w:t>
      </w:r>
      <w:proofErr w:type="spellStart"/>
      <w:r w:rsidRPr="00284766">
        <w:rPr>
          <w:rFonts w:eastAsia="Times New Roman" w:cs="Times New Roman"/>
          <w:sz w:val="20"/>
          <w:szCs w:val="20"/>
          <w:lang w:val="fr-CA" w:eastAsia="en-CA"/>
        </w:rPr>
        <w:t>Cinar</w:t>
      </w:r>
      <w:proofErr w:type="spellEnd"/>
      <w:r w:rsidRPr="00284766">
        <w:rPr>
          <w:rFonts w:eastAsia="Times New Roman" w:cs="Times New Roman"/>
          <w:sz w:val="20"/>
          <w:szCs w:val="20"/>
          <w:lang w:val="fr-CA" w:eastAsia="en-CA"/>
        </w:rPr>
        <w:t xml:space="preserve"> </w:t>
      </w:r>
      <w:proofErr w:type="spellStart"/>
      <w:r w:rsidRPr="00284766">
        <w:rPr>
          <w:rFonts w:eastAsia="Times New Roman" w:cs="Times New Roman"/>
          <w:sz w:val="20"/>
          <w:szCs w:val="20"/>
          <w:lang w:val="fr-CA" w:eastAsia="en-CA"/>
        </w:rPr>
        <w:t>inc</w:t>
      </w:r>
      <w:proofErr w:type="spellEnd"/>
      <w:r w:rsidRPr="00284766">
        <w:rPr>
          <w:rFonts w:eastAsia="Times New Roman" w:cs="Times New Roman"/>
          <w:sz w:val="20"/>
          <w:szCs w:val="20"/>
          <w:lang w:val="fr-CA" w:eastAsia="en-CA"/>
        </w:rPr>
        <w:t xml:space="preserve">., France Animation S.A. et Ravensburger Film + TV </w:t>
      </w:r>
      <w:proofErr w:type="spellStart"/>
      <w:r w:rsidRPr="00284766">
        <w:rPr>
          <w:rFonts w:eastAsia="Times New Roman" w:cs="Times New Roman"/>
          <w:sz w:val="20"/>
          <w:szCs w:val="20"/>
          <w:lang w:val="fr-CA" w:eastAsia="en-CA"/>
        </w:rPr>
        <w:t>GmbH</w:t>
      </w:r>
      <w:proofErr w:type="spellEnd"/>
      <w:r w:rsidRPr="00284766">
        <w:rPr>
          <w:rFonts w:eastAsia="Times New Roman" w:cs="Times New Roman"/>
          <w:sz w:val="20"/>
          <w:szCs w:val="20"/>
          <w:lang w:val="fr-CA" w:eastAsia="en-CA"/>
        </w:rPr>
        <w:t>.</w:t>
      </w:r>
    </w:p>
    <w:p w:rsidR="00284766" w:rsidRPr="00284766" w:rsidRDefault="00284766" w:rsidP="00284766">
      <w:pPr>
        <w:rPr>
          <w:rFonts w:eastAsia="Times New Roman" w:cs="Times New Roman"/>
          <w:sz w:val="20"/>
          <w:szCs w:val="20"/>
          <w:lang w:val="fr-CA" w:eastAsia="en-CA"/>
        </w:rPr>
      </w:pPr>
    </w:p>
    <w:p w:rsidR="00284766" w:rsidRPr="00284766" w:rsidRDefault="00284766" w:rsidP="00284766">
      <w:pPr>
        <w:jc w:val="both"/>
        <w:rPr>
          <w:rFonts w:eastAsia="Times New Roman" w:cs="Times New Roman"/>
          <w:sz w:val="20"/>
          <w:szCs w:val="20"/>
          <w:lang w:val="fr-CA" w:eastAsia="en-CA"/>
        </w:rPr>
      </w:pPr>
      <w:r w:rsidRPr="00284766">
        <w:rPr>
          <w:rFonts w:eastAsia="Times New Roman" w:cs="Times New Roman"/>
          <w:sz w:val="20"/>
          <w:szCs w:val="20"/>
          <w:lang w:val="fr-CA" w:eastAsia="en-CA"/>
        </w:rPr>
        <w:t xml:space="preserve">Constatant des similitudes entre son œuvre, </w:t>
      </w:r>
      <w:r w:rsidRPr="00284766">
        <w:rPr>
          <w:rFonts w:eastAsia="Times New Roman" w:cs="Times New Roman"/>
          <w:i/>
          <w:sz w:val="20"/>
          <w:szCs w:val="20"/>
          <w:lang w:val="fr-CA" w:eastAsia="en-CA"/>
        </w:rPr>
        <w:t>Robinson Curiosité</w:t>
      </w:r>
      <w:r w:rsidRPr="00284766">
        <w:rPr>
          <w:rFonts w:eastAsia="Times New Roman" w:cs="Times New Roman"/>
          <w:sz w:val="20"/>
          <w:szCs w:val="20"/>
          <w:lang w:val="fr-CA" w:eastAsia="en-CA"/>
        </w:rPr>
        <w:t xml:space="preserve">, et l’œuvre produite sous le titre </w:t>
      </w:r>
      <w:r w:rsidRPr="00284766">
        <w:rPr>
          <w:rFonts w:eastAsia="Times New Roman" w:cs="Times New Roman"/>
          <w:i/>
          <w:sz w:val="20"/>
          <w:szCs w:val="20"/>
          <w:lang w:val="fr-CA" w:eastAsia="en-CA"/>
        </w:rPr>
        <w:t xml:space="preserve">Robinson </w:t>
      </w:r>
      <w:proofErr w:type="spellStart"/>
      <w:r w:rsidRPr="00284766">
        <w:rPr>
          <w:rFonts w:eastAsia="Times New Roman" w:cs="Times New Roman"/>
          <w:i/>
          <w:sz w:val="20"/>
          <w:szCs w:val="20"/>
          <w:lang w:val="fr-CA" w:eastAsia="en-CA"/>
        </w:rPr>
        <w:t>Sucroë</w:t>
      </w:r>
      <w:proofErr w:type="spellEnd"/>
      <w:r w:rsidRPr="00284766">
        <w:rPr>
          <w:rFonts w:eastAsia="Times New Roman" w:cs="Times New Roman"/>
          <w:sz w:val="20"/>
          <w:szCs w:val="20"/>
          <w:lang w:val="fr-CA" w:eastAsia="en-CA"/>
        </w:rPr>
        <w:t xml:space="preserve">, M. Robinson et </w:t>
      </w:r>
      <w:proofErr w:type="spellStart"/>
      <w:r w:rsidRPr="00284766">
        <w:rPr>
          <w:rFonts w:eastAsia="Times New Roman" w:cs="Times New Roman"/>
          <w:sz w:val="20"/>
          <w:szCs w:val="20"/>
          <w:lang w:val="fr-CA" w:eastAsia="en-CA"/>
        </w:rPr>
        <w:t>Nilem</w:t>
      </w:r>
      <w:proofErr w:type="spellEnd"/>
      <w:r w:rsidRPr="00284766">
        <w:rPr>
          <w:rFonts w:eastAsia="Times New Roman" w:cs="Times New Roman"/>
          <w:sz w:val="20"/>
          <w:szCs w:val="20"/>
          <w:lang w:val="fr-CA" w:eastAsia="en-CA"/>
        </w:rPr>
        <w:t xml:space="preserve">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284766" w:rsidRPr="00284766" w:rsidRDefault="00284766" w:rsidP="00284766">
      <w:pPr>
        <w:widowControl w:val="0"/>
        <w:jc w:val="both"/>
        <w:rPr>
          <w:rFonts w:eastAsia="Times New Roman" w:cs="Times New Roman"/>
          <w:sz w:val="20"/>
          <w:szCs w:val="20"/>
          <w:lang w:val="fr-CA" w:eastAsia="en-CA"/>
        </w:rPr>
      </w:pPr>
    </w:p>
    <w:p w:rsidR="00284766" w:rsidRPr="00284766" w:rsidRDefault="00284766" w:rsidP="00284766">
      <w:pPr>
        <w:widowControl w:val="0"/>
        <w:jc w:val="both"/>
        <w:rPr>
          <w:rFonts w:eastAsia="Times New Roman" w:cs="Times New Roman"/>
          <w:sz w:val="20"/>
          <w:szCs w:val="20"/>
          <w:lang w:val="fr-CA" w:eastAsia="en-CA"/>
        </w:rPr>
      </w:pPr>
    </w:p>
    <w:p w:rsidR="00284766" w:rsidRPr="00284766" w:rsidRDefault="00284766" w:rsidP="00284766">
      <w:pPr>
        <w:widowControl w:val="0"/>
        <w:ind w:left="2880" w:hanging="2880"/>
        <w:jc w:val="both"/>
        <w:rPr>
          <w:rFonts w:eastAsia="Times New Roman" w:cs="Times New Roman"/>
          <w:sz w:val="20"/>
          <w:szCs w:val="20"/>
          <w:lang w:val="fr-CA" w:eastAsia="en-CA"/>
        </w:rPr>
      </w:pPr>
      <w:r w:rsidRPr="00284766">
        <w:rPr>
          <w:rFonts w:eastAsia="Times New Roman" w:cs="Times New Roman"/>
          <w:sz w:val="20"/>
          <w:szCs w:val="20"/>
          <w:lang w:val="fr-CA" w:eastAsia="en-CA"/>
        </w:rPr>
        <w:t>Origine:</w:t>
      </w:r>
      <w:r w:rsidRPr="00284766">
        <w:rPr>
          <w:rFonts w:eastAsia="Times New Roman" w:cs="Times New Roman"/>
          <w:sz w:val="20"/>
          <w:szCs w:val="20"/>
          <w:lang w:val="fr-CA" w:eastAsia="en-CA"/>
        </w:rPr>
        <w:tab/>
        <w:t>Québec</w:t>
      </w:r>
    </w:p>
    <w:p w:rsidR="00284766" w:rsidRPr="00284766" w:rsidRDefault="00284766" w:rsidP="00284766">
      <w:pPr>
        <w:widowControl w:val="0"/>
        <w:ind w:left="2880" w:hanging="2880"/>
        <w:jc w:val="both"/>
        <w:rPr>
          <w:rFonts w:eastAsia="Times New Roman" w:cs="Times New Roman"/>
          <w:sz w:val="20"/>
          <w:szCs w:val="20"/>
          <w:lang w:val="fr-CA" w:eastAsia="en-CA"/>
        </w:rPr>
      </w:pPr>
    </w:p>
    <w:p w:rsidR="00284766" w:rsidRPr="00284766" w:rsidRDefault="00284766" w:rsidP="00284766">
      <w:pPr>
        <w:widowControl w:val="0"/>
        <w:ind w:left="2880" w:hanging="2880"/>
        <w:jc w:val="both"/>
        <w:rPr>
          <w:rFonts w:eastAsia="Times New Roman" w:cs="Times New Roman"/>
          <w:sz w:val="20"/>
          <w:szCs w:val="20"/>
          <w:lang w:val="fr-CA" w:eastAsia="en-CA"/>
        </w:rPr>
      </w:pPr>
      <w:r w:rsidRPr="00284766">
        <w:rPr>
          <w:rFonts w:eastAsia="Times New Roman" w:cs="Times New Roman"/>
          <w:sz w:val="20"/>
          <w:szCs w:val="20"/>
          <w:lang w:val="fr-CA" w:eastAsia="en-CA"/>
        </w:rPr>
        <w:t>N</w:t>
      </w:r>
      <w:r w:rsidRPr="00284766">
        <w:rPr>
          <w:rFonts w:eastAsia="Times New Roman" w:cs="Times New Roman"/>
          <w:sz w:val="20"/>
          <w:szCs w:val="20"/>
          <w:vertAlign w:val="superscript"/>
          <w:lang w:val="fr-CA" w:eastAsia="en-CA"/>
        </w:rPr>
        <w:t>o</w:t>
      </w:r>
      <w:r w:rsidRPr="00284766">
        <w:rPr>
          <w:rFonts w:eastAsia="Times New Roman" w:cs="Times New Roman"/>
          <w:sz w:val="20"/>
          <w:szCs w:val="20"/>
          <w:lang w:val="fr-CA" w:eastAsia="en-CA"/>
        </w:rPr>
        <w:t xml:space="preserve"> du greffe:</w:t>
      </w:r>
      <w:r w:rsidRPr="00284766">
        <w:rPr>
          <w:rFonts w:eastAsia="Times New Roman" w:cs="Times New Roman"/>
          <w:sz w:val="20"/>
          <w:szCs w:val="20"/>
          <w:lang w:val="fr-CA" w:eastAsia="en-CA"/>
        </w:rPr>
        <w:tab/>
        <w:t>34468</w:t>
      </w:r>
    </w:p>
    <w:p w:rsidR="00284766" w:rsidRPr="00284766" w:rsidRDefault="00284766" w:rsidP="00284766">
      <w:pPr>
        <w:widowControl w:val="0"/>
        <w:ind w:left="2880" w:hanging="2880"/>
        <w:jc w:val="both"/>
        <w:rPr>
          <w:rFonts w:eastAsia="Times New Roman" w:cs="Times New Roman"/>
          <w:sz w:val="20"/>
          <w:szCs w:val="20"/>
          <w:lang w:val="fr-CA" w:eastAsia="en-CA"/>
        </w:rPr>
      </w:pPr>
    </w:p>
    <w:p w:rsidR="00284766" w:rsidRPr="00284766" w:rsidRDefault="00284766" w:rsidP="00284766">
      <w:pPr>
        <w:widowControl w:val="0"/>
        <w:ind w:left="2880" w:hanging="2880"/>
        <w:jc w:val="both"/>
        <w:rPr>
          <w:rFonts w:eastAsia="Times New Roman" w:cs="Times New Roman"/>
          <w:sz w:val="20"/>
          <w:szCs w:val="20"/>
          <w:lang w:val="fr-CA" w:eastAsia="en-CA"/>
        </w:rPr>
      </w:pPr>
      <w:r w:rsidRPr="00284766">
        <w:rPr>
          <w:rFonts w:eastAsia="Times New Roman" w:cs="Times New Roman"/>
          <w:sz w:val="20"/>
          <w:szCs w:val="20"/>
          <w:lang w:val="fr-CA" w:eastAsia="en-CA"/>
        </w:rPr>
        <w:t>Arrêt de la Cour d’appel:</w:t>
      </w:r>
      <w:r w:rsidRPr="00284766">
        <w:rPr>
          <w:rFonts w:eastAsia="Times New Roman" w:cs="Times New Roman"/>
          <w:sz w:val="20"/>
          <w:szCs w:val="20"/>
          <w:lang w:val="fr-CA" w:eastAsia="en-CA"/>
        </w:rPr>
        <w:tab/>
        <w:t>Le 20 juillet 2011</w:t>
      </w:r>
    </w:p>
    <w:p w:rsidR="00284766" w:rsidRPr="00284766" w:rsidRDefault="00284766" w:rsidP="00284766">
      <w:pPr>
        <w:widowControl w:val="0"/>
        <w:ind w:left="2880" w:hanging="2880"/>
        <w:jc w:val="both"/>
        <w:rPr>
          <w:rFonts w:eastAsia="Times New Roman" w:cs="Times New Roman"/>
          <w:sz w:val="20"/>
          <w:szCs w:val="20"/>
          <w:lang w:val="fr-CA" w:eastAsia="en-CA"/>
        </w:rPr>
      </w:pPr>
    </w:p>
    <w:p w:rsidR="00284766" w:rsidRPr="00284766" w:rsidRDefault="00284766" w:rsidP="00284766">
      <w:pPr>
        <w:widowControl w:val="0"/>
        <w:ind w:left="2880" w:hanging="2880"/>
        <w:jc w:val="both"/>
        <w:rPr>
          <w:rFonts w:eastAsia="Times New Roman" w:cs="Times New Roman"/>
          <w:sz w:val="20"/>
          <w:szCs w:val="20"/>
          <w:lang w:val="fr-CA" w:eastAsia="en-CA"/>
        </w:rPr>
      </w:pPr>
      <w:r w:rsidRPr="00284766">
        <w:rPr>
          <w:rFonts w:eastAsia="Times New Roman" w:cs="Times New Roman"/>
          <w:sz w:val="20"/>
          <w:szCs w:val="20"/>
          <w:lang w:val="fr-CA" w:eastAsia="en-CA"/>
        </w:rPr>
        <w:t>Avocats:</w:t>
      </w:r>
      <w:r w:rsidRPr="00284766">
        <w:rPr>
          <w:rFonts w:eastAsia="Times New Roman" w:cs="Times New Roman"/>
          <w:sz w:val="20"/>
          <w:szCs w:val="20"/>
          <w:lang w:val="fr-CA" w:eastAsia="en-CA"/>
        </w:rPr>
        <w:tab/>
        <w:t xml:space="preserve">Pierre Y. Lefebvre, Alain Y. Dussault et </w:t>
      </w:r>
      <w:proofErr w:type="spellStart"/>
      <w:r w:rsidRPr="00284766">
        <w:rPr>
          <w:rFonts w:eastAsia="Times New Roman" w:cs="Times New Roman"/>
          <w:sz w:val="20"/>
          <w:szCs w:val="20"/>
          <w:lang w:val="fr-CA" w:eastAsia="en-CA"/>
        </w:rPr>
        <w:t>Silviu</w:t>
      </w:r>
      <w:proofErr w:type="spellEnd"/>
      <w:r w:rsidRPr="00284766">
        <w:rPr>
          <w:rFonts w:eastAsia="Times New Roman" w:cs="Times New Roman"/>
          <w:sz w:val="20"/>
          <w:szCs w:val="20"/>
          <w:lang w:val="fr-CA" w:eastAsia="en-CA"/>
        </w:rPr>
        <w:t xml:space="preserve"> </w:t>
      </w:r>
      <w:proofErr w:type="spellStart"/>
      <w:r w:rsidRPr="00284766">
        <w:rPr>
          <w:rFonts w:eastAsia="Times New Roman" w:cs="Times New Roman"/>
          <w:sz w:val="20"/>
          <w:szCs w:val="20"/>
          <w:lang w:val="fr-CA" w:eastAsia="en-CA"/>
        </w:rPr>
        <w:t>Bursenascu</w:t>
      </w:r>
      <w:proofErr w:type="spellEnd"/>
      <w:r w:rsidRPr="00284766">
        <w:rPr>
          <w:rFonts w:eastAsia="Times New Roman" w:cs="Times New Roman"/>
          <w:sz w:val="20"/>
          <w:szCs w:val="20"/>
          <w:lang w:val="fr-CA" w:eastAsia="en-CA"/>
        </w:rPr>
        <w:t xml:space="preserve"> pour les appelants</w:t>
      </w:r>
    </w:p>
    <w:p w:rsidR="00284766" w:rsidRPr="00284766" w:rsidRDefault="00284766" w:rsidP="00284766">
      <w:pPr>
        <w:widowControl w:val="0"/>
        <w:ind w:left="2880" w:hanging="2880"/>
        <w:jc w:val="both"/>
        <w:rPr>
          <w:rFonts w:eastAsia="Times New Roman" w:cs="Times New Roman"/>
          <w:sz w:val="20"/>
          <w:szCs w:val="20"/>
          <w:lang w:val="fr-CA" w:eastAsia="en-CA"/>
        </w:rPr>
      </w:pPr>
      <w:r w:rsidRPr="00284766">
        <w:rPr>
          <w:rFonts w:eastAsia="Times New Roman" w:cs="Times New Roman"/>
          <w:sz w:val="20"/>
          <w:szCs w:val="20"/>
          <w:lang w:val="fr-CA" w:eastAsia="en-CA"/>
        </w:rPr>
        <w:tab/>
        <w:t xml:space="preserve">Gilles M. </w:t>
      </w:r>
      <w:proofErr w:type="spellStart"/>
      <w:r w:rsidRPr="00284766">
        <w:rPr>
          <w:rFonts w:eastAsia="Times New Roman" w:cs="Times New Roman"/>
          <w:sz w:val="20"/>
          <w:szCs w:val="20"/>
          <w:lang w:val="fr-CA" w:eastAsia="en-CA"/>
        </w:rPr>
        <w:t>Daigle</w:t>
      </w:r>
      <w:proofErr w:type="spellEnd"/>
      <w:r w:rsidRPr="00284766">
        <w:rPr>
          <w:rFonts w:eastAsia="Times New Roman" w:cs="Times New Roman"/>
          <w:sz w:val="20"/>
          <w:szCs w:val="20"/>
          <w:lang w:val="fr-CA" w:eastAsia="en-CA"/>
        </w:rPr>
        <w:t xml:space="preserve"> et Guy </w:t>
      </w:r>
      <w:proofErr w:type="spellStart"/>
      <w:r w:rsidRPr="00284766">
        <w:rPr>
          <w:rFonts w:eastAsia="Times New Roman" w:cs="Times New Roman"/>
          <w:sz w:val="20"/>
          <w:szCs w:val="20"/>
          <w:lang w:val="fr-CA" w:eastAsia="en-CA"/>
        </w:rPr>
        <w:t>Régimbald</w:t>
      </w:r>
      <w:proofErr w:type="spellEnd"/>
      <w:r w:rsidRPr="00284766">
        <w:rPr>
          <w:rFonts w:eastAsia="Times New Roman" w:cs="Times New Roman"/>
          <w:sz w:val="20"/>
          <w:szCs w:val="20"/>
          <w:lang w:val="fr-CA" w:eastAsia="en-CA"/>
        </w:rPr>
        <w:t xml:space="preserve"> pour les intimés</w:t>
      </w:r>
    </w:p>
    <w:p w:rsidR="00284766" w:rsidRPr="00284766" w:rsidRDefault="00284766" w:rsidP="00284766">
      <w:pPr>
        <w:widowControl w:val="0"/>
        <w:jc w:val="both"/>
        <w:rPr>
          <w:rFonts w:eastAsia="Times New Roman" w:cs="Times New Roman"/>
          <w:sz w:val="20"/>
          <w:szCs w:val="20"/>
          <w:lang w:val="fr-CA" w:eastAsia="en-CA"/>
        </w:rPr>
      </w:pP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1"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C61321" w:rsidRPr="00C667BE" w:rsidRDefault="00F008AC" w:rsidP="00C61321">
      <w:pPr>
        <w:widowControl w:val="0"/>
        <w:ind w:left="720" w:hanging="720"/>
        <w:jc w:val="both"/>
        <w:rPr>
          <w:b/>
          <w:i/>
          <w:sz w:val="19"/>
          <w:szCs w:val="19"/>
        </w:rPr>
      </w:pPr>
      <w:r w:rsidRPr="00C667BE">
        <w:rPr>
          <w:b/>
          <w:sz w:val="19"/>
          <w:szCs w:val="19"/>
        </w:rPr>
        <w:lastRenderedPageBreak/>
        <w:fldChar w:fldCharType="begin"/>
      </w:r>
      <w:r w:rsidR="00C61321" w:rsidRPr="00C667BE">
        <w:rPr>
          <w:b/>
          <w:sz w:val="19"/>
          <w:szCs w:val="19"/>
        </w:rPr>
        <w:instrText xml:space="preserve"> SEQ CHAPTER \h \r 1</w:instrText>
      </w:r>
      <w:r w:rsidRPr="00C667BE">
        <w:rPr>
          <w:b/>
          <w:sz w:val="19"/>
          <w:szCs w:val="19"/>
        </w:rPr>
        <w:fldChar w:fldCharType="end"/>
      </w:r>
      <w:r w:rsidR="00C61321" w:rsidRPr="00C667BE">
        <w:rPr>
          <w:b/>
          <w:sz w:val="19"/>
          <w:szCs w:val="19"/>
        </w:rPr>
        <w:t>34469</w:t>
      </w:r>
      <w:r w:rsidR="00C61321" w:rsidRPr="00C667BE">
        <w:rPr>
          <w:b/>
          <w:i/>
          <w:sz w:val="19"/>
          <w:szCs w:val="19"/>
        </w:rPr>
        <w:tab/>
        <w:t xml:space="preserve">Claude Robinson and Les Productions </w:t>
      </w:r>
      <w:proofErr w:type="spellStart"/>
      <w:r w:rsidR="00C61321" w:rsidRPr="00C667BE">
        <w:rPr>
          <w:b/>
          <w:i/>
          <w:sz w:val="19"/>
          <w:szCs w:val="19"/>
        </w:rPr>
        <w:t>Nilem</w:t>
      </w:r>
      <w:proofErr w:type="spellEnd"/>
      <w:r w:rsidR="00C61321" w:rsidRPr="00C667BE">
        <w:rPr>
          <w:b/>
          <w:i/>
          <w:sz w:val="19"/>
          <w:szCs w:val="19"/>
        </w:rPr>
        <w:t xml:space="preserve"> Inc. v. France Animation S.A., </w:t>
      </w:r>
      <w:proofErr w:type="spellStart"/>
      <w:r w:rsidR="00C61321" w:rsidRPr="00C667BE">
        <w:rPr>
          <w:b/>
          <w:i/>
          <w:sz w:val="19"/>
          <w:szCs w:val="19"/>
        </w:rPr>
        <w:t>Ravensburger</w:t>
      </w:r>
      <w:proofErr w:type="spellEnd"/>
      <w:r w:rsidR="00C61321" w:rsidRPr="00C667BE">
        <w:rPr>
          <w:b/>
          <w:i/>
          <w:sz w:val="19"/>
          <w:szCs w:val="19"/>
        </w:rPr>
        <w:t xml:space="preserve"> Film + TV GmbH, </w:t>
      </w:r>
      <w:proofErr w:type="spellStart"/>
      <w:r w:rsidR="00C61321" w:rsidRPr="00C667BE">
        <w:rPr>
          <w:b/>
          <w:i/>
          <w:sz w:val="19"/>
          <w:szCs w:val="19"/>
        </w:rPr>
        <w:t>Videal</w:t>
      </w:r>
      <w:proofErr w:type="spellEnd"/>
      <w:r w:rsidR="00C61321" w:rsidRPr="00C667BE">
        <w:rPr>
          <w:b/>
          <w:i/>
          <w:sz w:val="19"/>
          <w:szCs w:val="19"/>
        </w:rPr>
        <w:t xml:space="preserve"> </w:t>
      </w:r>
      <w:proofErr w:type="spellStart"/>
      <w:r w:rsidR="00C61321" w:rsidRPr="00C667BE">
        <w:rPr>
          <w:b/>
          <w:i/>
          <w:sz w:val="19"/>
          <w:szCs w:val="19"/>
        </w:rPr>
        <w:t>Gesellschaft</w:t>
      </w:r>
      <w:proofErr w:type="spellEnd"/>
      <w:r w:rsidR="00C61321" w:rsidRPr="00C667BE">
        <w:rPr>
          <w:b/>
          <w:i/>
          <w:sz w:val="19"/>
          <w:szCs w:val="19"/>
        </w:rPr>
        <w:t xml:space="preserve"> </w:t>
      </w:r>
      <w:proofErr w:type="spellStart"/>
      <w:r w:rsidR="00C61321" w:rsidRPr="00C667BE">
        <w:rPr>
          <w:b/>
          <w:i/>
          <w:sz w:val="19"/>
          <w:szCs w:val="19"/>
        </w:rPr>
        <w:t>Zur</w:t>
      </w:r>
      <w:proofErr w:type="spellEnd"/>
      <w:r w:rsidR="00C61321" w:rsidRPr="00C667BE">
        <w:rPr>
          <w:b/>
          <w:i/>
          <w:sz w:val="19"/>
          <w:szCs w:val="19"/>
        </w:rPr>
        <w:t xml:space="preserve"> </w:t>
      </w:r>
      <w:proofErr w:type="spellStart"/>
      <w:r w:rsidR="00C61321" w:rsidRPr="00C667BE">
        <w:rPr>
          <w:b/>
          <w:i/>
          <w:sz w:val="19"/>
          <w:szCs w:val="19"/>
        </w:rPr>
        <w:t>Hertellung</w:t>
      </w:r>
      <w:proofErr w:type="spellEnd"/>
      <w:r w:rsidR="00C61321" w:rsidRPr="00C667BE">
        <w:rPr>
          <w:b/>
          <w:i/>
          <w:sz w:val="19"/>
          <w:szCs w:val="19"/>
        </w:rPr>
        <w:t xml:space="preserve"> Von </w:t>
      </w:r>
      <w:proofErr w:type="spellStart"/>
      <w:r w:rsidR="00C61321" w:rsidRPr="00C667BE">
        <w:rPr>
          <w:b/>
          <w:i/>
          <w:sz w:val="19"/>
          <w:szCs w:val="19"/>
        </w:rPr>
        <w:t>Audiovisuellen</w:t>
      </w:r>
      <w:proofErr w:type="spellEnd"/>
      <w:r w:rsidR="00C61321" w:rsidRPr="00C667BE">
        <w:rPr>
          <w:b/>
          <w:i/>
          <w:sz w:val="19"/>
          <w:szCs w:val="19"/>
        </w:rPr>
        <w:t xml:space="preserve"> </w:t>
      </w:r>
      <w:proofErr w:type="spellStart"/>
      <w:r w:rsidR="00C61321" w:rsidRPr="00C667BE">
        <w:rPr>
          <w:b/>
          <w:i/>
          <w:sz w:val="19"/>
          <w:szCs w:val="19"/>
        </w:rPr>
        <w:t>Produkten</w:t>
      </w:r>
      <w:proofErr w:type="spellEnd"/>
      <w:r w:rsidR="00C61321" w:rsidRPr="00C667BE">
        <w:rPr>
          <w:b/>
          <w:i/>
          <w:sz w:val="19"/>
          <w:szCs w:val="19"/>
        </w:rPr>
        <w:t xml:space="preserve"> </w:t>
      </w:r>
      <w:proofErr w:type="spellStart"/>
      <w:r w:rsidR="00C61321" w:rsidRPr="00C667BE">
        <w:rPr>
          <w:b/>
          <w:i/>
          <w:sz w:val="19"/>
          <w:szCs w:val="19"/>
        </w:rPr>
        <w:t>Mbh</w:t>
      </w:r>
      <w:proofErr w:type="spellEnd"/>
      <w:r w:rsidR="00C61321" w:rsidRPr="00C667BE">
        <w:rPr>
          <w:b/>
          <w:i/>
          <w:sz w:val="19"/>
          <w:szCs w:val="19"/>
        </w:rPr>
        <w:t xml:space="preserve">, RTV Family Entertainment AG, Christian </w:t>
      </w:r>
      <w:proofErr w:type="spellStart"/>
      <w:r w:rsidR="00C61321" w:rsidRPr="00C667BE">
        <w:rPr>
          <w:b/>
          <w:i/>
          <w:sz w:val="19"/>
          <w:szCs w:val="19"/>
        </w:rPr>
        <w:t>Davin</w:t>
      </w:r>
      <w:proofErr w:type="spellEnd"/>
      <w:r w:rsidR="00C61321" w:rsidRPr="00C667BE">
        <w:rPr>
          <w:b/>
          <w:i/>
          <w:sz w:val="19"/>
          <w:szCs w:val="19"/>
        </w:rPr>
        <w:t xml:space="preserve">, Christophe </w:t>
      </w:r>
      <w:proofErr w:type="spellStart"/>
      <w:r w:rsidR="00C61321" w:rsidRPr="00C667BE">
        <w:rPr>
          <w:b/>
          <w:i/>
          <w:sz w:val="19"/>
          <w:szCs w:val="19"/>
        </w:rPr>
        <w:t>Izard</w:t>
      </w:r>
      <w:proofErr w:type="spellEnd"/>
      <w:r w:rsidR="00C61321" w:rsidRPr="00C667BE">
        <w:rPr>
          <w:b/>
          <w:i/>
          <w:sz w:val="19"/>
          <w:szCs w:val="19"/>
        </w:rPr>
        <w:t xml:space="preserve">, </w:t>
      </w:r>
      <w:proofErr w:type="spellStart"/>
      <w:r w:rsidR="00C61321" w:rsidRPr="00C667BE">
        <w:rPr>
          <w:b/>
          <w:i/>
          <w:sz w:val="19"/>
          <w:szCs w:val="19"/>
        </w:rPr>
        <w:t>Cinar</w:t>
      </w:r>
      <w:proofErr w:type="spellEnd"/>
      <w:r w:rsidR="00C61321" w:rsidRPr="00C667BE">
        <w:rPr>
          <w:b/>
          <w:i/>
          <w:sz w:val="19"/>
          <w:szCs w:val="19"/>
        </w:rPr>
        <w:t xml:space="preserve"> Films Inc., </w:t>
      </w:r>
      <w:proofErr w:type="spellStart"/>
      <w:r w:rsidR="00C61321" w:rsidRPr="00C667BE">
        <w:rPr>
          <w:b/>
          <w:i/>
          <w:sz w:val="19"/>
          <w:szCs w:val="19"/>
        </w:rPr>
        <w:t>Cinar</w:t>
      </w:r>
      <w:proofErr w:type="spellEnd"/>
      <w:r w:rsidR="00C61321" w:rsidRPr="00C667BE">
        <w:rPr>
          <w:b/>
          <w:i/>
          <w:sz w:val="19"/>
          <w:szCs w:val="19"/>
        </w:rPr>
        <w:t xml:space="preserve"> Corporation, 3918203 Canada Inc., Ronald A. Weinberg and Ronald A. Weinberg, in his capacity as sole liquidator of the succession of the late Micheline Charest</w:t>
      </w:r>
    </w:p>
    <w:p w:rsidR="00C61321" w:rsidRPr="00C667BE" w:rsidRDefault="00C61321" w:rsidP="00C61321">
      <w:pPr>
        <w:widowControl w:val="0"/>
        <w:jc w:val="both"/>
        <w:rPr>
          <w:sz w:val="19"/>
          <w:szCs w:val="19"/>
        </w:rPr>
      </w:pPr>
    </w:p>
    <w:p w:rsidR="00C61321" w:rsidRPr="00C667BE" w:rsidRDefault="00C61321" w:rsidP="00C61321">
      <w:pPr>
        <w:jc w:val="both"/>
        <w:rPr>
          <w:sz w:val="19"/>
          <w:szCs w:val="19"/>
        </w:rPr>
      </w:pPr>
      <w:r w:rsidRPr="00C667BE">
        <w:rPr>
          <w:sz w:val="19"/>
          <w:szCs w:val="19"/>
        </w:rPr>
        <w:t xml:space="preserve">Intellectual property - </w:t>
      </w:r>
      <w:r w:rsidRPr="00C667BE">
        <w:rPr>
          <w:i/>
          <w:sz w:val="19"/>
          <w:szCs w:val="19"/>
        </w:rPr>
        <w:t>Copyright Act</w:t>
      </w:r>
      <w:r w:rsidRPr="00C667BE">
        <w:rPr>
          <w:sz w:val="19"/>
          <w:szCs w:val="19"/>
        </w:rPr>
        <w:t>, R.S.C. 1985, c. C</w:t>
      </w:r>
      <w:r w:rsidRPr="00C667BE">
        <w:rPr>
          <w:sz w:val="19"/>
          <w:szCs w:val="19"/>
        </w:rPr>
        <w:noBreakHyphen/>
        <w:t xml:space="preserve">42 - Infringement - Scope of terms “cinematographic work” and “maker” within meaning of s. 2 of </w:t>
      </w:r>
      <w:r w:rsidRPr="00C667BE">
        <w:rPr>
          <w:i/>
          <w:sz w:val="19"/>
          <w:szCs w:val="19"/>
        </w:rPr>
        <w:t>Copyright Act</w:t>
      </w:r>
      <w:r w:rsidRPr="00C667BE">
        <w:rPr>
          <w:sz w:val="19"/>
          <w:szCs w:val="19"/>
        </w:rPr>
        <w:t xml:space="preserve"> - Tests for compensation for copyright infringement within meaning of s. 35 of </w:t>
      </w:r>
      <w:r w:rsidRPr="00C667BE">
        <w:rPr>
          <w:i/>
          <w:sz w:val="19"/>
          <w:szCs w:val="19"/>
        </w:rPr>
        <w:t>Copyright Act </w:t>
      </w:r>
      <w:r w:rsidRPr="00C667BE">
        <w:rPr>
          <w:sz w:val="19"/>
          <w:szCs w:val="19"/>
        </w:rPr>
        <w:t>- Tests for damages for moral, psychological or physical injury - Tests for punitive damages - Standard of judicial review applicable on appeal as regards assessment of facts, presumptions based on facts and determination of quantum - Solicitor</w:t>
      </w:r>
      <w:r w:rsidRPr="00C667BE">
        <w:rPr>
          <w:sz w:val="19"/>
          <w:szCs w:val="19"/>
        </w:rPr>
        <w:noBreakHyphen/>
      </w:r>
      <w:proofErr w:type="spellStart"/>
      <w:r w:rsidRPr="00C667BE">
        <w:rPr>
          <w:sz w:val="19"/>
          <w:szCs w:val="19"/>
        </w:rPr>
        <w:t>client</w:t>
      </w:r>
      <w:proofErr w:type="spellEnd"/>
      <w:r w:rsidRPr="00C667BE">
        <w:rPr>
          <w:sz w:val="19"/>
          <w:szCs w:val="19"/>
        </w:rPr>
        <w:t xml:space="preserve"> costs - Whether soundtrack specifically ordered to be incorporated into cinematographic production is integral part of cinematographic work - Whether remedies conferred on </w:t>
      </w:r>
      <w:r w:rsidRPr="00C667BE">
        <w:rPr>
          <w:color w:val="000000"/>
          <w:sz w:val="19"/>
          <w:szCs w:val="19"/>
        </w:rPr>
        <w:t xml:space="preserve">owners of copyright, including right to “just part” of profits under s. 35 of </w:t>
      </w:r>
      <w:r w:rsidRPr="00C667BE">
        <w:rPr>
          <w:i/>
          <w:sz w:val="19"/>
          <w:szCs w:val="19"/>
        </w:rPr>
        <w:t>Copyright Act</w:t>
      </w:r>
      <w:r w:rsidRPr="00C667BE">
        <w:rPr>
          <w:color w:val="000000"/>
          <w:sz w:val="19"/>
          <w:szCs w:val="19"/>
        </w:rPr>
        <w:t>, entitle owners to joint and several damages on profits made by infringers from infringement</w:t>
      </w:r>
      <w:r w:rsidRPr="00C667BE">
        <w:rPr>
          <w:sz w:val="19"/>
          <w:szCs w:val="19"/>
        </w:rPr>
        <w:t xml:space="preserve"> - Whether Court of Appeal erred in substituting its findings of fact and presumptions based on facts for those of trial judge, including in relation to quantum awarded under various heads of damages provided for in </w:t>
      </w:r>
      <w:r w:rsidRPr="00C667BE">
        <w:rPr>
          <w:i/>
          <w:sz w:val="19"/>
          <w:szCs w:val="19"/>
        </w:rPr>
        <w:t>Copyright Act</w:t>
      </w:r>
      <w:r w:rsidRPr="00C667BE">
        <w:rPr>
          <w:sz w:val="19"/>
          <w:szCs w:val="19"/>
        </w:rPr>
        <w:t xml:space="preserve"> - Whether award of general or aggravated damages for moral, psychological or physical injury is limited to amount determined by applying trilogy including </w:t>
      </w:r>
      <w:r w:rsidRPr="00C667BE">
        <w:rPr>
          <w:i/>
          <w:sz w:val="19"/>
          <w:szCs w:val="19"/>
        </w:rPr>
        <w:t>Andrews v. Grand &amp; Toy Alberta Ltd.</w:t>
      </w:r>
      <w:r w:rsidRPr="00C667BE">
        <w:rPr>
          <w:sz w:val="19"/>
          <w:szCs w:val="19"/>
        </w:rPr>
        <w:t>, [1978] 2 S.C.R. 229</w:t>
      </w:r>
      <w:r w:rsidRPr="00C667BE">
        <w:rPr>
          <w:color w:val="000000"/>
          <w:sz w:val="19"/>
          <w:szCs w:val="19"/>
        </w:rPr>
        <w:t xml:space="preserve"> </w:t>
      </w:r>
      <w:r w:rsidRPr="00C667BE">
        <w:rPr>
          <w:sz w:val="19"/>
          <w:szCs w:val="19"/>
        </w:rPr>
        <w:t>- Whether Court of Appeal erred in law in substituting its findings of fact in all respects, and particularly by intervening with respect to quantum of damages and joint and several nature of award, without having benefit of body of facts that trial judge had to assess and weigh.</w:t>
      </w:r>
    </w:p>
    <w:p w:rsidR="00C61321" w:rsidRPr="00C667BE" w:rsidRDefault="00C61321" w:rsidP="00C61321">
      <w:pPr>
        <w:widowControl w:val="0"/>
        <w:jc w:val="both"/>
        <w:rPr>
          <w:sz w:val="19"/>
          <w:szCs w:val="19"/>
        </w:rPr>
      </w:pPr>
    </w:p>
    <w:p w:rsidR="00C61321" w:rsidRPr="00C667BE" w:rsidRDefault="00C61321" w:rsidP="00C61321">
      <w:pPr>
        <w:jc w:val="both"/>
        <w:rPr>
          <w:sz w:val="19"/>
          <w:szCs w:val="19"/>
        </w:rPr>
      </w:pPr>
      <w:r w:rsidRPr="00C667BE">
        <w:rPr>
          <w:sz w:val="19"/>
          <w:szCs w:val="19"/>
        </w:rPr>
        <w:t xml:space="preserve">In 1982, Claude Robinson, an artist, drew the first sketches of the characters for </w:t>
      </w:r>
      <w:proofErr w:type="gramStart"/>
      <w:r w:rsidRPr="00C667BE">
        <w:rPr>
          <w:sz w:val="19"/>
          <w:szCs w:val="19"/>
        </w:rPr>
        <w:t>a proposed children’s</w:t>
      </w:r>
      <w:proofErr w:type="gramEnd"/>
      <w:r w:rsidRPr="00C667BE">
        <w:rPr>
          <w:sz w:val="19"/>
          <w:szCs w:val="19"/>
        </w:rPr>
        <w:t xml:space="preserve"> television services to be called </w:t>
      </w:r>
      <w:r w:rsidRPr="00C667BE">
        <w:rPr>
          <w:i/>
          <w:sz w:val="19"/>
          <w:szCs w:val="19"/>
        </w:rPr>
        <w:t>Robinson Curiosity</w:t>
      </w:r>
      <w:r w:rsidRPr="00C667BE">
        <w:rPr>
          <w:sz w:val="19"/>
          <w:szCs w:val="19"/>
        </w:rPr>
        <w:t xml:space="preserve">.  A few years later, in 1985, the Copyright Office issued a certificate of registration for </w:t>
      </w:r>
      <w:r w:rsidRPr="00C667BE">
        <w:rPr>
          <w:i/>
          <w:sz w:val="19"/>
          <w:szCs w:val="19"/>
        </w:rPr>
        <w:t>Robinson Curiosity</w:t>
      </w:r>
      <w:r w:rsidRPr="00C667BE">
        <w:rPr>
          <w:sz w:val="19"/>
          <w:szCs w:val="19"/>
        </w:rPr>
        <w:t xml:space="preserve"> listing Mr. Robinson as the author of the work and Les Productions </w:t>
      </w:r>
      <w:proofErr w:type="spellStart"/>
      <w:r w:rsidRPr="00C667BE">
        <w:rPr>
          <w:sz w:val="19"/>
          <w:szCs w:val="19"/>
        </w:rPr>
        <w:t>Nilem</w:t>
      </w:r>
      <w:proofErr w:type="spellEnd"/>
      <w:r w:rsidRPr="00C667BE">
        <w:rPr>
          <w:sz w:val="19"/>
          <w:szCs w:val="19"/>
        </w:rPr>
        <w:t xml:space="preserve"> inc. (“</w:t>
      </w:r>
      <w:proofErr w:type="spellStart"/>
      <w:r w:rsidRPr="00C667BE">
        <w:rPr>
          <w:sz w:val="19"/>
          <w:szCs w:val="19"/>
        </w:rPr>
        <w:t>Nilem</w:t>
      </w:r>
      <w:proofErr w:type="spellEnd"/>
      <w:r w:rsidRPr="00C667BE">
        <w:rPr>
          <w:sz w:val="19"/>
          <w:szCs w:val="19"/>
        </w:rPr>
        <w:t>”), a corporation of which he was the sole shareholder, as the owner of the work.</w:t>
      </w:r>
    </w:p>
    <w:p w:rsidR="00C61321" w:rsidRPr="00C667BE" w:rsidRDefault="00C61321" w:rsidP="00C61321">
      <w:pPr>
        <w:rPr>
          <w:sz w:val="19"/>
          <w:szCs w:val="19"/>
        </w:rPr>
      </w:pPr>
    </w:p>
    <w:p w:rsidR="00C61321" w:rsidRPr="00C667BE" w:rsidRDefault="00C61321" w:rsidP="00C61321">
      <w:pPr>
        <w:jc w:val="both"/>
        <w:rPr>
          <w:sz w:val="19"/>
          <w:szCs w:val="19"/>
        </w:rPr>
      </w:pPr>
      <w:r w:rsidRPr="00C667BE">
        <w:rPr>
          <w:sz w:val="19"/>
          <w:szCs w:val="19"/>
        </w:rPr>
        <w:t xml:space="preserve">Starting in 1985, Mr. Robinson and </w:t>
      </w:r>
      <w:proofErr w:type="spellStart"/>
      <w:r w:rsidRPr="00C667BE">
        <w:rPr>
          <w:sz w:val="19"/>
          <w:szCs w:val="19"/>
        </w:rPr>
        <w:t>Nilem</w:t>
      </w:r>
      <w:proofErr w:type="spellEnd"/>
      <w:r w:rsidRPr="00C667BE">
        <w:rPr>
          <w:sz w:val="19"/>
          <w:szCs w:val="19"/>
        </w:rPr>
        <w:t xml:space="preserve"> stepped up their efforts for the promotion and production of </w:t>
      </w:r>
      <w:r w:rsidRPr="00C667BE">
        <w:rPr>
          <w:i/>
          <w:sz w:val="19"/>
          <w:szCs w:val="19"/>
        </w:rPr>
        <w:t>Robinson Curiosity</w:t>
      </w:r>
      <w:r w:rsidRPr="00C667BE">
        <w:rPr>
          <w:sz w:val="19"/>
          <w:szCs w:val="19"/>
        </w:rPr>
        <w:t xml:space="preserve">, including with </w:t>
      </w:r>
      <w:proofErr w:type="spellStart"/>
      <w:r w:rsidRPr="00C667BE">
        <w:rPr>
          <w:sz w:val="19"/>
          <w:szCs w:val="19"/>
        </w:rPr>
        <w:t>Cinar</w:t>
      </w:r>
      <w:proofErr w:type="spellEnd"/>
      <w:r w:rsidRPr="00C667BE">
        <w:rPr>
          <w:sz w:val="19"/>
          <w:szCs w:val="19"/>
        </w:rPr>
        <w:t xml:space="preserve"> Corporation/</w:t>
      </w:r>
      <w:proofErr w:type="spellStart"/>
      <w:r w:rsidRPr="00C667BE">
        <w:rPr>
          <w:sz w:val="19"/>
          <w:szCs w:val="19"/>
        </w:rPr>
        <w:t>Cinar</w:t>
      </w:r>
      <w:proofErr w:type="spellEnd"/>
      <w:r w:rsidRPr="00C667BE">
        <w:rPr>
          <w:sz w:val="19"/>
          <w:szCs w:val="19"/>
        </w:rPr>
        <w:t xml:space="preserve"> Films Inc., but those efforts were unsuccessful for nearly 10 years.  In September 1995, however, the first episode of </w:t>
      </w:r>
      <w:r w:rsidRPr="00C667BE">
        <w:rPr>
          <w:i/>
          <w:sz w:val="19"/>
          <w:szCs w:val="19"/>
        </w:rPr>
        <w:t>Robinson </w:t>
      </w:r>
      <w:proofErr w:type="spellStart"/>
      <w:r w:rsidRPr="00C667BE">
        <w:rPr>
          <w:i/>
          <w:sz w:val="19"/>
          <w:szCs w:val="19"/>
        </w:rPr>
        <w:t>Sucroe</w:t>
      </w:r>
      <w:proofErr w:type="spellEnd"/>
      <w:r w:rsidRPr="00C667BE">
        <w:rPr>
          <w:sz w:val="19"/>
          <w:szCs w:val="19"/>
        </w:rPr>
        <w:t xml:space="preserve">, a work produced by </w:t>
      </w:r>
      <w:proofErr w:type="spellStart"/>
      <w:r w:rsidRPr="00C667BE">
        <w:rPr>
          <w:sz w:val="19"/>
          <w:szCs w:val="19"/>
        </w:rPr>
        <w:t>Cinar</w:t>
      </w:r>
      <w:proofErr w:type="spellEnd"/>
      <w:r w:rsidRPr="00C667BE">
        <w:rPr>
          <w:sz w:val="19"/>
          <w:szCs w:val="19"/>
        </w:rPr>
        <w:t xml:space="preserve"> Corporation/</w:t>
      </w:r>
      <w:proofErr w:type="spellStart"/>
      <w:r w:rsidRPr="00C667BE">
        <w:rPr>
          <w:sz w:val="19"/>
          <w:szCs w:val="19"/>
        </w:rPr>
        <w:t>Cinar</w:t>
      </w:r>
      <w:proofErr w:type="spellEnd"/>
      <w:r w:rsidRPr="00C667BE">
        <w:rPr>
          <w:sz w:val="19"/>
          <w:szCs w:val="19"/>
        </w:rPr>
        <w:t xml:space="preserve"> Films Inc., France Animation S.A. and </w:t>
      </w:r>
      <w:proofErr w:type="spellStart"/>
      <w:r w:rsidRPr="00C667BE">
        <w:rPr>
          <w:sz w:val="19"/>
          <w:szCs w:val="19"/>
        </w:rPr>
        <w:t>Ravensburger</w:t>
      </w:r>
      <w:proofErr w:type="spellEnd"/>
      <w:r w:rsidRPr="00C667BE">
        <w:rPr>
          <w:sz w:val="19"/>
          <w:szCs w:val="19"/>
        </w:rPr>
        <w:t xml:space="preserve"> Film + TV GmbH, was broadcast in Quebec.</w:t>
      </w:r>
    </w:p>
    <w:p w:rsidR="00C61321" w:rsidRPr="00C667BE" w:rsidRDefault="00C61321" w:rsidP="00C61321">
      <w:pPr>
        <w:rPr>
          <w:sz w:val="19"/>
          <w:szCs w:val="19"/>
        </w:rPr>
      </w:pPr>
    </w:p>
    <w:p w:rsidR="00C61321" w:rsidRPr="00C667BE" w:rsidRDefault="00C61321" w:rsidP="00C61321">
      <w:pPr>
        <w:jc w:val="both"/>
        <w:rPr>
          <w:sz w:val="19"/>
          <w:szCs w:val="19"/>
        </w:rPr>
      </w:pPr>
      <w:r w:rsidRPr="00C667BE">
        <w:rPr>
          <w:sz w:val="19"/>
          <w:szCs w:val="19"/>
        </w:rPr>
        <w:t xml:space="preserve">Since Mr. Robinson and </w:t>
      </w:r>
      <w:proofErr w:type="spellStart"/>
      <w:r w:rsidRPr="00C667BE">
        <w:rPr>
          <w:sz w:val="19"/>
          <w:szCs w:val="19"/>
        </w:rPr>
        <w:t>Nilem</w:t>
      </w:r>
      <w:proofErr w:type="spellEnd"/>
      <w:r w:rsidRPr="00C667BE">
        <w:rPr>
          <w:sz w:val="19"/>
          <w:szCs w:val="19"/>
        </w:rPr>
        <w:t xml:space="preserve"> found similarities between their work, </w:t>
      </w:r>
      <w:r w:rsidRPr="00C667BE">
        <w:rPr>
          <w:i/>
          <w:sz w:val="19"/>
          <w:szCs w:val="19"/>
        </w:rPr>
        <w:t>Robinson Curiosity</w:t>
      </w:r>
      <w:r w:rsidRPr="00C667BE">
        <w:rPr>
          <w:sz w:val="19"/>
          <w:szCs w:val="19"/>
        </w:rPr>
        <w:t xml:space="preserve">, and the work produced as </w:t>
      </w:r>
      <w:r w:rsidRPr="00C667BE">
        <w:rPr>
          <w:i/>
          <w:sz w:val="19"/>
          <w:szCs w:val="19"/>
        </w:rPr>
        <w:t xml:space="preserve">Robinson </w:t>
      </w:r>
      <w:proofErr w:type="spellStart"/>
      <w:r w:rsidRPr="00C667BE">
        <w:rPr>
          <w:i/>
          <w:sz w:val="19"/>
          <w:szCs w:val="19"/>
        </w:rPr>
        <w:t>Sucroe</w:t>
      </w:r>
      <w:proofErr w:type="spellEnd"/>
      <w:r w:rsidRPr="00C667BE">
        <w:rPr>
          <w:sz w:val="19"/>
          <w:szCs w:val="19"/>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C61321" w:rsidRPr="00C667BE" w:rsidRDefault="00C61321" w:rsidP="00C61321">
      <w:pPr>
        <w:widowControl w:val="0"/>
        <w:jc w:val="both"/>
        <w:rPr>
          <w:sz w:val="19"/>
          <w:szCs w:val="19"/>
        </w:rPr>
      </w:pPr>
    </w:p>
    <w:p w:rsidR="00C61321" w:rsidRPr="00C667BE" w:rsidRDefault="00C61321" w:rsidP="00C61321">
      <w:pPr>
        <w:widowControl w:val="0"/>
        <w:jc w:val="both"/>
        <w:rPr>
          <w:sz w:val="19"/>
          <w:szCs w:val="19"/>
        </w:rPr>
      </w:pPr>
    </w:p>
    <w:p w:rsidR="00C61321" w:rsidRPr="00C667BE" w:rsidRDefault="00C61321" w:rsidP="00C61321">
      <w:pPr>
        <w:widowControl w:val="0"/>
        <w:ind w:left="2880" w:hanging="2880"/>
        <w:jc w:val="both"/>
        <w:rPr>
          <w:sz w:val="19"/>
          <w:szCs w:val="19"/>
        </w:rPr>
      </w:pPr>
      <w:r w:rsidRPr="00C667BE">
        <w:rPr>
          <w:sz w:val="19"/>
          <w:szCs w:val="19"/>
        </w:rPr>
        <w:t>Origin of the case:</w:t>
      </w:r>
      <w:r w:rsidRPr="00C667BE">
        <w:rPr>
          <w:sz w:val="19"/>
          <w:szCs w:val="19"/>
        </w:rPr>
        <w:tab/>
        <w:t>Quebec</w:t>
      </w:r>
    </w:p>
    <w:p w:rsidR="00C61321" w:rsidRPr="00C667BE" w:rsidRDefault="00C61321" w:rsidP="00C61321">
      <w:pPr>
        <w:widowControl w:val="0"/>
        <w:ind w:left="2880" w:hanging="2880"/>
        <w:jc w:val="both"/>
        <w:rPr>
          <w:sz w:val="19"/>
          <w:szCs w:val="19"/>
        </w:rPr>
      </w:pPr>
    </w:p>
    <w:p w:rsidR="00C61321" w:rsidRPr="00C667BE" w:rsidRDefault="00C61321" w:rsidP="00C61321">
      <w:pPr>
        <w:widowControl w:val="0"/>
        <w:ind w:left="2880" w:hanging="2880"/>
        <w:jc w:val="both"/>
        <w:rPr>
          <w:sz w:val="19"/>
          <w:szCs w:val="19"/>
        </w:rPr>
      </w:pPr>
      <w:r w:rsidRPr="00C667BE">
        <w:rPr>
          <w:sz w:val="19"/>
          <w:szCs w:val="19"/>
        </w:rPr>
        <w:t>File No.:</w:t>
      </w:r>
      <w:r w:rsidRPr="00C667BE">
        <w:rPr>
          <w:sz w:val="19"/>
          <w:szCs w:val="19"/>
        </w:rPr>
        <w:tab/>
        <w:t>34469</w:t>
      </w:r>
    </w:p>
    <w:p w:rsidR="00C61321" w:rsidRPr="00C667BE" w:rsidRDefault="00C61321" w:rsidP="00C61321">
      <w:pPr>
        <w:widowControl w:val="0"/>
        <w:ind w:left="2880" w:hanging="2880"/>
        <w:jc w:val="both"/>
        <w:rPr>
          <w:sz w:val="19"/>
          <w:szCs w:val="19"/>
        </w:rPr>
      </w:pPr>
    </w:p>
    <w:p w:rsidR="00C61321" w:rsidRPr="00C667BE" w:rsidRDefault="00C61321" w:rsidP="00C61321">
      <w:pPr>
        <w:widowControl w:val="0"/>
        <w:ind w:left="2880" w:hanging="2880"/>
        <w:jc w:val="both"/>
        <w:rPr>
          <w:sz w:val="19"/>
          <w:szCs w:val="19"/>
        </w:rPr>
      </w:pPr>
      <w:r w:rsidRPr="00C667BE">
        <w:rPr>
          <w:sz w:val="19"/>
          <w:szCs w:val="19"/>
        </w:rPr>
        <w:t>Judgment of the Court of Appeal:</w:t>
      </w:r>
      <w:r w:rsidRPr="00C667BE">
        <w:rPr>
          <w:sz w:val="19"/>
          <w:szCs w:val="19"/>
        </w:rPr>
        <w:tab/>
        <w:t>July 20, 2011</w:t>
      </w:r>
    </w:p>
    <w:p w:rsidR="00C61321" w:rsidRPr="00C667BE" w:rsidRDefault="00C61321" w:rsidP="00C61321">
      <w:pPr>
        <w:widowControl w:val="0"/>
        <w:ind w:left="2880" w:hanging="2880"/>
        <w:jc w:val="both"/>
        <w:rPr>
          <w:sz w:val="19"/>
          <w:szCs w:val="19"/>
        </w:rPr>
      </w:pPr>
    </w:p>
    <w:p w:rsidR="00C61321" w:rsidRPr="00C667BE" w:rsidRDefault="00C61321" w:rsidP="00C61321">
      <w:pPr>
        <w:widowControl w:val="0"/>
        <w:ind w:left="2880" w:hanging="2880"/>
        <w:jc w:val="both"/>
        <w:rPr>
          <w:sz w:val="19"/>
          <w:szCs w:val="19"/>
        </w:rPr>
      </w:pPr>
      <w:r w:rsidRPr="00C667BE">
        <w:rPr>
          <w:sz w:val="19"/>
          <w:szCs w:val="19"/>
        </w:rPr>
        <w:t>Counsel:</w:t>
      </w:r>
      <w:r w:rsidRPr="00C667BE">
        <w:rPr>
          <w:sz w:val="19"/>
          <w:szCs w:val="19"/>
        </w:rPr>
        <w:tab/>
        <w:t xml:space="preserve">Gilles M. Daigle and Guy </w:t>
      </w:r>
      <w:proofErr w:type="spellStart"/>
      <w:r w:rsidRPr="00C667BE">
        <w:rPr>
          <w:sz w:val="19"/>
          <w:szCs w:val="19"/>
        </w:rPr>
        <w:t>Régimbald</w:t>
      </w:r>
      <w:proofErr w:type="spellEnd"/>
      <w:r w:rsidRPr="00C667BE">
        <w:rPr>
          <w:sz w:val="19"/>
          <w:szCs w:val="19"/>
        </w:rPr>
        <w:t xml:space="preserve"> for the appellants</w:t>
      </w:r>
    </w:p>
    <w:p w:rsidR="00C61321" w:rsidRPr="00C667BE" w:rsidRDefault="00C61321" w:rsidP="00C61321">
      <w:pPr>
        <w:widowControl w:val="0"/>
        <w:ind w:left="2880" w:hanging="2880"/>
        <w:jc w:val="both"/>
        <w:rPr>
          <w:sz w:val="19"/>
          <w:szCs w:val="19"/>
        </w:rPr>
      </w:pPr>
      <w:r w:rsidRPr="00C667BE">
        <w:rPr>
          <w:sz w:val="19"/>
          <w:szCs w:val="19"/>
        </w:rPr>
        <w:tab/>
        <w:t xml:space="preserve">Pierre Y. Lefebvre, Alain Y. </w:t>
      </w:r>
      <w:proofErr w:type="spellStart"/>
      <w:r w:rsidRPr="00C667BE">
        <w:rPr>
          <w:sz w:val="19"/>
          <w:szCs w:val="19"/>
        </w:rPr>
        <w:t>Dussault</w:t>
      </w:r>
      <w:proofErr w:type="spellEnd"/>
      <w:r w:rsidRPr="00C667BE">
        <w:rPr>
          <w:sz w:val="19"/>
          <w:szCs w:val="19"/>
        </w:rPr>
        <w:t xml:space="preserve"> and </w:t>
      </w:r>
      <w:proofErr w:type="spellStart"/>
      <w:r w:rsidRPr="00C667BE">
        <w:rPr>
          <w:sz w:val="19"/>
          <w:szCs w:val="19"/>
        </w:rPr>
        <w:t>Silviu</w:t>
      </w:r>
      <w:proofErr w:type="spellEnd"/>
      <w:r w:rsidRPr="00C667BE">
        <w:rPr>
          <w:sz w:val="19"/>
          <w:szCs w:val="19"/>
        </w:rPr>
        <w:t xml:space="preserve"> </w:t>
      </w:r>
      <w:proofErr w:type="spellStart"/>
      <w:r w:rsidRPr="00C667BE">
        <w:rPr>
          <w:sz w:val="19"/>
          <w:szCs w:val="19"/>
        </w:rPr>
        <w:t>Bursenascu</w:t>
      </w:r>
      <w:proofErr w:type="spellEnd"/>
      <w:r w:rsidRPr="00C667BE">
        <w:rPr>
          <w:sz w:val="19"/>
          <w:szCs w:val="19"/>
        </w:rPr>
        <w:t xml:space="preserve"> for the respondents France Animation S.A., </w:t>
      </w:r>
      <w:proofErr w:type="spellStart"/>
      <w:r w:rsidRPr="00C667BE">
        <w:rPr>
          <w:sz w:val="19"/>
          <w:szCs w:val="19"/>
        </w:rPr>
        <w:t>Ravensburger</w:t>
      </w:r>
      <w:proofErr w:type="spellEnd"/>
      <w:r w:rsidRPr="00C667BE">
        <w:rPr>
          <w:sz w:val="19"/>
          <w:szCs w:val="19"/>
        </w:rPr>
        <w:t xml:space="preserve"> Film + TV GmbH, </w:t>
      </w:r>
      <w:proofErr w:type="spellStart"/>
      <w:r w:rsidRPr="00C667BE">
        <w:rPr>
          <w:sz w:val="19"/>
          <w:szCs w:val="19"/>
        </w:rPr>
        <w:t>Videal</w:t>
      </w:r>
      <w:proofErr w:type="spellEnd"/>
      <w:r w:rsidRPr="00C667BE">
        <w:rPr>
          <w:sz w:val="19"/>
          <w:szCs w:val="19"/>
        </w:rPr>
        <w:t xml:space="preserve"> </w:t>
      </w:r>
      <w:proofErr w:type="spellStart"/>
      <w:r w:rsidRPr="00C667BE">
        <w:rPr>
          <w:sz w:val="19"/>
          <w:szCs w:val="19"/>
        </w:rPr>
        <w:t>Gesellschaft</w:t>
      </w:r>
      <w:proofErr w:type="spellEnd"/>
      <w:r w:rsidRPr="00C667BE">
        <w:rPr>
          <w:sz w:val="19"/>
          <w:szCs w:val="19"/>
        </w:rPr>
        <w:t xml:space="preserve"> </w:t>
      </w:r>
      <w:proofErr w:type="spellStart"/>
      <w:r w:rsidRPr="00C667BE">
        <w:rPr>
          <w:sz w:val="19"/>
          <w:szCs w:val="19"/>
        </w:rPr>
        <w:t>Zur</w:t>
      </w:r>
      <w:proofErr w:type="spellEnd"/>
      <w:r w:rsidRPr="00C667BE">
        <w:rPr>
          <w:sz w:val="19"/>
          <w:szCs w:val="19"/>
        </w:rPr>
        <w:t xml:space="preserve"> </w:t>
      </w:r>
      <w:proofErr w:type="spellStart"/>
      <w:r w:rsidRPr="00C667BE">
        <w:rPr>
          <w:sz w:val="19"/>
          <w:szCs w:val="19"/>
        </w:rPr>
        <w:t>Hertellung</w:t>
      </w:r>
      <w:proofErr w:type="spellEnd"/>
      <w:r w:rsidRPr="00C667BE">
        <w:rPr>
          <w:sz w:val="19"/>
          <w:szCs w:val="19"/>
        </w:rPr>
        <w:t xml:space="preserve"> Von </w:t>
      </w:r>
      <w:proofErr w:type="spellStart"/>
      <w:r w:rsidRPr="00C667BE">
        <w:rPr>
          <w:sz w:val="19"/>
          <w:szCs w:val="19"/>
        </w:rPr>
        <w:t>Audiovisuellen</w:t>
      </w:r>
      <w:proofErr w:type="spellEnd"/>
      <w:r w:rsidRPr="00C667BE">
        <w:rPr>
          <w:sz w:val="19"/>
          <w:szCs w:val="19"/>
        </w:rPr>
        <w:t xml:space="preserve"> </w:t>
      </w:r>
      <w:proofErr w:type="spellStart"/>
      <w:r w:rsidRPr="00C667BE">
        <w:rPr>
          <w:sz w:val="19"/>
          <w:szCs w:val="19"/>
        </w:rPr>
        <w:t>Produkten</w:t>
      </w:r>
      <w:proofErr w:type="spellEnd"/>
      <w:r w:rsidRPr="00C667BE">
        <w:rPr>
          <w:sz w:val="19"/>
          <w:szCs w:val="19"/>
        </w:rPr>
        <w:t xml:space="preserve"> </w:t>
      </w:r>
      <w:proofErr w:type="spellStart"/>
      <w:r w:rsidRPr="00C667BE">
        <w:rPr>
          <w:sz w:val="19"/>
          <w:szCs w:val="19"/>
        </w:rPr>
        <w:t>Mbh</w:t>
      </w:r>
      <w:proofErr w:type="spellEnd"/>
      <w:r w:rsidRPr="00C667BE">
        <w:rPr>
          <w:sz w:val="19"/>
          <w:szCs w:val="19"/>
        </w:rPr>
        <w:t xml:space="preserve">, RTV Family Entertainment AG and Christophe </w:t>
      </w:r>
      <w:proofErr w:type="spellStart"/>
      <w:r w:rsidRPr="00C667BE">
        <w:rPr>
          <w:sz w:val="19"/>
          <w:szCs w:val="19"/>
        </w:rPr>
        <w:t>Izard</w:t>
      </w:r>
      <w:proofErr w:type="spellEnd"/>
    </w:p>
    <w:p w:rsidR="00C61321" w:rsidRPr="00C667BE" w:rsidRDefault="00C61321" w:rsidP="00C61321">
      <w:pPr>
        <w:widowControl w:val="0"/>
        <w:ind w:left="2880" w:hanging="2880"/>
        <w:jc w:val="both"/>
        <w:rPr>
          <w:sz w:val="19"/>
          <w:szCs w:val="19"/>
        </w:rPr>
      </w:pPr>
      <w:r w:rsidRPr="00C667BE">
        <w:rPr>
          <w:sz w:val="19"/>
          <w:szCs w:val="19"/>
        </w:rPr>
        <w:tab/>
        <w:t xml:space="preserve">William Brock, </w:t>
      </w:r>
      <w:proofErr w:type="spellStart"/>
      <w:proofErr w:type="gramStart"/>
      <w:r w:rsidRPr="00C667BE">
        <w:rPr>
          <w:sz w:val="19"/>
          <w:szCs w:val="19"/>
        </w:rPr>
        <w:t>Ad.E</w:t>
      </w:r>
      <w:proofErr w:type="spellEnd"/>
      <w:r w:rsidRPr="00C667BE">
        <w:rPr>
          <w:sz w:val="19"/>
          <w:szCs w:val="19"/>
        </w:rPr>
        <w:t>.,</w:t>
      </w:r>
      <w:proofErr w:type="gramEnd"/>
      <w:r w:rsidRPr="00C667BE">
        <w:rPr>
          <w:sz w:val="19"/>
          <w:szCs w:val="19"/>
        </w:rPr>
        <w:t xml:space="preserve"> and Cara Cameron for the respondents  </w:t>
      </w:r>
      <w:proofErr w:type="spellStart"/>
      <w:r w:rsidRPr="00C667BE">
        <w:rPr>
          <w:sz w:val="19"/>
          <w:szCs w:val="19"/>
        </w:rPr>
        <w:t>Cinar</w:t>
      </w:r>
      <w:proofErr w:type="spellEnd"/>
      <w:r w:rsidRPr="00C667BE">
        <w:rPr>
          <w:sz w:val="19"/>
          <w:szCs w:val="19"/>
        </w:rPr>
        <w:t xml:space="preserve"> Films Inc., </w:t>
      </w:r>
      <w:proofErr w:type="spellStart"/>
      <w:r w:rsidRPr="00C667BE">
        <w:rPr>
          <w:sz w:val="19"/>
          <w:szCs w:val="19"/>
        </w:rPr>
        <w:t>Cinar</w:t>
      </w:r>
      <w:proofErr w:type="spellEnd"/>
      <w:r w:rsidRPr="00C667BE">
        <w:rPr>
          <w:sz w:val="19"/>
          <w:szCs w:val="19"/>
        </w:rPr>
        <w:t xml:space="preserve"> Corporation and 3918203 Canada Inc.</w:t>
      </w:r>
    </w:p>
    <w:p w:rsidR="00C61321" w:rsidRPr="00C667BE" w:rsidRDefault="00C61321" w:rsidP="00C61321">
      <w:pPr>
        <w:widowControl w:val="0"/>
        <w:ind w:left="2880" w:hanging="2880"/>
        <w:jc w:val="both"/>
        <w:rPr>
          <w:sz w:val="19"/>
          <w:szCs w:val="19"/>
        </w:rPr>
      </w:pPr>
      <w:r w:rsidRPr="00C667BE">
        <w:rPr>
          <w:sz w:val="19"/>
          <w:szCs w:val="19"/>
        </w:rPr>
        <w:tab/>
      </w:r>
      <w:proofErr w:type="spellStart"/>
      <w:r w:rsidRPr="00C667BE">
        <w:rPr>
          <w:sz w:val="19"/>
          <w:szCs w:val="19"/>
        </w:rPr>
        <w:t>Raynold</w:t>
      </w:r>
      <w:proofErr w:type="spellEnd"/>
      <w:r w:rsidRPr="00C667BE">
        <w:rPr>
          <w:sz w:val="19"/>
          <w:szCs w:val="19"/>
        </w:rPr>
        <w:t xml:space="preserve"> </w:t>
      </w:r>
      <w:proofErr w:type="spellStart"/>
      <w:r w:rsidRPr="00C667BE">
        <w:rPr>
          <w:sz w:val="19"/>
          <w:szCs w:val="19"/>
        </w:rPr>
        <w:t>Langlois</w:t>
      </w:r>
      <w:proofErr w:type="spellEnd"/>
      <w:r w:rsidRPr="00C667BE">
        <w:rPr>
          <w:sz w:val="19"/>
          <w:szCs w:val="19"/>
        </w:rPr>
        <w:t xml:space="preserve">, </w:t>
      </w:r>
      <w:proofErr w:type="spellStart"/>
      <w:r w:rsidRPr="00C667BE">
        <w:rPr>
          <w:sz w:val="19"/>
          <w:szCs w:val="19"/>
        </w:rPr>
        <w:t>Dimitri</w:t>
      </w:r>
      <w:proofErr w:type="spellEnd"/>
      <w:r w:rsidRPr="00C667BE">
        <w:rPr>
          <w:sz w:val="19"/>
          <w:szCs w:val="19"/>
        </w:rPr>
        <w:t xml:space="preserve"> </w:t>
      </w:r>
      <w:proofErr w:type="spellStart"/>
      <w:r w:rsidRPr="00C667BE">
        <w:rPr>
          <w:sz w:val="19"/>
          <w:szCs w:val="19"/>
        </w:rPr>
        <w:t>Maniatis</w:t>
      </w:r>
      <w:proofErr w:type="spellEnd"/>
      <w:r w:rsidRPr="00C667BE">
        <w:rPr>
          <w:sz w:val="19"/>
          <w:szCs w:val="19"/>
        </w:rPr>
        <w:t xml:space="preserve">, Jean-Patrick </w:t>
      </w:r>
      <w:proofErr w:type="spellStart"/>
      <w:r w:rsidRPr="00C667BE">
        <w:rPr>
          <w:sz w:val="19"/>
          <w:szCs w:val="19"/>
        </w:rPr>
        <w:t>Dallaire</w:t>
      </w:r>
      <w:proofErr w:type="spellEnd"/>
      <w:r w:rsidRPr="00C667BE">
        <w:rPr>
          <w:sz w:val="19"/>
          <w:szCs w:val="19"/>
        </w:rPr>
        <w:t xml:space="preserve"> and </w:t>
      </w:r>
      <w:proofErr w:type="spellStart"/>
      <w:r w:rsidRPr="00C667BE">
        <w:rPr>
          <w:sz w:val="19"/>
          <w:szCs w:val="19"/>
        </w:rPr>
        <w:t>Fabrice</w:t>
      </w:r>
      <w:proofErr w:type="spellEnd"/>
      <w:r w:rsidRPr="00C667BE">
        <w:rPr>
          <w:sz w:val="19"/>
          <w:szCs w:val="19"/>
        </w:rPr>
        <w:t xml:space="preserve"> </w:t>
      </w:r>
      <w:proofErr w:type="spellStart"/>
      <w:r w:rsidRPr="00C667BE">
        <w:rPr>
          <w:sz w:val="19"/>
          <w:szCs w:val="19"/>
        </w:rPr>
        <w:t>Vil</w:t>
      </w:r>
      <w:proofErr w:type="spellEnd"/>
      <w:r w:rsidRPr="00C667BE">
        <w:rPr>
          <w:sz w:val="19"/>
          <w:szCs w:val="19"/>
        </w:rPr>
        <w:t xml:space="preserve"> for the respondents Ronald A. Weinberg and Ronald A. Weinberg, in his capacity as sole liquidator of the succession of the late Micheline Charest</w:t>
      </w:r>
    </w:p>
    <w:p w:rsidR="00C61321" w:rsidRPr="00C667BE" w:rsidRDefault="00C61321" w:rsidP="00C61321">
      <w:pPr>
        <w:widowControl w:val="0"/>
        <w:ind w:left="2880" w:hanging="2880"/>
        <w:jc w:val="both"/>
        <w:rPr>
          <w:sz w:val="19"/>
          <w:szCs w:val="19"/>
        </w:rPr>
      </w:pPr>
      <w:r w:rsidRPr="00C667BE">
        <w:rPr>
          <w:sz w:val="19"/>
          <w:szCs w:val="19"/>
        </w:rPr>
        <w:tab/>
        <w:t xml:space="preserve">Guy J. </w:t>
      </w:r>
      <w:proofErr w:type="spellStart"/>
      <w:r w:rsidRPr="00C667BE">
        <w:rPr>
          <w:sz w:val="19"/>
          <w:szCs w:val="19"/>
        </w:rPr>
        <w:t>Pratte</w:t>
      </w:r>
      <w:proofErr w:type="spellEnd"/>
      <w:r w:rsidRPr="00C667BE">
        <w:rPr>
          <w:sz w:val="19"/>
          <w:szCs w:val="19"/>
        </w:rPr>
        <w:t xml:space="preserve">, </w:t>
      </w:r>
      <w:proofErr w:type="spellStart"/>
      <w:proofErr w:type="gramStart"/>
      <w:r w:rsidRPr="00C667BE">
        <w:rPr>
          <w:sz w:val="19"/>
          <w:szCs w:val="19"/>
        </w:rPr>
        <w:t>Ad.E</w:t>
      </w:r>
      <w:proofErr w:type="spellEnd"/>
      <w:r w:rsidRPr="00C667BE">
        <w:rPr>
          <w:sz w:val="19"/>
          <w:szCs w:val="19"/>
        </w:rPr>
        <w:t>.,</w:t>
      </w:r>
      <w:proofErr w:type="gramEnd"/>
      <w:r w:rsidRPr="00C667BE">
        <w:rPr>
          <w:sz w:val="19"/>
          <w:szCs w:val="19"/>
        </w:rPr>
        <w:t xml:space="preserve"> Daniel </w:t>
      </w:r>
      <w:proofErr w:type="spellStart"/>
      <w:r w:rsidRPr="00C667BE">
        <w:rPr>
          <w:sz w:val="19"/>
          <w:szCs w:val="19"/>
        </w:rPr>
        <w:t>Urbas</w:t>
      </w:r>
      <w:proofErr w:type="spellEnd"/>
      <w:r w:rsidRPr="00C667BE">
        <w:rPr>
          <w:sz w:val="19"/>
          <w:szCs w:val="19"/>
        </w:rPr>
        <w:t xml:space="preserve"> and Marc-André </w:t>
      </w:r>
      <w:proofErr w:type="spellStart"/>
      <w:r w:rsidRPr="00C667BE">
        <w:rPr>
          <w:sz w:val="19"/>
          <w:szCs w:val="19"/>
        </w:rPr>
        <w:t>Grou</w:t>
      </w:r>
      <w:proofErr w:type="spellEnd"/>
      <w:r w:rsidRPr="00C667BE">
        <w:rPr>
          <w:sz w:val="19"/>
          <w:szCs w:val="19"/>
        </w:rPr>
        <w:t xml:space="preserve"> for the respondent Christian </w:t>
      </w:r>
      <w:proofErr w:type="spellStart"/>
      <w:r w:rsidRPr="00C667BE">
        <w:rPr>
          <w:sz w:val="19"/>
          <w:szCs w:val="19"/>
        </w:rPr>
        <w:t>Davin</w:t>
      </w:r>
      <w:proofErr w:type="spellEnd"/>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2"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0A6105" w:rsidRPr="00C667BE" w:rsidRDefault="00F008AC" w:rsidP="000A6105">
      <w:pPr>
        <w:widowControl w:val="0"/>
        <w:ind w:left="720" w:hanging="720"/>
        <w:jc w:val="both"/>
        <w:rPr>
          <w:rFonts w:eastAsia="Times New Roman" w:cs="Times New Roman"/>
          <w:b/>
          <w:i/>
          <w:sz w:val="19"/>
          <w:szCs w:val="19"/>
          <w:lang w:val="fr-CA" w:eastAsia="en-CA"/>
        </w:rPr>
      </w:pPr>
      <w:r w:rsidRPr="00F008AC">
        <w:rPr>
          <w:rFonts w:eastAsia="Times New Roman" w:cs="Times New Roman"/>
          <w:b/>
          <w:sz w:val="19"/>
          <w:szCs w:val="19"/>
          <w:lang w:val="fr-CA" w:eastAsia="en-CA"/>
        </w:rPr>
        <w:lastRenderedPageBreak/>
        <w:fldChar w:fldCharType="begin"/>
      </w:r>
      <w:r w:rsidR="000A6105" w:rsidRPr="00C667BE">
        <w:rPr>
          <w:rFonts w:eastAsia="Times New Roman" w:cs="Times New Roman"/>
          <w:b/>
          <w:sz w:val="19"/>
          <w:szCs w:val="19"/>
          <w:lang w:val="fr-CA" w:eastAsia="en-CA"/>
        </w:rPr>
        <w:instrText xml:space="preserve"> SEQ CHAPTER \h \r 1</w:instrText>
      </w:r>
      <w:r w:rsidRPr="00C667BE">
        <w:rPr>
          <w:rFonts w:eastAsia="Times New Roman" w:cs="Times New Roman"/>
          <w:b/>
          <w:sz w:val="19"/>
          <w:szCs w:val="19"/>
          <w:lang w:val="en-US" w:eastAsia="en-CA"/>
        </w:rPr>
        <w:fldChar w:fldCharType="end"/>
      </w:r>
      <w:r w:rsidR="000A6105" w:rsidRPr="00C667BE">
        <w:rPr>
          <w:rFonts w:eastAsia="Times New Roman" w:cs="Times New Roman"/>
          <w:b/>
          <w:sz w:val="19"/>
          <w:szCs w:val="19"/>
          <w:lang w:val="fr-CA" w:eastAsia="en-CA"/>
        </w:rPr>
        <w:t>34469</w:t>
      </w:r>
      <w:r w:rsidR="000A6105" w:rsidRPr="00C667BE">
        <w:rPr>
          <w:rFonts w:eastAsia="Times New Roman" w:cs="Times New Roman"/>
          <w:b/>
          <w:sz w:val="19"/>
          <w:szCs w:val="19"/>
          <w:lang w:val="fr-CA" w:eastAsia="en-CA"/>
        </w:rPr>
        <w:tab/>
      </w:r>
      <w:r w:rsidR="000A6105" w:rsidRPr="00C667BE">
        <w:rPr>
          <w:rFonts w:eastAsia="Times New Roman" w:cs="Times New Roman"/>
          <w:b/>
          <w:i/>
          <w:sz w:val="19"/>
          <w:szCs w:val="19"/>
          <w:lang w:val="fr-CA" w:eastAsia="en-CA"/>
        </w:rPr>
        <w:t xml:space="preserve">Claude Robinson et Les Productions </w:t>
      </w:r>
      <w:proofErr w:type="spellStart"/>
      <w:r w:rsidR="000A6105" w:rsidRPr="00C667BE">
        <w:rPr>
          <w:rFonts w:eastAsia="Times New Roman" w:cs="Times New Roman"/>
          <w:b/>
          <w:i/>
          <w:sz w:val="19"/>
          <w:szCs w:val="19"/>
          <w:lang w:val="fr-CA" w:eastAsia="en-CA"/>
        </w:rPr>
        <w:t>Nilem</w:t>
      </w:r>
      <w:proofErr w:type="spellEnd"/>
      <w:r w:rsidR="000A6105" w:rsidRPr="00C667BE">
        <w:rPr>
          <w:rFonts w:eastAsia="Times New Roman" w:cs="Times New Roman"/>
          <w:b/>
          <w:i/>
          <w:sz w:val="19"/>
          <w:szCs w:val="19"/>
          <w:lang w:val="fr-CA" w:eastAsia="en-CA"/>
        </w:rPr>
        <w:t xml:space="preserve"> Inc. c. France Animation S.A., Ravensburger Film + TV </w:t>
      </w:r>
      <w:proofErr w:type="spellStart"/>
      <w:r w:rsidR="000A6105" w:rsidRPr="00C667BE">
        <w:rPr>
          <w:rFonts w:eastAsia="Times New Roman" w:cs="Times New Roman"/>
          <w:b/>
          <w:i/>
          <w:sz w:val="19"/>
          <w:szCs w:val="19"/>
          <w:lang w:val="fr-CA" w:eastAsia="en-CA"/>
        </w:rPr>
        <w:t>GmbH</w:t>
      </w:r>
      <w:proofErr w:type="spellEnd"/>
      <w:r w:rsidR="000A6105" w:rsidRPr="00C667BE">
        <w:rPr>
          <w:rFonts w:eastAsia="Times New Roman" w:cs="Times New Roman"/>
          <w:b/>
          <w:i/>
          <w:sz w:val="19"/>
          <w:szCs w:val="19"/>
          <w:lang w:val="fr-CA" w:eastAsia="en-CA"/>
        </w:rPr>
        <w:t xml:space="preserve">, </w:t>
      </w:r>
      <w:proofErr w:type="spellStart"/>
      <w:r w:rsidR="000A6105" w:rsidRPr="00C667BE">
        <w:rPr>
          <w:rFonts w:eastAsia="Times New Roman" w:cs="Times New Roman"/>
          <w:b/>
          <w:i/>
          <w:sz w:val="19"/>
          <w:szCs w:val="19"/>
          <w:lang w:val="fr-CA" w:eastAsia="en-CA"/>
        </w:rPr>
        <w:t>Videal</w:t>
      </w:r>
      <w:proofErr w:type="spellEnd"/>
      <w:r w:rsidR="000A6105" w:rsidRPr="00C667BE">
        <w:rPr>
          <w:rFonts w:eastAsia="Times New Roman" w:cs="Times New Roman"/>
          <w:b/>
          <w:i/>
          <w:sz w:val="19"/>
          <w:szCs w:val="19"/>
          <w:lang w:val="fr-CA" w:eastAsia="en-CA"/>
        </w:rPr>
        <w:t xml:space="preserve"> </w:t>
      </w:r>
      <w:proofErr w:type="spellStart"/>
      <w:r w:rsidR="000A6105" w:rsidRPr="00C667BE">
        <w:rPr>
          <w:rFonts w:eastAsia="Times New Roman" w:cs="Times New Roman"/>
          <w:b/>
          <w:i/>
          <w:sz w:val="19"/>
          <w:szCs w:val="19"/>
          <w:lang w:val="fr-CA" w:eastAsia="en-CA"/>
        </w:rPr>
        <w:t>Gesellschaft</w:t>
      </w:r>
      <w:proofErr w:type="spellEnd"/>
      <w:r w:rsidR="000A6105" w:rsidRPr="00C667BE">
        <w:rPr>
          <w:rFonts w:eastAsia="Times New Roman" w:cs="Times New Roman"/>
          <w:b/>
          <w:i/>
          <w:sz w:val="19"/>
          <w:szCs w:val="19"/>
          <w:lang w:val="fr-CA" w:eastAsia="en-CA"/>
        </w:rPr>
        <w:t xml:space="preserve"> Zur </w:t>
      </w:r>
      <w:proofErr w:type="spellStart"/>
      <w:r w:rsidR="000A6105" w:rsidRPr="00C667BE">
        <w:rPr>
          <w:rFonts w:eastAsia="Times New Roman" w:cs="Times New Roman"/>
          <w:b/>
          <w:i/>
          <w:sz w:val="19"/>
          <w:szCs w:val="19"/>
          <w:lang w:val="fr-CA" w:eastAsia="en-CA"/>
        </w:rPr>
        <w:t>Hertellung</w:t>
      </w:r>
      <w:proofErr w:type="spellEnd"/>
      <w:r w:rsidR="000A6105" w:rsidRPr="00C667BE">
        <w:rPr>
          <w:rFonts w:eastAsia="Times New Roman" w:cs="Times New Roman"/>
          <w:b/>
          <w:i/>
          <w:sz w:val="19"/>
          <w:szCs w:val="19"/>
          <w:lang w:val="fr-CA" w:eastAsia="en-CA"/>
        </w:rPr>
        <w:t xml:space="preserve"> Von </w:t>
      </w:r>
      <w:proofErr w:type="spellStart"/>
      <w:r w:rsidR="000A6105" w:rsidRPr="00C667BE">
        <w:rPr>
          <w:rFonts w:eastAsia="Times New Roman" w:cs="Times New Roman"/>
          <w:b/>
          <w:i/>
          <w:sz w:val="19"/>
          <w:szCs w:val="19"/>
          <w:lang w:val="fr-CA" w:eastAsia="en-CA"/>
        </w:rPr>
        <w:t>Audiovisuellen</w:t>
      </w:r>
      <w:proofErr w:type="spellEnd"/>
      <w:r w:rsidR="000A6105" w:rsidRPr="00C667BE">
        <w:rPr>
          <w:rFonts w:eastAsia="Times New Roman" w:cs="Times New Roman"/>
          <w:b/>
          <w:i/>
          <w:sz w:val="19"/>
          <w:szCs w:val="19"/>
          <w:lang w:val="fr-CA" w:eastAsia="en-CA"/>
        </w:rPr>
        <w:t xml:space="preserve"> </w:t>
      </w:r>
      <w:proofErr w:type="spellStart"/>
      <w:r w:rsidR="000A6105" w:rsidRPr="00C667BE">
        <w:rPr>
          <w:rFonts w:eastAsia="Times New Roman" w:cs="Times New Roman"/>
          <w:b/>
          <w:i/>
          <w:sz w:val="19"/>
          <w:szCs w:val="19"/>
          <w:lang w:val="fr-CA" w:eastAsia="en-CA"/>
        </w:rPr>
        <w:t>Produkten</w:t>
      </w:r>
      <w:proofErr w:type="spellEnd"/>
      <w:r w:rsidR="000A6105" w:rsidRPr="00C667BE">
        <w:rPr>
          <w:rFonts w:eastAsia="Times New Roman" w:cs="Times New Roman"/>
          <w:b/>
          <w:i/>
          <w:sz w:val="19"/>
          <w:szCs w:val="19"/>
          <w:lang w:val="fr-CA" w:eastAsia="en-CA"/>
        </w:rPr>
        <w:t xml:space="preserve"> </w:t>
      </w:r>
      <w:proofErr w:type="spellStart"/>
      <w:r w:rsidR="000A6105" w:rsidRPr="00C667BE">
        <w:rPr>
          <w:rFonts w:eastAsia="Times New Roman" w:cs="Times New Roman"/>
          <w:b/>
          <w:i/>
          <w:sz w:val="19"/>
          <w:szCs w:val="19"/>
          <w:lang w:val="fr-CA" w:eastAsia="en-CA"/>
        </w:rPr>
        <w:t>Mbh</w:t>
      </w:r>
      <w:proofErr w:type="spellEnd"/>
      <w:r w:rsidR="000A6105" w:rsidRPr="00C667BE">
        <w:rPr>
          <w:rFonts w:eastAsia="Times New Roman" w:cs="Times New Roman"/>
          <w:b/>
          <w:i/>
          <w:sz w:val="19"/>
          <w:szCs w:val="19"/>
          <w:lang w:val="fr-CA" w:eastAsia="en-CA"/>
        </w:rPr>
        <w:t xml:space="preserve">, RTV </w:t>
      </w:r>
      <w:proofErr w:type="spellStart"/>
      <w:r w:rsidR="000A6105" w:rsidRPr="00C667BE">
        <w:rPr>
          <w:rFonts w:eastAsia="Times New Roman" w:cs="Times New Roman"/>
          <w:b/>
          <w:i/>
          <w:sz w:val="19"/>
          <w:szCs w:val="19"/>
          <w:lang w:val="fr-CA" w:eastAsia="en-CA"/>
        </w:rPr>
        <w:t>Family</w:t>
      </w:r>
      <w:proofErr w:type="spellEnd"/>
      <w:r w:rsidR="000A6105" w:rsidRPr="00C667BE">
        <w:rPr>
          <w:rFonts w:eastAsia="Times New Roman" w:cs="Times New Roman"/>
          <w:b/>
          <w:i/>
          <w:sz w:val="19"/>
          <w:szCs w:val="19"/>
          <w:lang w:val="fr-CA" w:eastAsia="en-CA"/>
        </w:rPr>
        <w:t xml:space="preserve"> Entertainment AG, Christian </w:t>
      </w:r>
      <w:proofErr w:type="spellStart"/>
      <w:r w:rsidR="000A6105" w:rsidRPr="00C667BE">
        <w:rPr>
          <w:rFonts w:eastAsia="Times New Roman" w:cs="Times New Roman"/>
          <w:b/>
          <w:i/>
          <w:sz w:val="19"/>
          <w:szCs w:val="19"/>
          <w:lang w:val="fr-CA" w:eastAsia="en-CA"/>
        </w:rPr>
        <w:t>Davin</w:t>
      </w:r>
      <w:proofErr w:type="spellEnd"/>
      <w:r w:rsidR="000A6105" w:rsidRPr="00C667BE">
        <w:rPr>
          <w:rFonts w:eastAsia="Times New Roman" w:cs="Times New Roman"/>
          <w:b/>
          <w:i/>
          <w:sz w:val="19"/>
          <w:szCs w:val="19"/>
          <w:lang w:val="fr-CA" w:eastAsia="en-CA"/>
        </w:rPr>
        <w:t xml:space="preserve">, Christophe Izard, Les Films </w:t>
      </w:r>
      <w:proofErr w:type="spellStart"/>
      <w:r w:rsidR="000A6105" w:rsidRPr="00C667BE">
        <w:rPr>
          <w:rFonts w:eastAsia="Times New Roman" w:cs="Times New Roman"/>
          <w:b/>
          <w:i/>
          <w:sz w:val="19"/>
          <w:szCs w:val="19"/>
          <w:lang w:val="fr-CA" w:eastAsia="en-CA"/>
        </w:rPr>
        <w:t>Cinar</w:t>
      </w:r>
      <w:proofErr w:type="spellEnd"/>
      <w:r w:rsidR="000A6105" w:rsidRPr="00C667BE">
        <w:rPr>
          <w:rFonts w:eastAsia="Times New Roman" w:cs="Times New Roman"/>
          <w:b/>
          <w:i/>
          <w:sz w:val="19"/>
          <w:szCs w:val="19"/>
          <w:lang w:val="fr-CA" w:eastAsia="en-CA"/>
        </w:rPr>
        <w:t xml:space="preserve"> Inc., </w:t>
      </w:r>
      <w:proofErr w:type="spellStart"/>
      <w:r w:rsidR="000A6105" w:rsidRPr="00C667BE">
        <w:rPr>
          <w:rFonts w:eastAsia="Times New Roman" w:cs="Times New Roman"/>
          <w:b/>
          <w:i/>
          <w:sz w:val="19"/>
          <w:szCs w:val="19"/>
          <w:lang w:val="fr-CA" w:eastAsia="en-CA"/>
        </w:rPr>
        <w:t>Cinar</w:t>
      </w:r>
      <w:proofErr w:type="spellEnd"/>
      <w:r w:rsidR="000A6105" w:rsidRPr="00C667BE">
        <w:rPr>
          <w:rFonts w:eastAsia="Times New Roman" w:cs="Times New Roman"/>
          <w:b/>
          <w:i/>
          <w:sz w:val="19"/>
          <w:szCs w:val="19"/>
          <w:lang w:val="fr-CA" w:eastAsia="en-CA"/>
        </w:rPr>
        <w:t xml:space="preserve"> Corporation, 3918203 Canada Inc., Ronald A. Weinberg et Ronald A. Weinberg, en qualité d’unique liquidateur de la succession de feu Micheline Charest</w:t>
      </w:r>
    </w:p>
    <w:p w:rsidR="000A6105" w:rsidRPr="00C667BE" w:rsidRDefault="000A6105" w:rsidP="000A6105">
      <w:pPr>
        <w:widowControl w:val="0"/>
        <w:jc w:val="both"/>
        <w:rPr>
          <w:rFonts w:eastAsia="Times New Roman" w:cs="Times New Roman"/>
          <w:sz w:val="19"/>
          <w:szCs w:val="19"/>
          <w:lang w:val="fr-CA" w:eastAsia="en-CA"/>
        </w:rPr>
      </w:pPr>
    </w:p>
    <w:p w:rsidR="000A6105" w:rsidRPr="00C667BE" w:rsidRDefault="000A6105" w:rsidP="000A6105">
      <w:pPr>
        <w:jc w:val="both"/>
        <w:rPr>
          <w:rFonts w:eastAsia="Times New Roman" w:cs="Times New Roman"/>
          <w:sz w:val="19"/>
          <w:szCs w:val="19"/>
          <w:lang w:val="fr-CA" w:eastAsia="en-CA"/>
        </w:rPr>
      </w:pPr>
      <w:r w:rsidRPr="00C667BE">
        <w:rPr>
          <w:rFonts w:eastAsia="Times New Roman" w:cs="Times New Roman"/>
          <w:sz w:val="19"/>
          <w:szCs w:val="19"/>
          <w:lang w:val="fr-CA" w:eastAsia="en-CA"/>
        </w:rPr>
        <w:t xml:space="preserve">Propriété intellectuelle </w:t>
      </w:r>
      <w:r w:rsidRPr="00C667BE">
        <w:rPr>
          <w:rFonts w:eastAsia="Times New Roman" w:cs="Times New Roman"/>
          <w:sz w:val="19"/>
          <w:szCs w:val="19"/>
          <w:lang w:val="fr-CA" w:eastAsia="en-CA"/>
        </w:rPr>
        <w:noBreakHyphen/>
        <w:t xml:space="preserve"> </w:t>
      </w:r>
      <w:r w:rsidRPr="00C667BE">
        <w:rPr>
          <w:rFonts w:eastAsia="Times New Roman" w:cs="Times New Roman"/>
          <w:i/>
          <w:sz w:val="19"/>
          <w:szCs w:val="19"/>
          <w:lang w:val="fr-CA" w:eastAsia="en-CA"/>
        </w:rPr>
        <w:t>Loi sur le droit d’auteur</w:t>
      </w:r>
      <w:r w:rsidRPr="00C667BE">
        <w:rPr>
          <w:rFonts w:eastAsia="Times New Roman" w:cs="Times New Roman"/>
          <w:sz w:val="19"/>
          <w:szCs w:val="19"/>
          <w:lang w:val="fr-CA" w:eastAsia="en-CA"/>
        </w:rPr>
        <w:t>, L.R.C. (1985), c. C</w:t>
      </w:r>
      <w:r w:rsidRPr="00C667BE">
        <w:rPr>
          <w:rFonts w:eastAsia="Times New Roman" w:cs="Times New Roman"/>
          <w:sz w:val="19"/>
          <w:szCs w:val="19"/>
          <w:lang w:val="fr-CA" w:eastAsia="en-CA"/>
        </w:rPr>
        <w:noBreakHyphen/>
        <w:t xml:space="preserve">42 </w:t>
      </w:r>
      <w:r w:rsidRPr="00C667BE">
        <w:rPr>
          <w:rFonts w:eastAsia="Times New Roman" w:cs="Times New Roman"/>
          <w:sz w:val="19"/>
          <w:szCs w:val="19"/>
          <w:lang w:val="fr-CA" w:eastAsia="en-CA"/>
        </w:rPr>
        <w:noBreakHyphen/>
        <w:t xml:space="preserve"> Contrefaçon </w:t>
      </w:r>
      <w:r w:rsidRPr="00C667BE">
        <w:rPr>
          <w:rFonts w:eastAsia="Times New Roman" w:cs="Times New Roman"/>
          <w:sz w:val="19"/>
          <w:szCs w:val="19"/>
          <w:lang w:val="fr-CA" w:eastAsia="en-CA"/>
        </w:rPr>
        <w:noBreakHyphen/>
        <w:t xml:space="preserve"> Portée des termes « œuvre cinématographique » et « producteur » au sens de l’article 2 de la </w:t>
      </w:r>
      <w:r w:rsidRPr="00C667BE">
        <w:rPr>
          <w:rFonts w:eastAsia="Times New Roman" w:cs="Times New Roman"/>
          <w:i/>
          <w:sz w:val="19"/>
          <w:szCs w:val="19"/>
          <w:lang w:val="fr-CA" w:eastAsia="en-CA"/>
        </w:rPr>
        <w:t>Loi sur le droit d’auteur</w:t>
      </w:r>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Critères applicables à la compensation pour violation du droit d’auteur au sens de l’article 35 de la </w:t>
      </w:r>
      <w:r w:rsidRPr="00C667BE">
        <w:rPr>
          <w:rFonts w:eastAsia="Times New Roman" w:cs="Times New Roman"/>
          <w:i/>
          <w:sz w:val="19"/>
          <w:szCs w:val="19"/>
          <w:lang w:val="fr-CA" w:eastAsia="en-CA"/>
        </w:rPr>
        <w:t>Loi sur le droit d’auteur</w:t>
      </w:r>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Critères applicables aux </w:t>
      </w:r>
      <w:proofErr w:type="spellStart"/>
      <w:r w:rsidRPr="00C667BE">
        <w:rPr>
          <w:rFonts w:eastAsia="Times New Roman" w:cs="Times New Roman"/>
          <w:sz w:val="19"/>
          <w:szCs w:val="19"/>
          <w:lang w:val="fr-CA" w:eastAsia="en-CA"/>
        </w:rPr>
        <w:t>dommages</w:t>
      </w:r>
      <w:r w:rsidRPr="00C667BE">
        <w:rPr>
          <w:rFonts w:eastAsia="Times New Roman" w:cs="Times New Roman"/>
          <w:sz w:val="19"/>
          <w:szCs w:val="19"/>
          <w:lang w:val="fr-CA" w:eastAsia="en-CA"/>
        </w:rPr>
        <w:noBreakHyphen/>
        <w:t>intérêts</w:t>
      </w:r>
      <w:proofErr w:type="spellEnd"/>
      <w:r w:rsidRPr="00C667BE">
        <w:rPr>
          <w:rFonts w:eastAsia="Times New Roman" w:cs="Times New Roman"/>
          <w:sz w:val="19"/>
          <w:szCs w:val="19"/>
          <w:lang w:val="fr-CA" w:eastAsia="en-CA"/>
        </w:rPr>
        <w:t xml:space="preserve"> pour préjudice moral, psychologique ou physique </w:t>
      </w:r>
      <w:r w:rsidRPr="00C667BE">
        <w:rPr>
          <w:rFonts w:eastAsia="Times New Roman" w:cs="Times New Roman"/>
          <w:sz w:val="19"/>
          <w:szCs w:val="19"/>
          <w:lang w:val="fr-CA" w:eastAsia="en-CA"/>
        </w:rPr>
        <w:noBreakHyphen/>
        <w:t xml:space="preserve"> Critères applicables aux </w:t>
      </w:r>
      <w:proofErr w:type="spellStart"/>
      <w:r w:rsidRPr="00C667BE">
        <w:rPr>
          <w:rFonts w:eastAsia="Times New Roman" w:cs="Times New Roman"/>
          <w:sz w:val="19"/>
          <w:szCs w:val="19"/>
          <w:lang w:val="fr-CA" w:eastAsia="en-CA"/>
        </w:rPr>
        <w:t>dommages</w:t>
      </w:r>
      <w:r w:rsidRPr="00C667BE">
        <w:rPr>
          <w:rFonts w:eastAsia="Times New Roman" w:cs="Times New Roman"/>
          <w:sz w:val="19"/>
          <w:szCs w:val="19"/>
          <w:lang w:val="fr-CA" w:eastAsia="en-CA"/>
        </w:rPr>
        <w:noBreakHyphen/>
        <w:t>intérêts</w:t>
      </w:r>
      <w:proofErr w:type="spellEnd"/>
      <w:r w:rsidRPr="00C667BE">
        <w:rPr>
          <w:rFonts w:eastAsia="Times New Roman" w:cs="Times New Roman"/>
          <w:sz w:val="19"/>
          <w:szCs w:val="19"/>
          <w:lang w:val="fr-CA" w:eastAsia="en-CA"/>
        </w:rPr>
        <w:t xml:space="preserve"> punitifs </w:t>
      </w:r>
      <w:r w:rsidRPr="00C667BE">
        <w:rPr>
          <w:rFonts w:eastAsia="Times New Roman" w:cs="Times New Roman"/>
          <w:sz w:val="19"/>
          <w:szCs w:val="19"/>
          <w:lang w:val="fr-CA" w:eastAsia="en-CA"/>
        </w:rPr>
        <w:noBreakHyphen/>
        <w:t xml:space="preserve"> Norme de contrôle judiciaire applicable en appel sur l’appréciation des faits, sur les  présomptions tirées des faits, et sur la détermination du quantum </w:t>
      </w:r>
      <w:r w:rsidRPr="00C667BE">
        <w:rPr>
          <w:rFonts w:eastAsia="Times New Roman" w:cs="Times New Roman"/>
          <w:sz w:val="19"/>
          <w:szCs w:val="19"/>
          <w:lang w:val="fr-CA" w:eastAsia="en-CA"/>
        </w:rPr>
        <w:noBreakHyphen/>
        <w:t xml:space="preserve"> Dépens </w:t>
      </w:r>
      <w:proofErr w:type="spellStart"/>
      <w:r w:rsidRPr="00C667BE">
        <w:rPr>
          <w:rFonts w:eastAsia="Times New Roman" w:cs="Times New Roman"/>
          <w:sz w:val="19"/>
          <w:szCs w:val="19"/>
          <w:lang w:val="fr-CA" w:eastAsia="en-CA"/>
        </w:rPr>
        <w:t>avocat</w:t>
      </w:r>
      <w:r w:rsidRPr="00C667BE">
        <w:rPr>
          <w:rFonts w:eastAsia="Times New Roman" w:cs="Times New Roman"/>
          <w:sz w:val="19"/>
          <w:szCs w:val="19"/>
          <w:lang w:val="fr-CA" w:eastAsia="en-CA"/>
        </w:rPr>
        <w:noBreakHyphen/>
        <w:t>client</w:t>
      </w:r>
      <w:proofErr w:type="spellEnd"/>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w:t>
      </w:r>
      <w:r w:rsidRPr="00C667BE">
        <w:rPr>
          <w:rFonts w:eastAsia="Times New Roman" w:cs="Times New Roman"/>
          <w:color w:val="000000"/>
          <w:sz w:val="19"/>
          <w:szCs w:val="19"/>
          <w:lang w:val="fr-CA" w:eastAsia="en-CA"/>
        </w:rPr>
        <w:t xml:space="preserve">Une bande sonore spécifiquement commandée pour être incorporée dans une production cinématographique </w:t>
      </w:r>
      <w:proofErr w:type="spellStart"/>
      <w:r w:rsidRPr="00C667BE">
        <w:rPr>
          <w:rFonts w:eastAsia="Times New Roman" w:cs="Times New Roman"/>
          <w:color w:val="000000"/>
          <w:sz w:val="19"/>
          <w:szCs w:val="19"/>
          <w:lang w:val="fr-CA" w:eastAsia="en-CA"/>
        </w:rPr>
        <w:t>fait</w:t>
      </w:r>
      <w:r w:rsidRPr="00C667BE">
        <w:rPr>
          <w:rFonts w:eastAsia="Times New Roman" w:cs="Times New Roman"/>
          <w:color w:val="000000"/>
          <w:sz w:val="19"/>
          <w:szCs w:val="19"/>
          <w:lang w:val="fr-CA" w:eastAsia="en-CA"/>
        </w:rPr>
        <w:noBreakHyphen/>
        <w:t>elle</w:t>
      </w:r>
      <w:proofErr w:type="spellEnd"/>
      <w:r w:rsidRPr="00C667BE">
        <w:rPr>
          <w:rFonts w:eastAsia="Times New Roman" w:cs="Times New Roman"/>
          <w:color w:val="000000"/>
          <w:sz w:val="19"/>
          <w:szCs w:val="19"/>
          <w:lang w:val="fr-CA" w:eastAsia="en-CA"/>
        </w:rPr>
        <w:t xml:space="preserve"> partie intégrante de l’œuvre cinématographique?</w:t>
      </w:r>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w:t>
      </w:r>
      <w:r w:rsidRPr="00C667BE">
        <w:rPr>
          <w:rFonts w:eastAsia="Times New Roman" w:cs="Times New Roman"/>
          <w:color w:val="000000"/>
          <w:sz w:val="19"/>
          <w:szCs w:val="19"/>
          <w:lang w:val="fr-CA" w:eastAsia="en-CA"/>
        </w:rPr>
        <w:t xml:space="preserve">Les recours des détenteurs de droits d’auteur, y compris leur droit à une « proportion équitable » des profits en vertu de l’article 35 de la </w:t>
      </w:r>
      <w:r w:rsidRPr="00C667BE">
        <w:rPr>
          <w:rFonts w:eastAsia="Times New Roman" w:cs="Times New Roman"/>
          <w:i/>
          <w:sz w:val="19"/>
          <w:szCs w:val="19"/>
          <w:lang w:val="fr-CA" w:eastAsia="en-CA"/>
        </w:rPr>
        <w:t>Loi sur le droit d’auteur</w:t>
      </w:r>
      <w:r w:rsidRPr="00C667BE">
        <w:rPr>
          <w:rFonts w:eastAsia="Times New Roman" w:cs="Times New Roman"/>
          <w:color w:val="000000"/>
          <w:sz w:val="19"/>
          <w:szCs w:val="19"/>
          <w:lang w:val="fr-CA" w:eastAsia="en-CA"/>
        </w:rPr>
        <w:t xml:space="preserve">, </w:t>
      </w:r>
      <w:proofErr w:type="spellStart"/>
      <w:r w:rsidRPr="00C667BE">
        <w:rPr>
          <w:rFonts w:eastAsia="Times New Roman" w:cs="Times New Roman"/>
          <w:color w:val="000000"/>
          <w:sz w:val="19"/>
          <w:szCs w:val="19"/>
          <w:lang w:val="fr-CA" w:eastAsia="en-CA"/>
        </w:rPr>
        <w:t>confèrent</w:t>
      </w:r>
      <w:r w:rsidRPr="00C667BE">
        <w:rPr>
          <w:rFonts w:eastAsia="Times New Roman" w:cs="Times New Roman"/>
          <w:color w:val="000000"/>
          <w:sz w:val="19"/>
          <w:szCs w:val="19"/>
          <w:lang w:val="fr-CA" w:eastAsia="en-CA"/>
        </w:rPr>
        <w:noBreakHyphen/>
        <w:t>ils</w:t>
      </w:r>
      <w:proofErr w:type="spellEnd"/>
      <w:r w:rsidRPr="00C667BE">
        <w:rPr>
          <w:rFonts w:eastAsia="Times New Roman" w:cs="Times New Roman"/>
          <w:color w:val="000000"/>
          <w:sz w:val="19"/>
          <w:szCs w:val="19"/>
          <w:lang w:val="fr-CA" w:eastAsia="en-CA"/>
        </w:rPr>
        <w:t xml:space="preserve"> un droit à des </w:t>
      </w:r>
      <w:proofErr w:type="spellStart"/>
      <w:r w:rsidRPr="00C667BE">
        <w:rPr>
          <w:rFonts w:eastAsia="Times New Roman" w:cs="Times New Roman"/>
          <w:color w:val="000000"/>
          <w:sz w:val="19"/>
          <w:szCs w:val="19"/>
          <w:lang w:val="fr-CA" w:eastAsia="en-CA"/>
        </w:rPr>
        <w:t>dommages</w:t>
      </w:r>
      <w:r w:rsidRPr="00C667BE">
        <w:rPr>
          <w:rFonts w:eastAsia="Times New Roman" w:cs="Times New Roman"/>
          <w:color w:val="000000"/>
          <w:sz w:val="19"/>
          <w:szCs w:val="19"/>
          <w:lang w:val="fr-CA" w:eastAsia="en-CA"/>
        </w:rPr>
        <w:noBreakHyphen/>
        <w:t>intérêts</w:t>
      </w:r>
      <w:proofErr w:type="spellEnd"/>
      <w:r w:rsidRPr="00C667BE">
        <w:rPr>
          <w:rFonts w:eastAsia="Times New Roman" w:cs="Times New Roman"/>
          <w:color w:val="000000"/>
          <w:sz w:val="19"/>
          <w:szCs w:val="19"/>
          <w:lang w:val="fr-CA" w:eastAsia="en-CA"/>
        </w:rPr>
        <w:t xml:space="preserve"> conjoints et solidaires sur les profits tirés de la contrefaçon par les contrefacteurs?</w:t>
      </w:r>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w:t>
      </w:r>
      <w:proofErr w:type="spellStart"/>
      <w:r w:rsidRPr="00C667BE">
        <w:rPr>
          <w:rFonts w:eastAsia="Times New Roman" w:cs="Times New Roman"/>
          <w:color w:val="000000"/>
          <w:sz w:val="19"/>
          <w:szCs w:val="19"/>
          <w:lang w:val="fr-CA" w:eastAsia="en-CA"/>
        </w:rPr>
        <w:t>Est</w:t>
      </w:r>
      <w:r w:rsidRPr="00C667BE">
        <w:rPr>
          <w:rFonts w:eastAsia="Times New Roman" w:cs="Times New Roman"/>
          <w:color w:val="000000"/>
          <w:sz w:val="19"/>
          <w:szCs w:val="19"/>
          <w:lang w:val="fr-CA" w:eastAsia="en-CA"/>
        </w:rPr>
        <w:noBreakHyphen/>
        <w:t>ce</w:t>
      </w:r>
      <w:proofErr w:type="spellEnd"/>
      <w:r w:rsidRPr="00C667BE">
        <w:rPr>
          <w:rFonts w:eastAsia="Times New Roman" w:cs="Times New Roman"/>
          <w:color w:val="000000"/>
          <w:sz w:val="19"/>
          <w:szCs w:val="19"/>
          <w:lang w:val="fr-CA" w:eastAsia="en-CA"/>
        </w:rPr>
        <w:t xml:space="preserve"> que la Cour d’appel a erré en substituant ses conclusions de faits et ses présomptions tirées des faits à ceux du juge de première instance, notamment en relation avec le quantum imposé en vertu des différents chefs de dommages prévus à la </w:t>
      </w:r>
      <w:r w:rsidRPr="00C667BE">
        <w:rPr>
          <w:rFonts w:eastAsia="Times New Roman" w:cs="Times New Roman"/>
          <w:i/>
          <w:sz w:val="19"/>
          <w:szCs w:val="19"/>
          <w:lang w:val="fr-CA" w:eastAsia="en-CA"/>
        </w:rPr>
        <w:t>Loi sur le droit d’auteur</w:t>
      </w:r>
      <w:r w:rsidRPr="00C667BE">
        <w:rPr>
          <w:rFonts w:eastAsia="Times New Roman" w:cs="Times New Roman"/>
          <w:color w:val="000000"/>
          <w:sz w:val="19"/>
          <w:szCs w:val="19"/>
          <w:lang w:val="fr-CA" w:eastAsia="en-CA"/>
        </w:rPr>
        <w:t>?</w:t>
      </w:r>
      <w:r w:rsidRPr="00C667BE">
        <w:rPr>
          <w:rFonts w:eastAsia="Times New Roman" w:cs="Times New Roman"/>
          <w:sz w:val="19"/>
          <w:szCs w:val="19"/>
          <w:lang w:val="fr-CA" w:eastAsia="en-CA"/>
        </w:rPr>
        <w:t xml:space="preserve"> </w:t>
      </w:r>
      <w:r w:rsidRPr="00C667BE">
        <w:rPr>
          <w:rFonts w:eastAsia="Times New Roman" w:cs="Times New Roman"/>
          <w:sz w:val="19"/>
          <w:szCs w:val="19"/>
          <w:lang w:val="fr-CA" w:eastAsia="en-CA"/>
        </w:rPr>
        <w:noBreakHyphen/>
        <w:t xml:space="preserve"> </w:t>
      </w:r>
      <w:proofErr w:type="spellStart"/>
      <w:r w:rsidRPr="00C667BE">
        <w:rPr>
          <w:rFonts w:eastAsia="Times New Roman" w:cs="Times New Roman"/>
          <w:color w:val="000000"/>
          <w:sz w:val="19"/>
          <w:szCs w:val="19"/>
          <w:lang w:val="fr-CA" w:eastAsia="en-CA"/>
        </w:rPr>
        <w:t>Est</w:t>
      </w:r>
      <w:r w:rsidRPr="00C667BE">
        <w:rPr>
          <w:rFonts w:eastAsia="Times New Roman" w:cs="Times New Roman"/>
          <w:color w:val="000000"/>
          <w:sz w:val="19"/>
          <w:szCs w:val="19"/>
          <w:lang w:val="fr-CA" w:eastAsia="en-CA"/>
        </w:rPr>
        <w:noBreakHyphen/>
        <w:t>ce</w:t>
      </w:r>
      <w:proofErr w:type="spellEnd"/>
      <w:r w:rsidRPr="00C667BE">
        <w:rPr>
          <w:rFonts w:eastAsia="Times New Roman" w:cs="Times New Roman"/>
          <w:color w:val="000000"/>
          <w:sz w:val="19"/>
          <w:szCs w:val="19"/>
          <w:lang w:val="fr-CA" w:eastAsia="en-CA"/>
        </w:rPr>
        <w:t xml:space="preserve"> que l’octroi de </w:t>
      </w:r>
      <w:proofErr w:type="spellStart"/>
      <w:r w:rsidRPr="00C667BE">
        <w:rPr>
          <w:rFonts w:eastAsia="Times New Roman" w:cs="Times New Roman"/>
          <w:color w:val="000000"/>
          <w:sz w:val="19"/>
          <w:szCs w:val="19"/>
          <w:lang w:val="fr-CA" w:eastAsia="en-CA"/>
        </w:rPr>
        <w:t>dommages</w:t>
      </w:r>
      <w:r w:rsidRPr="00C667BE">
        <w:rPr>
          <w:rFonts w:eastAsia="Times New Roman" w:cs="Times New Roman"/>
          <w:color w:val="000000"/>
          <w:sz w:val="19"/>
          <w:szCs w:val="19"/>
          <w:lang w:val="fr-CA" w:eastAsia="en-CA"/>
        </w:rPr>
        <w:noBreakHyphen/>
        <w:t>intérêts</w:t>
      </w:r>
      <w:proofErr w:type="spellEnd"/>
      <w:r w:rsidRPr="00C667BE">
        <w:rPr>
          <w:rFonts w:eastAsia="Times New Roman" w:cs="Times New Roman"/>
          <w:color w:val="000000"/>
          <w:sz w:val="19"/>
          <w:szCs w:val="19"/>
          <w:lang w:val="fr-CA" w:eastAsia="en-CA"/>
        </w:rPr>
        <w:t xml:space="preserve"> généraux ou majorés pour préjudice moral, psychologique ou physique est limité à un montant déterminé en fonction de l’application de la trilogie </w:t>
      </w:r>
      <w:r w:rsidRPr="00C667BE">
        <w:rPr>
          <w:rFonts w:eastAsia="Times New Roman" w:cs="Times New Roman"/>
          <w:i/>
          <w:sz w:val="19"/>
          <w:szCs w:val="19"/>
          <w:lang w:val="fr-CA" w:eastAsia="en-CA"/>
        </w:rPr>
        <w:t xml:space="preserve">Andrews c. Grand </w:t>
      </w:r>
      <w:proofErr w:type="spellStart"/>
      <w:r w:rsidRPr="00C667BE">
        <w:rPr>
          <w:rFonts w:eastAsia="Times New Roman" w:cs="Times New Roman"/>
          <w:i/>
          <w:sz w:val="19"/>
          <w:szCs w:val="19"/>
          <w:lang w:val="fr-CA" w:eastAsia="en-CA"/>
        </w:rPr>
        <w:t>Toy</w:t>
      </w:r>
      <w:proofErr w:type="spellEnd"/>
      <w:r w:rsidRPr="00C667BE">
        <w:rPr>
          <w:rFonts w:eastAsia="Times New Roman" w:cs="Times New Roman"/>
          <w:i/>
          <w:sz w:val="19"/>
          <w:szCs w:val="19"/>
          <w:lang w:val="fr-CA" w:eastAsia="en-CA"/>
        </w:rPr>
        <w:t xml:space="preserve"> Alberta Ltd.</w:t>
      </w:r>
      <w:r w:rsidRPr="00C667BE">
        <w:rPr>
          <w:rFonts w:eastAsia="Times New Roman" w:cs="Times New Roman"/>
          <w:sz w:val="19"/>
          <w:szCs w:val="19"/>
          <w:lang w:val="fr-CA" w:eastAsia="en-CA"/>
        </w:rPr>
        <w:t>, [1978] 2 R.C.S. 229</w:t>
      </w:r>
      <w:r w:rsidRPr="00C667BE">
        <w:rPr>
          <w:rFonts w:eastAsia="Times New Roman" w:cs="Times New Roman"/>
          <w:color w:val="000000"/>
          <w:sz w:val="19"/>
          <w:szCs w:val="19"/>
          <w:lang w:val="fr-CA" w:eastAsia="en-CA"/>
        </w:rPr>
        <w:t xml:space="preserve">? </w:t>
      </w:r>
      <w:r w:rsidRPr="00C667BE">
        <w:rPr>
          <w:rFonts w:eastAsia="Times New Roman" w:cs="Times New Roman"/>
          <w:sz w:val="19"/>
          <w:szCs w:val="19"/>
          <w:lang w:val="fr-CA" w:eastAsia="en-CA"/>
        </w:rPr>
        <w:noBreakHyphen/>
        <w:t xml:space="preserve"> </w:t>
      </w:r>
      <w:proofErr w:type="spellStart"/>
      <w:r w:rsidRPr="00C667BE">
        <w:rPr>
          <w:rFonts w:eastAsia="Times New Roman" w:cs="Times New Roman"/>
          <w:color w:val="000000"/>
          <w:sz w:val="19"/>
          <w:szCs w:val="19"/>
          <w:lang w:val="fr-CA" w:eastAsia="en-CA"/>
        </w:rPr>
        <w:t>Est</w:t>
      </w:r>
      <w:r w:rsidRPr="00C667BE">
        <w:rPr>
          <w:rFonts w:eastAsia="Times New Roman" w:cs="Times New Roman"/>
          <w:color w:val="000000"/>
          <w:sz w:val="19"/>
          <w:szCs w:val="19"/>
          <w:lang w:val="fr-CA" w:eastAsia="en-CA"/>
        </w:rPr>
        <w:noBreakHyphen/>
        <w:t>ce</w:t>
      </w:r>
      <w:proofErr w:type="spellEnd"/>
      <w:r w:rsidRPr="00C667BE">
        <w:rPr>
          <w:rFonts w:eastAsia="Times New Roman" w:cs="Times New Roman"/>
          <w:color w:val="000000"/>
          <w:sz w:val="19"/>
          <w:szCs w:val="19"/>
          <w:lang w:val="fr-CA" w:eastAsia="en-CA"/>
        </w:rPr>
        <w:t xml:space="preserve"> que la Cour d’appel a erré en droit en substituant ses conclusions de faits à tous égards, et notamment en intervenant au sujet du quantum de </w:t>
      </w:r>
      <w:proofErr w:type="spellStart"/>
      <w:r w:rsidRPr="00C667BE">
        <w:rPr>
          <w:rFonts w:eastAsia="Times New Roman" w:cs="Times New Roman"/>
          <w:color w:val="000000"/>
          <w:sz w:val="19"/>
          <w:szCs w:val="19"/>
          <w:lang w:val="fr-CA" w:eastAsia="en-CA"/>
        </w:rPr>
        <w:t>dommages</w:t>
      </w:r>
      <w:r w:rsidRPr="00C667BE">
        <w:rPr>
          <w:rFonts w:eastAsia="Times New Roman" w:cs="Times New Roman"/>
          <w:color w:val="000000"/>
          <w:sz w:val="19"/>
          <w:szCs w:val="19"/>
          <w:lang w:val="fr-CA" w:eastAsia="en-CA"/>
        </w:rPr>
        <w:noBreakHyphen/>
        <w:t>intérêts</w:t>
      </w:r>
      <w:proofErr w:type="spellEnd"/>
      <w:r w:rsidRPr="00C667BE">
        <w:rPr>
          <w:rFonts w:eastAsia="Times New Roman" w:cs="Times New Roman"/>
          <w:color w:val="000000"/>
          <w:sz w:val="19"/>
          <w:szCs w:val="19"/>
          <w:lang w:val="fr-CA" w:eastAsia="en-CA"/>
        </w:rPr>
        <w:t xml:space="preserve"> ainsi que le caractère solidaire de cette condamnation sans avoir pu profiter de la masse de faits que le juge de première instance avait dû évaluer et </w:t>
      </w:r>
      <w:proofErr w:type="spellStart"/>
      <w:r w:rsidRPr="00C667BE">
        <w:rPr>
          <w:rFonts w:eastAsia="Times New Roman" w:cs="Times New Roman"/>
          <w:color w:val="000000"/>
          <w:sz w:val="19"/>
          <w:szCs w:val="19"/>
          <w:lang w:val="fr-CA" w:eastAsia="en-CA"/>
        </w:rPr>
        <w:t>sous</w:t>
      </w:r>
      <w:r w:rsidRPr="00C667BE">
        <w:rPr>
          <w:rFonts w:eastAsia="Times New Roman" w:cs="Times New Roman"/>
          <w:color w:val="000000"/>
          <w:sz w:val="19"/>
          <w:szCs w:val="19"/>
          <w:lang w:val="fr-CA" w:eastAsia="en-CA"/>
        </w:rPr>
        <w:noBreakHyphen/>
        <w:t>peser</w:t>
      </w:r>
      <w:proofErr w:type="spellEnd"/>
      <w:r w:rsidRPr="00C667BE">
        <w:rPr>
          <w:rFonts w:eastAsia="Times New Roman" w:cs="Times New Roman"/>
          <w:color w:val="000000"/>
          <w:sz w:val="19"/>
          <w:szCs w:val="19"/>
          <w:lang w:val="fr-CA" w:eastAsia="en-CA"/>
        </w:rPr>
        <w:t>?</w:t>
      </w:r>
    </w:p>
    <w:p w:rsidR="000A6105" w:rsidRPr="00C667BE" w:rsidRDefault="000A6105" w:rsidP="000A6105">
      <w:pPr>
        <w:widowControl w:val="0"/>
        <w:jc w:val="both"/>
        <w:rPr>
          <w:rFonts w:eastAsia="Times New Roman" w:cs="Times New Roman"/>
          <w:sz w:val="19"/>
          <w:szCs w:val="19"/>
          <w:lang w:val="fr-CA" w:eastAsia="en-CA"/>
        </w:rPr>
      </w:pPr>
    </w:p>
    <w:p w:rsidR="000A6105" w:rsidRPr="00C667BE" w:rsidRDefault="000A6105" w:rsidP="000A6105">
      <w:pPr>
        <w:jc w:val="both"/>
        <w:rPr>
          <w:rFonts w:eastAsia="Times New Roman" w:cs="Times New Roman"/>
          <w:sz w:val="19"/>
          <w:szCs w:val="19"/>
          <w:lang w:val="fr-CA" w:eastAsia="en-CA"/>
        </w:rPr>
      </w:pPr>
      <w:r w:rsidRPr="00C667BE">
        <w:rPr>
          <w:rFonts w:eastAsia="Times New Roman" w:cs="Times New Roman"/>
          <w:sz w:val="19"/>
          <w:szCs w:val="19"/>
          <w:lang w:val="fr-CA" w:eastAsia="en-CA"/>
        </w:rPr>
        <w:t xml:space="preserve">M. Claude Robinson est un artiste qui a dessiné, en 1982, les premiers croquis des personnages d’un projet de série télévisée pour enfants qui porterait le nom de </w:t>
      </w:r>
      <w:r w:rsidRPr="00C667BE">
        <w:rPr>
          <w:rFonts w:eastAsia="Times New Roman" w:cs="Times New Roman"/>
          <w:i/>
          <w:sz w:val="19"/>
          <w:szCs w:val="19"/>
          <w:lang w:val="fr-CA" w:eastAsia="en-CA"/>
        </w:rPr>
        <w:t>Robinson Curiosité</w:t>
      </w:r>
      <w:r w:rsidRPr="00C667BE">
        <w:rPr>
          <w:rFonts w:eastAsia="Times New Roman" w:cs="Times New Roman"/>
          <w:sz w:val="19"/>
          <w:szCs w:val="19"/>
          <w:lang w:val="fr-CA" w:eastAsia="en-CA"/>
        </w:rPr>
        <w:t xml:space="preserve">.  Quelques années plus tard, en 1985, le Bureau du droit d’auteur délivre un certificat d’enregistrement de </w:t>
      </w:r>
      <w:r w:rsidRPr="00C667BE">
        <w:rPr>
          <w:rFonts w:eastAsia="Times New Roman" w:cs="Times New Roman"/>
          <w:i/>
          <w:sz w:val="19"/>
          <w:szCs w:val="19"/>
          <w:lang w:val="fr-CA" w:eastAsia="en-CA"/>
        </w:rPr>
        <w:t>Robinson Curiosité</w:t>
      </w:r>
      <w:r w:rsidRPr="00C667BE">
        <w:rPr>
          <w:rFonts w:eastAsia="Times New Roman" w:cs="Times New Roman"/>
          <w:sz w:val="19"/>
          <w:szCs w:val="19"/>
          <w:lang w:val="fr-CA" w:eastAsia="en-CA"/>
        </w:rPr>
        <w:t xml:space="preserve"> indiquant que M. Robinson est l’auteur de l’œuvre et que les Productions </w:t>
      </w:r>
      <w:proofErr w:type="spellStart"/>
      <w:r w:rsidRPr="00C667BE">
        <w:rPr>
          <w:rFonts w:eastAsia="Times New Roman" w:cs="Times New Roman"/>
          <w:sz w:val="19"/>
          <w:szCs w:val="19"/>
          <w:lang w:val="fr-CA" w:eastAsia="en-CA"/>
        </w:rPr>
        <w:t>Nilem</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inc</w:t>
      </w:r>
      <w:proofErr w:type="spellEnd"/>
      <w:r w:rsidRPr="00C667BE">
        <w:rPr>
          <w:rFonts w:eastAsia="Times New Roman" w:cs="Times New Roman"/>
          <w:sz w:val="19"/>
          <w:szCs w:val="19"/>
          <w:lang w:val="fr-CA" w:eastAsia="en-CA"/>
        </w:rPr>
        <w:t>. (</w:t>
      </w:r>
      <w:proofErr w:type="spellStart"/>
      <w:r w:rsidRPr="00C667BE">
        <w:rPr>
          <w:rFonts w:eastAsia="Times New Roman" w:cs="Times New Roman"/>
          <w:sz w:val="19"/>
          <w:szCs w:val="19"/>
          <w:lang w:val="fr-CA" w:eastAsia="en-CA"/>
        </w:rPr>
        <w:t>ci</w:t>
      </w:r>
      <w:r w:rsidRPr="00C667BE">
        <w:rPr>
          <w:rFonts w:eastAsia="Times New Roman" w:cs="Times New Roman"/>
          <w:sz w:val="19"/>
          <w:szCs w:val="19"/>
          <w:lang w:val="fr-CA" w:eastAsia="en-CA"/>
        </w:rPr>
        <w:noBreakHyphen/>
        <w:t>après</w:t>
      </w:r>
      <w:proofErr w:type="spellEnd"/>
      <w:r w:rsidRPr="00C667BE">
        <w:rPr>
          <w:rFonts w:eastAsia="Times New Roman" w:cs="Times New Roman"/>
          <w:sz w:val="19"/>
          <w:szCs w:val="19"/>
          <w:lang w:val="fr-CA" w:eastAsia="en-CA"/>
        </w:rPr>
        <w:t xml:space="preserve"> « </w:t>
      </w:r>
      <w:proofErr w:type="spellStart"/>
      <w:r w:rsidRPr="00C667BE">
        <w:rPr>
          <w:rFonts w:eastAsia="Times New Roman" w:cs="Times New Roman"/>
          <w:sz w:val="19"/>
          <w:szCs w:val="19"/>
          <w:lang w:val="fr-CA" w:eastAsia="en-CA"/>
        </w:rPr>
        <w:t>Nilem</w:t>
      </w:r>
      <w:proofErr w:type="spellEnd"/>
      <w:r w:rsidRPr="00C667BE">
        <w:rPr>
          <w:rFonts w:eastAsia="Times New Roman" w:cs="Times New Roman"/>
          <w:sz w:val="19"/>
          <w:szCs w:val="19"/>
          <w:lang w:val="fr-CA" w:eastAsia="en-CA"/>
        </w:rPr>
        <w:t> »), une société commerciale dont il est le seul actionnaire, en est le propriétaire.</w:t>
      </w:r>
    </w:p>
    <w:p w:rsidR="000A6105" w:rsidRPr="00C667BE" w:rsidRDefault="000A6105" w:rsidP="000A6105">
      <w:pPr>
        <w:rPr>
          <w:rFonts w:eastAsia="Times New Roman" w:cs="Times New Roman"/>
          <w:sz w:val="19"/>
          <w:szCs w:val="19"/>
          <w:lang w:val="fr-CA" w:eastAsia="en-CA"/>
        </w:rPr>
      </w:pPr>
    </w:p>
    <w:p w:rsidR="000A6105" w:rsidRPr="00C667BE" w:rsidRDefault="000A6105" w:rsidP="000A6105">
      <w:pPr>
        <w:jc w:val="both"/>
        <w:rPr>
          <w:rFonts w:eastAsia="Times New Roman" w:cs="Times New Roman"/>
          <w:sz w:val="19"/>
          <w:szCs w:val="19"/>
          <w:lang w:val="fr-CA" w:eastAsia="en-CA"/>
        </w:rPr>
      </w:pPr>
      <w:r w:rsidRPr="00C667BE">
        <w:rPr>
          <w:rFonts w:eastAsia="Times New Roman" w:cs="Times New Roman"/>
          <w:sz w:val="19"/>
          <w:szCs w:val="19"/>
          <w:lang w:val="fr-CA" w:eastAsia="en-CA"/>
        </w:rPr>
        <w:t xml:space="preserve">À compter de 1985, M. Robinson et </w:t>
      </w:r>
      <w:proofErr w:type="spellStart"/>
      <w:r w:rsidRPr="00C667BE">
        <w:rPr>
          <w:rFonts w:eastAsia="Times New Roman" w:cs="Times New Roman"/>
          <w:sz w:val="19"/>
          <w:szCs w:val="19"/>
          <w:lang w:val="fr-CA" w:eastAsia="en-CA"/>
        </w:rPr>
        <w:t>Nilem</w:t>
      </w:r>
      <w:proofErr w:type="spellEnd"/>
      <w:r w:rsidRPr="00C667BE">
        <w:rPr>
          <w:rFonts w:eastAsia="Times New Roman" w:cs="Times New Roman"/>
          <w:sz w:val="19"/>
          <w:szCs w:val="19"/>
          <w:lang w:val="fr-CA" w:eastAsia="en-CA"/>
        </w:rPr>
        <w:t xml:space="preserve"> multiplient les démarches destinées à faire la promotion et la production de </w:t>
      </w:r>
      <w:r w:rsidRPr="00C667BE">
        <w:rPr>
          <w:rFonts w:eastAsia="Times New Roman" w:cs="Times New Roman"/>
          <w:i/>
          <w:sz w:val="19"/>
          <w:szCs w:val="19"/>
          <w:lang w:val="fr-CA" w:eastAsia="en-CA"/>
        </w:rPr>
        <w:t>Robinson Curiosité</w:t>
      </w:r>
      <w:r w:rsidRPr="00C667BE">
        <w:rPr>
          <w:rFonts w:eastAsia="Times New Roman" w:cs="Times New Roman"/>
          <w:sz w:val="19"/>
          <w:szCs w:val="19"/>
          <w:lang w:val="fr-CA" w:eastAsia="en-CA"/>
        </w:rPr>
        <w:t xml:space="preserve">, y compris avec Corporation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/Les Films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inc</w:t>
      </w:r>
      <w:proofErr w:type="spellEnd"/>
      <w:r w:rsidRPr="00C667BE">
        <w:rPr>
          <w:rFonts w:eastAsia="Times New Roman" w:cs="Times New Roman"/>
          <w:sz w:val="19"/>
          <w:szCs w:val="19"/>
          <w:lang w:val="fr-CA" w:eastAsia="en-CA"/>
        </w:rPr>
        <w:t xml:space="preserve">., mais pendant près de 10 ans, ces démarches sont infructueuses.  En septembre 1995, il y a cependant diffusion au Québec du premier épisode de </w:t>
      </w:r>
      <w:r w:rsidRPr="00C667BE">
        <w:rPr>
          <w:rFonts w:eastAsia="Times New Roman" w:cs="Times New Roman"/>
          <w:i/>
          <w:sz w:val="19"/>
          <w:szCs w:val="19"/>
          <w:lang w:val="fr-CA" w:eastAsia="en-CA"/>
        </w:rPr>
        <w:t xml:space="preserve">Robinson </w:t>
      </w:r>
      <w:proofErr w:type="spellStart"/>
      <w:r w:rsidRPr="00C667BE">
        <w:rPr>
          <w:rFonts w:eastAsia="Times New Roman" w:cs="Times New Roman"/>
          <w:i/>
          <w:sz w:val="19"/>
          <w:szCs w:val="19"/>
          <w:lang w:val="fr-CA" w:eastAsia="en-CA"/>
        </w:rPr>
        <w:t>Sucroë</w:t>
      </w:r>
      <w:proofErr w:type="spellEnd"/>
      <w:r w:rsidRPr="00C667BE">
        <w:rPr>
          <w:rFonts w:eastAsia="Times New Roman" w:cs="Times New Roman"/>
          <w:sz w:val="19"/>
          <w:szCs w:val="19"/>
          <w:lang w:val="fr-CA" w:eastAsia="en-CA"/>
        </w:rPr>
        <w:t xml:space="preserve">, œuvre produite par Corporation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/Les Films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inc</w:t>
      </w:r>
      <w:proofErr w:type="spellEnd"/>
      <w:r w:rsidRPr="00C667BE">
        <w:rPr>
          <w:rFonts w:eastAsia="Times New Roman" w:cs="Times New Roman"/>
          <w:sz w:val="19"/>
          <w:szCs w:val="19"/>
          <w:lang w:val="fr-CA" w:eastAsia="en-CA"/>
        </w:rPr>
        <w:t xml:space="preserve">., France Animation S.A. et Ravensburger Film + TV </w:t>
      </w:r>
      <w:proofErr w:type="spellStart"/>
      <w:r w:rsidRPr="00C667BE">
        <w:rPr>
          <w:rFonts w:eastAsia="Times New Roman" w:cs="Times New Roman"/>
          <w:sz w:val="19"/>
          <w:szCs w:val="19"/>
          <w:lang w:val="fr-CA" w:eastAsia="en-CA"/>
        </w:rPr>
        <w:t>GmbH</w:t>
      </w:r>
      <w:proofErr w:type="spellEnd"/>
      <w:r w:rsidRPr="00C667BE">
        <w:rPr>
          <w:rFonts w:eastAsia="Times New Roman" w:cs="Times New Roman"/>
          <w:sz w:val="19"/>
          <w:szCs w:val="19"/>
          <w:lang w:val="fr-CA" w:eastAsia="en-CA"/>
        </w:rPr>
        <w:t>.</w:t>
      </w:r>
    </w:p>
    <w:p w:rsidR="000A6105" w:rsidRPr="00C667BE" w:rsidRDefault="000A6105" w:rsidP="000A6105">
      <w:pPr>
        <w:rPr>
          <w:rFonts w:eastAsia="Times New Roman" w:cs="Times New Roman"/>
          <w:sz w:val="19"/>
          <w:szCs w:val="19"/>
          <w:lang w:val="fr-CA" w:eastAsia="en-CA"/>
        </w:rPr>
      </w:pPr>
    </w:p>
    <w:p w:rsidR="000A6105" w:rsidRPr="00C667BE" w:rsidRDefault="000A6105" w:rsidP="000A6105">
      <w:pPr>
        <w:jc w:val="both"/>
        <w:rPr>
          <w:rFonts w:eastAsia="Times New Roman" w:cs="Times New Roman"/>
          <w:sz w:val="19"/>
          <w:szCs w:val="19"/>
          <w:lang w:val="fr-CA" w:eastAsia="en-CA"/>
        </w:rPr>
      </w:pPr>
      <w:r w:rsidRPr="00C667BE">
        <w:rPr>
          <w:rFonts w:eastAsia="Times New Roman" w:cs="Times New Roman"/>
          <w:sz w:val="19"/>
          <w:szCs w:val="19"/>
          <w:lang w:val="fr-CA" w:eastAsia="en-CA"/>
        </w:rPr>
        <w:t xml:space="preserve">Constatant des similitudes entre son œuvre, </w:t>
      </w:r>
      <w:r w:rsidRPr="00C667BE">
        <w:rPr>
          <w:rFonts w:eastAsia="Times New Roman" w:cs="Times New Roman"/>
          <w:i/>
          <w:sz w:val="19"/>
          <w:szCs w:val="19"/>
          <w:lang w:val="fr-CA" w:eastAsia="en-CA"/>
        </w:rPr>
        <w:t>Robinson Curiosité</w:t>
      </w:r>
      <w:r w:rsidRPr="00C667BE">
        <w:rPr>
          <w:rFonts w:eastAsia="Times New Roman" w:cs="Times New Roman"/>
          <w:sz w:val="19"/>
          <w:szCs w:val="19"/>
          <w:lang w:val="fr-CA" w:eastAsia="en-CA"/>
        </w:rPr>
        <w:t xml:space="preserve">, et l’œuvre produite sous le titre </w:t>
      </w:r>
      <w:r w:rsidRPr="00C667BE">
        <w:rPr>
          <w:rFonts w:eastAsia="Times New Roman" w:cs="Times New Roman"/>
          <w:i/>
          <w:sz w:val="19"/>
          <w:szCs w:val="19"/>
          <w:lang w:val="fr-CA" w:eastAsia="en-CA"/>
        </w:rPr>
        <w:t xml:space="preserve">Robinson </w:t>
      </w:r>
      <w:proofErr w:type="spellStart"/>
      <w:r w:rsidRPr="00C667BE">
        <w:rPr>
          <w:rFonts w:eastAsia="Times New Roman" w:cs="Times New Roman"/>
          <w:i/>
          <w:sz w:val="19"/>
          <w:szCs w:val="19"/>
          <w:lang w:val="fr-CA" w:eastAsia="en-CA"/>
        </w:rPr>
        <w:t>Sucroë</w:t>
      </w:r>
      <w:proofErr w:type="spellEnd"/>
      <w:r w:rsidRPr="00C667BE">
        <w:rPr>
          <w:rFonts w:eastAsia="Times New Roman" w:cs="Times New Roman"/>
          <w:sz w:val="19"/>
          <w:szCs w:val="19"/>
          <w:lang w:val="fr-CA" w:eastAsia="en-CA"/>
        </w:rPr>
        <w:t xml:space="preserve">, M. Robinson et </w:t>
      </w:r>
      <w:proofErr w:type="spellStart"/>
      <w:r w:rsidRPr="00C667BE">
        <w:rPr>
          <w:rFonts w:eastAsia="Times New Roman" w:cs="Times New Roman"/>
          <w:sz w:val="19"/>
          <w:szCs w:val="19"/>
          <w:lang w:val="fr-CA" w:eastAsia="en-CA"/>
        </w:rPr>
        <w:t>Nilem</w:t>
      </w:r>
      <w:proofErr w:type="spellEnd"/>
      <w:r w:rsidRPr="00C667BE">
        <w:rPr>
          <w:rFonts w:eastAsia="Times New Roman" w:cs="Times New Roman"/>
          <w:sz w:val="19"/>
          <w:szCs w:val="19"/>
          <w:lang w:val="fr-CA" w:eastAsia="en-CA"/>
        </w:rPr>
        <w:t xml:space="preserve">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0A6105" w:rsidRPr="00C667BE" w:rsidRDefault="000A6105" w:rsidP="000A6105">
      <w:pPr>
        <w:widowControl w:val="0"/>
        <w:jc w:val="both"/>
        <w:rPr>
          <w:rFonts w:eastAsia="Times New Roman" w:cs="Times New Roman"/>
          <w:sz w:val="19"/>
          <w:szCs w:val="19"/>
          <w:lang w:val="fr-CA" w:eastAsia="en-CA"/>
        </w:rPr>
      </w:pPr>
    </w:p>
    <w:p w:rsidR="000A6105" w:rsidRPr="00C667BE" w:rsidRDefault="000A6105" w:rsidP="000A6105">
      <w:pPr>
        <w:widowControl w:val="0"/>
        <w:jc w:val="both"/>
        <w:rPr>
          <w:rFonts w:eastAsia="Times New Roman" w:cs="Times New Roman"/>
          <w:sz w:val="19"/>
          <w:szCs w:val="19"/>
          <w:lang w:val="fr-CA" w:eastAsia="en-CA"/>
        </w:rPr>
      </w:pP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Origine:</w:t>
      </w:r>
      <w:r w:rsidRPr="00C667BE">
        <w:rPr>
          <w:rFonts w:eastAsia="Times New Roman" w:cs="Times New Roman"/>
          <w:sz w:val="19"/>
          <w:szCs w:val="19"/>
          <w:lang w:val="fr-CA" w:eastAsia="en-CA"/>
        </w:rPr>
        <w:tab/>
        <w:t>Québec</w:t>
      </w:r>
    </w:p>
    <w:p w:rsidR="000A6105" w:rsidRPr="00C667BE" w:rsidRDefault="000A6105" w:rsidP="000A6105">
      <w:pPr>
        <w:widowControl w:val="0"/>
        <w:ind w:left="2880" w:hanging="2880"/>
        <w:jc w:val="both"/>
        <w:rPr>
          <w:rFonts w:eastAsia="Times New Roman" w:cs="Times New Roman"/>
          <w:sz w:val="19"/>
          <w:szCs w:val="19"/>
          <w:lang w:val="fr-CA" w:eastAsia="en-CA"/>
        </w:rPr>
      </w:pP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N</w:t>
      </w:r>
      <w:r w:rsidRPr="00C667BE">
        <w:rPr>
          <w:rFonts w:eastAsia="Times New Roman" w:cs="Times New Roman"/>
          <w:sz w:val="19"/>
          <w:szCs w:val="19"/>
          <w:vertAlign w:val="superscript"/>
          <w:lang w:val="fr-CA" w:eastAsia="en-CA"/>
        </w:rPr>
        <w:t>o</w:t>
      </w:r>
      <w:r w:rsidRPr="00C667BE">
        <w:rPr>
          <w:rFonts w:eastAsia="Times New Roman" w:cs="Times New Roman"/>
          <w:sz w:val="19"/>
          <w:szCs w:val="19"/>
          <w:lang w:val="fr-CA" w:eastAsia="en-CA"/>
        </w:rPr>
        <w:t xml:space="preserve"> du greffe:</w:t>
      </w:r>
      <w:r w:rsidRPr="00C667BE">
        <w:rPr>
          <w:rFonts w:eastAsia="Times New Roman" w:cs="Times New Roman"/>
          <w:sz w:val="19"/>
          <w:szCs w:val="19"/>
          <w:lang w:val="fr-CA" w:eastAsia="en-CA"/>
        </w:rPr>
        <w:tab/>
        <w:t>34469</w:t>
      </w:r>
    </w:p>
    <w:p w:rsidR="000A6105" w:rsidRPr="00C667BE" w:rsidRDefault="000A6105" w:rsidP="000A6105">
      <w:pPr>
        <w:widowControl w:val="0"/>
        <w:ind w:left="2880" w:hanging="2880"/>
        <w:jc w:val="both"/>
        <w:rPr>
          <w:rFonts w:eastAsia="Times New Roman" w:cs="Times New Roman"/>
          <w:sz w:val="19"/>
          <w:szCs w:val="19"/>
          <w:lang w:val="fr-CA" w:eastAsia="en-CA"/>
        </w:rPr>
      </w:pP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Arrêt de la Cour d’appel:</w:t>
      </w:r>
      <w:r w:rsidRPr="00C667BE">
        <w:rPr>
          <w:rFonts w:eastAsia="Times New Roman" w:cs="Times New Roman"/>
          <w:sz w:val="19"/>
          <w:szCs w:val="19"/>
          <w:lang w:val="fr-CA" w:eastAsia="en-CA"/>
        </w:rPr>
        <w:tab/>
        <w:t>Le 20 juillet 2011</w:t>
      </w:r>
    </w:p>
    <w:p w:rsidR="000A6105" w:rsidRPr="00C667BE" w:rsidRDefault="000A6105" w:rsidP="000A6105">
      <w:pPr>
        <w:widowControl w:val="0"/>
        <w:ind w:left="2880" w:hanging="2880"/>
        <w:jc w:val="both"/>
        <w:rPr>
          <w:rFonts w:eastAsia="Times New Roman" w:cs="Times New Roman"/>
          <w:sz w:val="19"/>
          <w:szCs w:val="19"/>
          <w:lang w:val="fr-CA" w:eastAsia="en-CA"/>
        </w:rPr>
      </w:pP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Avocats:</w:t>
      </w:r>
      <w:r w:rsidRPr="00C667BE">
        <w:rPr>
          <w:rFonts w:eastAsia="Times New Roman" w:cs="Times New Roman"/>
          <w:sz w:val="19"/>
          <w:szCs w:val="19"/>
          <w:lang w:val="fr-CA" w:eastAsia="en-CA"/>
        </w:rPr>
        <w:tab/>
        <w:t xml:space="preserve">Gilles M. </w:t>
      </w:r>
      <w:proofErr w:type="spellStart"/>
      <w:r w:rsidRPr="00C667BE">
        <w:rPr>
          <w:rFonts w:eastAsia="Times New Roman" w:cs="Times New Roman"/>
          <w:sz w:val="19"/>
          <w:szCs w:val="19"/>
          <w:lang w:val="fr-CA" w:eastAsia="en-CA"/>
        </w:rPr>
        <w:t>Daigle</w:t>
      </w:r>
      <w:proofErr w:type="spellEnd"/>
      <w:r w:rsidRPr="00C667BE">
        <w:rPr>
          <w:rFonts w:eastAsia="Times New Roman" w:cs="Times New Roman"/>
          <w:sz w:val="19"/>
          <w:szCs w:val="19"/>
          <w:lang w:val="fr-CA" w:eastAsia="en-CA"/>
        </w:rPr>
        <w:t xml:space="preserve"> et Guy </w:t>
      </w:r>
      <w:proofErr w:type="spellStart"/>
      <w:r w:rsidRPr="00C667BE">
        <w:rPr>
          <w:rFonts w:eastAsia="Times New Roman" w:cs="Times New Roman"/>
          <w:sz w:val="19"/>
          <w:szCs w:val="19"/>
          <w:lang w:val="fr-CA" w:eastAsia="en-CA"/>
        </w:rPr>
        <w:t>Régimbald</w:t>
      </w:r>
      <w:proofErr w:type="spellEnd"/>
      <w:r w:rsidRPr="00C667BE">
        <w:rPr>
          <w:rFonts w:eastAsia="Times New Roman" w:cs="Times New Roman"/>
          <w:sz w:val="19"/>
          <w:szCs w:val="19"/>
          <w:lang w:val="fr-CA" w:eastAsia="en-CA"/>
        </w:rPr>
        <w:t xml:space="preserve"> pour les appelants</w:t>
      </w: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b/>
        <w:t xml:space="preserve">Pierre Y. Lefebvre, Alain Y. Dussault et </w:t>
      </w:r>
      <w:proofErr w:type="spellStart"/>
      <w:r w:rsidRPr="00C667BE">
        <w:rPr>
          <w:rFonts w:eastAsia="Times New Roman" w:cs="Times New Roman"/>
          <w:sz w:val="19"/>
          <w:szCs w:val="19"/>
          <w:lang w:val="fr-CA" w:eastAsia="en-CA"/>
        </w:rPr>
        <w:t>Silviu</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Bursenascu</w:t>
      </w:r>
      <w:proofErr w:type="spellEnd"/>
      <w:r w:rsidRPr="00C667BE">
        <w:rPr>
          <w:rFonts w:eastAsia="Times New Roman" w:cs="Times New Roman"/>
          <w:sz w:val="19"/>
          <w:szCs w:val="19"/>
          <w:lang w:val="fr-CA" w:eastAsia="en-CA"/>
        </w:rPr>
        <w:t xml:space="preserve"> pour les intimés France Animation S.A., Ravensburger Film + TV </w:t>
      </w:r>
      <w:proofErr w:type="spellStart"/>
      <w:r w:rsidRPr="00C667BE">
        <w:rPr>
          <w:rFonts w:eastAsia="Times New Roman" w:cs="Times New Roman"/>
          <w:sz w:val="19"/>
          <w:szCs w:val="19"/>
          <w:lang w:val="fr-CA" w:eastAsia="en-CA"/>
        </w:rPr>
        <w:t>GmbH</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Videal</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Gesellschaft</w:t>
      </w:r>
      <w:proofErr w:type="spellEnd"/>
      <w:r w:rsidRPr="00C667BE">
        <w:rPr>
          <w:rFonts w:eastAsia="Times New Roman" w:cs="Times New Roman"/>
          <w:sz w:val="19"/>
          <w:szCs w:val="19"/>
          <w:lang w:val="fr-CA" w:eastAsia="en-CA"/>
        </w:rPr>
        <w:t xml:space="preserve"> Zur </w:t>
      </w:r>
      <w:proofErr w:type="spellStart"/>
      <w:r w:rsidRPr="00C667BE">
        <w:rPr>
          <w:rFonts w:eastAsia="Times New Roman" w:cs="Times New Roman"/>
          <w:sz w:val="19"/>
          <w:szCs w:val="19"/>
          <w:lang w:val="fr-CA" w:eastAsia="en-CA"/>
        </w:rPr>
        <w:t>Hertellung</w:t>
      </w:r>
      <w:proofErr w:type="spellEnd"/>
      <w:r w:rsidRPr="00C667BE">
        <w:rPr>
          <w:rFonts w:eastAsia="Times New Roman" w:cs="Times New Roman"/>
          <w:sz w:val="19"/>
          <w:szCs w:val="19"/>
          <w:lang w:val="fr-CA" w:eastAsia="en-CA"/>
        </w:rPr>
        <w:t xml:space="preserve"> Von </w:t>
      </w:r>
      <w:proofErr w:type="spellStart"/>
      <w:r w:rsidRPr="00C667BE">
        <w:rPr>
          <w:rFonts w:eastAsia="Times New Roman" w:cs="Times New Roman"/>
          <w:sz w:val="19"/>
          <w:szCs w:val="19"/>
          <w:lang w:val="fr-CA" w:eastAsia="en-CA"/>
        </w:rPr>
        <w:t>Audiovisuellen</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Produkten</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Mbh</w:t>
      </w:r>
      <w:proofErr w:type="spellEnd"/>
      <w:r w:rsidRPr="00C667BE">
        <w:rPr>
          <w:rFonts w:eastAsia="Times New Roman" w:cs="Times New Roman"/>
          <w:sz w:val="19"/>
          <w:szCs w:val="19"/>
          <w:lang w:val="fr-CA" w:eastAsia="en-CA"/>
        </w:rPr>
        <w:t xml:space="preserve">, RTV </w:t>
      </w:r>
      <w:proofErr w:type="spellStart"/>
      <w:r w:rsidRPr="00C667BE">
        <w:rPr>
          <w:rFonts w:eastAsia="Times New Roman" w:cs="Times New Roman"/>
          <w:sz w:val="19"/>
          <w:szCs w:val="19"/>
          <w:lang w:val="fr-CA" w:eastAsia="en-CA"/>
        </w:rPr>
        <w:t>Family</w:t>
      </w:r>
      <w:proofErr w:type="spellEnd"/>
      <w:r w:rsidRPr="00C667BE">
        <w:rPr>
          <w:rFonts w:eastAsia="Times New Roman" w:cs="Times New Roman"/>
          <w:sz w:val="19"/>
          <w:szCs w:val="19"/>
          <w:lang w:val="fr-CA" w:eastAsia="en-CA"/>
        </w:rPr>
        <w:t xml:space="preserve"> Entertainment AG et Christophe Izard</w:t>
      </w: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b/>
        <w:t xml:space="preserve">William </w:t>
      </w:r>
      <w:proofErr w:type="spellStart"/>
      <w:r w:rsidRPr="00C667BE">
        <w:rPr>
          <w:rFonts w:eastAsia="Times New Roman" w:cs="Times New Roman"/>
          <w:sz w:val="19"/>
          <w:szCs w:val="19"/>
          <w:lang w:val="fr-CA" w:eastAsia="en-CA"/>
        </w:rPr>
        <w:t>Brock</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Ad.E.</w:t>
      </w:r>
      <w:proofErr w:type="spellEnd"/>
      <w:r w:rsidRPr="00C667BE">
        <w:rPr>
          <w:rFonts w:eastAsia="Times New Roman" w:cs="Times New Roman"/>
          <w:sz w:val="19"/>
          <w:szCs w:val="19"/>
          <w:lang w:val="fr-CA" w:eastAsia="en-CA"/>
        </w:rPr>
        <w:t xml:space="preserve"> </w:t>
      </w:r>
      <w:proofErr w:type="gramStart"/>
      <w:r w:rsidRPr="00C667BE">
        <w:rPr>
          <w:rFonts w:eastAsia="Times New Roman" w:cs="Times New Roman"/>
          <w:sz w:val="19"/>
          <w:szCs w:val="19"/>
          <w:lang w:val="fr-CA" w:eastAsia="en-CA"/>
        </w:rPr>
        <w:t>et</w:t>
      </w:r>
      <w:proofErr w:type="gramEnd"/>
      <w:r w:rsidRPr="00C667BE">
        <w:rPr>
          <w:rFonts w:eastAsia="Times New Roman" w:cs="Times New Roman"/>
          <w:sz w:val="19"/>
          <w:szCs w:val="19"/>
          <w:lang w:val="fr-CA" w:eastAsia="en-CA"/>
        </w:rPr>
        <w:t xml:space="preserve"> Cara Cameron pour les intimés Les Films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 Inc., </w:t>
      </w:r>
      <w:proofErr w:type="spellStart"/>
      <w:r w:rsidRPr="00C667BE">
        <w:rPr>
          <w:rFonts w:eastAsia="Times New Roman" w:cs="Times New Roman"/>
          <w:sz w:val="19"/>
          <w:szCs w:val="19"/>
          <w:lang w:val="fr-CA" w:eastAsia="en-CA"/>
        </w:rPr>
        <w:t>Cinar</w:t>
      </w:r>
      <w:proofErr w:type="spellEnd"/>
      <w:r w:rsidRPr="00C667BE">
        <w:rPr>
          <w:rFonts w:eastAsia="Times New Roman" w:cs="Times New Roman"/>
          <w:sz w:val="19"/>
          <w:szCs w:val="19"/>
          <w:lang w:val="fr-CA" w:eastAsia="en-CA"/>
        </w:rPr>
        <w:t xml:space="preserve"> Corporation et 3918203 Canada Inc.</w:t>
      </w: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b/>
      </w:r>
      <w:proofErr w:type="spellStart"/>
      <w:r w:rsidRPr="00C667BE">
        <w:rPr>
          <w:rFonts w:eastAsia="Times New Roman" w:cs="Times New Roman"/>
          <w:sz w:val="19"/>
          <w:szCs w:val="19"/>
          <w:lang w:val="fr-CA" w:eastAsia="en-CA"/>
        </w:rPr>
        <w:t>Raynold</w:t>
      </w:r>
      <w:proofErr w:type="spellEnd"/>
      <w:r w:rsidRPr="00C667BE">
        <w:rPr>
          <w:rFonts w:eastAsia="Times New Roman" w:cs="Times New Roman"/>
          <w:sz w:val="19"/>
          <w:szCs w:val="19"/>
          <w:lang w:val="fr-CA" w:eastAsia="en-CA"/>
        </w:rPr>
        <w:t xml:space="preserve"> Langlois, Dimitri </w:t>
      </w:r>
      <w:proofErr w:type="spellStart"/>
      <w:r w:rsidRPr="00C667BE">
        <w:rPr>
          <w:rFonts w:eastAsia="Times New Roman" w:cs="Times New Roman"/>
          <w:sz w:val="19"/>
          <w:szCs w:val="19"/>
          <w:lang w:val="fr-CA" w:eastAsia="en-CA"/>
        </w:rPr>
        <w:t>Maniatis</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Jean</w:t>
      </w:r>
      <w:r w:rsidRPr="00C667BE">
        <w:rPr>
          <w:rFonts w:eastAsia="Times New Roman" w:cs="Times New Roman"/>
          <w:sz w:val="19"/>
          <w:szCs w:val="19"/>
          <w:lang w:val="fr-CA" w:eastAsia="en-CA"/>
        </w:rPr>
        <w:noBreakHyphen/>
        <w:t>Patrick</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Dallaire</w:t>
      </w:r>
      <w:proofErr w:type="spellEnd"/>
      <w:r w:rsidRPr="00C667BE">
        <w:rPr>
          <w:rFonts w:eastAsia="Times New Roman" w:cs="Times New Roman"/>
          <w:sz w:val="19"/>
          <w:szCs w:val="19"/>
          <w:lang w:val="fr-CA" w:eastAsia="en-CA"/>
        </w:rPr>
        <w:t xml:space="preserve"> et Fabrice Vil pour les intimés Ronald A. Weinberg et Ronald A. Weinberg, en qualité d’unique liquidateur de la succession de feu Micheline Charest</w:t>
      </w:r>
    </w:p>
    <w:p w:rsidR="000A6105" w:rsidRPr="00C667BE" w:rsidRDefault="000A6105" w:rsidP="000A6105">
      <w:pPr>
        <w:widowControl w:val="0"/>
        <w:ind w:left="2880" w:hanging="2880"/>
        <w:jc w:val="both"/>
        <w:rPr>
          <w:rFonts w:eastAsia="Times New Roman" w:cs="Times New Roman"/>
          <w:sz w:val="19"/>
          <w:szCs w:val="19"/>
          <w:lang w:val="fr-CA" w:eastAsia="en-CA"/>
        </w:rPr>
      </w:pPr>
      <w:r w:rsidRPr="00C667BE">
        <w:rPr>
          <w:rFonts w:eastAsia="Times New Roman" w:cs="Times New Roman"/>
          <w:sz w:val="19"/>
          <w:szCs w:val="19"/>
          <w:lang w:val="fr-CA" w:eastAsia="en-CA"/>
        </w:rPr>
        <w:tab/>
        <w:t xml:space="preserve">Guy J. </w:t>
      </w:r>
      <w:proofErr w:type="spellStart"/>
      <w:r w:rsidRPr="00C667BE">
        <w:rPr>
          <w:rFonts w:eastAsia="Times New Roman" w:cs="Times New Roman"/>
          <w:sz w:val="19"/>
          <w:szCs w:val="19"/>
          <w:lang w:val="fr-CA" w:eastAsia="en-CA"/>
        </w:rPr>
        <w:t>Pratte</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Ad.E.</w:t>
      </w:r>
      <w:proofErr w:type="spellEnd"/>
      <w:r w:rsidRPr="00C667BE">
        <w:rPr>
          <w:rFonts w:eastAsia="Times New Roman" w:cs="Times New Roman"/>
          <w:sz w:val="19"/>
          <w:szCs w:val="19"/>
          <w:lang w:val="fr-CA" w:eastAsia="en-CA"/>
        </w:rPr>
        <w:t xml:space="preserve">, Daniel </w:t>
      </w:r>
      <w:proofErr w:type="spellStart"/>
      <w:r w:rsidRPr="00C667BE">
        <w:rPr>
          <w:rFonts w:eastAsia="Times New Roman" w:cs="Times New Roman"/>
          <w:sz w:val="19"/>
          <w:szCs w:val="19"/>
          <w:lang w:val="fr-CA" w:eastAsia="en-CA"/>
        </w:rPr>
        <w:t>Urbas</w:t>
      </w:r>
      <w:proofErr w:type="spellEnd"/>
      <w:r w:rsidRPr="00C667BE">
        <w:rPr>
          <w:rFonts w:eastAsia="Times New Roman" w:cs="Times New Roman"/>
          <w:sz w:val="19"/>
          <w:szCs w:val="19"/>
          <w:lang w:val="fr-CA" w:eastAsia="en-CA"/>
        </w:rPr>
        <w:t xml:space="preserve"> et </w:t>
      </w:r>
      <w:proofErr w:type="spellStart"/>
      <w:r w:rsidRPr="00C667BE">
        <w:rPr>
          <w:rFonts w:eastAsia="Times New Roman" w:cs="Times New Roman"/>
          <w:sz w:val="19"/>
          <w:szCs w:val="19"/>
          <w:lang w:val="fr-CA" w:eastAsia="en-CA"/>
        </w:rPr>
        <w:t>Marc</w:t>
      </w:r>
      <w:r w:rsidRPr="00C667BE">
        <w:rPr>
          <w:rFonts w:eastAsia="Times New Roman" w:cs="Times New Roman"/>
          <w:sz w:val="19"/>
          <w:szCs w:val="19"/>
          <w:lang w:val="fr-CA" w:eastAsia="en-CA"/>
        </w:rPr>
        <w:noBreakHyphen/>
        <w:t>André</w:t>
      </w:r>
      <w:proofErr w:type="spellEnd"/>
      <w:r w:rsidRPr="00C667BE">
        <w:rPr>
          <w:rFonts w:eastAsia="Times New Roman" w:cs="Times New Roman"/>
          <w:sz w:val="19"/>
          <w:szCs w:val="19"/>
          <w:lang w:val="fr-CA" w:eastAsia="en-CA"/>
        </w:rPr>
        <w:t xml:space="preserve"> </w:t>
      </w:r>
      <w:proofErr w:type="spellStart"/>
      <w:r w:rsidRPr="00C667BE">
        <w:rPr>
          <w:rFonts w:eastAsia="Times New Roman" w:cs="Times New Roman"/>
          <w:sz w:val="19"/>
          <w:szCs w:val="19"/>
          <w:lang w:val="fr-CA" w:eastAsia="en-CA"/>
        </w:rPr>
        <w:t>Grou</w:t>
      </w:r>
      <w:proofErr w:type="spellEnd"/>
      <w:r w:rsidRPr="00C667BE">
        <w:rPr>
          <w:rFonts w:eastAsia="Times New Roman" w:cs="Times New Roman"/>
          <w:sz w:val="19"/>
          <w:szCs w:val="19"/>
          <w:lang w:val="fr-CA" w:eastAsia="en-CA"/>
        </w:rPr>
        <w:t xml:space="preserve"> pour l’intimé Christian </w:t>
      </w:r>
      <w:proofErr w:type="spellStart"/>
      <w:r w:rsidRPr="00C667BE">
        <w:rPr>
          <w:rFonts w:eastAsia="Times New Roman" w:cs="Times New Roman"/>
          <w:sz w:val="19"/>
          <w:szCs w:val="19"/>
          <w:lang w:val="fr-CA" w:eastAsia="en-CA"/>
        </w:rPr>
        <w:t>Davin</w:t>
      </w:r>
      <w:proofErr w:type="spellEnd"/>
    </w:p>
    <w:p w:rsidR="003320D5" w:rsidRPr="00C667BE" w:rsidRDefault="003320D5" w:rsidP="000B3C9A">
      <w:pPr>
        <w:tabs>
          <w:tab w:val="left" w:pos="-1440"/>
          <w:tab w:val="left" w:pos="-720"/>
        </w:tabs>
        <w:jc w:val="both"/>
        <w:rPr>
          <w:sz w:val="19"/>
          <w:szCs w:val="19"/>
          <w:lang w:val="fr-CA"/>
        </w:rPr>
      </w:pPr>
    </w:p>
    <w:p w:rsidR="003320D5" w:rsidRDefault="00F008AC" w:rsidP="00C667BE">
      <w:pPr>
        <w:tabs>
          <w:tab w:val="left" w:pos="-1440"/>
          <w:tab w:val="left" w:pos="-720"/>
        </w:tabs>
        <w:jc w:val="both"/>
        <w:rPr>
          <w:sz w:val="20"/>
          <w:szCs w:val="20"/>
          <w:lang w:val="fr-CA"/>
        </w:rPr>
      </w:pPr>
      <w:r w:rsidRPr="00F008AC">
        <w:rPr>
          <w:sz w:val="20"/>
          <w:szCs w:val="20"/>
          <w:lang w:val="fr-CA"/>
        </w:rPr>
        <w:pict>
          <v:rect id="_x0000_i1073" style="width:2in;height:1pt" o:hrpct="0" o:hralign="center" o:hrstd="t" o:hrnoshade="t" o:hr="t" fillcolor="black [3213]" stroked="f"/>
        </w:pict>
      </w:r>
      <w:r w:rsidR="003320D5">
        <w:rPr>
          <w:sz w:val="20"/>
          <w:szCs w:val="20"/>
          <w:lang w:val="fr-CA"/>
        </w:rPr>
        <w:br w:type="page"/>
      </w:r>
    </w:p>
    <w:p w:rsidR="000A6105" w:rsidRPr="000A6105" w:rsidRDefault="00F008AC" w:rsidP="000A6105">
      <w:pPr>
        <w:widowControl w:val="0"/>
        <w:ind w:left="720" w:hanging="720"/>
        <w:jc w:val="both"/>
        <w:rPr>
          <w:rFonts w:eastAsia="Times New Roman" w:cs="Times New Roman"/>
          <w:sz w:val="20"/>
          <w:szCs w:val="20"/>
          <w:lang w:eastAsia="en-CA"/>
        </w:rPr>
      </w:pPr>
      <w:r w:rsidRPr="00F008AC">
        <w:rPr>
          <w:rFonts w:eastAsia="Times New Roman" w:cs="Times New Roman"/>
          <w:b/>
          <w:sz w:val="20"/>
          <w:szCs w:val="20"/>
          <w:lang w:eastAsia="en-CA"/>
        </w:rPr>
        <w:lastRenderedPageBreak/>
        <w:fldChar w:fldCharType="begin"/>
      </w:r>
      <w:r w:rsidR="000A6105" w:rsidRPr="000A6105">
        <w:rPr>
          <w:rFonts w:eastAsia="Times New Roman" w:cs="Times New Roman"/>
          <w:b/>
          <w:sz w:val="20"/>
          <w:szCs w:val="20"/>
          <w:lang w:val="en-US" w:eastAsia="en-CA"/>
        </w:rPr>
        <w:instrText xml:space="preserve"> SEQ CHAPTER \h \r 1</w:instrText>
      </w:r>
      <w:r w:rsidRPr="000A6105">
        <w:rPr>
          <w:rFonts w:eastAsia="Times New Roman" w:cs="Times New Roman"/>
          <w:b/>
          <w:sz w:val="20"/>
          <w:szCs w:val="20"/>
          <w:lang w:val="en-US" w:eastAsia="en-CA"/>
        </w:rPr>
        <w:fldChar w:fldCharType="end"/>
      </w:r>
      <w:r w:rsidR="000A6105" w:rsidRPr="000A6105">
        <w:rPr>
          <w:rFonts w:eastAsia="Times New Roman" w:cs="Times New Roman"/>
          <w:b/>
          <w:sz w:val="20"/>
          <w:szCs w:val="20"/>
          <w:lang w:eastAsia="en-CA"/>
        </w:rPr>
        <w:t>34889</w:t>
      </w:r>
      <w:r w:rsidR="000A6105" w:rsidRPr="000A6105">
        <w:rPr>
          <w:rFonts w:eastAsia="Times New Roman" w:cs="Times New Roman"/>
          <w:sz w:val="20"/>
          <w:szCs w:val="20"/>
          <w:lang w:eastAsia="en-CA"/>
        </w:rPr>
        <w:tab/>
      </w:r>
      <w:r w:rsidR="000A6105" w:rsidRPr="000A6105">
        <w:rPr>
          <w:rFonts w:eastAsia="Times New Roman" w:cs="Times New Roman"/>
          <w:b/>
          <w:i/>
          <w:sz w:val="20"/>
          <w:szCs w:val="20"/>
          <w:lang w:eastAsia="en-CA"/>
        </w:rPr>
        <w:t xml:space="preserve">Her Majesty the Queen v. Frederick Owen </w:t>
      </w:r>
      <w:proofErr w:type="spellStart"/>
      <w:r w:rsidR="000A6105" w:rsidRPr="000A6105">
        <w:rPr>
          <w:rFonts w:eastAsia="Times New Roman" w:cs="Times New Roman"/>
          <w:b/>
          <w:i/>
          <w:sz w:val="20"/>
          <w:szCs w:val="20"/>
          <w:lang w:eastAsia="en-CA"/>
        </w:rPr>
        <w:t>Blacklaws</w:t>
      </w:r>
      <w:proofErr w:type="spellEnd"/>
    </w:p>
    <w:p w:rsidR="000A6105" w:rsidRPr="000A6105" w:rsidRDefault="000A6105" w:rsidP="000A6105">
      <w:pPr>
        <w:widowControl w:val="0"/>
        <w:jc w:val="both"/>
        <w:rPr>
          <w:rFonts w:eastAsia="Times New Roman" w:cs="Times New Roman"/>
          <w:sz w:val="20"/>
          <w:szCs w:val="20"/>
          <w:lang w:eastAsia="en-CA"/>
        </w:rPr>
      </w:pPr>
    </w:p>
    <w:p w:rsidR="000A6105" w:rsidRPr="000A6105" w:rsidRDefault="000A6105" w:rsidP="000A6105">
      <w:pPr>
        <w:jc w:val="both"/>
        <w:rPr>
          <w:rFonts w:eastAsia="Times New Roman" w:cs="Times New Roman"/>
          <w:smallCaps/>
          <w:sz w:val="20"/>
          <w:szCs w:val="20"/>
          <w:lang w:eastAsia="en-CA"/>
        </w:rPr>
      </w:pPr>
      <w:r w:rsidRPr="000A6105">
        <w:rPr>
          <w:rFonts w:eastAsia="Times New Roman" w:cs="Times New Roman"/>
          <w:smallCaps/>
          <w:sz w:val="20"/>
          <w:szCs w:val="20"/>
          <w:lang w:eastAsia="en-CA"/>
        </w:rPr>
        <w:t xml:space="preserve">(Publication </w:t>
      </w:r>
      <w:r>
        <w:rPr>
          <w:rFonts w:eastAsia="Times New Roman" w:cs="Times New Roman"/>
          <w:smallCaps/>
          <w:sz w:val="20"/>
          <w:szCs w:val="20"/>
          <w:lang w:eastAsia="en-CA"/>
        </w:rPr>
        <w:t>B</w:t>
      </w:r>
      <w:r w:rsidRPr="000A6105">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0A6105">
        <w:rPr>
          <w:rFonts w:eastAsia="Times New Roman" w:cs="Times New Roman"/>
          <w:smallCaps/>
          <w:sz w:val="20"/>
          <w:szCs w:val="20"/>
          <w:lang w:eastAsia="en-CA"/>
        </w:rPr>
        <w:t>ase)</w:t>
      </w:r>
    </w:p>
    <w:p w:rsidR="000A6105" w:rsidRPr="000A6105" w:rsidRDefault="000A6105" w:rsidP="000A6105">
      <w:pPr>
        <w:widowControl w:val="0"/>
        <w:jc w:val="both"/>
        <w:rPr>
          <w:rFonts w:eastAsia="Times New Roman" w:cs="Times New Roman"/>
          <w:sz w:val="20"/>
          <w:szCs w:val="20"/>
          <w:lang w:eastAsia="en-CA"/>
        </w:rPr>
      </w:pPr>
    </w:p>
    <w:p w:rsidR="000A6105" w:rsidRPr="000A6105" w:rsidRDefault="000A6105" w:rsidP="000A6105">
      <w:pPr>
        <w:widowControl w:val="0"/>
        <w:jc w:val="both"/>
        <w:rPr>
          <w:rFonts w:eastAsia="Times New Roman" w:cs="Times New Roman"/>
          <w:sz w:val="20"/>
          <w:szCs w:val="20"/>
          <w:lang w:eastAsia="en-CA"/>
        </w:rPr>
      </w:pPr>
      <w:r w:rsidRPr="000A6105">
        <w:rPr>
          <w:rFonts w:eastAsia="Times New Roman" w:cs="Times New Roman"/>
          <w:sz w:val="20"/>
          <w:szCs w:val="20"/>
          <w:lang w:eastAsia="en-CA"/>
        </w:rPr>
        <w:t xml:space="preserve">Criminal law </w:t>
      </w:r>
      <w:r w:rsidRPr="000A6105">
        <w:rPr>
          <w:rFonts w:eastAsia="Times New Roman" w:cs="Times New Roman"/>
          <w:sz w:val="20"/>
          <w:szCs w:val="20"/>
          <w:lang w:eastAsia="en-CA"/>
        </w:rPr>
        <w:noBreakHyphen/>
        <w:t xml:space="preserve"> Procedure </w:t>
      </w:r>
      <w:r w:rsidRPr="000A6105">
        <w:rPr>
          <w:rFonts w:eastAsia="Times New Roman" w:cs="Times New Roman"/>
          <w:sz w:val="20"/>
          <w:szCs w:val="20"/>
          <w:lang w:eastAsia="en-CA"/>
        </w:rPr>
        <w:noBreakHyphen/>
        <w:t xml:space="preserve"> Application to sever counts </w:t>
      </w:r>
      <w:r w:rsidRPr="000A6105">
        <w:rPr>
          <w:rFonts w:eastAsia="Times New Roman" w:cs="Times New Roman"/>
          <w:sz w:val="20"/>
          <w:szCs w:val="20"/>
          <w:lang w:eastAsia="en-CA"/>
        </w:rPr>
        <w:noBreakHyphen/>
        <w:t xml:space="preserve"> </w:t>
      </w:r>
      <w:proofErr w:type="gramStart"/>
      <w:r w:rsidRPr="000A6105">
        <w:rPr>
          <w:rFonts w:eastAsia="Times New Roman" w:cs="Times New Roman"/>
          <w:sz w:val="20"/>
          <w:szCs w:val="20"/>
          <w:lang w:eastAsia="en-CA"/>
        </w:rPr>
        <w:t>Whether</w:t>
      </w:r>
      <w:proofErr w:type="gramEnd"/>
      <w:r w:rsidRPr="000A6105">
        <w:rPr>
          <w:rFonts w:eastAsia="Times New Roman" w:cs="Times New Roman"/>
          <w:sz w:val="20"/>
          <w:szCs w:val="20"/>
          <w:lang w:eastAsia="en-CA"/>
        </w:rPr>
        <w:t xml:space="preserve"> trial judge’s refusal to sever counts wrong in law or unreasonable and thus resulted in injustice </w:t>
      </w:r>
      <w:r w:rsidRPr="000A6105">
        <w:rPr>
          <w:rFonts w:eastAsia="Times New Roman" w:cs="Times New Roman"/>
          <w:sz w:val="20"/>
          <w:szCs w:val="20"/>
          <w:lang w:eastAsia="en-CA"/>
        </w:rPr>
        <w:noBreakHyphen/>
        <w:t xml:space="preserve"> Application of </w:t>
      </w:r>
      <w:r w:rsidRPr="000A6105">
        <w:rPr>
          <w:rFonts w:eastAsia="Times New Roman" w:cs="Times New Roman"/>
          <w:i/>
          <w:sz w:val="20"/>
          <w:szCs w:val="20"/>
          <w:lang w:eastAsia="en-CA"/>
        </w:rPr>
        <w:t xml:space="preserve">R. v. </w:t>
      </w:r>
      <w:proofErr w:type="gramStart"/>
      <w:r w:rsidRPr="000A6105">
        <w:rPr>
          <w:rFonts w:eastAsia="Times New Roman" w:cs="Times New Roman"/>
          <w:i/>
          <w:sz w:val="20"/>
          <w:szCs w:val="20"/>
          <w:lang w:eastAsia="en-CA"/>
        </w:rPr>
        <w:t>Last</w:t>
      </w:r>
      <w:r w:rsidRPr="000A6105">
        <w:rPr>
          <w:rFonts w:eastAsia="Times New Roman" w:cs="Times New Roman"/>
          <w:sz w:val="20"/>
          <w:szCs w:val="20"/>
          <w:lang w:eastAsia="en-CA"/>
        </w:rPr>
        <w:t>, [2009] 3 S.C.R. 146, 2009 SCC 45.</w:t>
      </w:r>
      <w:proofErr w:type="gramEnd"/>
    </w:p>
    <w:p w:rsidR="000A6105" w:rsidRPr="000A6105" w:rsidRDefault="000A6105" w:rsidP="000A6105">
      <w:pPr>
        <w:widowControl w:val="0"/>
        <w:jc w:val="both"/>
        <w:rPr>
          <w:rFonts w:eastAsia="Times New Roman" w:cs="Times New Roman"/>
          <w:sz w:val="20"/>
          <w:szCs w:val="20"/>
          <w:lang w:eastAsia="en-CA"/>
        </w:rPr>
      </w:pPr>
    </w:p>
    <w:p w:rsidR="000A6105" w:rsidRPr="000A6105" w:rsidRDefault="000A6105" w:rsidP="000A6105">
      <w:pPr>
        <w:widowControl w:val="0"/>
        <w:jc w:val="both"/>
        <w:rPr>
          <w:rFonts w:eastAsia="Times New Roman" w:cs="Times New Roman"/>
          <w:sz w:val="20"/>
          <w:szCs w:val="20"/>
          <w:lang w:eastAsia="en-CA"/>
        </w:rPr>
      </w:pPr>
      <w:r w:rsidRPr="000A6105">
        <w:rPr>
          <w:rFonts w:eastAsia="Times New Roman" w:cs="Times New Roman"/>
          <w:sz w:val="20"/>
          <w:szCs w:val="20"/>
          <w:lang w:eastAsia="en-CA"/>
        </w:rPr>
        <w:t xml:space="preserve">The respondent was convicted on charges of two counts of unlawful confinement, one count of attempting to choke, suffocate or strangle with attempt to commit sexual assault causing bodily harm, one count of sexual assault causing bodily harm, and one count of assault causing bodily harm.  The charges arose from two separate incidents involving different complainants, but the Crown charged the counts related to both on the same indictment.  At trial, the respondent unsuccessfully applied to have the charges severed.  He appealed, arguing that the trial judge acted </w:t>
      </w:r>
      <w:proofErr w:type="spellStart"/>
      <w:r w:rsidRPr="000A6105">
        <w:rPr>
          <w:rFonts w:eastAsia="Times New Roman" w:cs="Times New Roman"/>
          <w:sz w:val="20"/>
          <w:szCs w:val="20"/>
          <w:lang w:eastAsia="en-CA"/>
        </w:rPr>
        <w:t>unjudicially</w:t>
      </w:r>
      <w:proofErr w:type="spellEnd"/>
      <w:r w:rsidRPr="000A6105">
        <w:rPr>
          <w:rFonts w:eastAsia="Times New Roman" w:cs="Times New Roman"/>
          <w:sz w:val="20"/>
          <w:szCs w:val="20"/>
          <w:lang w:eastAsia="en-CA"/>
        </w:rPr>
        <w:t xml:space="preserve"> in making the ruling and that his decision resulted in an injustice.  The majority of the Court of Appeal allowed the appeal on the basis that the denial of severance resulted in an injustice.  In its view, there was no truth</w:t>
      </w:r>
      <w:r w:rsidRPr="000A6105">
        <w:rPr>
          <w:rFonts w:eastAsia="Times New Roman" w:cs="Times New Roman"/>
          <w:sz w:val="20"/>
          <w:szCs w:val="20"/>
          <w:lang w:eastAsia="en-CA"/>
        </w:rPr>
        <w:noBreakHyphen/>
      </w:r>
      <w:proofErr w:type="spellStart"/>
      <w:r w:rsidRPr="000A6105">
        <w:rPr>
          <w:rFonts w:eastAsia="Times New Roman" w:cs="Times New Roman"/>
          <w:sz w:val="20"/>
          <w:szCs w:val="20"/>
          <w:lang w:eastAsia="en-CA"/>
        </w:rPr>
        <w:t>seeking</w:t>
      </w:r>
      <w:proofErr w:type="spellEnd"/>
      <w:r w:rsidRPr="000A6105">
        <w:rPr>
          <w:rFonts w:eastAsia="Times New Roman" w:cs="Times New Roman"/>
          <w:sz w:val="20"/>
          <w:szCs w:val="20"/>
          <w:lang w:eastAsia="en-CA"/>
        </w:rPr>
        <w:t xml:space="preserve"> interest in trying the counts together, there was a good likelihood that propensity reasoning or cross</w:t>
      </w:r>
      <w:r w:rsidRPr="000A6105">
        <w:rPr>
          <w:rFonts w:eastAsia="Times New Roman" w:cs="Times New Roman"/>
          <w:sz w:val="20"/>
          <w:szCs w:val="20"/>
          <w:lang w:eastAsia="en-CA"/>
        </w:rPr>
        <w:noBreakHyphen/>
        <w:t>pollination would occur, and the respondent had waived his right to be tried in a reasonable time.  When these factors were weighed together, the majority found that the risk of prejudice to the respondent outweighed the potential benefits.  Chief Justice Finch, dissenting, would have dismissed the appeal.</w:t>
      </w:r>
    </w:p>
    <w:p w:rsidR="000A6105" w:rsidRPr="000A6105" w:rsidRDefault="000A6105" w:rsidP="000A6105">
      <w:pPr>
        <w:widowControl w:val="0"/>
        <w:jc w:val="both"/>
        <w:rPr>
          <w:rFonts w:eastAsia="Times New Roman" w:cs="Times New Roman"/>
          <w:sz w:val="20"/>
          <w:szCs w:val="20"/>
          <w:lang w:eastAsia="en-CA"/>
        </w:rPr>
      </w:pPr>
    </w:p>
    <w:p w:rsidR="000A6105" w:rsidRPr="000A6105" w:rsidRDefault="000A6105" w:rsidP="000A6105">
      <w:pPr>
        <w:widowControl w:val="0"/>
        <w:jc w:val="both"/>
        <w:rPr>
          <w:rFonts w:eastAsia="Times New Roman" w:cs="Times New Roman"/>
          <w:sz w:val="20"/>
          <w:szCs w:val="20"/>
          <w:lang w:eastAsia="en-CA"/>
        </w:rPr>
      </w:pPr>
    </w:p>
    <w:p w:rsidR="000A6105" w:rsidRPr="000A6105" w:rsidRDefault="000A6105" w:rsidP="000A6105">
      <w:pPr>
        <w:widowControl w:val="0"/>
        <w:ind w:left="2880" w:hanging="2880"/>
        <w:jc w:val="both"/>
        <w:rPr>
          <w:rFonts w:eastAsia="Times New Roman" w:cs="Times New Roman"/>
          <w:sz w:val="20"/>
          <w:szCs w:val="20"/>
          <w:lang w:eastAsia="en-CA"/>
        </w:rPr>
      </w:pPr>
      <w:r w:rsidRPr="000A6105">
        <w:rPr>
          <w:rFonts w:eastAsia="Times New Roman" w:cs="Times New Roman"/>
          <w:sz w:val="20"/>
          <w:szCs w:val="20"/>
          <w:lang w:eastAsia="en-CA"/>
        </w:rPr>
        <w:t>Origin of the case:</w:t>
      </w:r>
      <w:r w:rsidRPr="000A6105">
        <w:rPr>
          <w:rFonts w:eastAsia="Times New Roman" w:cs="Times New Roman"/>
          <w:sz w:val="20"/>
          <w:szCs w:val="20"/>
          <w:lang w:eastAsia="en-CA"/>
        </w:rPr>
        <w:tab/>
        <w:t>British Columbia</w:t>
      </w:r>
    </w:p>
    <w:p w:rsidR="000A6105" w:rsidRPr="000A6105" w:rsidRDefault="000A6105" w:rsidP="000A6105">
      <w:pPr>
        <w:widowControl w:val="0"/>
        <w:ind w:left="2880" w:hanging="2880"/>
        <w:jc w:val="both"/>
        <w:rPr>
          <w:rFonts w:eastAsia="Times New Roman" w:cs="Times New Roman"/>
          <w:sz w:val="20"/>
          <w:szCs w:val="20"/>
          <w:lang w:eastAsia="en-CA"/>
        </w:rPr>
      </w:pPr>
    </w:p>
    <w:p w:rsidR="000A6105" w:rsidRPr="000A6105" w:rsidRDefault="000A6105" w:rsidP="000A6105">
      <w:pPr>
        <w:widowControl w:val="0"/>
        <w:ind w:left="2880" w:hanging="2880"/>
        <w:jc w:val="both"/>
        <w:rPr>
          <w:rFonts w:eastAsia="Times New Roman" w:cs="Times New Roman"/>
          <w:sz w:val="20"/>
          <w:szCs w:val="20"/>
          <w:lang w:eastAsia="en-CA"/>
        </w:rPr>
      </w:pPr>
      <w:r w:rsidRPr="000A6105">
        <w:rPr>
          <w:rFonts w:eastAsia="Times New Roman" w:cs="Times New Roman"/>
          <w:sz w:val="20"/>
          <w:szCs w:val="20"/>
          <w:lang w:eastAsia="en-CA"/>
        </w:rPr>
        <w:t>File No.:</w:t>
      </w:r>
      <w:r w:rsidRPr="000A6105">
        <w:rPr>
          <w:rFonts w:eastAsia="Times New Roman" w:cs="Times New Roman"/>
          <w:sz w:val="20"/>
          <w:szCs w:val="20"/>
          <w:lang w:eastAsia="en-CA"/>
        </w:rPr>
        <w:tab/>
        <w:t>34889</w:t>
      </w:r>
    </w:p>
    <w:p w:rsidR="000A6105" w:rsidRPr="000A6105" w:rsidRDefault="000A6105" w:rsidP="000A6105">
      <w:pPr>
        <w:widowControl w:val="0"/>
        <w:ind w:left="2880" w:hanging="2880"/>
        <w:jc w:val="both"/>
        <w:rPr>
          <w:rFonts w:eastAsia="Times New Roman" w:cs="Times New Roman"/>
          <w:sz w:val="20"/>
          <w:szCs w:val="20"/>
          <w:lang w:eastAsia="en-CA"/>
        </w:rPr>
      </w:pPr>
    </w:p>
    <w:p w:rsidR="000A6105" w:rsidRPr="000A6105" w:rsidRDefault="000A6105" w:rsidP="000A6105">
      <w:pPr>
        <w:widowControl w:val="0"/>
        <w:ind w:left="2880" w:hanging="2880"/>
        <w:jc w:val="both"/>
        <w:rPr>
          <w:rFonts w:eastAsia="Times New Roman" w:cs="Times New Roman"/>
          <w:sz w:val="20"/>
          <w:szCs w:val="20"/>
          <w:lang w:eastAsia="en-CA"/>
        </w:rPr>
      </w:pPr>
      <w:r w:rsidRPr="000A6105">
        <w:rPr>
          <w:rFonts w:eastAsia="Times New Roman" w:cs="Times New Roman"/>
          <w:sz w:val="20"/>
          <w:szCs w:val="20"/>
          <w:lang w:eastAsia="en-CA"/>
        </w:rPr>
        <w:t>Judgment of the Court of Appeal:</w:t>
      </w:r>
      <w:r w:rsidRPr="000A6105">
        <w:rPr>
          <w:rFonts w:eastAsia="Times New Roman" w:cs="Times New Roman"/>
          <w:sz w:val="20"/>
          <w:szCs w:val="20"/>
          <w:lang w:eastAsia="en-CA"/>
        </w:rPr>
        <w:tab/>
        <w:t>May 22, 2012</w:t>
      </w:r>
    </w:p>
    <w:p w:rsidR="000A6105" w:rsidRPr="000A6105" w:rsidRDefault="000A6105" w:rsidP="000A6105">
      <w:pPr>
        <w:widowControl w:val="0"/>
        <w:ind w:left="2880" w:hanging="2880"/>
        <w:jc w:val="both"/>
        <w:rPr>
          <w:rFonts w:eastAsia="Times New Roman" w:cs="Times New Roman"/>
          <w:sz w:val="20"/>
          <w:szCs w:val="20"/>
          <w:lang w:eastAsia="en-CA"/>
        </w:rPr>
      </w:pPr>
    </w:p>
    <w:p w:rsidR="000A6105" w:rsidRPr="000A6105" w:rsidRDefault="000A6105" w:rsidP="000A6105">
      <w:pPr>
        <w:widowControl w:val="0"/>
        <w:ind w:left="2880" w:hanging="2880"/>
        <w:jc w:val="both"/>
        <w:rPr>
          <w:rFonts w:eastAsia="Times New Roman" w:cs="Times New Roman"/>
          <w:sz w:val="20"/>
          <w:szCs w:val="20"/>
          <w:lang w:eastAsia="en-CA"/>
        </w:rPr>
      </w:pPr>
      <w:r w:rsidRPr="000A6105">
        <w:rPr>
          <w:rFonts w:eastAsia="Times New Roman" w:cs="Times New Roman"/>
          <w:sz w:val="20"/>
          <w:szCs w:val="20"/>
          <w:lang w:eastAsia="en-CA"/>
        </w:rPr>
        <w:t>Counsel:</w:t>
      </w:r>
      <w:r w:rsidRPr="000A6105">
        <w:rPr>
          <w:rFonts w:eastAsia="Times New Roman" w:cs="Times New Roman"/>
          <w:sz w:val="20"/>
          <w:szCs w:val="20"/>
          <w:lang w:eastAsia="en-CA"/>
        </w:rPr>
        <w:tab/>
        <w:t>Susan J. Brown for the appellant</w:t>
      </w:r>
    </w:p>
    <w:p w:rsidR="000A6105" w:rsidRPr="000A6105" w:rsidRDefault="000A6105" w:rsidP="000A6105">
      <w:pPr>
        <w:widowControl w:val="0"/>
        <w:ind w:left="2880" w:hanging="2880"/>
        <w:jc w:val="both"/>
        <w:rPr>
          <w:rFonts w:eastAsia="Times New Roman" w:cs="Times New Roman"/>
          <w:sz w:val="20"/>
          <w:szCs w:val="20"/>
          <w:lang w:eastAsia="en-CA"/>
        </w:rPr>
      </w:pPr>
      <w:r w:rsidRPr="000A6105">
        <w:rPr>
          <w:rFonts w:eastAsia="Times New Roman" w:cs="Times New Roman"/>
          <w:sz w:val="20"/>
          <w:szCs w:val="20"/>
          <w:lang w:eastAsia="en-CA"/>
        </w:rPr>
        <w:tab/>
        <w:t>Lawrence D. Myers, Q.C. for the respondent</w:t>
      </w:r>
    </w:p>
    <w:p w:rsidR="003320D5" w:rsidRPr="000A6105"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4"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0A6105" w:rsidRPr="00B763B1" w:rsidRDefault="00F008AC" w:rsidP="000A6105">
      <w:pPr>
        <w:widowControl w:val="0"/>
        <w:ind w:left="720" w:hanging="720"/>
        <w:jc w:val="both"/>
        <w:rPr>
          <w:sz w:val="20"/>
          <w:szCs w:val="20"/>
          <w:lang w:val="fr-CA"/>
        </w:rPr>
      </w:pPr>
      <w:r w:rsidRPr="00B763B1">
        <w:rPr>
          <w:b/>
          <w:sz w:val="20"/>
          <w:szCs w:val="20"/>
          <w:lang w:val="fr-CA"/>
        </w:rPr>
        <w:lastRenderedPageBreak/>
        <w:fldChar w:fldCharType="begin"/>
      </w:r>
      <w:r w:rsidR="000A6105" w:rsidRPr="00B763B1">
        <w:rPr>
          <w:b/>
          <w:sz w:val="20"/>
          <w:szCs w:val="20"/>
          <w:lang w:val="fr-CA"/>
        </w:rPr>
        <w:instrText xml:space="preserve"> SEQ CHAPTER \h \r 1</w:instrText>
      </w:r>
      <w:r w:rsidRPr="00B763B1">
        <w:rPr>
          <w:b/>
          <w:sz w:val="20"/>
          <w:szCs w:val="20"/>
          <w:lang w:val="fr-CA"/>
        </w:rPr>
        <w:fldChar w:fldCharType="end"/>
      </w:r>
      <w:r w:rsidR="000A6105" w:rsidRPr="00B763B1">
        <w:rPr>
          <w:b/>
          <w:sz w:val="20"/>
          <w:szCs w:val="20"/>
          <w:lang w:val="fr-CA"/>
        </w:rPr>
        <w:t>34889</w:t>
      </w:r>
      <w:r w:rsidR="000A6105" w:rsidRPr="00B763B1">
        <w:rPr>
          <w:sz w:val="20"/>
          <w:szCs w:val="20"/>
          <w:lang w:val="fr-CA"/>
        </w:rPr>
        <w:tab/>
      </w:r>
      <w:r w:rsidR="000A6105" w:rsidRPr="00B763B1">
        <w:rPr>
          <w:b/>
          <w:i/>
          <w:sz w:val="20"/>
          <w:szCs w:val="20"/>
          <w:lang w:val="fr-CA"/>
        </w:rPr>
        <w:t xml:space="preserve">Sa Majesté la Reine c. Frederick Owen </w:t>
      </w:r>
      <w:proofErr w:type="spellStart"/>
      <w:r w:rsidR="000A6105" w:rsidRPr="00B763B1">
        <w:rPr>
          <w:b/>
          <w:i/>
          <w:sz w:val="20"/>
          <w:szCs w:val="20"/>
          <w:lang w:val="fr-CA"/>
        </w:rPr>
        <w:t>Blacklaws</w:t>
      </w:r>
      <w:proofErr w:type="spellEnd"/>
    </w:p>
    <w:p w:rsidR="000A6105" w:rsidRPr="00B763B1" w:rsidRDefault="000A6105" w:rsidP="000A6105">
      <w:pPr>
        <w:widowControl w:val="0"/>
        <w:jc w:val="both"/>
        <w:rPr>
          <w:sz w:val="20"/>
          <w:szCs w:val="20"/>
          <w:lang w:val="fr-CA"/>
        </w:rPr>
      </w:pPr>
    </w:p>
    <w:p w:rsidR="000A6105" w:rsidRPr="00B763B1" w:rsidRDefault="000A6105" w:rsidP="000A6105">
      <w:pPr>
        <w:pStyle w:val="SCCBanSummary"/>
        <w:rPr>
          <w:sz w:val="20"/>
          <w:szCs w:val="20"/>
          <w:lang w:val="fr-CA"/>
        </w:rPr>
      </w:pPr>
      <w:r w:rsidRPr="00B763B1">
        <w:rPr>
          <w:sz w:val="20"/>
          <w:szCs w:val="20"/>
          <w:lang w:val="fr-CA"/>
        </w:rPr>
        <w:t xml:space="preserve">(Ordonnance de </w:t>
      </w:r>
      <w:proofErr w:type="spellStart"/>
      <w:r w:rsidRPr="00B763B1">
        <w:rPr>
          <w:sz w:val="20"/>
          <w:szCs w:val="20"/>
          <w:lang w:val="fr-CA"/>
        </w:rPr>
        <w:t>non</w:t>
      </w:r>
      <w:r w:rsidRPr="00B763B1">
        <w:rPr>
          <w:sz w:val="20"/>
          <w:szCs w:val="20"/>
          <w:lang w:val="fr-CA"/>
        </w:rPr>
        <w:noBreakHyphen/>
        <w:t>publication</w:t>
      </w:r>
      <w:proofErr w:type="spellEnd"/>
      <w:r w:rsidRPr="00B763B1">
        <w:rPr>
          <w:sz w:val="20"/>
          <w:szCs w:val="20"/>
          <w:lang w:val="fr-CA"/>
        </w:rPr>
        <w:t xml:space="preserve"> dans le dossier)</w:t>
      </w:r>
    </w:p>
    <w:p w:rsidR="000A6105" w:rsidRPr="00B763B1" w:rsidRDefault="000A6105" w:rsidP="000A6105">
      <w:pPr>
        <w:widowControl w:val="0"/>
        <w:jc w:val="both"/>
        <w:rPr>
          <w:sz w:val="20"/>
          <w:szCs w:val="20"/>
          <w:lang w:val="fr-CA"/>
        </w:rPr>
      </w:pPr>
    </w:p>
    <w:p w:rsidR="000A6105" w:rsidRPr="00B763B1" w:rsidRDefault="000A6105" w:rsidP="000A6105">
      <w:pPr>
        <w:widowControl w:val="0"/>
        <w:jc w:val="both"/>
        <w:rPr>
          <w:sz w:val="20"/>
          <w:szCs w:val="20"/>
          <w:lang w:val="fr-CA"/>
        </w:rPr>
      </w:pPr>
      <w:r w:rsidRPr="00B763B1">
        <w:rPr>
          <w:sz w:val="20"/>
          <w:szCs w:val="20"/>
          <w:lang w:val="fr-CA"/>
        </w:rPr>
        <w:t xml:space="preserve">Droit criminel </w:t>
      </w:r>
      <w:r w:rsidRPr="00B763B1">
        <w:rPr>
          <w:sz w:val="20"/>
          <w:szCs w:val="20"/>
          <w:lang w:val="fr-CA"/>
        </w:rPr>
        <w:noBreakHyphen/>
        <w:t xml:space="preserve"> Procédure </w:t>
      </w:r>
      <w:r w:rsidRPr="00B763B1">
        <w:rPr>
          <w:sz w:val="20"/>
          <w:szCs w:val="20"/>
          <w:lang w:val="fr-CA"/>
        </w:rPr>
        <w:noBreakHyphen/>
        <w:t xml:space="preserve"> Demande de séparation des chefs d’accusation </w:t>
      </w:r>
      <w:r w:rsidRPr="00B763B1">
        <w:rPr>
          <w:sz w:val="20"/>
          <w:szCs w:val="20"/>
          <w:lang w:val="fr-CA"/>
        </w:rPr>
        <w:noBreakHyphen/>
        <w:t xml:space="preserve"> Le refus du juge du procès de séparer les chefs d’accusation </w:t>
      </w:r>
      <w:proofErr w:type="spellStart"/>
      <w:r w:rsidRPr="00B763B1">
        <w:rPr>
          <w:sz w:val="20"/>
          <w:szCs w:val="20"/>
          <w:lang w:val="fr-CA"/>
        </w:rPr>
        <w:t>était</w:t>
      </w:r>
      <w:r w:rsidRPr="00B763B1">
        <w:rPr>
          <w:sz w:val="20"/>
          <w:szCs w:val="20"/>
          <w:lang w:val="fr-CA"/>
        </w:rPr>
        <w:noBreakHyphen/>
        <w:t>il</w:t>
      </w:r>
      <w:proofErr w:type="spellEnd"/>
      <w:r w:rsidRPr="00B763B1">
        <w:rPr>
          <w:sz w:val="20"/>
          <w:szCs w:val="20"/>
          <w:lang w:val="fr-CA"/>
        </w:rPr>
        <w:t xml:space="preserve"> mal fondé en droit ou déraisonnable, si bien qu’il a donné lieu à une injustice? </w:t>
      </w:r>
      <w:r w:rsidRPr="00B763B1">
        <w:rPr>
          <w:sz w:val="20"/>
          <w:szCs w:val="20"/>
          <w:lang w:val="fr-CA"/>
        </w:rPr>
        <w:noBreakHyphen/>
        <w:t xml:space="preserve"> Application de l’arrêt </w:t>
      </w:r>
      <w:r w:rsidRPr="00B763B1">
        <w:rPr>
          <w:i/>
          <w:sz w:val="20"/>
          <w:szCs w:val="20"/>
          <w:lang w:val="fr-CA"/>
        </w:rPr>
        <w:t>R. c. Last</w:t>
      </w:r>
      <w:r w:rsidRPr="00B763B1">
        <w:rPr>
          <w:sz w:val="20"/>
          <w:szCs w:val="20"/>
          <w:lang w:val="fr-CA"/>
        </w:rPr>
        <w:t>, [2009] 3 R.C.S. 146, 2009 CSC 45.</w:t>
      </w:r>
    </w:p>
    <w:p w:rsidR="000A6105" w:rsidRPr="00B763B1" w:rsidRDefault="000A6105" w:rsidP="000A6105">
      <w:pPr>
        <w:widowControl w:val="0"/>
        <w:jc w:val="both"/>
        <w:rPr>
          <w:sz w:val="20"/>
          <w:szCs w:val="20"/>
          <w:lang w:val="fr-CA"/>
        </w:rPr>
      </w:pPr>
    </w:p>
    <w:p w:rsidR="000A6105" w:rsidRPr="00B763B1" w:rsidRDefault="000A6105" w:rsidP="000A6105">
      <w:pPr>
        <w:widowControl w:val="0"/>
        <w:jc w:val="both"/>
        <w:rPr>
          <w:sz w:val="20"/>
          <w:szCs w:val="20"/>
          <w:lang w:val="fr-CA"/>
        </w:rPr>
      </w:pPr>
      <w:r w:rsidRPr="00B763B1">
        <w:rPr>
          <w:sz w:val="20"/>
          <w:szCs w:val="20"/>
          <w:lang w:val="fr-CA"/>
        </w:rPr>
        <w:t xml:space="preserve">L’intimé a été déclaré coupable sous deux chefs d’accusation de séquestration, un chef d’avoir tenté d’étouffer, de suffoquer ou d’étrangler avec tentative de perpétration d’une agression sexuelle causant des lésions corporelles, un chef d’agression sexuelle causant des lésions corporelles et un chef de voies de fait causant des lésions corporelles.  Les accusations découlaient de deux incidents distincts impliquant des plaignantes différentes, mais le ministère public a porté tous les chefs d’accusation relatifs aux deux dans le même acte d’accusation.  Au procès, l’intimé a tenté sans succès de faire séparer les accusations.  Il a interjeté appel, plaidant que le juge du procès avait agi contrairement aux normes judiciaires en rendant sa décision, ce qui avait donné lieu à une injustice.  Les juges majoritaires de la Cour d’appel ont accueilli l’appel au motif que le refus de séparer les accusations avait donné lieu à une injustice.  À leur avis, la recherche de la vérité ne justifiait pas la jonction des chefs d’accusation, il y avait de bonnes chances que se produise un raisonnement fondé sur la propension ou une pollinisation croisée et l’intimé avait renoncé à son droit d’être jugé dans un délai raisonnable.  Compte tenu de ces trois facteurs, les juges majoritaires ont conclu que le risque de préjudice pour l’intimé l’emportait sur les avantages éventuels.  Le juge en chef </w:t>
      </w:r>
      <w:proofErr w:type="spellStart"/>
      <w:r w:rsidRPr="00B763B1">
        <w:rPr>
          <w:sz w:val="20"/>
          <w:szCs w:val="20"/>
          <w:lang w:val="fr-CA"/>
        </w:rPr>
        <w:t>Finch</w:t>
      </w:r>
      <w:proofErr w:type="spellEnd"/>
      <w:r w:rsidRPr="00B763B1">
        <w:rPr>
          <w:sz w:val="20"/>
          <w:szCs w:val="20"/>
          <w:lang w:val="fr-CA"/>
        </w:rPr>
        <w:t>, dissident, aurait rejeté l’appel.</w:t>
      </w:r>
    </w:p>
    <w:p w:rsidR="000A6105" w:rsidRPr="00B763B1" w:rsidRDefault="000A6105" w:rsidP="000A6105">
      <w:pPr>
        <w:widowControl w:val="0"/>
        <w:jc w:val="both"/>
        <w:rPr>
          <w:sz w:val="20"/>
          <w:szCs w:val="20"/>
          <w:lang w:val="fr-CA"/>
        </w:rPr>
      </w:pPr>
    </w:p>
    <w:p w:rsidR="000A6105" w:rsidRPr="00B763B1" w:rsidRDefault="000A6105" w:rsidP="000A6105">
      <w:pPr>
        <w:widowControl w:val="0"/>
        <w:jc w:val="both"/>
        <w:rPr>
          <w:sz w:val="20"/>
          <w:szCs w:val="20"/>
          <w:lang w:val="fr-CA"/>
        </w:rPr>
      </w:pPr>
    </w:p>
    <w:p w:rsidR="000A6105" w:rsidRPr="00B763B1" w:rsidRDefault="000A6105" w:rsidP="000A6105">
      <w:pPr>
        <w:widowControl w:val="0"/>
        <w:ind w:left="2880" w:hanging="2880"/>
        <w:jc w:val="both"/>
        <w:rPr>
          <w:sz w:val="20"/>
          <w:szCs w:val="20"/>
          <w:lang w:val="fr-CA"/>
        </w:rPr>
      </w:pPr>
      <w:r w:rsidRPr="00B763B1">
        <w:rPr>
          <w:sz w:val="20"/>
          <w:szCs w:val="20"/>
          <w:lang w:val="fr-CA"/>
        </w:rPr>
        <w:t>Origine :</w:t>
      </w:r>
      <w:r w:rsidRPr="00B763B1">
        <w:rPr>
          <w:sz w:val="20"/>
          <w:szCs w:val="20"/>
          <w:lang w:val="fr-CA"/>
        </w:rPr>
        <w:tab/>
      </w:r>
      <w:proofErr w:type="spellStart"/>
      <w:r w:rsidRPr="00B763B1">
        <w:rPr>
          <w:sz w:val="20"/>
          <w:szCs w:val="20"/>
          <w:lang w:val="fr-CA"/>
        </w:rPr>
        <w:t>Colombie</w:t>
      </w:r>
      <w:r w:rsidRPr="00B763B1">
        <w:rPr>
          <w:sz w:val="20"/>
          <w:szCs w:val="20"/>
          <w:lang w:val="fr-CA"/>
        </w:rPr>
        <w:noBreakHyphen/>
        <w:t>Britannique</w:t>
      </w:r>
      <w:proofErr w:type="spellEnd"/>
    </w:p>
    <w:p w:rsidR="000A6105" w:rsidRPr="00B763B1" w:rsidRDefault="000A6105" w:rsidP="000A6105">
      <w:pPr>
        <w:widowControl w:val="0"/>
        <w:ind w:left="2880" w:hanging="2880"/>
        <w:jc w:val="both"/>
        <w:rPr>
          <w:sz w:val="20"/>
          <w:szCs w:val="20"/>
          <w:lang w:val="fr-CA"/>
        </w:rPr>
      </w:pPr>
    </w:p>
    <w:p w:rsidR="000A6105" w:rsidRPr="00B763B1" w:rsidRDefault="000A6105" w:rsidP="000A6105">
      <w:pPr>
        <w:widowControl w:val="0"/>
        <w:ind w:left="2880" w:hanging="2880"/>
        <w:jc w:val="both"/>
        <w:rPr>
          <w:sz w:val="20"/>
          <w:szCs w:val="20"/>
          <w:lang w:val="fr-CA"/>
        </w:rPr>
      </w:pPr>
      <w:r w:rsidRPr="00B763B1">
        <w:rPr>
          <w:sz w:val="20"/>
          <w:szCs w:val="20"/>
          <w:lang w:val="fr-CA"/>
        </w:rPr>
        <w:t>N</w:t>
      </w:r>
      <w:r w:rsidRPr="00B763B1">
        <w:rPr>
          <w:sz w:val="20"/>
          <w:szCs w:val="20"/>
          <w:vertAlign w:val="superscript"/>
          <w:lang w:val="fr-CA"/>
        </w:rPr>
        <w:t>o</w:t>
      </w:r>
      <w:r w:rsidRPr="00B763B1">
        <w:rPr>
          <w:sz w:val="20"/>
          <w:szCs w:val="20"/>
          <w:lang w:val="fr-CA"/>
        </w:rPr>
        <w:t xml:space="preserve"> du greffe :</w:t>
      </w:r>
      <w:r w:rsidRPr="00B763B1">
        <w:rPr>
          <w:sz w:val="20"/>
          <w:szCs w:val="20"/>
          <w:lang w:val="fr-CA"/>
        </w:rPr>
        <w:tab/>
        <w:t>34889</w:t>
      </w:r>
    </w:p>
    <w:p w:rsidR="000A6105" w:rsidRPr="00B763B1" w:rsidRDefault="000A6105" w:rsidP="000A6105">
      <w:pPr>
        <w:widowControl w:val="0"/>
        <w:ind w:left="2880" w:hanging="2880"/>
        <w:jc w:val="both"/>
        <w:rPr>
          <w:sz w:val="20"/>
          <w:szCs w:val="20"/>
          <w:lang w:val="fr-CA"/>
        </w:rPr>
      </w:pPr>
    </w:p>
    <w:p w:rsidR="000A6105" w:rsidRPr="00B763B1" w:rsidRDefault="000A6105" w:rsidP="000A6105">
      <w:pPr>
        <w:widowControl w:val="0"/>
        <w:ind w:left="2880" w:hanging="2880"/>
        <w:jc w:val="both"/>
        <w:rPr>
          <w:sz w:val="20"/>
          <w:szCs w:val="20"/>
          <w:lang w:val="fr-CA"/>
        </w:rPr>
      </w:pPr>
      <w:r w:rsidRPr="00B763B1">
        <w:rPr>
          <w:sz w:val="20"/>
          <w:szCs w:val="20"/>
          <w:lang w:val="fr-CA"/>
        </w:rPr>
        <w:t>Arrêt de la Cour d’appel :</w:t>
      </w:r>
      <w:r w:rsidRPr="00B763B1">
        <w:rPr>
          <w:sz w:val="20"/>
          <w:szCs w:val="20"/>
          <w:lang w:val="fr-CA"/>
        </w:rPr>
        <w:tab/>
        <w:t>le 22 mai 2012</w:t>
      </w:r>
    </w:p>
    <w:p w:rsidR="000A6105" w:rsidRPr="00B763B1" w:rsidRDefault="000A6105" w:rsidP="000A6105">
      <w:pPr>
        <w:widowControl w:val="0"/>
        <w:ind w:left="2880" w:hanging="2880"/>
        <w:jc w:val="both"/>
        <w:rPr>
          <w:sz w:val="20"/>
          <w:szCs w:val="20"/>
          <w:lang w:val="fr-CA"/>
        </w:rPr>
      </w:pPr>
    </w:p>
    <w:p w:rsidR="000A6105" w:rsidRPr="00B763B1" w:rsidRDefault="000A6105" w:rsidP="000A6105">
      <w:pPr>
        <w:widowControl w:val="0"/>
        <w:ind w:left="2880" w:hanging="2880"/>
        <w:jc w:val="both"/>
        <w:rPr>
          <w:sz w:val="20"/>
          <w:szCs w:val="20"/>
          <w:lang w:val="fr-CA"/>
        </w:rPr>
      </w:pPr>
      <w:r w:rsidRPr="00B763B1">
        <w:rPr>
          <w:sz w:val="20"/>
          <w:szCs w:val="20"/>
          <w:lang w:val="fr-CA"/>
        </w:rPr>
        <w:t>Avocats :</w:t>
      </w:r>
      <w:r w:rsidRPr="00B763B1">
        <w:rPr>
          <w:sz w:val="20"/>
          <w:szCs w:val="20"/>
          <w:lang w:val="fr-CA"/>
        </w:rPr>
        <w:tab/>
        <w:t>Susan J. Brown pour l’appelante</w:t>
      </w:r>
    </w:p>
    <w:p w:rsidR="000A6105" w:rsidRPr="00B763B1" w:rsidRDefault="000A6105" w:rsidP="000A6105">
      <w:pPr>
        <w:widowControl w:val="0"/>
        <w:ind w:left="2880" w:hanging="2880"/>
        <w:jc w:val="both"/>
        <w:rPr>
          <w:sz w:val="20"/>
          <w:szCs w:val="20"/>
          <w:lang w:val="fr-CA"/>
        </w:rPr>
      </w:pPr>
      <w:r w:rsidRPr="00B763B1">
        <w:rPr>
          <w:sz w:val="20"/>
          <w:szCs w:val="20"/>
          <w:lang w:val="fr-CA"/>
        </w:rPr>
        <w:tab/>
        <w:t xml:space="preserve">Lawrence D. Myers, </w:t>
      </w:r>
      <w:proofErr w:type="spellStart"/>
      <w:r w:rsidRPr="00B763B1">
        <w:rPr>
          <w:sz w:val="20"/>
          <w:szCs w:val="20"/>
          <w:lang w:val="fr-CA"/>
        </w:rPr>
        <w:t>c.r</w:t>
      </w:r>
      <w:proofErr w:type="spellEnd"/>
      <w:r w:rsidRPr="00B763B1">
        <w:rPr>
          <w:sz w:val="20"/>
          <w:szCs w:val="20"/>
          <w:lang w:val="fr-CA"/>
        </w:rPr>
        <w:t>. Pour intimé</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5"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365CB7" w:rsidRPr="00365CB7" w:rsidRDefault="00F008AC" w:rsidP="00365CB7">
      <w:pPr>
        <w:widowControl w:val="0"/>
        <w:ind w:left="720" w:hanging="720"/>
        <w:jc w:val="both"/>
        <w:rPr>
          <w:rFonts w:eastAsia="Times New Roman" w:cs="Times New Roman"/>
          <w:sz w:val="20"/>
          <w:szCs w:val="20"/>
          <w:lang w:eastAsia="en-CA"/>
        </w:rPr>
      </w:pPr>
      <w:r w:rsidRPr="00365CB7">
        <w:rPr>
          <w:rFonts w:eastAsia="Times New Roman" w:cs="Times New Roman"/>
          <w:b/>
          <w:sz w:val="20"/>
          <w:szCs w:val="20"/>
          <w:lang w:eastAsia="en-CA"/>
        </w:rPr>
        <w:lastRenderedPageBreak/>
        <w:fldChar w:fldCharType="begin"/>
      </w:r>
      <w:r w:rsidR="00365CB7" w:rsidRPr="00365CB7">
        <w:rPr>
          <w:rFonts w:eastAsia="Times New Roman" w:cs="Times New Roman"/>
          <w:b/>
          <w:sz w:val="20"/>
          <w:szCs w:val="20"/>
          <w:lang w:eastAsia="en-CA"/>
        </w:rPr>
        <w:instrText xml:space="preserve"> SEQ CHAPTER \h \r 1</w:instrText>
      </w:r>
      <w:r w:rsidRPr="00365CB7">
        <w:rPr>
          <w:rFonts w:eastAsia="Times New Roman" w:cs="Times New Roman"/>
          <w:b/>
          <w:sz w:val="20"/>
          <w:szCs w:val="20"/>
          <w:lang w:eastAsia="en-CA"/>
        </w:rPr>
        <w:fldChar w:fldCharType="end"/>
      </w:r>
      <w:r w:rsidR="00365CB7" w:rsidRPr="00365CB7">
        <w:rPr>
          <w:rFonts w:eastAsia="Times New Roman" w:cs="Times New Roman"/>
          <w:b/>
          <w:sz w:val="20"/>
          <w:szCs w:val="20"/>
          <w:lang w:eastAsia="en-CA"/>
        </w:rPr>
        <w:t>34128</w:t>
      </w:r>
      <w:r w:rsidR="00365CB7" w:rsidRPr="00365CB7">
        <w:rPr>
          <w:rFonts w:eastAsia="Times New Roman" w:cs="Times New Roman"/>
          <w:sz w:val="20"/>
          <w:szCs w:val="20"/>
          <w:lang w:eastAsia="en-CA"/>
        </w:rPr>
        <w:tab/>
      </w:r>
      <w:proofErr w:type="spellStart"/>
      <w:r w:rsidR="00365CB7" w:rsidRPr="00365CB7">
        <w:rPr>
          <w:rFonts w:eastAsia="Times New Roman" w:cs="Times New Roman"/>
          <w:b/>
          <w:i/>
          <w:sz w:val="20"/>
          <w:szCs w:val="20"/>
          <w:lang w:eastAsia="en-CA"/>
        </w:rPr>
        <w:t>Pierino</w:t>
      </w:r>
      <w:proofErr w:type="spellEnd"/>
      <w:r w:rsidR="00365CB7" w:rsidRPr="00365CB7">
        <w:rPr>
          <w:rFonts w:eastAsia="Times New Roman" w:cs="Times New Roman"/>
          <w:b/>
          <w:i/>
          <w:sz w:val="20"/>
          <w:szCs w:val="20"/>
          <w:lang w:eastAsia="en-CA"/>
        </w:rPr>
        <w:t xml:space="preserve"> </w:t>
      </w:r>
      <w:proofErr w:type="spellStart"/>
      <w:r w:rsidR="00365CB7" w:rsidRPr="00365CB7">
        <w:rPr>
          <w:rFonts w:eastAsia="Times New Roman" w:cs="Times New Roman"/>
          <w:b/>
          <w:i/>
          <w:sz w:val="20"/>
          <w:szCs w:val="20"/>
          <w:lang w:eastAsia="en-CA"/>
        </w:rPr>
        <w:t>Divito</w:t>
      </w:r>
      <w:proofErr w:type="spellEnd"/>
      <w:r w:rsidR="00365CB7" w:rsidRPr="00365CB7">
        <w:rPr>
          <w:rFonts w:eastAsia="Times New Roman" w:cs="Times New Roman"/>
          <w:b/>
          <w:i/>
          <w:sz w:val="20"/>
          <w:szCs w:val="20"/>
          <w:lang w:eastAsia="en-CA"/>
        </w:rPr>
        <w:t xml:space="preserve"> v. Minister of Public Safety and Emergency Preparedness</w:t>
      </w: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jc w:val="both"/>
        <w:rPr>
          <w:rFonts w:eastAsia="Times New Roman" w:cs="Times New Roman"/>
          <w:sz w:val="20"/>
          <w:szCs w:val="20"/>
          <w:lang w:eastAsia="en-CA"/>
        </w:rPr>
      </w:pPr>
      <w:r w:rsidRPr="00365CB7">
        <w:rPr>
          <w:rFonts w:eastAsia="Times New Roman" w:cs="Times New Roman"/>
          <w:sz w:val="20"/>
          <w:szCs w:val="20"/>
          <w:lang w:eastAsia="en-CA"/>
        </w:rPr>
        <w:t xml:space="preserve">Charter of rights </w:t>
      </w:r>
      <w:r w:rsidRPr="00365CB7">
        <w:rPr>
          <w:rFonts w:eastAsia="Times New Roman" w:cs="Times New Roman"/>
          <w:sz w:val="20"/>
          <w:szCs w:val="20"/>
          <w:lang w:eastAsia="en-CA"/>
        </w:rPr>
        <w:noBreakHyphen/>
        <w:t xml:space="preserve"> Constitutional law </w:t>
      </w:r>
      <w:r w:rsidRPr="00365CB7">
        <w:rPr>
          <w:rFonts w:eastAsia="Times New Roman" w:cs="Times New Roman"/>
          <w:sz w:val="20"/>
          <w:szCs w:val="20"/>
          <w:lang w:eastAsia="en-CA"/>
        </w:rPr>
        <w:noBreakHyphen/>
        <w:t xml:space="preserve"> Mobility rights </w:t>
      </w:r>
      <w:r w:rsidRPr="00365CB7">
        <w:rPr>
          <w:rFonts w:eastAsia="Times New Roman" w:cs="Times New Roman"/>
          <w:sz w:val="20"/>
          <w:szCs w:val="20"/>
          <w:lang w:eastAsia="en-CA"/>
        </w:rPr>
        <w:noBreakHyphen/>
        <w:t xml:space="preserve"> Whether s. 10(1</w:t>
      </w:r>
      <w:proofErr w:type="gramStart"/>
      <w:r w:rsidRPr="00365CB7">
        <w:rPr>
          <w:rFonts w:eastAsia="Times New Roman" w:cs="Times New Roman"/>
          <w:sz w:val="20"/>
          <w:szCs w:val="20"/>
          <w:lang w:eastAsia="en-CA"/>
        </w:rPr>
        <w:t>)(</w:t>
      </w:r>
      <w:proofErr w:type="gramEnd"/>
      <w:r w:rsidRPr="00365CB7">
        <w:rPr>
          <w:rFonts w:eastAsia="Times New Roman" w:cs="Times New Roman"/>
          <w:i/>
          <w:sz w:val="20"/>
          <w:szCs w:val="20"/>
          <w:lang w:eastAsia="en-CA"/>
        </w:rPr>
        <w:t>a</w:t>
      </w:r>
      <w:r w:rsidRPr="00365CB7">
        <w:rPr>
          <w:rFonts w:eastAsia="Times New Roman" w:cs="Times New Roman"/>
          <w:sz w:val="20"/>
          <w:szCs w:val="20"/>
          <w:lang w:eastAsia="en-CA"/>
        </w:rPr>
        <w:t>) and (2)(</w:t>
      </w:r>
      <w:r w:rsidRPr="00365CB7">
        <w:rPr>
          <w:rFonts w:eastAsia="Times New Roman" w:cs="Times New Roman"/>
          <w:i/>
          <w:sz w:val="20"/>
          <w:szCs w:val="20"/>
          <w:lang w:eastAsia="en-CA"/>
        </w:rPr>
        <w:t>a</w:t>
      </w:r>
      <w:r w:rsidRPr="00365CB7">
        <w:rPr>
          <w:rFonts w:eastAsia="Times New Roman" w:cs="Times New Roman"/>
          <w:sz w:val="20"/>
          <w:szCs w:val="20"/>
          <w:lang w:eastAsia="en-CA"/>
        </w:rPr>
        <w:t xml:space="preserve">), read in conjunction with s. 8(1), of </w:t>
      </w:r>
      <w:r w:rsidRPr="00365CB7">
        <w:rPr>
          <w:rFonts w:eastAsia="Times New Roman" w:cs="Times New Roman"/>
          <w:i/>
          <w:sz w:val="20"/>
          <w:szCs w:val="20"/>
          <w:lang w:eastAsia="en-CA"/>
        </w:rPr>
        <w:t>International Transfer of Offenders Act</w:t>
      </w:r>
      <w:r w:rsidRPr="00365CB7">
        <w:rPr>
          <w:rFonts w:eastAsia="Times New Roman" w:cs="Times New Roman"/>
          <w:sz w:val="20"/>
          <w:szCs w:val="20"/>
          <w:lang w:eastAsia="en-CA"/>
        </w:rPr>
        <w:t xml:space="preserve">, S.C. 2004, c. 21, infringe right guaranteed by s. 6(1) of </w:t>
      </w:r>
      <w:r w:rsidRPr="00365CB7">
        <w:rPr>
          <w:rFonts w:eastAsia="Times New Roman" w:cs="Times New Roman"/>
          <w:i/>
          <w:sz w:val="20"/>
          <w:szCs w:val="20"/>
          <w:lang w:eastAsia="en-CA"/>
        </w:rPr>
        <w:t>Canadian Charter of Rights and Freedoms</w:t>
      </w:r>
      <w:r w:rsidRPr="00365CB7">
        <w:rPr>
          <w:rFonts w:eastAsia="Times New Roman" w:cs="Times New Roman"/>
          <w:sz w:val="20"/>
          <w:szCs w:val="20"/>
          <w:lang w:eastAsia="en-CA"/>
        </w:rPr>
        <w:t xml:space="preserve"> </w:t>
      </w:r>
      <w:r w:rsidRPr="00365CB7">
        <w:rPr>
          <w:rFonts w:eastAsia="Times New Roman" w:cs="Times New Roman"/>
          <w:sz w:val="20"/>
          <w:szCs w:val="20"/>
          <w:lang w:eastAsia="en-CA"/>
        </w:rPr>
        <w:noBreakHyphen/>
        <w:t xml:space="preserve"> If so, whether infringement is reasonable limit prescribed by law that can be demonstrably justified in free and democratic society under s. 1 of </w:t>
      </w:r>
      <w:r w:rsidRPr="00365CB7">
        <w:rPr>
          <w:rFonts w:eastAsia="Times New Roman" w:cs="Times New Roman"/>
          <w:i/>
          <w:sz w:val="20"/>
          <w:szCs w:val="20"/>
          <w:lang w:eastAsia="en-CA"/>
        </w:rPr>
        <w:t>Charter</w:t>
      </w:r>
      <w:r w:rsidRPr="00365CB7">
        <w:rPr>
          <w:rFonts w:eastAsia="Times New Roman" w:cs="Times New Roman"/>
          <w:sz w:val="20"/>
          <w:szCs w:val="20"/>
          <w:lang w:eastAsia="en-CA"/>
        </w:rPr>
        <w:t>.</w:t>
      </w: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jc w:val="both"/>
        <w:rPr>
          <w:rFonts w:eastAsia="Times New Roman" w:cs="Times New Roman"/>
          <w:sz w:val="20"/>
          <w:szCs w:val="20"/>
          <w:lang w:eastAsia="en-CA"/>
        </w:rPr>
      </w:pPr>
      <w:r w:rsidRPr="00365CB7">
        <w:rPr>
          <w:rFonts w:eastAsia="Times New Roman" w:cs="Times New Roman"/>
          <w:sz w:val="20"/>
          <w:szCs w:val="20"/>
          <w:lang w:eastAsia="en-CA"/>
        </w:rPr>
        <w:t>The appellant Mr. </w:t>
      </w:r>
      <w:proofErr w:type="spellStart"/>
      <w:r w:rsidRPr="00365CB7">
        <w:rPr>
          <w:rFonts w:eastAsia="Times New Roman" w:cs="Times New Roman"/>
          <w:sz w:val="20"/>
          <w:szCs w:val="20"/>
          <w:lang w:eastAsia="en-CA"/>
        </w:rPr>
        <w:t>Divito</w:t>
      </w:r>
      <w:proofErr w:type="spellEnd"/>
      <w:r w:rsidRPr="00365CB7">
        <w:rPr>
          <w:rFonts w:eastAsia="Times New Roman" w:cs="Times New Roman"/>
          <w:sz w:val="20"/>
          <w:szCs w:val="20"/>
          <w:lang w:eastAsia="en-CA"/>
        </w:rPr>
        <w:t xml:space="preserve"> has been a Canadian citizen since 1980.  In 1995, a Canadian court convicted him of serious drug</w:t>
      </w:r>
      <w:r w:rsidRPr="00365CB7">
        <w:rPr>
          <w:rFonts w:eastAsia="Times New Roman" w:cs="Times New Roman"/>
          <w:sz w:val="20"/>
          <w:szCs w:val="20"/>
          <w:lang w:eastAsia="en-CA"/>
        </w:rPr>
        <w:noBreakHyphen/>
      </w:r>
      <w:proofErr w:type="spellStart"/>
      <w:r w:rsidRPr="00365CB7">
        <w:rPr>
          <w:rFonts w:eastAsia="Times New Roman" w:cs="Times New Roman"/>
          <w:sz w:val="20"/>
          <w:szCs w:val="20"/>
          <w:lang w:eastAsia="en-CA"/>
        </w:rPr>
        <w:t>related</w:t>
      </w:r>
      <w:proofErr w:type="spellEnd"/>
      <w:r w:rsidRPr="00365CB7">
        <w:rPr>
          <w:rFonts w:eastAsia="Times New Roman" w:cs="Times New Roman"/>
          <w:sz w:val="20"/>
          <w:szCs w:val="20"/>
          <w:lang w:eastAsia="en-CA"/>
        </w:rPr>
        <w:t xml:space="preserve"> offences.  While he was serving his sentence, the American authorities requested his extradition to the United States to face drug</w:t>
      </w:r>
      <w:r w:rsidRPr="00365CB7">
        <w:rPr>
          <w:rFonts w:eastAsia="Times New Roman" w:cs="Times New Roman"/>
          <w:sz w:val="20"/>
          <w:szCs w:val="20"/>
          <w:lang w:eastAsia="en-CA"/>
        </w:rPr>
        <w:noBreakHyphen/>
      </w:r>
      <w:proofErr w:type="spellStart"/>
      <w:r w:rsidRPr="00365CB7">
        <w:rPr>
          <w:rFonts w:eastAsia="Times New Roman" w:cs="Times New Roman"/>
          <w:sz w:val="20"/>
          <w:szCs w:val="20"/>
          <w:lang w:eastAsia="en-CA"/>
        </w:rPr>
        <w:t>related</w:t>
      </w:r>
      <w:proofErr w:type="spellEnd"/>
      <w:r w:rsidRPr="00365CB7">
        <w:rPr>
          <w:rFonts w:eastAsia="Times New Roman" w:cs="Times New Roman"/>
          <w:sz w:val="20"/>
          <w:szCs w:val="20"/>
          <w:lang w:eastAsia="en-CA"/>
        </w:rPr>
        <w:t xml:space="preserve"> charges.  Canada extradited Mr. </w:t>
      </w:r>
      <w:proofErr w:type="spellStart"/>
      <w:r w:rsidRPr="00365CB7">
        <w:rPr>
          <w:rFonts w:eastAsia="Times New Roman" w:cs="Times New Roman"/>
          <w:sz w:val="20"/>
          <w:szCs w:val="20"/>
          <w:lang w:eastAsia="en-CA"/>
        </w:rPr>
        <w:t>Divito</w:t>
      </w:r>
      <w:proofErr w:type="spellEnd"/>
      <w:r w:rsidRPr="00365CB7">
        <w:rPr>
          <w:rFonts w:eastAsia="Times New Roman" w:cs="Times New Roman"/>
          <w:sz w:val="20"/>
          <w:szCs w:val="20"/>
          <w:lang w:eastAsia="en-CA"/>
        </w:rPr>
        <w:t xml:space="preserve"> in June 2005 after he had served his sentence in Canada.  In the United States, Mr. </w:t>
      </w:r>
      <w:proofErr w:type="spellStart"/>
      <w:r w:rsidRPr="00365CB7">
        <w:rPr>
          <w:rFonts w:eastAsia="Times New Roman" w:cs="Times New Roman"/>
          <w:sz w:val="20"/>
          <w:szCs w:val="20"/>
          <w:lang w:eastAsia="en-CA"/>
        </w:rPr>
        <w:t>Divito</w:t>
      </w:r>
      <w:proofErr w:type="spellEnd"/>
      <w:r w:rsidRPr="00365CB7">
        <w:rPr>
          <w:rFonts w:eastAsia="Times New Roman" w:cs="Times New Roman"/>
          <w:sz w:val="20"/>
          <w:szCs w:val="20"/>
          <w:lang w:eastAsia="en-CA"/>
        </w:rPr>
        <w:t xml:space="preserve"> pleaded guilty.  In December 2006, he made a request for a transfer under the </w:t>
      </w:r>
      <w:r w:rsidRPr="00365CB7">
        <w:rPr>
          <w:rFonts w:eastAsia="Times New Roman" w:cs="Times New Roman"/>
          <w:i/>
          <w:sz w:val="20"/>
          <w:szCs w:val="20"/>
          <w:lang w:eastAsia="en-CA"/>
        </w:rPr>
        <w:t>International Transfer of Offenders Act</w:t>
      </w:r>
      <w:r w:rsidRPr="00365CB7">
        <w:rPr>
          <w:rFonts w:eastAsia="Times New Roman" w:cs="Times New Roman"/>
          <w:sz w:val="20"/>
          <w:szCs w:val="20"/>
          <w:lang w:eastAsia="en-CA"/>
        </w:rPr>
        <w:t xml:space="preserve"> so he could be authorized to serve the rest of his prison sentence in Canada.  The request was approved by the American authorities but refused by the Canadian minister.  A short time later, Mr. </w:t>
      </w:r>
      <w:proofErr w:type="spellStart"/>
      <w:r w:rsidRPr="00365CB7">
        <w:rPr>
          <w:rFonts w:eastAsia="Times New Roman" w:cs="Times New Roman"/>
          <w:sz w:val="20"/>
          <w:szCs w:val="20"/>
          <w:lang w:eastAsia="en-CA"/>
        </w:rPr>
        <w:t>Divito</w:t>
      </w:r>
      <w:proofErr w:type="spellEnd"/>
      <w:r w:rsidRPr="00365CB7">
        <w:rPr>
          <w:rFonts w:eastAsia="Times New Roman" w:cs="Times New Roman"/>
          <w:sz w:val="20"/>
          <w:szCs w:val="20"/>
          <w:lang w:eastAsia="en-CA"/>
        </w:rPr>
        <w:t xml:space="preserve"> made a second request, which was refused again on the following grounds:</w:t>
      </w: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ind w:left="720" w:right="720"/>
        <w:jc w:val="both"/>
        <w:rPr>
          <w:rFonts w:eastAsia="Times New Roman" w:cs="Times New Roman"/>
          <w:sz w:val="20"/>
          <w:szCs w:val="20"/>
          <w:lang w:eastAsia="en-CA"/>
        </w:rPr>
      </w:pPr>
      <w:r w:rsidRPr="00365CB7">
        <w:rPr>
          <w:rFonts w:eastAsia="Times New Roman" w:cs="Times New Roman"/>
          <w:sz w:val="20"/>
          <w:szCs w:val="20"/>
          <w:lang w:eastAsia="en-CA"/>
        </w:rPr>
        <w:t>The offender has been identified as an organized crime member, convicted for an offence involving a significant quantity of drugs.  The nature of his offence and his affiliations suggest that the offender’s return to Canada would constitute a potential threat to the safety of Canadians and the security of Canada.</w:t>
      </w: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jc w:val="both"/>
        <w:rPr>
          <w:rFonts w:eastAsia="Times New Roman" w:cs="Times New Roman"/>
          <w:sz w:val="20"/>
          <w:szCs w:val="20"/>
          <w:lang w:eastAsia="en-CA"/>
        </w:rPr>
      </w:pPr>
      <w:r w:rsidRPr="00365CB7">
        <w:rPr>
          <w:rFonts w:eastAsia="Times New Roman" w:cs="Times New Roman"/>
          <w:sz w:val="20"/>
          <w:szCs w:val="20"/>
          <w:lang w:eastAsia="en-CA"/>
        </w:rPr>
        <w:t>Mr. </w:t>
      </w:r>
      <w:proofErr w:type="spellStart"/>
      <w:r w:rsidRPr="00365CB7">
        <w:rPr>
          <w:rFonts w:eastAsia="Times New Roman" w:cs="Times New Roman"/>
          <w:sz w:val="20"/>
          <w:szCs w:val="20"/>
          <w:lang w:eastAsia="en-CA"/>
        </w:rPr>
        <w:t>Divito</w:t>
      </w:r>
      <w:proofErr w:type="spellEnd"/>
      <w:r w:rsidRPr="00365CB7">
        <w:rPr>
          <w:rFonts w:eastAsia="Times New Roman" w:cs="Times New Roman"/>
          <w:sz w:val="20"/>
          <w:szCs w:val="20"/>
          <w:lang w:eastAsia="en-CA"/>
        </w:rPr>
        <w:t xml:space="preserve"> argues that the sections of the Act on which the refusal was based infringe his mobility rights guaranteed by s. 6 of the </w:t>
      </w:r>
      <w:r w:rsidRPr="00365CB7">
        <w:rPr>
          <w:rFonts w:eastAsia="Times New Roman" w:cs="Times New Roman"/>
          <w:i/>
          <w:sz w:val="20"/>
          <w:szCs w:val="20"/>
          <w:lang w:eastAsia="en-CA"/>
        </w:rPr>
        <w:t>Canadian Charter of Rights and Freedoms</w:t>
      </w:r>
      <w:r w:rsidRPr="00365CB7">
        <w:rPr>
          <w:rFonts w:eastAsia="Times New Roman" w:cs="Times New Roman"/>
          <w:sz w:val="20"/>
          <w:szCs w:val="20"/>
          <w:lang w:eastAsia="en-CA"/>
        </w:rPr>
        <w:t xml:space="preserve"> and that the infringement cannot be justified under s. 1. </w:t>
      </w: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jc w:val="both"/>
        <w:rPr>
          <w:rFonts w:eastAsia="Times New Roman" w:cs="Times New Roman"/>
          <w:sz w:val="20"/>
          <w:szCs w:val="20"/>
          <w:lang w:eastAsia="en-CA"/>
        </w:rPr>
      </w:pPr>
    </w:p>
    <w:p w:rsidR="00365CB7" w:rsidRPr="00365CB7" w:rsidRDefault="00365CB7" w:rsidP="00365CB7">
      <w:pPr>
        <w:widowControl w:val="0"/>
        <w:ind w:left="2880" w:hanging="2880"/>
        <w:jc w:val="both"/>
        <w:rPr>
          <w:rFonts w:eastAsia="Times New Roman" w:cs="Times New Roman"/>
          <w:sz w:val="20"/>
          <w:szCs w:val="20"/>
          <w:lang w:eastAsia="en-CA"/>
        </w:rPr>
      </w:pPr>
      <w:r w:rsidRPr="00365CB7">
        <w:rPr>
          <w:rFonts w:eastAsia="Times New Roman" w:cs="Times New Roman"/>
          <w:sz w:val="20"/>
          <w:szCs w:val="20"/>
          <w:lang w:eastAsia="en-CA"/>
        </w:rPr>
        <w:t>Origin of the case:</w:t>
      </w:r>
      <w:r w:rsidRPr="00365CB7">
        <w:rPr>
          <w:rFonts w:eastAsia="Times New Roman" w:cs="Times New Roman"/>
          <w:sz w:val="20"/>
          <w:szCs w:val="20"/>
          <w:lang w:eastAsia="en-CA"/>
        </w:rPr>
        <w:tab/>
        <w:t>Federal Court of Appeal</w:t>
      </w:r>
    </w:p>
    <w:p w:rsidR="00365CB7" w:rsidRPr="00365CB7" w:rsidRDefault="00365CB7" w:rsidP="00365CB7">
      <w:pPr>
        <w:widowControl w:val="0"/>
        <w:ind w:left="2880" w:hanging="2880"/>
        <w:jc w:val="both"/>
        <w:rPr>
          <w:rFonts w:eastAsia="Times New Roman" w:cs="Times New Roman"/>
          <w:sz w:val="20"/>
          <w:szCs w:val="20"/>
          <w:lang w:eastAsia="en-CA"/>
        </w:rPr>
      </w:pPr>
    </w:p>
    <w:p w:rsidR="00365CB7" w:rsidRPr="00365CB7" w:rsidRDefault="00365CB7" w:rsidP="00365CB7">
      <w:pPr>
        <w:widowControl w:val="0"/>
        <w:ind w:left="2880" w:hanging="2880"/>
        <w:jc w:val="both"/>
        <w:rPr>
          <w:rFonts w:eastAsia="Times New Roman" w:cs="Times New Roman"/>
          <w:sz w:val="20"/>
          <w:szCs w:val="20"/>
          <w:lang w:eastAsia="en-CA"/>
        </w:rPr>
      </w:pPr>
      <w:r w:rsidRPr="00365CB7">
        <w:rPr>
          <w:rFonts w:eastAsia="Times New Roman" w:cs="Times New Roman"/>
          <w:sz w:val="20"/>
          <w:szCs w:val="20"/>
          <w:lang w:eastAsia="en-CA"/>
        </w:rPr>
        <w:t>File No.</w:t>
      </w:r>
      <w:r w:rsidRPr="00365CB7">
        <w:rPr>
          <w:rFonts w:eastAsia="Times New Roman" w:cs="Times New Roman"/>
          <w:sz w:val="20"/>
          <w:szCs w:val="20"/>
          <w:lang w:eastAsia="en-CA"/>
        </w:rPr>
        <w:tab/>
        <w:t>34128</w:t>
      </w:r>
    </w:p>
    <w:p w:rsidR="00365CB7" w:rsidRPr="00365CB7" w:rsidRDefault="00365CB7" w:rsidP="00365CB7">
      <w:pPr>
        <w:widowControl w:val="0"/>
        <w:ind w:left="2880" w:hanging="2880"/>
        <w:jc w:val="both"/>
        <w:rPr>
          <w:rFonts w:eastAsia="Times New Roman" w:cs="Times New Roman"/>
          <w:sz w:val="20"/>
          <w:szCs w:val="20"/>
          <w:lang w:eastAsia="en-CA"/>
        </w:rPr>
      </w:pPr>
    </w:p>
    <w:p w:rsidR="00365CB7" w:rsidRPr="00365CB7" w:rsidRDefault="00365CB7" w:rsidP="00365CB7">
      <w:pPr>
        <w:widowControl w:val="0"/>
        <w:ind w:left="2880" w:hanging="2880"/>
        <w:jc w:val="both"/>
        <w:rPr>
          <w:rFonts w:eastAsia="Times New Roman" w:cs="Times New Roman"/>
          <w:sz w:val="20"/>
          <w:szCs w:val="20"/>
          <w:lang w:eastAsia="en-CA"/>
        </w:rPr>
      </w:pPr>
      <w:r w:rsidRPr="00365CB7">
        <w:rPr>
          <w:rFonts w:eastAsia="Times New Roman" w:cs="Times New Roman"/>
          <w:sz w:val="20"/>
          <w:szCs w:val="20"/>
          <w:lang w:eastAsia="en-CA"/>
        </w:rPr>
        <w:t>Judgment of the Court of Appeal:</w:t>
      </w:r>
      <w:r w:rsidRPr="00365CB7">
        <w:rPr>
          <w:rFonts w:eastAsia="Times New Roman" w:cs="Times New Roman"/>
          <w:sz w:val="20"/>
          <w:szCs w:val="20"/>
          <w:lang w:eastAsia="en-CA"/>
        </w:rPr>
        <w:tab/>
        <w:t>February 3, 2011</w:t>
      </w:r>
    </w:p>
    <w:p w:rsidR="00365CB7" w:rsidRPr="00365CB7" w:rsidRDefault="00365CB7" w:rsidP="00365CB7">
      <w:pPr>
        <w:widowControl w:val="0"/>
        <w:ind w:left="2880" w:hanging="2880"/>
        <w:jc w:val="both"/>
        <w:rPr>
          <w:rFonts w:eastAsia="Times New Roman" w:cs="Times New Roman"/>
          <w:sz w:val="20"/>
          <w:szCs w:val="20"/>
          <w:lang w:eastAsia="en-CA"/>
        </w:rPr>
      </w:pPr>
    </w:p>
    <w:p w:rsidR="00365CB7" w:rsidRPr="00365CB7" w:rsidRDefault="00365CB7" w:rsidP="00365CB7">
      <w:pPr>
        <w:widowControl w:val="0"/>
        <w:ind w:left="2880" w:hanging="2880"/>
        <w:jc w:val="both"/>
        <w:rPr>
          <w:rFonts w:eastAsia="Times New Roman" w:cs="Times New Roman"/>
          <w:sz w:val="20"/>
          <w:szCs w:val="20"/>
          <w:lang w:eastAsia="en-CA"/>
        </w:rPr>
      </w:pPr>
      <w:r w:rsidRPr="00365CB7">
        <w:rPr>
          <w:rFonts w:eastAsia="Times New Roman" w:cs="Times New Roman"/>
          <w:sz w:val="20"/>
          <w:szCs w:val="20"/>
          <w:lang w:eastAsia="en-CA"/>
        </w:rPr>
        <w:t>Counsel:</w:t>
      </w:r>
      <w:r w:rsidRPr="00365CB7">
        <w:rPr>
          <w:rFonts w:eastAsia="Times New Roman" w:cs="Times New Roman"/>
          <w:sz w:val="20"/>
          <w:szCs w:val="20"/>
          <w:lang w:eastAsia="en-CA"/>
        </w:rPr>
        <w:tab/>
        <w:t xml:space="preserve">Clemente </w:t>
      </w:r>
      <w:proofErr w:type="spellStart"/>
      <w:r w:rsidRPr="00365CB7">
        <w:rPr>
          <w:rFonts w:eastAsia="Times New Roman" w:cs="Times New Roman"/>
          <w:sz w:val="20"/>
          <w:szCs w:val="20"/>
          <w:lang w:eastAsia="en-CA"/>
        </w:rPr>
        <w:t>Monterosso</w:t>
      </w:r>
      <w:proofErr w:type="spellEnd"/>
      <w:r w:rsidRPr="00365CB7">
        <w:rPr>
          <w:rFonts w:eastAsia="Times New Roman" w:cs="Times New Roman"/>
          <w:sz w:val="20"/>
          <w:szCs w:val="20"/>
          <w:lang w:eastAsia="en-CA"/>
        </w:rPr>
        <w:t xml:space="preserve"> and Laurent </w:t>
      </w:r>
      <w:proofErr w:type="spellStart"/>
      <w:r w:rsidRPr="00365CB7">
        <w:rPr>
          <w:rFonts w:eastAsia="Times New Roman" w:cs="Times New Roman"/>
          <w:sz w:val="20"/>
          <w:szCs w:val="20"/>
          <w:lang w:eastAsia="en-CA"/>
        </w:rPr>
        <w:t>Carignan</w:t>
      </w:r>
      <w:proofErr w:type="spellEnd"/>
      <w:r w:rsidRPr="00365CB7">
        <w:rPr>
          <w:rFonts w:eastAsia="Times New Roman" w:cs="Times New Roman"/>
          <w:sz w:val="20"/>
          <w:szCs w:val="20"/>
          <w:lang w:eastAsia="en-CA"/>
        </w:rPr>
        <w:t xml:space="preserve"> for the appellant</w:t>
      </w:r>
    </w:p>
    <w:p w:rsidR="00365CB7" w:rsidRPr="00365CB7" w:rsidRDefault="00365CB7" w:rsidP="00365CB7">
      <w:pPr>
        <w:widowControl w:val="0"/>
        <w:ind w:left="2880" w:hanging="2880"/>
        <w:jc w:val="both"/>
        <w:rPr>
          <w:rFonts w:eastAsia="Times New Roman" w:cs="Times New Roman"/>
          <w:sz w:val="20"/>
          <w:szCs w:val="20"/>
          <w:lang w:eastAsia="en-CA"/>
        </w:rPr>
      </w:pPr>
      <w:r w:rsidRPr="00365CB7">
        <w:rPr>
          <w:rFonts w:eastAsia="Times New Roman" w:cs="Times New Roman"/>
          <w:sz w:val="20"/>
          <w:szCs w:val="20"/>
          <w:lang w:eastAsia="en-CA"/>
        </w:rPr>
        <w:tab/>
      </w:r>
      <w:proofErr w:type="spellStart"/>
      <w:r w:rsidRPr="00365CB7">
        <w:rPr>
          <w:rFonts w:eastAsia="Times New Roman" w:cs="Times New Roman"/>
          <w:sz w:val="20"/>
          <w:szCs w:val="20"/>
          <w:lang w:eastAsia="en-CA"/>
        </w:rPr>
        <w:t>Ginette</w:t>
      </w:r>
      <w:proofErr w:type="spellEnd"/>
      <w:r w:rsidRPr="00365CB7">
        <w:rPr>
          <w:rFonts w:eastAsia="Times New Roman" w:cs="Times New Roman"/>
          <w:sz w:val="20"/>
          <w:szCs w:val="20"/>
          <w:lang w:eastAsia="en-CA"/>
        </w:rPr>
        <w:t xml:space="preserve"> </w:t>
      </w:r>
      <w:proofErr w:type="spellStart"/>
      <w:r w:rsidRPr="00365CB7">
        <w:rPr>
          <w:rFonts w:eastAsia="Times New Roman" w:cs="Times New Roman"/>
          <w:sz w:val="20"/>
          <w:szCs w:val="20"/>
          <w:lang w:eastAsia="en-CA"/>
        </w:rPr>
        <w:t>Gobeil</w:t>
      </w:r>
      <w:proofErr w:type="spellEnd"/>
      <w:r w:rsidRPr="00365CB7">
        <w:rPr>
          <w:rFonts w:eastAsia="Times New Roman" w:cs="Times New Roman"/>
          <w:sz w:val="20"/>
          <w:szCs w:val="20"/>
          <w:lang w:eastAsia="en-CA"/>
        </w:rPr>
        <w:t xml:space="preserve"> and Susan </w:t>
      </w:r>
      <w:proofErr w:type="spellStart"/>
      <w:r w:rsidRPr="00365CB7">
        <w:rPr>
          <w:rFonts w:eastAsia="Times New Roman" w:cs="Times New Roman"/>
          <w:sz w:val="20"/>
          <w:szCs w:val="20"/>
          <w:lang w:eastAsia="en-CA"/>
        </w:rPr>
        <w:t>Shaughnessy</w:t>
      </w:r>
      <w:proofErr w:type="spellEnd"/>
      <w:r w:rsidRPr="00365CB7">
        <w:rPr>
          <w:rFonts w:eastAsia="Times New Roman" w:cs="Times New Roman"/>
          <w:sz w:val="20"/>
          <w:szCs w:val="20"/>
          <w:lang w:eastAsia="en-CA"/>
        </w:rPr>
        <w:t xml:space="preserve"> for the respondent</w:t>
      </w:r>
    </w:p>
    <w:p w:rsidR="003320D5" w:rsidRPr="00365CB7"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6"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5F6A1D" w:rsidRPr="005F6A1D" w:rsidRDefault="00F008AC" w:rsidP="005F6A1D">
      <w:pPr>
        <w:widowControl w:val="0"/>
        <w:ind w:left="720" w:hanging="720"/>
        <w:jc w:val="both"/>
        <w:rPr>
          <w:rFonts w:eastAsia="Times New Roman" w:cs="Times New Roman"/>
          <w:sz w:val="20"/>
          <w:szCs w:val="20"/>
          <w:lang w:val="fr-CA" w:eastAsia="en-CA"/>
        </w:rPr>
      </w:pPr>
      <w:r w:rsidRPr="00F008AC">
        <w:rPr>
          <w:rFonts w:eastAsia="Times New Roman" w:cs="Times New Roman"/>
          <w:b/>
          <w:sz w:val="20"/>
          <w:szCs w:val="20"/>
          <w:lang w:val="fr-CA" w:eastAsia="en-CA"/>
        </w:rPr>
        <w:lastRenderedPageBreak/>
        <w:fldChar w:fldCharType="begin"/>
      </w:r>
      <w:r w:rsidR="005F6A1D" w:rsidRPr="005F6A1D">
        <w:rPr>
          <w:rFonts w:eastAsia="Times New Roman" w:cs="Times New Roman"/>
          <w:b/>
          <w:sz w:val="20"/>
          <w:szCs w:val="20"/>
          <w:lang w:val="fr-CA" w:eastAsia="en-CA"/>
        </w:rPr>
        <w:instrText xml:space="preserve"> SEQ CHAPTER \h \r 1</w:instrText>
      </w:r>
      <w:r w:rsidRPr="005F6A1D">
        <w:rPr>
          <w:rFonts w:eastAsia="Times New Roman" w:cs="Times New Roman"/>
          <w:b/>
          <w:sz w:val="20"/>
          <w:szCs w:val="20"/>
          <w:lang w:val="en-US" w:eastAsia="en-CA"/>
        </w:rPr>
        <w:fldChar w:fldCharType="end"/>
      </w:r>
      <w:r w:rsidR="005F6A1D" w:rsidRPr="005F6A1D">
        <w:rPr>
          <w:rFonts w:eastAsia="Times New Roman" w:cs="Times New Roman"/>
          <w:b/>
          <w:sz w:val="20"/>
          <w:szCs w:val="20"/>
          <w:lang w:val="fr-CA" w:eastAsia="en-CA"/>
        </w:rPr>
        <w:t>34128</w:t>
      </w:r>
      <w:r w:rsidR="005F6A1D" w:rsidRPr="005F6A1D">
        <w:rPr>
          <w:rFonts w:eastAsia="Times New Roman" w:cs="Times New Roman"/>
          <w:sz w:val="20"/>
          <w:szCs w:val="20"/>
          <w:lang w:val="fr-CA" w:eastAsia="en-CA"/>
        </w:rPr>
        <w:tab/>
      </w:r>
      <w:proofErr w:type="spellStart"/>
      <w:r w:rsidR="005F6A1D" w:rsidRPr="005F6A1D">
        <w:rPr>
          <w:rFonts w:eastAsia="Times New Roman" w:cs="Times New Roman"/>
          <w:b/>
          <w:i/>
          <w:sz w:val="20"/>
          <w:szCs w:val="20"/>
          <w:lang w:val="fr-CA" w:eastAsia="en-CA"/>
        </w:rPr>
        <w:t>Pierino</w:t>
      </w:r>
      <w:proofErr w:type="spellEnd"/>
      <w:r w:rsidR="005F6A1D" w:rsidRPr="005F6A1D">
        <w:rPr>
          <w:rFonts w:eastAsia="Times New Roman" w:cs="Times New Roman"/>
          <w:b/>
          <w:i/>
          <w:sz w:val="20"/>
          <w:szCs w:val="20"/>
          <w:lang w:val="fr-CA" w:eastAsia="en-CA"/>
        </w:rPr>
        <w:t xml:space="preserve"> </w:t>
      </w:r>
      <w:proofErr w:type="spellStart"/>
      <w:r w:rsidR="005F6A1D" w:rsidRPr="005F6A1D">
        <w:rPr>
          <w:rFonts w:eastAsia="Times New Roman" w:cs="Times New Roman"/>
          <w:b/>
          <w:i/>
          <w:sz w:val="20"/>
          <w:szCs w:val="20"/>
          <w:lang w:val="fr-CA" w:eastAsia="en-CA"/>
        </w:rPr>
        <w:t>Divito</w:t>
      </w:r>
      <w:proofErr w:type="spellEnd"/>
      <w:r w:rsidR="005F6A1D" w:rsidRPr="005F6A1D">
        <w:rPr>
          <w:rFonts w:eastAsia="Times New Roman" w:cs="Times New Roman"/>
          <w:b/>
          <w:i/>
          <w:sz w:val="20"/>
          <w:szCs w:val="20"/>
          <w:lang w:val="fr-CA" w:eastAsia="en-CA"/>
        </w:rPr>
        <w:t xml:space="preserve"> c. Ministre de la sécurité publique et de la protection civile</w:t>
      </w: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jc w:val="both"/>
        <w:rPr>
          <w:rFonts w:eastAsia="Times New Roman" w:cs="Times New Roman"/>
          <w:sz w:val="20"/>
          <w:szCs w:val="20"/>
          <w:lang w:val="fr-CA" w:eastAsia="en-CA"/>
        </w:rPr>
      </w:pPr>
      <w:r w:rsidRPr="005F6A1D">
        <w:rPr>
          <w:rFonts w:eastAsia="Times New Roman" w:cs="Times New Roman"/>
          <w:i/>
          <w:sz w:val="20"/>
          <w:szCs w:val="20"/>
          <w:lang w:val="fr-CA" w:eastAsia="en-CA"/>
        </w:rPr>
        <w:t>Charte des droits</w:t>
      </w:r>
      <w:r w:rsidRPr="005F6A1D">
        <w:rPr>
          <w:rFonts w:eastAsia="Times New Roman" w:cs="Times New Roman"/>
          <w:sz w:val="20"/>
          <w:szCs w:val="20"/>
          <w:lang w:val="fr-CA" w:eastAsia="en-CA"/>
        </w:rPr>
        <w:t xml:space="preserve"> </w:t>
      </w:r>
      <w:r w:rsidRPr="005F6A1D">
        <w:rPr>
          <w:rFonts w:eastAsia="Times New Roman" w:cs="Times New Roman"/>
          <w:sz w:val="20"/>
          <w:szCs w:val="20"/>
          <w:lang w:val="fr-CA" w:eastAsia="en-CA"/>
        </w:rPr>
        <w:noBreakHyphen/>
        <w:t xml:space="preserve"> Droit constitutionnel </w:t>
      </w:r>
      <w:r w:rsidRPr="005F6A1D">
        <w:rPr>
          <w:rFonts w:eastAsia="Times New Roman" w:cs="Times New Roman"/>
          <w:sz w:val="20"/>
          <w:szCs w:val="20"/>
          <w:lang w:val="fr-CA" w:eastAsia="en-CA"/>
        </w:rPr>
        <w:noBreakHyphen/>
        <w:t xml:space="preserve"> Liberté de circulation et d’établissement </w:t>
      </w:r>
      <w:r w:rsidRPr="005F6A1D">
        <w:rPr>
          <w:rFonts w:eastAsia="Times New Roman" w:cs="Times New Roman"/>
          <w:sz w:val="20"/>
          <w:szCs w:val="20"/>
          <w:lang w:val="fr-CA" w:eastAsia="en-CA"/>
        </w:rPr>
        <w:noBreakHyphen/>
        <w:t xml:space="preserve"> Les al. 10(1)a) et 10(2)a), lus en conjonction avec le par. 8(1) de la </w:t>
      </w:r>
      <w:r w:rsidRPr="005F6A1D">
        <w:rPr>
          <w:rFonts w:eastAsia="Times New Roman" w:cs="Times New Roman"/>
          <w:i/>
          <w:sz w:val="20"/>
          <w:szCs w:val="20"/>
          <w:lang w:val="fr-CA" w:eastAsia="en-CA"/>
        </w:rPr>
        <w:t>Loi sur le transfèrement international des délinquants</w:t>
      </w:r>
      <w:r w:rsidRPr="005F6A1D">
        <w:rPr>
          <w:rFonts w:eastAsia="Times New Roman" w:cs="Times New Roman"/>
          <w:sz w:val="20"/>
          <w:szCs w:val="20"/>
          <w:lang w:val="fr-CA" w:eastAsia="en-CA"/>
        </w:rPr>
        <w:t xml:space="preserve">, L.C. 2004, ch. 21, </w:t>
      </w:r>
      <w:proofErr w:type="spellStart"/>
      <w:r w:rsidRPr="005F6A1D">
        <w:rPr>
          <w:rFonts w:eastAsia="Times New Roman" w:cs="Times New Roman"/>
          <w:sz w:val="20"/>
          <w:szCs w:val="20"/>
          <w:lang w:val="fr-CA" w:eastAsia="en-CA"/>
        </w:rPr>
        <w:t>portent</w:t>
      </w:r>
      <w:r w:rsidRPr="005F6A1D">
        <w:rPr>
          <w:rFonts w:eastAsia="Times New Roman" w:cs="Times New Roman"/>
          <w:sz w:val="20"/>
          <w:szCs w:val="20"/>
          <w:lang w:val="fr-CA" w:eastAsia="en-CA"/>
        </w:rPr>
        <w:noBreakHyphen/>
        <w:t>ils</w:t>
      </w:r>
      <w:proofErr w:type="spellEnd"/>
      <w:r w:rsidRPr="005F6A1D">
        <w:rPr>
          <w:rFonts w:eastAsia="Times New Roman" w:cs="Times New Roman"/>
          <w:sz w:val="20"/>
          <w:szCs w:val="20"/>
          <w:lang w:val="fr-CA" w:eastAsia="en-CA"/>
        </w:rPr>
        <w:t xml:space="preserve"> atteinte au droit garanti par le par. 6(1) de la </w:t>
      </w:r>
      <w:r w:rsidRPr="005F6A1D">
        <w:rPr>
          <w:rFonts w:eastAsia="Times New Roman" w:cs="Times New Roman"/>
          <w:i/>
          <w:sz w:val="20"/>
          <w:szCs w:val="20"/>
          <w:lang w:val="fr-CA" w:eastAsia="en-CA"/>
        </w:rPr>
        <w:t>Charte canadienne des droits et libertés</w:t>
      </w:r>
      <w:r w:rsidRPr="005F6A1D">
        <w:rPr>
          <w:rFonts w:eastAsia="Times New Roman" w:cs="Times New Roman"/>
          <w:sz w:val="20"/>
          <w:szCs w:val="20"/>
          <w:lang w:val="fr-CA" w:eastAsia="en-CA"/>
        </w:rPr>
        <w:t xml:space="preserve">? </w:t>
      </w:r>
      <w:r w:rsidRPr="005F6A1D">
        <w:rPr>
          <w:rFonts w:eastAsia="Times New Roman" w:cs="Times New Roman"/>
          <w:sz w:val="20"/>
          <w:szCs w:val="20"/>
          <w:lang w:val="fr-CA" w:eastAsia="en-CA"/>
        </w:rPr>
        <w:noBreakHyphen/>
        <w:t xml:space="preserve"> Dans l’affirmative, cette atteinte </w:t>
      </w:r>
      <w:proofErr w:type="spellStart"/>
      <w:r w:rsidRPr="005F6A1D">
        <w:rPr>
          <w:rFonts w:eastAsia="Times New Roman" w:cs="Times New Roman"/>
          <w:sz w:val="20"/>
          <w:szCs w:val="20"/>
          <w:lang w:val="fr-CA" w:eastAsia="en-CA"/>
        </w:rPr>
        <w:t>constitue</w:t>
      </w:r>
      <w:r w:rsidRPr="005F6A1D">
        <w:rPr>
          <w:rFonts w:eastAsia="Times New Roman" w:cs="Times New Roman"/>
          <w:sz w:val="20"/>
          <w:szCs w:val="20"/>
          <w:lang w:val="fr-CA" w:eastAsia="en-CA"/>
        </w:rPr>
        <w:noBreakHyphen/>
        <w:t>t</w:t>
      </w:r>
      <w:r w:rsidRPr="005F6A1D">
        <w:rPr>
          <w:rFonts w:eastAsia="Times New Roman" w:cs="Times New Roman"/>
          <w:sz w:val="20"/>
          <w:szCs w:val="20"/>
          <w:lang w:val="fr-CA" w:eastAsia="en-CA"/>
        </w:rPr>
        <w:noBreakHyphen/>
        <w:t>elle</w:t>
      </w:r>
      <w:proofErr w:type="spellEnd"/>
      <w:r w:rsidRPr="005F6A1D">
        <w:rPr>
          <w:rFonts w:eastAsia="Times New Roman" w:cs="Times New Roman"/>
          <w:sz w:val="20"/>
          <w:szCs w:val="20"/>
          <w:lang w:val="fr-CA" w:eastAsia="en-CA"/>
        </w:rPr>
        <w:t xml:space="preserve"> une limite raisonnable prescrite par une règle de droit dont la justification peut se démontrer dans le cadre d’une société libre et démocratique suivant l’art. </w:t>
      </w:r>
      <w:proofErr w:type="gramStart"/>
      <w:r w:rsidRPr="005F6A1D">
        <w:rPr>
          <w:rFonts w:eastAsia="Times New Roman" w:cs="Times New Roman"/>
          <w:sz w:val="20"/>
          <w:szCs w:val="20"/>
          <w:lang w:val="fr-CA" w:eastAsia="en-CA"/>
        </w:rPr>
        <w:t>premier</w:t>
      </w:r>
      <w:proofErr w:type="gramEnd"/>
      <w:r w:rsidRPr="005F6A1D">
        <w:rPr>
          <w:rFonts w:eastAsia="Times New Roman" w:cs="Times New Roman"/>
          <w:sz w:val="20"/>
          <w:szCs w:val="20"/>
          <w:lang w:val="fr-CA" w:eastAsia="en-CA"/>
        </w:rPr>
        <w:t xml:space="preserve"> de la </w:t>
      </w:r>
      <w:r w:rsidRPr="005F6A1D">
        <w:rPr>
          <w:rFonts w:eastAsia="Times New Roman" w:cs="Times New Roman"/>
          <w:i/>
          <w:sz w:val="20"/>
          <w:szCs w:val="20"/>
          <w:lang w:val="fr-CA" w:eastAsia="en-CA"/>
        </w:rPr>
        <w:t>Charte</w:t>
      </w:r>
      <w:r w:rsidRPr="005F6A1D">
        <w:rPr>
          <w:rFonts w:eastAsia="Times New Roman" w:cs="Times New Roman"/>
          <w:sz w:val="20"/>
          <w:szCs w:val="20"/>
          <w:lang w:val="fr-CA" w:eastAsia="en-CA"/>
        </w:rPr>
        <w:t>?</w:t>
      </w: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jc w:val="both"/>
        <w:rPr>
          <w:rFonts w:eastAsia="Times New Roman" w:cs="Times New Roman"/>
          <w:sz w:val="20"/>
          <w:szCs w:val="20"/>
          <w:lang w:val="fr-CA" w:eastAsia="en-CA"/>
        </w:rPr>
      </w:pPr>
      <w:r w:rsidRPr="005F6A1D">
        <w:rPr>
          <w:rFonts w:eastAsia="Times New Roman" w:cs="Times New Roman"/>
          <w:sz w:val="20"/>
          <w:szCs w:val="20"/>
          <w:lang w:val="fr-CA" w:eastAsia="en-CA"/>
        </w:rPr>
        <w:t>L’appelant, 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est citoyen canadien depuis 1980.  En 1995, un tribunal canadien le déclare coupable d’infractions graves liées à la drogue.  Pendant qu’il purge sa peine, les autorités américaines demandent son extradition vers les </w:t>
      </w:r>
      <w:proofErr w:type="spellStart"/>
      <w:r w:rsidRPr="005F6A1D">
        <w:rPr>
          <w:rFonts w:eastAsia="Times New Roman" w:cs="Times New Roman"/>
          <w:sz w:val="20"/>
          <w:szCs w:val="20"/>
          <w:lang w:val="fr-CA" w:eastAsia="en-CA"/>
        </w:rPr>
        <w:t>États</w:t>
      </w:r>
      <w:r w:rsidRPr="005F6A1D">
        <w:rPr>
          <w:rFonts w:eastAsia="Times New Roman" w:cs="Times New Roman"/>
          <w:sz w:val="20"/>
          <w:szCs w:val="20"/>
          <w:lang w:val="fr-CA" w:eastAsia="en-CA"/>
        </w:rPr>
        <w:noBreakHyphen/>
        <w:t>Unis</w:t>
      </w:r>
      <w:proofErr w:type="spellEnd"/>
      <w:r w:rsidRPr="005F6A1D">
        <w:rPr>
          <w:rFonts w:eastAsia="Times New Roman" w:cs="Times New Roman"/>
          <w:sz w:val="20"/>
          <w:szCs w:val="20"/>
          <w:lang w:val="fr-CA" w:eastAsia="en-CA"/>
        </w:rPr>
        <w:t xml:space="preserve"> pour qu’il réponde d’accusations reliées à la drogue.  Le Canada extrade 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en juin 2005, après qu’il ait purgé sa peine au Canada.  Aux </w:t>
      </w:r>
      <w:proofErr w:type="spellStart"/>
      <w:r w:rsidRPr="005F6A1D">
        <w:rPr>
          <w:rFonts w:eastAsia="Times New Roman" w:cs="Times New Roman"/>
          <w:sz w:val="20"/>
          <w:szCs w:val="20"/>
          <w:lang w:val="fr-CA" w:eastAsia="en-CA"/>
        </w:rPr>
        <w:t>États</w:t>
      </w:r>
      <w:r w:rsidRPr="005F6A1D">
        <w:rPr>
          <w:rFonts w:eastAsia="Times New Roman" w:cs="Times New Roman"/>
          <w:sz w:val="20"/>
          <w:szCs w:val="20"/>
          <w:lang w:val="fr-CA" w:eastAsia="en-CA"/>
        </w:rPr>
        <w:noBreakHyphen/>
        <w:t>Unis</w:t>
      </w:r>
      <w:proofErr w:type="spellEnd"/>
      <w:r w:rsidRPr="005F6A1D">
        <w:rPr>
          <w:rFonts w:eastAsia="Times New Roman" w:cs="Times New Roman"/>
          <w:sz w:val="20"/>
          <w:szCs w:val="20"/>
          <w:lang w:val="fr-CA" w:eastAsia="en-CA"/>
        </w:rPr>
        <w:t>, 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plaide coupable.  En décembre 2006, 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présente une demande de transfèrement en vertu de la </w:t>
      </w:r>
      <w:r w:rsidRPr="005F6A1D">
        <w:rPr>
          <w:rFonts w:eastAsia="Times New Roman" w:cs="Times New Roman"/>
          <w:i/>
          <w:sz w:val="20"/>
          <w:szCs w:val="20"/>
          <w:lang w:val="fr-CA" w:eastAsia="en-CA"/>
        </w:rPr>
        <w:t>Loi sur le transfèrement international des délinquants</w:t>
      </w:r>
      <w:r w:rsidRPr="005F6A1D">
        <w:rPr>
          <w:rFonts w:eastAsia="Times New Roman" w:cs="Times New Roman"/>
          <w:sz w:val="20"/>
          <w:szCs w:val="20"/>
          <w:lang w:val="fr-CA" w:eastAsia="en-CA"/>
        </w:rPr>
        <w:t>, afin qu’il puisse être autorisé à purger le reste de sa peine d’emprisonnement au Canada.  Cette demande est approuvée par les autorités américaines, mais refusée par le ministre canadien.  Peu après, 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présente une deuxième demande, qui est refusée à nouveau, pour les motifs suivants :</w:t>
      </w: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ind w:left="720" w:right="720"/>
        <w:jc w:val="both"/>
        <w:rPr>
          <w:rFonts w:eastAsia="Times New Roman" w:cs="Times New Roman"/>
          <w:sz w:val="20"/>
          <w:szCs w:val="20"/>
          <w:lang w:val="fr-CA" w:eastAsia="en-CA"/>
        </w:rPr>
      </w:pPr>
      <w:r w:rsidRPr="005F6A1D">
        <w:rPr>
          <w:rFonts w:eastAsia="Times New Roman" w:cs="Times New Roman"/>
          <w:sz w:val="20"/>
          <w:szCs w:val="20"/>
          <w:lang w:val="fr-CA" w:eastAsia="en-CA"/>
        </w:rPr>
        <w:t>Le détenu a été identifié comme étant un membre du crime organisé condamné pour un délit comprenant une quantité importante de drogues.  La nature du délit ainsi que les affiliations du détenu suggèrent que le retour du délinquant au Canada, pourrait constituer une menace pour la sécurité du Canada et la sûreté des Canadiens.</w:t>
      </w: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jc w:val="both"/>
        <w:rPr>
          <w:rFonts w:eastAsia="Times New Roman" w:cs="Times New Roman"/>
          <w:sz w:val="20"/>
          <w:szCs w:val="20"/>
          <w:lang w:val="fr-CA" w:eastAsia="en-CA"/>
        </w:rPr>
      </w:pPr>
      <w:r w:rsidRPr="005F6A1D">
        <w:rPr>
          <w:rFonts w:eastAsia="Times New Roman" w:cs="Times New Roman"/>
          <w:sz w:val="20"/>
          <w:szCs w:val="20"/>
          <w:lang w:val="fr-CA" w:eastAsia="en-CA"/>
        </w:rPr>
        <w:t>M. </w:t>
      </w:r>
      <w:proofErr w:type="spellStart"/>
      <w:r w:rsidRPr="005F6A1D">
        <w:rPr>
          <w:rFonts w:eastAsia="Times New Roman" w:cs="Times New Roman"/>
          <w:sz w:val="20"/>
          <w:szCs w:val="20"/>
          <w:lang w:val="fr-CA" w:eastAsia="en-CA"/>
        </w:rPr>
        <w:t>Divito</w:t>
      </w:r>
      <w:proofErr w:type="spellEnd"/>
      <w:r w:rsidRPr="005F6A1D">
        <w:rPr>
          <w:rFonts w:eastAsia="Times New Roman" w:cs="Times New Roman"/>
          <w:sz w:val="20"/>
          <w:szCs w:val="20"/>
          <w:lang w:val="fr-CA" w:eastAsia="en-CA"/>
        </w:rPr>
        <w:t xml:space="preserve"> soutient que les articles de la Loi qui justifient le refus violent ses droits à la libre circulation et à l’établissement garantis par l’art. 6 de la </w:t>
      </w:r>
      <w:r w:rsidRPr="005F6A1D">
        <w:rPr>
          <w:rFonts w:eastAsia="Times New Roman" w:cs="Times New Roman"/>
          <w:i/>
          <w:sz w:val="20"/>
          <w:szCs w:val="20"/>
          <w:lang w:val="fr-CA" w:eastAsia="en-CA"/>
        </w:rPr>
        <w:t>Charte canadienne des droits et libertés</w:t>
      </w:r>
      <w:r w:rsidRPr="005F6A1D">
        <w:rPr>
          <w:rFonts w:eastAsia="Times New Roman" w:cs="Times New Roman"/>
          <w:sz w:val="20"/>
          <w:szCs w:val="20"/>
          <w:lang w:val="fr-CA" w:eastAsia="en-CA"/>
        </w:rPr>
        <w:t xml:space="preserve">, et que cette violation n’est pas justifiable en vertu de l’article premier. </w:t>
      </w: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jc w:val="both"/>
        <w:rPr>
          <w:rFonts w:eastAsia="Times New Roman" w:cs="Times New Roman"/>
          <w:sz w:val="20"/>
          <w:szCs w:val="20"/>
          <w:lang w:val="fr-CA" w:eastAsia="en-CA"/>
        </w:rPr>
      </w:pPr>
    </w:p>
    <w:p w:rsidR="005F6A1D" w:rsidRPr="005F6A1D" w:rsidRDefault="005F6A1D" w:rsidP="005F6A1D">
      <w:pPr>
        <w:widowControl w:val="0"/>
        <w:ind w:left="2880" w:hanging="2880"/>
        <w:jc w:val="both"/>
        <w:rPr>
          <w:rFonts w:eastAsia="Times New Roman" w:cs="Times New Roman"/>
          <w:sz w:val="20"/>
          <w:szCs w:val="20"/>
          <w:lang w:val="fr-CA" w:eastAsia="en-CA"/>
        </w:rPr>
      </w:pPr>
      <w:r w:rsidRPr="005F6A1D">
        <w:rPr>
          <w:rFonts w:eastAsia="Times New Roman" w:cs="Times New Roman"/>
          <w:sz w:val="20"/>
          <w:szCs w:val="20"/>
          <w:lang w:val="fr-CA" w:eastAsia="en-CA"/>
        </w:rPr>
        <w:t>Origine :</w:t>
      </w:r>
      <w:r w:rsidRPr="005F6A1D">
        <w:rPr>
          <w:rFonts w:eastAsia="Times New Roman" w:cs="Times New Roman"/>
          <w:sz w:val="20"/>
          <w:szCs w:val="20"/>
          <w:lang w:val="fr-CA" w:eastAsia="en-CA"/>
        </w:rPr>
        <w:tab/>
        <w:t>Cour d’appel fédérale</w:t>
      </w:r>
    </w:p>
    <w:p w:rsidR="005F6A1D" w:rsidRPr="005F6A1D" w:rsidRDefault="005F6A1D" w:rsidP="005F6A1D">
      <w:pPr>
        <w:widowControl w:val="0"/>
        <w:ind w:left="2880" w:hanging="2880"/>
        <w:jc w:val="both"/>
        <w:rPr>
          <w:rFonts w:eastAsia="Times New Roman" w:cs="Times New Roman"/>
          <w:sz w:val="20"/>
          <w:szCs w:val="20"/>
          <w:lang w:val="fr-CA" w:eastAsia="en-CA"/>
        </w:rPr>
      </w:pPr>
    </w:p>
    <w:p w:rsidR="005F6A1D" w:rsidRPr="005F6A1D" w:rsidRDefault="005F6A1D" w:rsidP="005F6A1D">
      <w:pPr>
        <w:widowControl w:val="0"/>
        <w:ind w:left="2880" w:hanging="2880"/>
        <w:jc w:val="both"/>
        <w:rPr>
          <w:rFonts w:eastAsia="Times New Roman" w:cs="Times New Roman"/>
          <w:sz w:val="20"/>
          <w:szCs w:val="20"/>
          <w:lang w:val="fr-CA" w:eastAsia="en-CA"/>
        </w:rPr>
      </w:pPr>
      <w:r w:rsidRPr="005F6A1D">
        <w:rPr>
          <w:rFonts w:eastAsia="Times New Roman" w:cs="Times New Roman"/>
          <w:sz w:val="20"/>
          <w:szCs w:val="20"/>
          <w:lang w:val="fr-CA" w:eastAsia="en-CA"/>
        </w:rPr>
        <w:t>N</w:t>
      </w:r>
      <w:r w:rsidRPr="005F6A1D">
        <w:rPr>
          <w:rFonts w:eastAsia="Times New Roman" w:cs="Times New Roman"/>
          <w:sz w:val="20"/>
          <w:szCs w:val="20"/>
          <w:vertAlign w:val="superscript"/>
          <w:lang w:val="fr-CA" w:eastAsia="en-CA"/>
        </w:rPr>
        <w:t>o</w:t>
      </w:r>
      <w:r w:rsidRPr="005F6A1D">
        <w:rPr>
          <w:rFonts w:eastAsia="Times New Roman" w:cs="Times New Roman"/>
          <w:sz w:val="20"/>
          <w:szCs w:val="20"/>
          <w:lang w:val="fr-CA" w:eastAsia="en-CA"/>
        </w:rPr>
        <w:t xml:space="preserve"> du greffe :</w:t>
      </w:r>
      <w:r w:rsidRPr="005F6A1D">
        <w:rPr>
          <w:rFonts w:eastAsia="Times New Roman" w:cs="Times New Roman"/>
          <w:sz w:val="20"/>
          <w:szCs w:val="20"/>
          <w:lang w:val="fr-CA" w:eastAsia="en-CA"/>
        </w:rPr>
        <w:tab/>
        <w:t>34128</w:t>
      </w:r>
    </w:p>
    <w:p w:rsidR="005F6A1D" w:rsidRPr="005F6A1D" w:rsidRDefault="005F6A1D" w:rsidP="005F6A1D">
      <w:pPr>
        <w:widowControl w:val="0"/>
        <w:ind w:left="2880" w:hanging="2880"/>
        <w:jc w:val="both"/>
        <w:rPr>
          <w:rFonts w:eastAsia="Times New Roman" w:cs="Times New Roman"/>
          <w:sz w:val="20"/>
          <w:szCs w:val="20"/>
          <w:lang w:val="fr-CA" w:eastAsia="en-CA"/>
        </w:rPr>
      </w:pPr>
    </w:p>
    <w:p w:rsidR="005F6A1D" w:rsidRPr="005F6A1D" w:rsidRDefault="005F6A1D" w:rsidP="005F6A1D">
      <w:pPr>
        <w:widowControl w:val="0"/>
        <w:ind w:left="2880" w:hanging="2880"/>
        <w:jc w:val="both"/>
        <w:rPr>
          <w:rFonts w:eastAsia="Times New Roman" w:cs="Times New Roman"/>
          <w:sz w:val="20"/>
          <w:szCs w:val="20"/>
          <w:lang w:val="fr-CA" w:eastAsia="en-CA"/>
        </w:rPr>
      </w:pPr>
      <w:r w:rsidRPr="005F6A1D">
        <w:rPr>
          <w:rFonts w:eastAsia="Times New Roman" w:cs="Times New Roman"/>
          <w:sz w:val="20"/>
          <w:szCs w:val="20"/>
          <w:lang w:val="fr-CA" w:eastAsia="en-CA"/>
        </w:rPr>
        <w:t>Arrêt de la Cour d’appel :</w:t>
      </w:r>
      <w:r w:rsidRPr="005F6A1D">
        <w:rPr>
          <w:rFonts w:eastAsia="Times New Roman" w:cs="Times New Roman"/>
          <w:sz w:val="20"/>
          <w:szCs w:val="20"/>
          <w:lang w:val="fr-CA" w:eastAsia="en-CA"/>
        </w:rPr>
        <w:tab/>
        <w:t>Le 3 février 2011</w:t>
      </w:r>
    </w:p>
    <w:p w:rsidR="005F6A1D" w:rsidRPr="005F6A1D" w:rsidRDefault="005F6A1D" w:rsidP="005F6A1D">
      <w:pPr>
        <w:widowControl w:val="0"/>
        <w:ind w:left="2880" w:hanging="2880"/>
        <w:jc w:val="both"/>
        <w:rPr>
          <w:rFonts w:eastAsia="Times New Roman" w:cs="Times New Roman"/>
          <w:sz w:val="20"/>
          <w:szCs w:val="20"/>
          <w:lang w:val="fr-CA" w:eastAsia="en-CA"/>
        </w:rPr>
      </w:pPr>
    </w:p>
    <w:p w:rsidR="005F6A1D" w:rsidRPr="005F6A1D" w:rsidRDefault="005F6A1D" w:rsidP="005F6A1D">
      <w:pPr>
        <w:widowControl w:val="0"/>
        <w:ind w:left="2880" w:hanging="2880"/>
        <w:jc w:val="both"/>
        <w:rPr>
          <w:rFonts w:eastAsia="Times New Roman" w:cs="Times New Roman"/>
          <w:sz w:val="20"/>
          <w:szCs w:val="20"/>
          <w:lang w:val="fr-CA" w:eastAsia="en-CA"/>
        </w:rPr>
      </w:pPr>
      <w:r w:rsidRPr="005F6A1D">
        <w:rPr>
          <w:rFonts w:eastAsia="Times New Roman" w:cs="Times New Roman"/>
          <w:sz w:val="20"/>
          <w:szCs w:val="20"/>
          <w:lang w:val="fr-CA" w:eastAsia="en-CA"/>
        </w:rPr>
        <w:t>Avocats :</w:t>
      </w:r>
      <w:r w:rsidRPr="005F6A1D">
        <w:rPr>
          <w:rFonts w:eastAsia="Times New Roman" w:cs="Times New Roman"/>
          <w:sz w:val="20"/>
          <w:szCs w:val="20"/>
          <w:lang w:val="fr-CA" w:eastAsia="en-CA"/>
        </w:rPr>
        <w:tab/>
      </w:r>
      <w:proofErr w:type="spellStart"/>
      <w:r w:rsidRPr="005F6A1D">
        <w:rPr>
          <w:rFonts w:eastAsia="Times New Roman" w:cs="Times New Roman"/>
          <w:sz w:val="20"/>
          <w:szCs w:val="20"/>
          <w:lang w:val="fr-CA" w:eastAsia="en-CA"/>
        </w:rPr>
        <w:t>Clemente</w:t>
      </w:r>
      <w:proofErr w:type="spellEnd"/>
      <w:r w:rsidRPr="005F6A1D">
        <w:rPr>
          <w:rFonts w:eastAsia="Times New Roman" w:cs="Times New Roman"/>
          <w:sz w:val="20"/>
          <w:szCs w:val="20"/>
          <w:lang w:val="fr-CA" w:eastAsia="en-CA"/>
        </w:rPr>
        <w:t xml:space="preserve"> </w:t>
      </w:r>
      <w:proofErr w:type="spellStart"/>
      <w:r w:rsidRPr="005F6A1D">
        <w:rPr>
          <w:rFonts w:eastAsia="Times New Roman" w:cs="Times New Roman"/>
          <w:sz w:val="20"/>
          <w:szCs w:val="20"/>
          <w:lang w:val="fr-CA" w:eastAsia="en-CA"/>
        </w:rPr>
        <w:t>Monterosso</w:t>
      </w:r>
      <w:proofErr w:type="spellEnd"/>
      <w:r w:rsidRPr="005F6A1D">
        <w:rPr>
          <w:rFonts w:eastAsia="Times New Roman" w:cs="Times New Roman"/>
          <w:sz w:val="20"/>
          <w:szCs w:val="20"/>
          <w:lang w:val="fr-CA" w:eastAsia="en-CA"/>
        </w:rPr>
        <w:t xml:space="preserve"> et Laurent Carignan pour l’appelant</w:t>
      </w:r>
    </w:p>
    <w:p w:rsidR="005F6A1D" w:rsidRPr="005F6A1D" w:rsidRDefault="005F6A1D" w:rsidP="005F6A1D">
      <w:pPr>
        <w:widowControl w:val="0"/>
        <w:ind w:left="2880" w:hanging="2880"/>
        <w:jc w:val="both"/>
        <w:rPr>
          <w:rFonts w:eastAsia="Times New Roman" w:cs="Times New Roman"/>
          <w:sz w:val="20"/>
          <w:szCs w:val="20"/>
          <w:lang w:val="fr-CA" w:eastAsia="en-CA"/>
        </w:rPr>
      </w:pPr>
      <w:r w:rsidRPr="005F6A1D">
        <w:rPr>
          <w:rFonts w:eastAsia="Times New Roman" w:cs="Times New Roman"/>
          <w:sz w:val="20"/>
          <w:szCs w:val="20"/>
          <w:lang w:val="fr-CA" w:eastAsia="en-CA"/>
        </w:rPr>
        <w:tab/>
        <w:t xml:space="preserve">Ginette </w:t>
      </w:r>
      <w:proofErr w:type="spellStart"/>
      <w:r w:rsidRPr="005F6A1D">
        <w:rPr>
          <w:rFonts w:eastAsia="Times New Roman" w:cs="Times New Roman"/>
          <w:sz w:val="20"/>
          <w:szCs w:val="20"/>
          <w:lang w:val="fr-CA" w:eastAsia="en-CA"/>
        </w:rPr>
        <w:t>Gobeil</w:t>
      </w:r>
      <w:proofErr w:type="spellEnd"/>
      <w:r w:rsidRPr="005F6A1D">
        <w:rPr>
          <w:rFonts w:eastAsia="Times New Roman" w:cs="Times New Roman"/>
          <w:sz w:val="20"/>
          <w:szCs w:val="20"/>
          <w:lang w:val="fr-CA" w:eastAsia="en-CA"/>
        </w:rPr>
        <w:t xml:space="preserve"> et Susan </w:t>
      </w:r>
      <w:proofErr w:type="spellStart"/>
      <w:r w:rsidRPr="005F6A1D">
        <w:rPr>
          <w:rFonts w:eastAsia="Times New Roman" w:cs="Times New Roman"/>
          <w:sz w:val="20"/>
          <w:szCs w:val="20"/>
          <w:lang w:val="fr-CA" w:eastAsia="en-CA"/>
        </w:rPr>
        <w:t>Shaughnessy</w:t>
      </w:r>
      <w:proofErr w:type="spellEnd"/>
      <w:r w:rsidRPr="005F6A1D">
        <w:rPr>
          <w:rFonts w:eastAsia="Times New Roman" w:cs="Times New Roman"/>
          <w:sz w:val="20"/>
          <w:szCs w:val="20"/>
          <w:lang w:val="fr-CA" w:eastAsia="en-CA"/>
        </w:rPr>
        <w:t xml:space="preserve"> pour l’intimé</w:t>
      </w:r>
    </w:p>
    <w:p w:rsidR="003320D5" w:rsidRDefault="003320D5" w:rsidP="005F6A1D">
      <w:pPr>
        <w:tabs>
          <w:tab w:val="left" w:pos="-1440"/>
          <w:tab w:val="left" w:pos="-720"/>
        </w:tabs>
        <w:ind w:left="2880" w:hanging="2880"/>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7"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AB61EA" w:rsidRPr="00AB61EA" w:rsidRDefault="00F008AC" w:rsidP="00AB61EA">
      <w:pPr>
        <w:widowControl w:val="0"/>
        <w:ind w:left="720" w:hanging="720"/>
        <w:jc w:val="both"/>
        <w:rPr>
          <w:rFonts w:eastAsia="Times New Roman" w:cs="Times New Roman"/>
          <w:sz w:val="20"/>
          <w:szCs w:val="20"/>
          <w:lang w:eastAsia="en-CA"/>
        </w:rPr>
      </w:pPr>
      <w:r w:rsidRPr="00AB61EA">
        <w:rPr>
          <w:rFonts w:eastAsia="Times New Roman" w:cs="Times New Roman"/>
          <w:b/>
          <w:sz w:val="20"/>
          <w:szCs w:val="20"/>
          <w:lang w:val="en-US" w:eastAsia="en-CA"/>
        </w:rPr>
        <w:lastRenderedPageBreak/>
        <w:fldChar w:fldCharType="begin"/>
      </w:r>
      <w:r w:rsidR="00AB61EA" w:rsidRPr="00AB61EA">
        <w:rPr>
          <w:rFonts w:eastAsia="Times New Roman" w:cs="Times New Roman"/>
          <w:b/>
          <w:sz w:val="20"/>
          <w:szCs w:val="20"/>
          <w:lang w:val="en-US" w:eastAsia="en-CA"/>
        </w:rPr>
        <w:instrText xml:space="preserve"> SEQ CHAPTER \h \r 1</w:instrText>
      </w:r>
      <w:r w:rsidRPr="00AB61EA">
        <w:rPr>
          <w:rFonts w:eastAsia="Times New Roman" w:cs="Times New Roman"/>
          <w:b/>
          <w:sz w:val="20"/>
          <w:szCs w:val="20"/>
          <w:lang w:val="en-US" w:eastAsia="en-CA"/>
        </w:rPr>
        <w:fldChar w:fldCharType="end"/>
      </w:r>
      <w:r w:rsidR="00AB61EA" w:rsidRPr="00AB61EA">
        <w:rPr>
          <w:rFonts w:eastAsia="Times New Roman" w:cs="Times New Roman"/>
          <w:b/>
          <w:sz w:val="20"/>
          <w:szCs w:val="20"/>
          <w:lang w:eastAsia="en-CA"/>
        </w:rPr>
        <w:t>34534</w:t>
      </w:r>
      <w:r w:rsidR="00AB61EA" w:rsidRPr="00AB61EA">
        <w:rPr>
          <w:rFonts w:eastAsia="Times New Roman" w:cs="Times New Roman"/>
          <w:sz w:val="20"/>
          <w:szCs w:val="20"/>
          <w:lang w:eastAsia="en-CA"/>
        </w:rPr>
        <w:tab/>
      </w:r>
      <w:r w:rsidR="00AB61EA" w:rsidRPr="00AB61EA">
        <w:rPr>
          <w:rFonts w:eastAsia="Times New Roman" w:cs="Times New Roman"/>
          <w:b/>
          <w:i/>
          <w:sz w:val="20"/>
          <w:szCs w:val="20"/>
          <w:lang w:eastAsia="en-CA"/>
        </w:rPr>
        <w:t>Daishowa</w:t>
      </w:r>
      <w:r w:rsidR="00AB61EA" w:rsidRPr="00AB61EA">
        <w:rPr>
          <w:rFonts w:eastAsia="Times New Roman" w:cs="Times New Roman"/>
          <w:b/>
          <w:i/>
          <w:sz w:val="20"/>
          <w:szCs w:val="20"/>
          <w:lang w:eastAsia="en-CA"/>
        </w:rPr>
        <w:noBreakHyphen/>
      </w:r>
      <w:proofErr w:type="spellStart"/>
      <w:r w:rsidR="00AB61EA" w:rsidRPr="00AB61EA">
        <w:rPr>
          <w:rFonts w:eastAsia="Times New Roman" w:cs="Times New Roman"/>
          <w:b/>
          <w:i/>
          <w:sz w:val="20"/>
          <w:szCs w:val="20"/>
          <w:lang w:eastAsia="en-CA"/>
        </w:rPr>
        <w:t>Marubeni</w:t>
      </w:r>
      <w:proofErr w:type="spellEnd"/>
      <w:r w:rsidR="00AB61EA" w:rsidRPr="00AB61EA">
        <w:rPr>
          <w:rFonts w:eastAsia="Times New Roman" w:cs="Times New Roman"/>
          <w:b/>
          <w:i/>
          <w:sz w:val="20"/>
          <w:szCs w:val="20"/>
          <w:lang w:eastAsia="en-CA"/>
        </w:rPr>
        <w:t xml:space="preserve"> International Ltd. v. Her Majesty the Queen</w:t>
      </w:r>
    </w:p>
    <w:p w:rsidR="00AB61EA" w:rsidRPr="00AB61EA" w:rsidRDefault="00AB61EA" w:rsidP="00AB61EA">
      <w:pPr>
        <w:widowControl w:val="0"/>
        <w:jc w:val="both"/>
        <w:rPr>
          <w:rFonts w:eastAsia="Times New Roman" w:cs="Times New Roman"/>
          <w:sz w:val="20"/>
          <w:szCs w:val="20"/>
          <w:lang w:eastAsia="en-CA"/>
        </w:rPr>
      </w:pPr>
    </w:p>
    <w:p w:rsidR="00AB61EA" w:rsidRPr="00AB61EA" w:rsidRDefault="00AB61EA" w:rsidP="00AB61EA">
      <w:pPr>
        <w:widowControl w:val="0"/>
        <w:jc w:val="both"/>
        <w:rPr>
          <w:rFonts w:eastAsia="Times New Roman" w:cs="Times New Roman"/>
          <w:sz w:val="20"/>
          <w:szCs w:val="20"/>
          <w:lang w:eastAsia="en-CA"/>
        </w:rPr>
      </w:pPr>
      <w:r w:rsidRPr="00AB61EA">
        <w:rPr>
          <w:rFonts w:eastAsia="Times New Roman" w:cs="Times New Roman"/>
          <w:sz w:val="20"/>
          <w:szCs w:val="20"/>
          <w:lang w:eastAsia="en-CA"/>
        </w:rPr>
        <w:t xml:space="preserve">Taxation </w:t>
      </w:r>
      <w:r w:rsidRPr="00AB61EA">
        <w:rPr>
          <w:rFonts w:eastAsia="Times New Roman" w:cs="Times New Roman"/>
          <w:sz w:val="20"/>
          <w:szCs w:val="20"/>
          <w:lang w:eastAsia="en-CA"/>
        </w:rPr>
        <w:noBreakHyphen/>
        <w:t xml:space="preserve"> Income Tax </w:t>
      </w:r>
      <w:r w:rsidRPr="00AB61EA">
        <w:rPr>
          <w:rFonts w:eastAsia="Times New Roman" w:cs="Times New Roman"/>
          <w:sz w:val="20"/>
          <w:szCs w:val="20"/>
          <w:lang w:eastAsia="en-CA"/>
        </w:rPr>
        <w:noBreakHyphen/>
        <w:t xml:space="preserve"> Assessment </w:t>
      </w:r>
      <w:r w:rsidRPr="00AB61EA">
        <w:rPr>
          <w:rFonts w:eastAsia="Times New Roman" w:cs="Times New Roman"/>
          <w:sz w:val="20"/>
          <w:szCs w:val="20"/>
          <w:lang w:eastAsia="en-CA"/>
        </w:rPr>
        <w:noBreakHyphen/>
        <w:t xml:space="preserve"> Tax treatment of assumed contingent liabilities </w:t>
      </w:r>
      <w:r w:rsidRPr="00AB61EA">
        <w:rPr>
          <w:rFonts w:eastAsia="Times New Roman" w:cs="Times New Roman"/>
          <w:sz w:val="20"/>
          <w:szCs w:val="20"/>
          <w:lang w:eastAsia="en-CA"/>
        </w:rPr>
        <w:noBreakHyphen/>
        <w:t xml:space="preserve"> Amount if any to be included in proceeds of disposition in respect of reforestation obligations assumed by purchasers of sawmill operations </w:t>
      </w:r>
      <w:r w:rsidRPr="00AB61EA">
        <w:rPr>
          <w:rFonts w:eastAsia="Times New Roman" w:cs="Times New Roman"/>
          <w:sz w:val="20"/>
          <w:szCs w:val="20"/>
          <w:lang w:eastAsia="en-CA"/>
        </w:rPr>
        <w:noBreakHyphen/>
        <w:t xml:space="preserve"> Whether the reforestation liabilities are to be included in the proceeds of disposition because the vendor is relieved of a liability, or whether they are integral and run with the forest tenures </w:t>
      </w:r>
      <w:r w:rsidRPr="00AB61EA">
        <w:rPr>
          <w:rFonts w:eastAsia="Times New Roman" w:cs="Times New Roman"/>
          <w:sz w:val="20"/>
          <w:szCs w:val="20"/>
          <w:lang w:eastAsia="en-CA"/>
        </w:rPr>
        <w:noBreakHyphen/>
        <w:t xml:space="preserve"> Whether it makes any difference that the parties agreed to a specific amount of the future reforestation liability.</w:t>
      </w:r>
    </w:p>
    <w:p w:rsidR="00AB61EA" w:rsidRPr="00AB61EA" w:rsidRDefault="00AB61EA" w:rsidP="00AB61EA">
      <w:pPr>
        <w:widowControl w:val="0"/>
        <w:jc w:val="both"/>
        <w:rPr>
          <w:rFonts w:eastAsia="Times New Roman" w:cs="Times New Roman"/>
          <w:sz w:val="20"/>
          <w:szCs w:val="20"/>
          <w:lang w:eastAsia="en-CA"/>
        </w:rPr>
      </w:pPr>
    </w:p>
    <w:p w:rsidR="00AB61EA" w:rsidRPr="00AB61EA" w:rsidRDefault="00AB61EA" w:rsidP="00AB61EA">
      <w:pPr>
        <w:widowControl w:val="0"/>
        <w:jc w:val="both"/>
        <w:rPr>
          <w:rFonts w:eastAsia="Times New Roman" w:cs="Times New Roman"/>
          <w:sz w:val="20"/>
          <w:szCs w:val="20"/>
          <w:lang w:eastAsia="en-CA"/>
        </w:rPr>
      </w:pPr>
      <w:r w:rsidRPr="00AB61EA">
        <w:rPr>
          <w:rFonts w:eastAsia="Times New Roman" w:cs="Times New Roman"/>
          <w:sz w:val="20"/>
          <w:szCs w:val="20"/>
          <w:lang w:eastAsia="en-CA"/>
        </w:rPr>
        <w:t xml:space="preserve">The appellant operated pulp mills in Alberta and British Columbia.  Two of its divisions carried on harvesting activities.  </w:t>
      </w:r>
      <w:proofErr w:type="spellStart"/>
      <w:r w:rsidRPr="00AB61EA">
        <w:rPr>
          <w:rFonts w:eastAsia="Times New Roman" w:cs="Times New Roman"/>
          <w:sz w:val="20"/>
          <w:szCs w:val="20"/>
          <w:lang w:eastAsia="en-CA"/>
        </w:rPr>
        <w:t>Silviculture</w:t>
      </w:r>
      <w:proofErr w:type="spellEnd"/>
      <w:r w:rsidRPr="00AB61EA">
        <w:rPr>
          <w:rFonts w:eastAsia="Times New Roman" w:cs="Times New Roman"/>
          <w:sz w:val="20"/>
          <w:szCs w:val="20"/>
          <w:lang w:eastAsia="en-CA"/>
        </w:rPr>
        <w:t xml:space="preserve"> liabilities associated with its harvesting rights obliged the appellant to reforest lands.  The appellant sold its harvesting divisions to purchasers who assumed the reforestation obligations.  The </w:t>
      </w:r>
      <w:proofErr w:type="spellStart"/>
      <w:r w:rsidRPr="00AB61EA">
        <w:rPr>
          <w:rFonts w:eastAsia="Times New Roman" w:cs="Times New Roman"/>
          <w:sz w:val="20"/>
          <w:szCs w:val="20"/>
          <w:lang w:eastAsia="en-CA"/>
        </w:rPr>
        <w:t>silviculture</w:t>
      </w:r>
      <w:proofErr w:type="spellEnd"/>
      <w:r w:rsidRPr="00AB61EA">
        <w:rPr>
          <w:rFonts w:eastAsia="Times New Roman" w:cs="Times New Roman"/>
          <w:sz w:val="20"/>
          <w:szCs w:val="20"/>
          <w:lang w:eastAsia="en-CA"/>
        </w:rPr>
        <w:t xml:space="preserve"> liabilities were deducted from the gross sales prices.  In its relevant income tax returns, the appellant classified the </w:t>
      </w:r>
      <w:proofErr w:type="spellStart"/>
      <w:r w:rsidRPr="00AB61EA">
        <w:rPr>
          <w:rFonts w:eastAsia="Times New Roman" w:cs="Times New Roman"/>
          <w:sz w:val="20"/>
          <w:szCs w:val="20"/>
          <w:lang w:eastAsia="en-CA"/>
        </w:rPr>
        <w:t>silviculture</w:t>
      </w:r>
      <w:proofErr w:type="spellEnd"/>
      <w:r w:rsidRPr="00AB61EA">
        <w:rPr>
          <w:rFonts w:eastAsia="Times New Roman" w:cs="Times New Roman"/>
          <w:sz w:val="20"/>
          <w:szCs w:val="20"/>
          <w:lang w:eastAsia="en-CA"/>
        </w:rPr>
        <w:t xml:space="preserve"> liabilities as long</w:t>
      </w:r>
      <w:r w:rsidRPr="00AB61EA">
        <w:rPr>
          <w:rFonts w:eastAsia="Times New Roman" w:cs="Times New Roman"/>
          <w:sz w:val="20"/>
          <w:szCs w:val="20"/>
          <w:lang w:eastAsia="en-CA"/>
        </w:rPr>
        <w:noBreakHyphen/>
        <w:t xml:space="preserve">term liabilities that would not be expended within 12 months following specified dates and current liabilities that would be expended within 12 months following specified dates (October 31, 1999 and December 31, 1999).  The Province of Alberta takes the position that, pursuant to the </w:t>
      </w:r>
      <w:r w:rsidRPr="00AB61EA">
        <w:rPr>
          <w:rFonts w:eastAsia="Times New Roman" w:cs="Times New Roman"/>
          <w:i/>
          <w:sz w:val="20"/>
          <w:szCs w:val="20"/>
          <w:lang w:eastAsia="en-CA"/>
        </w:rPr>
        <w:t>Forests Act</w:t>
      </w:r>
      <w:r w:rsidRPr="00AB61EA">
        <w:rPr>
          <w:rFonts w:eastAsia="Times New Roman" w:cs="Times New Roman"/>
          <w:sz w:val="20"/>
          <w:szCs w:val="20"/>
          <w:lang w:eastAsia="en-CA"/>
        </w:rPr>
        <w:t>, RSA 2000, c. F</w:t>
      </w:r>
      <w:r w:rsidRPr="00AB61EA">
        <w:rPr>
          <w:rFonts w:eastAsia="Times New Roman" w:cs="Times New Roman"/>
          <w:sz w:val="20"/>
          <w:szCs w:val="20"/>
          <w:lang w:eastAsia="en-CA"/>
        </w:rPr>
        <w:noBreakHyphen/>
        <w:t xml:space="preserve">22, and the </w:t>
      </w:r>
      <w:r w:rsidRPr="00AB61EA">
        <w:rPr>
          <w:rFonts w:eastAsia="Times New Roman" w:cs="Times New Roman"/>
          <w:i/>
          <w:sz w:val="20"/>
          <w:szCs w:val="20"/>
          <w:lang w:eastAsia="en-CA"/>
        </w:rPr>
        <w:t>Timber Management Regulations</w:t>
      </w:r>
      <w:r w:rsidRPr="00AB61EA">
        <w:rPr>
          <w:rFonts w:eastAsia="Times New Roman" w:cs="Times New Roman"/>
          <w:sz w:val="20"/>
          <w:szCs w:val="20"/>
          <w:lang w:eastAsia="en-CA"/>
        </w:rPr>
        <w:t>, Alta. Reg. 60</w:t>
      </w:r>
      <w:r w:rsidRPr="00AB61EA">
        <w:rPr>
          <w:rFonts w:eastAsia="Times New Roman" w:cs="Times New Roman"/>
          <w:sz w:val="20"/>
          <w:szCs w:val="20"/>
          <w:lang w:eastAsia="en-CA"/>
        </w:rPr>
        <w:noBreakHyphen/>
        <w:t xml:space="preserve">1973, an assignee of timber rights assumes the reforestation liability corresponding to the forest tenure and the assignor is no longer liable.  In reporting its income for the 1999 and 2000 taxation years, the appellant did not include in its proceeds of disposition any amounts pertaining to the </w:t>
      </w:r>
      <w:proofErr w:type="spellStart"/>
      <w:r w:rsidRPr="00AB61EA">
        <w:rPr>
          <w:rFonts w:eastAsia="Times New Roman" w:cs="Times New Roman"/>
          <w:sz w:val="20"/>
          <w:szCs w:val="20"/>
          <w:lang w:eastAsia="en-CA"/>
        </w:rPr>
        <w:t>silviculture</w:t>
      </w:r>
      <w:proofErr w:type="spellEnd"/>
      <w:r w:rsidRPr="00AB61EA">
        <w:rPr>
          <w:rFonts w:eastAsia="Times New Roman" w:cs="Times New Roman"/>
          <w:sz w:val="20"/>
          <w:szCs w:val="20"/>
          <w:lang w:eastAsia="en-CA"/>
        </w:rPr>
        <w:t xml:space="preserve"> liabilities assumed by the purchasers.  The Minister of Revenue reassessed the appellant in respect of both sales by including, in the calculation of proceeds of the dispositions of the timber resource properties, estimated </w:t>
      </w:r>
      <w:proofErr w:type="spellStart"/>
      <w:r w:rsidRPr="00AB61EA">
        <w:rPr>
          <w:rFonts w:eastAsia="Times New Roman" w:cs="Times New Roman"/>
          <w:sz w:val="20"/>
          <w:szCs w:val="20"/>
          <w:lang w:eastAsia="en-CA"/>
        </w:rPr>
        <w:t>silviculture</w:t>
      </w:r>
      <w:proofErr w:type="spellEnd"/>
      <w:r w:rsidRPr="00AB61EA">
        <w:rPr>
          <w:rFonts w:eastAsia="Times New Roman" w:cs="Times New Roman"/>
          <w:sz w:val="20"/>
          <w:szCs w:val="20"/>
          <w:lang w:eastAsia="en-CA"/>
        </w:rPr>
        <w:t xml:space="preserve"> liabilities of $11,000,000 in respect of 1999 and $2,966,301 in respect of 2000. </w:t>
      </w:r>
    </w:p>
    <w:p w:rsidR="00AB61EA" w:rsidRPr="00AB61EA" w:rsidRDefault="00AB61EA" w:rsidP="00AB61EA">
      <w:pPr>
        <w:widowControl w:val="0"/>
        <w:jc w:val="both"/>
        <w:rPr>
          <w:rFonts w:eastAsia="Times New Roman" w:cs="Times New Roman"/>
          <w:sz w:val="20"/>
          <w:szCs w:val="20"/>
          <w:lang w:eastAsia="en-CA"/>
        </w:rPr>
      </w:pPr>
    </w:p>
    <w:p w:rsidR="00AB61EA" w:rsidRPr="00AB61EA" w:rsidRDefault="00AB61EA" w:rsidP="00AB61EA">
      <w:pPr>
        <w:widowControl w:val="0"/>
        <w:jc w:val="both"/>
        <w:rPr>
          <w:rFonts w:eastAsia="Times New Roman" w:cs="Times New Roman"/>
          <w:sz w:val="20"/>
          <w:szCs w:val="20"/>
          <w:lang w:eastAsia="en-CA"/>
        </w:rPr>
      </w:pPr>
    </w:p>
    <w:p w:rsidR="00AB61EA" w:rsidRPr="00AB61EA" w:rsidRDefault="00AB61EA" w:rsidP="00AB61EA">
      <w:pPr>
        <w:widowControl w:val="0"/>
        <w:ind w:left="2880" w:hanging="2880"/>
        <w:jc w:val="both"/>
        <w:rPr>
          <w:rFonts w:eastAsia="Times New Roman" w:cs="Times New Roman"/>
          <w:sz w:val="20"/>
          <w:szCs w:val="20"/>
          <w:lang w:eastAsia="en-CA"/>
        </w:rPr>
      </w:pPr>
      <w:r w:rsidRPr="00AB61EA">
        <w:rPr>
          <w:rFonts w:eastAsia="Times New Roman" w:cs="Times New Roman"/>
          <w:sz w:val="20"/>
          <w:szCs w:val="20"/>
          <w:lang w:eastAsia="en-CA"/>
        </w:rPr>
        <w:t>Origin of the case:</w:t>
      </w:r>
      <w:r w:rsidRPr="00AB61EA">
        <w:rPr>
          <w:rFonts w:eastAsia="Times New Roman" w:cs="Times New Roman"/>
          <w:sz w:val="20"/>
          <w:szCs w:val="20"/>
          <w:lang w:eastAsia="en-CA"/>
        </w:rPr>
        <w:tab/>
        <w:t>Federal Court of Appeal</w:t>
      </w:r>
    </w:p>
    <w:p w:rsidR="00AB61EA" w:rsidRPr="00AB61EA" w:rsidRDefault="00AB61EA" w:rsidP="00AB61EA">
      <w:pPr>
        <w:widowControl w:val="0"/>
        <w:ind w:left="2880" w:hanging="2880"/>
        <w:jc w:val="both"/>
        <w:rPr>
          <w:rFonts w:eastAsia="Times New Roman" w:cs="Times New Roman"/>
          <w:sz w:val="20"/>
          <w:szCs w:val="20"/>
          <w:lang w:eastAsia="en-CA"/>
        </w:rPr>
      </w:pPr>
    </w:p>
    <w:p w:rsidR="00AB61EA" w:rsidRPr="00AB61EA" w:rsidRDefault="00AB61EA" w:rsidP="00AB61EA">
      <w:pPr>
        <w:widowControl w:val="0"/>
        <w:ind w:left="2880" w:hanging="2880"/>
        <w:jc w:val="both"/>
        <w:rPr>
          <w:rFonts w:eastAsia="Times New Roman" w:cs="Times New Roman"/>
          <w:sz w:val="20"/>
          <w:szCs w:val="20"/>
          <w:lang w:eastAsia="en-CA"/>
        </w:rPr>
      </w:pPr>
      <w:r w:rsidRPr="00AB61EA">
        <w:rPr>
          <w:rFonts w:eastAsia="Times New Roman" w:cs="Times New Roman"/>
          <w:sz w:val="20"/>
          <w:szCs w:val="20"/>
          <w:lang w:eastAsia="en-CA"/>
        </w:rPr>
        <w:t>File No.:</w:t>
      </w:r>
      <w:r w:rsidRPr="00AB61EA">
        <w:rPr>
          <w:rFonts w:eastAsia="Times New Roman" w:cs="Times New Roman"/>
          <w:sz w:val="20"/>
          <w:szCs w:val="20"/>
          <w:lang w:eastAsia="en-CA"/>
        </w:rPr>
        <w:tab/>
        <w:t>34534</w:t>
      </w:r>
    </w:p>
    <w:p w:rsidR="00AB61EA" w:rsidRPr="00AB61EA" w:rsidRDefault="00AB61EA" w:rsidP="00AB61EA">
      <w:pPr>
        <w:widowControl w:val="0"/>
        <w:ind w:left="2880" w:hanging="2880"/>
        <w:jc w:val="both"/>
        <w:rPr>
          <w:rFonts w:eastAsia="Times New Roman" w:cs="Times New Roman"/>
          <w:sz w:val="20"/>
          <w:szCs w:val="20"/>
          <w:lang w:eastAsia="en-CA"/>
        </w:rPr>
      </w:pPr>
    </w:p>
    <w:p w:rsidR="00AB61EA" w:rsidRPr="00AB61EA" w:rsidRDefault="00AB61EA" w:rsidP="00AB61EA">
      <w:pPr>
        <w:widowControl w:val="0"/>
        <w:ind w:left="2880" w:hanging="2880"/>
        <w:jc w:val="both"/>
        <w:rPr>
          <w:rFonts w:eastAsia="Times New Roman" w:cs="Times New Roman"/>
          <w:sz w:val="20"/>
          <w:szCs w:val="20"/>
          <w:lang w:eastAsia="en-CA"/>
        </w:rPr>
      </w:pPr>
      <w:r w:rsidRPr="00AB61EA">
        <w:rPr>
          <w:rFonts w:eastAsia="Times New Roman" w:cs="Times New Roman"/>
          <w:sz w:val="20"/>
          <w:szCs w:val="20"/>
          <w:lang w:eastAsia="en-CA"/>
        </w:rPr>
        <w:t>Judgment of the Court of Appeal:</w:t>
      </w:r>
      <w:r w:rsidRPr="00AB61EA">
        <w:rPr>
          <w:rFonts w:eastAsia="Times New Roman" w:cs="Times New Roman"/>
          <w:sz w:val="20"/>
          <w:szCs w:val="20"/>
          <w:lang w:eastAsia="en-CA"/>
        </w:rPr>
        <w:tab/>
        <w:t>September 23, 2011</w:t>
      </w:r>
    </w:p>
    <w:p w:rsidR="00AB61EA" w:rsidRPr="00AB61EA" w:rsidRDefault="00AB61EA" w:rsidP="00AB61EA">
      <w:pPr>
        <w:widowControl w:val="0"/>
        <w:ind w:left="2880" w:hanging="2880"/>
        <w:jc w:val="both"/>
        <w:rPr>
          <w:rFonts w:eastAsia="Times New Roman" w:cs="Times New Roman"/>
          <w:sz w:val="20"/>
          <w:szCs w:val="20"/>
          <w:lang w:eastAsia="en-CA"/>
        </w:rPr>
      </w:pPr>
    </w:p>
    <w:p w:rsidR="00AB61EA" w:rsidRPr="00AB61EA" w:rsidRDefault="00AB61EA" w:rsidP="00AB61EA">
      <w:pPr>
        <w:widowControl w:val="0"/>
        <w:ind w:left="2880" w:hanging="2880"/>
        <w:jc w:val="both"/>
        <w:rPr>
          <w:rFonts w:eastAsia="Times New Roman" w:cs="Times New Roman"/>
          <w:sz w:val="20"/>
          <w:szCs w:val="20"/>
          <w:lang w:eastAsia="en-CA"/>
        </w:rPr>
      </w:pPr>
      <w:r w:rsidRPr="00AB61EA">
        <w:rPr>
          <w:rFonts w:eastAsia="Times New Roman" w:cs="Times New Roman"/>
          <w:sz w:val="20"/>
          <w:szCs w:val="20"/>
          <w:lang w:eastAsia="en-CA"/>
        </w:rPr>
        <w:t>Counsel:</w:t>
      </w:r>
      <w:r w:rsidRPr="00AB61EA">
        <w:rPr>
          <w:rFonts w:eastAsia="Times New Roman" w:cs="Times New Roman"/>
          <w:sz w:val="20"/>
          <w:szCs w:val="20"/>
          <w:lang w:eastAsia="en-CA"/>
        </w:rPr>
        <w:tab/>
        <w:t>John H. Saunders for the appellant</w:t>
      </w:r>
    </w:p>
    <w:p w:rsidR="00AB61EA" w:rsidRPr="00AB61EA" w:rsidRDefault="00AB61EA" w:rsidP="00AB61EA">
      <w:pPr>
        <w:widowControl w:val="0"/>
        <w:ind w:left="2880" w:hanging="2880"/>
        <w:jc w:val="both"/>
        <w:rPr>
          <w:rFonts w:eastAsia="Times New Roman" w:cs="Times New Roman"/>
          <w:sz w:val="20"/>
          <w:szCs w:val="20"/>
          <w:lang w:eastAsia="en-CA"/>
        </w:rPr>
      </w:pPr>
      <w:r w:rsidRPr="00AB61EA">
        <w:rPr>
          <w:rFonts w:eastAsia="Times New Roman" w:cs="Times New Roman"/>
          <w:sz w:val="20"/>
          <w:szCs w:val="20"/>
          <w:lang w:eastAsia="en-CA"/>
        </w:rPr>
        <w:tab/>
        <w:t xml:space="preserve">David </w:t>
      </w:r>
      <w:proofErr w:type="spellStart"/>
      <w:r w:rsidRPr="00AB61EA">
        <w:rPr>
          <w:rFonts w:eastAsia="Times New Roman" w:cs="Times New Roman"/>
          <w:sz w:val="20"/>
          <w:szCs w:val="20"/>
          <w:lang w:eastAsia="en-CA"/>
        </w:rPr>
        <w:t>Jacyk</w:t>
      </w:r>
      <w:proofErr w:type="spellEnd"/>
      <w:r w:rsidRPr="00AB61EA">
        <w:rPr>
          <w:rFonts w:eastAsia="Times New Roman" w:cs="Times New Roman"/>
          <w:sz w:val="20"/>
          <w:szCs w:val="20"/>
          <w:lang w:eastAsia="en-CA"/>
        </w:rPr>
        <w:t xml:space="preserve"> and Matthew W. </w:t>
      </w:r>
      <w:proofErr w:type="spellStart"/>
      <w:r w:rsidRPr="00AB61EA">
        <w:rPr>
          <w:rFonts w:eastAsia="Times New Roman" w:cs="Times New Roman"/>
          <w:sz w:val="20"/>
          <w:szCs w:val="20"/>
          <w:lang w:eastAsia="en-CA"/>
        </w:rPr>
        <w:t>Turnell</w:t>
      </w:r>
      <w:proofErr w:type="spellEnd"/>
      <w:r w:rsidRPr="00AB61EA">
        <w:rPr>
          <w:rFonts w:eastAsia="Times New Roman" w:cs="Times New Roman"/>
          <w:sz w:val="20"/>
          <w:szCs w:val="20"/>
          <w:lang w:eastAsia="en-CA"/>
        </w:rPr>
        <w:t xml:space="preserve"> for the respondent</w:t>
      </w:r>
    </w:p>
    <w:p w:rsidR="003320D5" w:rsidRPr="00AB61EA"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8"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AB61EA" w:rsidRPr="00AB61EA" w:rsidRDefault="00F008AC" w:rsidP="00AB61EA">
      <w:pPr>
        <w:widowControl w:val="0"/>
        <w:ind w:left="720" w:hanging="720"/>
        <w:jc w:val="both"/>
        <w:rPr>
          <w:rFonts w:eastAsia="Times New Roman" w:cs="Times New Roman"/>
          <w:sz w:val="20"/>
          <w:szCs w:val="20"/>
          <w:lang w:val="fr-CA" w:eastAsia="en-CA"/>
        </w:rPr>
      </w:pPr>
      <w:r w:rsidRPr="00AB61EA">
        <w:rPr>
          <w:rFonts w:eastAsia="Times New Roman" w:cs="Times New Roman"/>
          <w:b/>
          <w:sz w:val="20"/>
          <w:szCs w:val="20"/>
          <w:lang w:val="fr-CA" w:eastAsia="en-CA"/>
        </w:rPr>
        <w:lastRenderedPageBreak/>
        <w:fldChar w:fldCharType="begin"/>
      </w:r>
      <w:r w:rsidR="00AB61EA" w:rsidRPr="00AB61EA">
        <w:rPr>
          <w:rFonts w:eastAsia="Times New Roman" w:cs="Times New Roman"/>
          <w:b/>
          <w:sz w:val="20"/>
          <w:szCs w:val="20"/>
          <w:lang w:val="fr-CA" w:eastAsia="en-CA"/>
        </w:rPr>
        <w:instrText xml:space="preserve"> SEQ CHAPTER \h \r 1</w:instrText>
      </w:r>
      <w:r w:rsidRPr="00AB61EA">
        <w:rPr>
          <w:rFonts w:eastAsia="Times New Roman" w:cs="Times New Roman"/>
          <w:b/>
          <w:sz w:val="20"/>
          <w:szCs w:val="20"/>
          <w:lang w:val="fr-CA" w:eastAsia="en-CA"/>
        </w:rPr>
        <w:fldChar w:fldCharType="end"/>
      </w:r>
      <w:r w:rsidR="00AB61EA" w:rsidRPr="00AB61EA">
        <w:rPr>
          <w:rFonts w:eastAsia="Times New Roman" w:cs="Times New Roman"/>
          <w:b/>
          <w:sz w:val="20"/>
          <w:szCs w:val="20"/>
          <w:lang w:val="fr-CA" w:eastAsia="en-CA"/>
        </w:rPr>
        <w:t>34534</w:t>
      </w:r>
      <w:r w:rsidR="00AB61EA" w:rsidRPr="00AB61EA">
        <w:rPr>
          <w:rFonts w:eastAsia="Times New Roman" w:cs="Times New Roman"/>
          <w:sz w:val="20"/>
          <w:szCs w:val="20"/>
          <w:lang w:val="fr-CA" w:eastAsia="en-CA"/>
        </w:rPr>
        <w:tab/>
      </w:r>
      <w:proofErr w:type="spellStart"/>
      <w:r w:rsidR="00AB61EA" w:rsidRPr="00AB61EA">
        <w:rPr>
          <w:rFonts w:eastAsia="Times New Roman" w:cs="Times New Roman"/>
          <w:b/>
          <w:i/>
          <w:sz w:val="20"/>
          <w:szCs w:val="20"/>
          <w:lang w:val="fr-CA" w:eastAsia="en-CA"/>
        </w:rPr>
        <w:t>Daishowa</w:t>
      </w:r>
      <w:r w:rsidR="00AB61EA" w:rsidRPr="00AB61EA">
        <w:rPr>
          <w:rFonts w:eastAsia="Times New Roman" w:cs="Times New Roman"/>
          <w:b/>
          <w:i/>
          <w:sz w:val="20"/>
          <w:szCs w:val="20"/>
          <w:lang w:val="fr-CA" w:eastAsia="en-CA"/>
        </w:rPr>
        <w:noBreakHyphen/>
        <w:t>Marubeni</w:t>
      </w:r>
      <w:proofErr w:type="spellEnd"/>
      <w:r w:rsidR="00AB61EA" w:rsidRPr="00AB61EA">
        <w:rPr>
          <w:rFonts w:eastAsia="Times New Roman" w:cs="Times New Roman"/>
          <w:b/>
          <w:i/>
          <w:sz w:val="20"/>
          <w:szCs w:val="20"/>
          <w:lang w:val="fr-CA" w:eastAsia="en-CA"/>
        </w:rPr>
        <w:t xml:space="preserve"> International Ltd. c. Sa Majesté la Reine</w:t>
      </w:r>
    </w:p>
    <w:p w:rsidR="00AB61EA" w:rsidRPr="00AB61EA" w:rsidRDefault="00AB61EA" w:rsidP="00AB61EA">
      <w:pPr>
        <w:widowControl w:val="0"/>
        <w:jc w:val="both"/>
        <w:rPr>
          <w:rFonts w:eastAsia="Times New Roman" w:cs="Times New Roman"/>
          <w:sz w:val="20"/>
          <w:szCs w:val="20"/>
          <w:lang w:val="fr-CA" w:eastAsia="en-CA"/>
        </w:rPr>
      </w:pPr>
    </w:p>
    <w:p w:rsidR="00AB61EA" w:rsidRPr="00AB61EA" w:rsidRDefault="00AB61EA" w:rsidP="00AB61EA">
      <w:pPr>
        <w:widowControl w:val="0"/>
        <w:jc w:val="both"/>
        <w:rPr>
          <w:rFonts w:eastAsia="Times New Roman" w:cs="Times New Roman"/>
          <w:sz w:val="20"/>
          <w:szCs w:val="20"/>
          <w:lang w:val="fr-CA" w:eastAsia="en-CA"/>
        </w:rPr>
      </w:pPr>
      <w:r w:rsidRPr="00AB61EA">
        <w:rPr>
          <w:rFonts w:eastAsia="Times New Roman" w:cs="Times New Roman"/>
          <w:sz w:val="20"/>
          <w:szCs w:val="20"/>
          <w:lang w:val="fr-CA" w:eastAsia="en-CA"/>
        </w:rPr>
        <w:t xml:space="preserve">Droit fiscal </w:t>
      </w:r>
      <w:r w:rsidRPr="00AB61EA">
        <w:rPr>
          <w:rFonts w:eastAsia="Times New Roman" w:cs="Times New Roman"/>
          <w:sz w:val="20"/>
          <w:szCs w:val="20"/>
          <w:lang w:val="fr-CA" w:eastAsia="en-CA"/>
        </w:rPr>
        <w:noBreakHyphen/>
        <w:t xml:space="preserve"> Impôt sur le revenu </w:t>
      </w:r>
      <w:r w:rsidRPr="00AB61EA">
        <w:rPr>
          <w:rFonts w:eastAsia="Times New Roman" w:cs="Times New Roman"/>
          <w:sz w:val="20"/>
          <w:szCs w:val="20"/>
          <w:lang w:val="fr-CA" w:eastAsia="en-CA"/>
        </w:rPr>
        <w:noBreakHyphen/>
        <w:t xml:space="preserve"> Cotisations </w:t>
      </w:r>
      <w:r w:rsidRPr="00AB61EA">
        <w:rPr>
          <w:rFonts w:eastAsia="Times New Roman" w:cs="Times New Roman"/>
          <w:sz w:val="20"/>
          <w:szCs w:val="20"/>
          <w:lang w:val="fr-CA" w:eastAsia="en-CA"/>
        </w:rPr>
        <w:noBreakHyphen/>
        <w:t xml:space="preserve"> Traitement fiscal d’éventualités prises en charge </w:t>
      </w:r>
      <w:r w:rsidRPr="00AB61EA">
        <w:rPr>
          <w:rFonts w:eastAsia="Times New Roman" w:cs="Times New Roman"/>
          <w:sz w:val="20"/>
          <w:szCs w:val="20"/>
          <w:lang w:val="fr-CA" w:eastAsia="en-CA"/>
        </w:rPr>
        <w:noBreakHyphen/>
        <w:t xml:space="preserve"> Montant à inclure s’il en est dans le produit de disposition à l’égard des obligations relatives au reboisement prises en charge par les acheteurs d’une exploitation de scierie </w:t>
      </w:r>
      <w:r w:rsidRPr="00AB61EA">
        <w:rPr>
          <w:rFonts w:eastAsia="Times New Roman" w:cs="Times New Roman"/>
          <w:sz w:val="20"/>
          <w:szCs w:val="20"/>
          <w:lang w:val="fr-CA" w:eastAsia="en-CA"/>
        </w:rPr>
        <w:noBreakHyphen/>
        <w:t xml:space="preserve"> Les responsabilités relatives au reboisement </w:t>
      </w:r>
      <w:proofErr w:type="spellStart"/>
      <w:r w:rsidRPr="00AB61EA">
        <w:rPr>
          <w:rFonts w:eastAsia="Times New Roman" w:cs="Times New Roman"/>
          <w:sz w:val="20"/>
          <w:szCs w:val="20"/>
          <w:lang w:val="fr-CA" w:eastAsia="en-CA"/>
        </w:rPr>
        <w:t>doivent</w:t>
      </w:r>
      <w:r w:rsidRPr="00AB61EA">
        <w:rPr>
          <w:rFonts w:eastAsia="Times New Roman" w:cs="Times New Roman"/>
          <w:sz w:val="20"/>
          <w:szCs w:val="20"/>
          <w:lang w:val="fr-CA" w:eastAsia="en-CA"/>
        </w:rPr>
        <w:noBreakHyphen/>
        <w:t>elles</w:t>
      </w:r>
      <w:proofErr w:type="spellEnd"/>
      <w:r w:rsidRPr="00AB61EA">
        <w:rPr>
          <w:rFonts w:eastAsia="Times New Roman" w:cs="Times New Roman"/>
          <w:sz w:val="20"/>
          <w:szCs w:val="20"/>
          <w:lang w:val="fr-CA" w:eastAsia="en-CA"/>
        </w:rPr>
        <w:t xml:space="preserve"> être incluses dans le produit de disposition parce que le vendeur est déchargé d’une responsabilité ou </w:t>
      </w:r>
      <w:proofErr w:type="spellStart"/>
      <w:r w:rsidRPr="00AB61EA">
        <w:rPr>
          <w:rFonts w:eastAsia="Times New Roman" w:cs="Times New Roman"/>
          <w:sz w:val="20"/>
          <w:szCs w:val="20"/>
          <w:lang w:val="fr-CA" w:eastAsia="en-CA"/>
        </w:rPr>
        <w:t>sont</w:t>
      </w:r>
      <w:r w:rsidRPr="00AB61EA">
        <w:rPr>
          <w:rFonts w:eastAsia="Times New Roman" w:cs="Times New Roman"/>
          <w:sz w:val="20"/>
          <w:szCs w:val="20"/>
          <w:lang w:val="fr-CA" w:eastAsia="en-CA"/>
        </w:rPr>
        <w:noBreakHyphen/>
        <w:t>elles</w:t>
      </w:r>
      <w:proofErr w:type="spellEnd"/>
      <w:r w:rsidRPr="00AB61EA">
        <w:rPr>
          <w:rFonts w:eastAsia="Times New Roman" w:cs="Times New Roman"/>
          <w:sz w:val="20"/>
          <w:szCs w:val="20"/>
          <w:lang w:val="fr-CA" w:eastAsia="en-CA"/>
        </w:rPr>
        <w:t xml:space="preserve"> plutôt rattachées aux tenures parce qu’elles en font partie intégrante? </w:t>
      </w:r>
      <w:r w:rsidRPr="00AB61EA">
        <w:rPr>
          <w:rFonts w:eastAsia="Times New Roman" w:cs="Times New Roman"/>
          <w:sz w:val="20"/>
          <w:szCs w:val="20"/>
          <w:lang w:val="fr-CA" w:eastAsia="en-CA"/>
        </w:rPr>
        <w:noBreakHyphen/>
        <w:t xml:space="preserve"> Le fait que les parties se soient entendues sur un montant fixe quant à la responsabilité relative au reboisement </w:t>
      </w:r>
      <w:proofErr w:type="spellStart"/>
      <w:r w:rsidRPr="00AB61EA">
        <w:rPr>
          <w:rFonts w:eastAsia="Times New Roman" w:cs="Times New Roman"/>
          <w:sz w:val="20"/>
          <w:szCs w:val="20"/>
          <w:lang w:val="fr-CA" w:eastAsia="en-CA"/>
        </w:rPr>
        <w:t>change</w:t>
      </w:r>
      <w:r w:rsidRPr="00AB61EA">
        <w:rPr>
          <w:rFonts w:eastAsia="Times New Roman" w:cs="Times New Roman"/>
          <w:sz w:val="20"/>
          <w:szCs w:val="20"/>
          <w:lang w:val="fr-CA" w:eastAsia="en-CA"/>
        </w:rPr>
        <w:noBreakHyphen/>
        <w:t>t</w:t>
      </w:r>
      <w:r w:rsidRPr="00AB61EA">
        <w:rPr>
          <w:rFonts w:eastAsia="Times New Roman" w:cs="Times New Roman"/>
          <w:sz w:val="20"/>
          <w:szCs w:val="20"/>
          <w:lang w:val="fr-CA" w:eastAsia="en-CA"/>
        </w:rPr>
        <w:noBreakHyphen/>
        <w:t>il</w:t>
      </w:r>
      <w:proofErr w:type="spellEnd"/>
      <w:r w:rsidRPr="00AB61EA">
        <w:rPr>
          <w:rFonts w:eastAsia="Times New Roman" w:cs="Times New Roman"/>
          <w:sz w:val="20"/>
          <w:szCs w:val="20"/>
          <w:lang w:val="fr-CA" w:eastAsia="en-CA"/>
        </w:rPr>
        <w:t xml:space="preserve"> quelque chose?</w:t>
      </w:r>
    </w:p>
    <w:p w:rsidR="00AB61EA" w:rsidRPr="00AB61EA" w:rsidRDefault="00AB61EA" w:rsidP="00AB61EA">
      <w:pPr>
        <w:widowControl w:val="0"/>
        <w:jc w:val="both"/>
        <w:rPr>
          <w:rFonts w:eastAsia="Times New Roman" w:cs="Times New Roman"/>
          <w:sz w:val="20"/>
          <w:szCs w:val="20"/>
          <w:lang w:val="fr-CA" w:eastAsia="en-CA"/>
        </w:rPr>
      </w:pPr>
    </w:p>
    <w:p w:rsidR="00AB61EA" w:rsidRPr="00AB61EA" w:rsidRDefault="00AB61EA" w:rsidP="00AB61EA">
      <w:pPr>
        <w:widowControl w:val="0"/>
        <w:jc w:val="both"/>
        <w:rPr>
          <w:rFonts w:eastAsia="Times New Roman" w:cs="Times New Roman"/>
          <w:sz w:val="20"/>
          <w:szCs w:val="20"/>
          <w:lang w:val="fr-CA" w:eastAsia="en-CA"/>
        </w:rPr>
      </w:pPr>
      <w:r w:rsidRPr="00AB61EA">
        <w:rPr>
          <w:rFonts w:eastAsia="Times New Roman" w:cs="Times New Roman"/>
          <w:sz w:val="20"/>
          <w:szCs w:val="20"/>
          <w:lang w:val="fr-CA" w:eastAsia="en-CA"/>
        </w:rPr>
        <w:t xml:space="preserve">L’appelante exploitait des usines de pâtes à papier en Alberta et en </w:t>
      </w:r>
      <w:proofErr w:type="spellStart"/>
      <w:r w:rsidRPr="00AB61EA">
        <w:rPr>
          <w:rFonts w:eastAsia="Times New Roman" w:cs="Times New Roman"/>
          <w:sz w:val="20"/>
          <w:szCs w:val="20"/>
          <w:lang w:val="fr-CA" w:eastAsia="en-CA"/>
        </w:rPr>
        <w:t>Colombie</w:t>
      </w:r>
      <w:r w:rsidRPr="00AB61EA">
        <w:rPr>
          <w:rFonts w:eastAsia="Times New Roman" w:cs="Times New Roman"/>
          <w:sz w:val="20"/>
          <w:szCs w:val="20"/>
          <w:lang w:val="fr-CA" w:eastAsia="en-CA"/>
        </w:rPr>
        <w:noBreakHyphen/>
        <w:t>Britannique</w:t>
      </w:r>
      <w:proofErr w:type="spellEnd"/>
      <w:r w:rsidRPr="00AB61EA">
        <w:rPr>
          <w:rFonts w:eastAsia="Times New Roman" w:cs="Times New Roman"/>
          <w:sz w:val="20"/>
          <w:szCs w:val="20"/>
          <w:lang w:val="fr-CA" w:eastAsia="en-CA"/>
        </w:rPr>
        <w:t xml:space="preserve">.  Deux de ses divisions exerçaient des activités de récolte.  Des obligations relatives à la sylviculture liées à ces droits de récolte obligeaient l’appelante à reboiser des terres.  L’appelante a vendu ses divisions de récolte à des acheteurs qui ont pris en charge les obligations relatives au reboisement.  Les obligations relatives à la sylviculture ont été déduites des prix de vente bruts.  Dans ses déclarations de revenus pour les années en cause, l’appelante a caractérisé les obligations relatives à la sylviculture d’obligations à long terme qui ne seraient pas imputées dans les 12 mois suivant des dates déterminées et d’obligations à court terme qui seraient imputées dans les 12 mois suivant des dates déterminées (le 31 octobre 1999 et le 31 décembre 1999).  La Province de l’Alberta plaide qu’aux termes de la </w:t>
      </w:r>
      <w:proofErr w:type="spellStart"/>
      <w:r w:rsidRPr="00AB61EA">
        <w:rPr>
          <w:rFonts w:eastAsia="Times New Roman" w:cs="Times New Roman"/>
          <w:i/>
          <w:sz w:val="20"/>
          <w:szCs w:val="20"/>
          <w:lang w:val="fr-CA" w:eastAsia="en-CA"/>
        </w:rPr>
        <w:t>Forests</w:t>
      </w:r>
      <w:proofErr w:type="spellEnd"/>
      <w:r w:rsidRPr="00AB61EA">
        <w:rPr>
          <w:rFonts w:eastAsia="Times New Roman" w:cs="Times New Roman"/>
          <w:i/>
          <w:sz w:val="20"/>
          <w:szCs w:val="20"/>
          <w:lang w:val="fr-CA" w:eastAsia="en-CA"/>
        </w:rPr>
        <w:t xml:space="preserve"> </w:t>
      </w:r>
      <w:proofErr w:type="spellStart"/>
      <w:r w:rsidRPr="00AB61EA">
        <w:rPr>
          <w:rFonts w:eastAsia="Times New Roman" w:cs="Times New Roman"/>
          <w:i/>
          <w:sz w:val="20"/>
          <w:szCs w:val="20"/>
          <w:lang w:val="fr-CA" w:eastAsia="en-CA"/>
        </w:rPr>
        <w:t>Act</w:t>
      </w:r>
      <w:proofErr w:type="spellEnd"/>
      <w:r w:rsidRPr="00AB61EA">
        <w:rPr>
          <w:rFonts w:eastAsia="Times New Roman" w:cs="Times New Roman"/>
          <w:sz w:val="20"/>
          <w:szCs w:val="20"/>
          <w:lang w:val="fr-CA" w:eastAsia="en-CA"/>
        </w:rPr>
        <w:t>, RSA 2000, ch. F</w:t>
      </w:r>
      <w:r w:rsidRPr="00AB61EA">
        <w:rPr>
          <w:rFonts w:eastAsia="Times New Roman" w:cs="Times New Roman"/>
          <w:sz w:val="20"/>
          <w:szCs w:val="20"/>
          <w:lang w:val="fr-CA" w:eastAsia="en-CA"/>
        </w:rPr>
        <w:noBreakHyphen/>
        <w:t xml:space="preserve">22, et des </w:t>
      </w:r>
      <w:proofErr w:type="spellStart"/>
      <w:r w:rsidRPr="00AB61EA">
        <w:rPr>
          <w:rFonts w:eastAsia="Times New Roman" w:cs="Times New Roman"/>
          <w:i/>
          <w:sz w:val="20"/>
          <w:szCs w:val="20"/>
          <w:lang w:val="fr-CA" w:eastAsia="en-CA"/>
        </w:rPr>
        <w:t>Timber</w:t>
      </w:r>
      <w:proofErr w:type="spellEnd"/>
      <w:r w:rsidRPr="00AB61EA">
        <w:rPr>
          <w:rFonts w:eastAsia="Times New Roman" w:cs="Times New Roman"/>
          <w:i/>
          <w:sz w:val="20"/>
          <w:szCs w:val="20"/>
          <w:lang w:val="fr-CA" w:eastAsia="en-CA"/>
        </w:rPr>
        <w:t xml:space="preserve"> Management </w:t>
      </w:r>
      <w:proofErr w:type="spellStart"/>
      <w:r w:rsidRPr="00AB61EA">
        <w:rPr>
          <w:rFonts w:eastAsia="Times New Roman" w:cs="Times New Roman"/>
          <w:i/>
          <w:sz w:val="20"/>
          <w:szCs w:val="20"/>
          <w:lang w:val="fr-CA" w:eastAsia="en-CA"/>
        </w:rPr>
        <w:t>Regulations</w:t>
      </w:r>
      <w:proofErr w:type="spellEnd"/>
      <w:r w:rsidRPr="00AB61EA">
        <w:rPr>
          <w:rFonts w:eastAsia="Times New Roman" w:cs="Times New Roman"/>
          <w:sz w:val="20"/>
          <w:szCs w:val="20"/>
          <w:lang w:val="fr-CA" w:eastAsia="en-CA"/>
        </w:rPr>
        <w:t>, Alta. Reg. 60</w:t>
      </w:r>
      <w:r w:rsidRPr="00AB61EA">
        <w:rPr>
          <w:rFonts w:eastAsia="Times New Roman" w:cs="Times New Roman"/>
          <w:sz w:val="20"/>
          <w:szCs w:val="20"/>
          <w:lang w:val="fr-CA" w:eastAsia="en-CA"/>
        </w:rPr>
        <w:noBreakHyphen/>
        <w:t xml:space="preserve">1973, le cessionnaire de droit de coupe prend en charge l’obligation relative au reboisement qui correspond à la tenure et le cédant n’est plus responsable.  Dans sa déclaration de revenus pour les années d’imposition 1999 et 2000, l’appelante n’a pas inclus dans son produit de disposition les montants relatifs aux obligations relatives à la sylviculture prises en charge par les acheteurs.  Le ministre du Revenu a établi une nouvelle cotisation de l’appelante relativement aux deux ventes en incluant, dans le calcul du produit de disposition des avoirs forestiers, des obligations estimatives relatives à la sylviculture de 11 millions de dollars pour l’année 1999 et de 2 966 301 $ pour l’année 2000. </w:t>
      </w:r>
    </w:p>
    <w:p w:rsidR="00AB61EA" w:rsidRPr="00AB61EA" w:rsidRDefault="00AB61EA" w:rsidP="00AB61EA">
      <w:pPr>
        <w:widowControl w:val="0"/>
        <w:jc w:val="both"/>
        <w:rPr>
          <w:rFonts w:eastAsia="Times New Roman" w:cs="Times New Roman"/>
          <w:sz w:val="20"/>
          <w:szCs w:val="20"/>
          <w:lang w:val="fr-CA" w:eastAsia="en-CA"/>
        </w:rPr>
      </w:pPr>
    </w:p>
    <w:p w:rsidR="00AB61EA" w:rsidRPr="00AB61EA" w:rsidRDefault="00AB61EA" w:rsidP="00AB61EA">
      <w:pPr>
        <w:widowControl w:val="0"/>
        <w:jc w:val="both"/>
        <w:rPr>
          <w:rFonts w:eastAsia="Times New Roman" w:cs="Times New Roman"/>
          <w:sz w:val="20"/>
          <w:szCs w:val="20"/>
          <w:lang w:val="fr-CA" w:eastAsia="en-CA"/>
        </w:rPr>
      </w:pPr>
    </w:p>
    <w:p w:rsidR="00AB61EA" w:rsidRPr="00AB61EA" w:rsidRDefault="00AB61EA" w:rsidP="00AB61EA">
      <w:pPr>
        <w:widowControl w:val="0"/>
        <w:ind w:left="2880" w:hanging="2880"/>
        <w:jc w:val="both"/>
        <w:rPr>
          <w:rFonts w:eastAsia="Times New Roman" w:cs="Times New Roman"/>
          <w:sz w:val="20"/>
          <w:szCs w:val="20"/>
          <w:lang w:val="fr-CA" w:eastAsia="en-CA"/>
        </w:rPr>
      </w:pPr>
      <w:r w:rsidRPr="00AB61EA">
        <w:rPr>
          <w:rFonts w:eastAsia="Times New Roman" w:cs="Times New Roman"/>
          <w:sz w:val="20"/>
          <w:szCs w:val="20"/>
          <w:lang w:val="fr-CA" w:eastAsia="en-CA"/>
        </w:rPr>
        <w:t>Origine :</w:t>
      </w:r>
      <w:r w:rsidRPr="00AB61EA">
        <w:rPr>
          <w:rFonts w:eastAsia="Times New Roman" w:cs="Times New Roman"/>
          <w:sz w:val="20"/>
          <w:szCs w:val="20"/>
          <w:lang w:val="fr-CA" w:eastAsia="en-CA"/>
        </w:rPr>
        <w:tab/>
        <w:t>Cour d’appel fédérale</w:t>
      </w:r>
    </w:p>
    <w:p w:rsidR="00AB61EA" w:rsidRPr="00AB61EA" w:rsidRDefault="00AB61EA" w:rsidP="00AB61EA">
      <w:pPr>
        <w:widowControl w:val="0"/>
        <w:ind w:left="2880" w:hanging="2880"/>
        <w:jc w:val="both"/>
        <w:rPr>
          <w:rFonts w:eastAsia="Times New Roman" w:cs="Times New Roman"/>
          <w:sz w:val="20"/>
          <w:szCs w:val="20"/>
          <w:lang w:val="fr-CA" w:eastAsia="en-CA"/>
        </w:rPr>
      </w:pPr>
    </w:p>
    <w:p w:rsidR="00AB61EA" w:rsidRPr="00AB61EA" w:rsidRDefault="00AB61EA" w:rsidP="00AB61EA">
      <w:pPr>
        <w:widowControl w:val="0"/>
        <w:ind w:left="2880" w:hanging="2880"/>
        <w:jc w:val="both"/>
        <w:rPr>
          <w:rFonts w:eastAsia="Times New Roman" w:cs="Times New Roman"/>
          <w:sz w:val="20"/>
          <w:szCs w:val="20"/>
          <w:lang w:val="fr-CA" w:eastAsia="en-CA"/>
        </w:rPr>
      </w:pPr>
      <w:r w:rsidRPr="00AB61EA">
        <w:rPr>
          <w:rFonts w:eastAsia="Times New Roman" w:cs="Times New Roman"/>
          <w:sz w:val="20"/>
          <w:szCs w:val="20"/>
          <w:lang w:val="fr-CA" w:eastAsia="en-CA"/>
        </w:rPr>
        <w:t>N</w:t>
      </w:r>
      <w:r w:rsidRPr="00AB61EA">
        <w:rPr>
          <w:rFonts w:eastAsia="Times New Roman" w:cs="Times New Roman"/>
          <w:sz w:val="20"/>
          <w:szCs w:val="20"/>
          <w:vertAlign w:val="superscript"/>
          <w:lang w:val="fr-CA" w:eastAsia="en-CA"/>
        </w:rPr>
        <w:t>o</w:t>
      </w:r>
      <w:r w:rsidRPr="00AB61EA">
        <w:rPr>
          <w:rFonts w:eastAsia="Times New Roman" w:cs="Times New Roman"/>
          <w:sz w:val="20"/>
          <w:szCs w:val="20"/>
          <w:lang w:val="fr-CA" w:eastAsia="en-CA"/>
        </w:rPr>
        <w:t xml:space="preserve"> du greffe :</w:t>
      </w:r>
      <w:r w:rsidRPr="00AB61EA">
        <w:rPr>
          <w:rFonts w:eastAsia="Times New Roman" w:cs="Times New Roman"/>
          <w:sz w:val="20"/>
          <w:szCs w:val="20"/>
          <w:lang w:val="fr-CA" w:eastAsia="en-CA"/>
        </w:rPr>
        <w:tab/>
        <w:t>34534</w:t>
      </w:r>
    </w:p>
    <w:p w:rsidR="00AB61EA" w:rsidRPr="00AB61EA" w:rsidRDefault="00AB61EA" w:rsidP="00AB61EA">
      <w:pPr>
        <w:widowControl w:val="0"/>
        <w:ind w:left="2880" w:hanging="2880"/>
        <w:jc w:val="both"/>
        <w:rPr>
          <w:rFonts w:eastAsia="Times New Roman" w:cs="Times New Roman"/>
          <w:sz w:val="20"/>
          <w:szCs w:val="20"/>
          <w:lang w:val="fr-CA" w:eastAsia="en-CA"/>
        </w:rPr>
      </w:pPr>
    </w:p>
    <w:p w:rsidR="00AB61EA" w:rsidRPr="00AB61EA" w:rsidRDefault="00AB61EA" w:rsidP="00AB61EA">
      <w:pPr>
        <w:widowControl w:val="0"/>
        <w:ind w:left="2880" w:hanging="2880"/>
        <w:jc w:val="both"/>
        <w:rPr>
          <w:rFonts w:eastAsia="Times New Roman" w:cs="Times New Roman"/>
          <w:sz w:val="20"/>
          <w:szCs w:val="20"/>
          <w:lang w:val="fr-CA" w:eastAsia="en-CA"/>
        </w:rPr>
      </w:pPr>
      <w:r w:rsidRPr="00AB61EA">
        <w:rPr>
          <w:rFonts w:eastAsia="Times New Roman" w:cs="Times New Roman"/>
          <w:sz w:val="20"/>
          <w:szCs w:val="20"/>
          <w:lang w:val="fr-CA" w:eastAsia="en-CA"/>
        </w:rPr>
        <w:t>Arrêt de la Cour d’appel :</w:t>
      </w:r>
      <w:r w:rsidRPr="00AB61EA">
        <w:rPr>
          <w:rFonts w:eastAsia="Times New Roman" w:cs="Times New Roman"/>
          <w:sz w:val="20"/>
          <w:szCs w:val="20"/>
          <w:lang w:val="fr-CA" w:eastAsia="en-CA"/>
        </w:rPr>
        <w:tab/>
        <w:t>le 23 septembre 2011</w:t>
      </w:r>
    </w:p>
    <w:p w:rsidR="00AB61EA" w:rsidRPr="00AB61EA" w:rsidRDefault="00AB61EA" w:rsidP="00AB61EA">
      <w:pPr>
        <w:widowControl w:val="0"/>
        <w:ind w:left="2880" w:hanging="2880"/>
        <w:jc w:val="both"/>
        <w:rPr>
          <w:rFonts w:eastAsia="Times New Roman" w:cs="Times New Roman"/>
          <w:sz w:val="20"/>
          <w:szCs w:val="20"/>
          <w:lang w:val="fr-CA" w:eastAsia="en-CA"/>
        </w:rPr>
      </w:pPr>
    </w:p>
    <w:p w:rsidR="00AB61EA" w:rsidRPr="00AB61EA" w:rsidRDefault="00AB61EA" w:rsidP="00AB61EA">
      <w:pPr>
        <w:widowControl w:val="0"/>
        <w:ind w:left="2880" w:hanging="2880"/>
        <w:jc w:val="both"/>
        <w:rPr>
          <w:rFonts w:eastAsia="Times New Roman" w:cs="Times New Roman"/>
          <w:sz w:val="20"/>
          <w:szCs w:val="20"/>
          <w:lang w:val="fr-CA" w:eastAsia="en-CA"/>
        </w:rPr>
      </w:pPr>
      <w:r w:rsidRPr="00AB61EA">
        <w:rPr>
          <w:rFonts w:eastAsia="Times New Roman" w:cs="Times New Roman"/>
          <w:sz w:val="20"/>
          <w:szCs w:val="20"/>
          <w:lang w:val="fr-CA" w:eastAsia="en-CA"/>
        </w:rPr>
        <w:t>Avocats :</w:t>
      </w:r>
      <w:r w:rsidRPr="00AB61EA">
        <w:rPr>
          <w:rFonts w:eastAsia="Times New Roman" w:cs="Times New Roman"/>
          <w:sz w:val="20"/>
          <w:szCs w:val="20"/>
          <w:lang w:val="fr-CA" w:eastAsia="en-CA"/>
        </w:rPr>
        <w:tab/>
        <w:t xml:space="preserve">John H. </w:t>
      </w:r>
      <w:proofErr w:type="spellStart"/>
      <w:r w:rsidRPr="00AB61EA">
        <w:rPr>
          <w:rFonts w:eastAsia="Times New Roman" w:cs="Times New Roman"/>
          <w:sz w:val="20"/>
          <w:szCs w:val="20"/>
          <w:lang w:val="fr-CA" w:eastAsia="en-CA"/>
        </w:rPr>
        <w:t>Saunders</w:t>
      </w:r>
      <w:proofErr w:type="spellEnd"/>
      <w:r w:rsidRPr="00AB61EA">
        <w:rPr>
          <w:rFonts w:eastAsia="Times New Roman" w:cs="Times New Roman"/>
          <w:sz w:val="20"/>
          <w:szCs w:val="20"/>
          <w:lang w:val="fr-CA" w:eastAsia="en-CA"/>
        </w:rPr>
        <w:t xml:space="preserve"> pour l’appelante</w:t>
      </w:r>
    </w:p>
    <w:p w:rsidR="00AB61EA" w:rsidRPr="00AB61EA" w:rsidRDefault="00AB61EA" w:rsidP="00AB61EA">
      <w:pPr>
        <w:widowControl w:val="0"/>
        <w:ind w:left="2880" w:hanging="2880"/>
        <w:jc w:val="both"/>
        <w:rPr>
          <w:rFonts w:eastAsia="Times New Roman" w:cs="Times New Roman"/>
          <w:sz w:val="20"/>
          <w:szCs w:val="20"/>
          <w:lang w:val="fr-CA" w:eastAsia="en-CA"/>
        </w:rPr>
      </w:pPr>
      <w:r w:rsidRPr="00AB61EA">
        <w:rPr>
          <w:rFonts w:eastAsia="Times New Roman" w:cs="Times New Roman"/>
          <w:sz w:val="20"/>
          <w:szCs w:val="20"/>
          <w:lang w:val="fr-CA" w:eastAsia="en-CA"/>
        </w:rPr>
        <w:tab/>
        <w:t xml:space="preserve">David </w:t>
      </w:r>
      <w:proofErr w:type="spellStart"/>
      <w:r w:rsidRPr="00AB61EA">
        <w:rPr>
          <w:rFonts w:eastAsia="Times New Roman" w:cs="Times New Roman"/>
          <w:sz w:val="20"/>
          <w:szCs w:val="20"/>
          <w:lang w:val="fr-CA" w:eastAsia="en-CA"/>
        </w:rPr>
        <w:t>Jacyk</w:t>
      </w:r>
      <w:proofErr w:type="spellEnd"/>
      <w:r w:rsidRPr="00AB61EA">
        <w:rPr>
          <w:rFonts w:eastAsia="Times New Roman" w:cs="Times New Roman"/>
          <w:sz w:val="20"/>
          <w:szCs w:val="20"/>
          <w:lang w:val="fr-CA" w:eastAsia="en-CA"/>
        </w:rPr>
        <w:t xml:space="preserve"> et Matthew W. </w:t>
      </w:r>
      <w:proofErr w:type="spellStart"/>
      <w:r w:rsidRPr="00AB61EA">
        <w:rPr>
          <w:rFonts w:eastAsia="Times New Roman" w:cs="Times New Roman"/>
          <w:sz w:val="20"/>
          <w:szCs w:val="20"/>
          <w:lang w:val="fr-CA" w:eastAsia="en-CA"/>
        </w:rPr>
        <w:t>Turnell</w:t>
      </w:r>
      <w:proofErr w:type="spellEnd"/>
      <w:r w:rsidRPr="00AB61EA">
        <w:rPr>
          <w:rFonts w:eastAsia="Times New Roman" w:cs="Times New Roman"/>
          <w:sz w:val="20"/>
          <w:szCs w:val="20"/>
          <w:lang w:val="fr-CA" w:eastAsia="en-CA"/>
        </w:rPr>
        <w:t xml:space="preserve"> pour l’intimée</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79"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B45050" w:rsidRDefault="00B45050">
      <w:pPr>
        <w:rPr>
          <w:sz w:val="20"/>
          <w:szCs w:val="20"/>
          <w:lang w:val="fr-CA"/>
        </w:rPr>
      </w:pPr>
      <w:r>
        <w:rPr>
          <w:sz w:val="20"/>
          <w:szCs w:val="20"/>
          <w:lang w:val="fr-CA"/>
        </w:rPr>
        <w:br w:type="page"/>
      </w:r>
    </w:p>
    <w:p w:rsidR="00B45050" w:rsidRPr="003943F8" w:rsidRDefault="00F008AC" w:rsidP="00B45050">
      <w:pPr>
        <w:widowControl w:val="0"/>
        <w:ind w:left="720" w:hanging="720"/>
        <w:jc w:val="both"/>
        <w:rPr>
          <w:rFonts w:eastAsia="Times New Roman" w:cs="Times New Roman"/>
          <w:sz w:val="20"/>
          <w:szCs w:val="20"/>
          <w:lang w:eastAsia="en-CA"/>
        </w:rPr>
      </w:pPr>
      <w:r w:rsidRPr="00F008AC">
        <w:rPr>
          <w:rFonts w:eastAsia="Times New Roman" w:cs="Times New Roman"/>
          <w:b/>
          <w:sz w:val="20"/>
          <w:szCs w:val="20"/>
          <w:lang w:eastAsia="en-CA"/>
        </w:rPr>
        <w:lastRenderedPageBreak/>
        <w:fldChar w:fldCharType="begin"/>
      </w:r>
      <w:r w:rsidR="00B45050" w:rsidRPr="003943F8">
        <w:rPr>
          <w:rFonts w:eastAsia="Times New Roman" w:cs="Times New Roman"/>
          <w:b/>
          <w:sz w:val="20"/>
          <w:szCs w:val="20"/>
          <w:lang w:val="en-US" w:eastAsia="en-CA"/>
        </w:rPr>
        <w:instrText xml:space="preserve"> SEQ CHAPTER \h \r 1</w:instrText>
      </w:r>
      <w:r w:rsidRPr="003943F8">
        <w:rPr>
          <w:rFonts w:eastAsia="Times New Roman" w:cs="Times New Roman"/>
          <w:b/>
          <w:sz w:val="20"/>
          <w:szCs w:val="20"/>
          <w:lang w:val="en-US" w:eastAsia="en-CA"/>
        </w:rPr>
        <w:fldChar w:fldCharType="end"/>
      </w:r>
      <w:proofErr w:type="gramStart"/>
      <w:r w:rsidR="00B45050" w:rsidRPr="003943F8">
        <w:rPr>
          <w:rFonts w:eastAsia="Times New Roman" w:cs="Times New Roman"/>
          <w:b/>
          <w:sz w:val="20"/>
          <w:szCs w:val="20"/>
          <w:lang w:eastAsia="en-CA"/>
        </w:rPr>
        <w:t>34732</w:t>
      </w:r>
      <w:r w:rsidR="00B45050" w:rsidRPr="003943F8">
        <w:rPr>
          <w:rFonts w:eastAsia="Times New Roman" w:cs="Times New Roman"/>
          <w:sz w:val="20"/>
          <w:szCs w:val="20"/>
          <w:lang w:eastAsia="en-CA"/>
        </w:rPr>
        <w:tab/>
      </w:r>
      <w:proofErr w:type="spellStart"/>
      <w:r w:rsidR="00B45050" w:rsidRPr="003943F8">
        <w:rPr>
          <w:rFonts w:eastAsia="Times New Roman" w:cs="Times New Roman"/>
          <w:b/>
          <w:i/>
          <w:sz w:val="20"/>
          <w:szCs w:val="20"/>
          <w:lang w:eastAsia="en-CA"/>
        </w:rPr>
        <w:t>Yousanthan</w:t>
      </w:r>
      <w:proofErr w:type="spellEnd"/>
      <w:r w:rsidR="00B45050" w:rsidRPr="003943F8">
        <w:rPr>
          <w:rFonts w:eastAsia="Times New Roman" w:cs="Times New Roman"/>
          <w:b/>
          <w:i/>
          <w:sz w:val="20"/>
          <w:szCs w:val="20"/>
          <w:lang w:eastAsia="en-CA"/>
        </w:rPr>
        <w:t xml:space="preserve"> </w:t>
      </w:r>
      <w:proofErr w:type="spellStart"/>
      <w:r w:rsidR="00B45050" w:rsidRPr="003943F8">
        <w:rPr>
          <w:rFonts w:eastAsia="Times New Roman" w:cs="Times New Roman"/>
          <w:b/>
          <w:i/>
          <w:sz w:val="20"/>
          <w:szCs w:val="20"/>
          <w:lang w:eastAsia="en-CA"/>
        </w:rPr>
        <w:t>Youvarajah</w:t>
      </w:r>
      <w:proofErr w:type="spellEnd"/>
      <w:r w:rsidR="00B45050" w:rsidRPr="003943F8">
        <w:rPr>
          <w:rFonts w:eastAsia="Times New Roman" w:cs="Times New Roman"/>
          <w:b/>
          <w:i/>
          <w:sz w:val="20"/>
          <w:szCs w:val="20"/>
          <w:lang w:eastAsia="en-CA"/>
        </w:rPr>
        <w:t xml:space="preserve"> v.</w:t>
      </w:r>
      <w:proofErr w:type="gramEnd"/>
      <w:r w:rsidR="00B45050" w:rsidRPr="003943F8">
        <w:rPr>
          <w:rFonts w:eastAsia="Times New Roman" w:cs="Times New Roman"/>
          <w:b/>
          <w:i/>
          <w:sz w:val="20"/>
          <w:szCs w:val="20"/>
          <w:lang w:eastAsia="en-CA"/>
        </w:rPr>
        <w:t xml:space="preserve"> Her Majesty the Queen</w:t>
      </w:r>
    </w:p>
    <w:p w:rsidR="00B45050" w:rsidRPr="003943F8" w:rsidRDefault="00B45050" w:rsidP="00B45050">
      <w:pPr>
        <w:widowControl w:val="0"/>
        <w:jc w:val="both"/>
        <w:rPr>
          <w:rFonts w:eastAsia="Times New Roman" w:cs="Times New Roman"/>
          <w:sz w:val="20"/>
          <w:szCs w:val="20"/>
          <w:lang w:eastAsia="en-CA"/>
        </w:rPr>
      </w:pPr>
    </w:p>
    <w:p w:rsidR="00B45050" w:rsidRPr="003943F8" w:rsidRDefault="00B45050" w:rsidP="00B45050">
      <w:pPr>
        <w:widowControl w:val="0"/>
        <w:jc w:val="both"/>
        <w:rPr>
          <w:rFonts w:eastAsia="Times New Roman" w:cs="Times New Roman"/>
          <w:smallCaps/>
          <w:sz w:val="20"/>
          <w:szCs w:val="20"/>
          <w:lang w:eastAsia="en-CA"/>
        </w:rPr>
      </w:pPr>
      <w:r w:rsidRPr="003943F8">
        <w:rPr>
          <w:rFonts w:eastAsia="Times New Roman" w:cs="Times New Roman"/>
          <w:smallCaps/>
          <w:sz w:val="20"/>
          <w:szCs w:val="20"/>
          <w:lang w:eastAsia="en-CA"/>
        </w:rPr>
        <w:t xml:space="preserve">(Publication </w:t>
      </w:r>
      <w:r>
        <w:rPr>
          <w:rFonts w:eastAsia="Times New Roman" w:cs="Times New Roman"/>
          <w:smallCaps/>
          <w:sz w:val="20"/>
          <w:szCs w:val="20"/>
          <w:lang w:eastAsia="en-CA"/>
        </w:rPr>
        <w:t>B</w:t>
      </w:r>
      <w:r w:rsidRPr="003943F8">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3943F8">
        <w:rPr>
          <w:rFonts w:eastAsia="Times New Roman" w:cs="Times New Roman"/>
          <w:smallCaps/>
          <w:sz w:val="20"/>
          <w:szCs w:val="20"/>
          <w:lang w:eastAsia="en-CA"/>
        </w:rPr>
        <w:t>ase)</w:t>
      </w:r>
    </w:p>
    <w:p w:rsidR="00B45050" w:rsidRPr="003943F8" w:rsidRDefault="00B45050" w:rsidP="00B45050">
      <w:pPr>
        <w:widowControl w:val="0"/>
        <w:jc w:val="both"/>
        <w:rPr>
          <w:rFonts w:eastAsia="Times New Roman" w:cs="Times New Roman"/>
          <w:sz w:val="20"/>
          <w:szCs w:val="20"/>
          <w:lang w:eastAsia="en-CA"/>
        </w:rPr>
      </w:pPr>
    </w:p>
    <w:p w:rsidR="00B45050" w:rsidRPr="003943F8" w:rsidRDefault="00B45050" w:rsidP="00B45050">
      <w:pPr>
        <w:widowControl w:val="0"/>
        <w:jc w:val="both"/>
        <w:rPr>
          <w:rFonts w:eastAsia="Times New Roman" w:cs="Times New Roman"/>
          <w:sz w:val="20"/>
          <w:szCs w:val="20"/>
          <w:lang w:eastAsia="en-CA"/>
        </w:rPr>
      </w:pPr>
      <w:r w:rsidRPr="003943F8">
        <w:rPr>
          <w:rFonts w:eastAsia="Times New Roman" w:cs="Times New Roman"/>
          <w:sz w:val="20"/>
          <w:szCs w:val="20"/>
          <w:lang w:eastAsia="en-CA"/>
        </w:rPr>
        <w:t xml:space="preserve">Criminal law </w:t>
      </w:r>
      <w:r w:rsidRPr="003943F8">
        <w:rPr>
          <w:rFonts w:eastAsia="Times New Roman" w:cs="Times New Roman"/>
          <w:sz w:val="20"/>
          <w:szCs w:val="20"/>
          <w:lang w:eastAsia="en-CA"/>
        </w:rPr>
        <w:noBreakHyphen/>
        <w:t xml:space="preserve"> Evidence </w:t>
      </w:r>
      <w:r w:rsidRPr="003943F8">
        <w:rPr>
          <w:rFonts w:eastAsia="Times New Roman" w:cs="Times New Roman"/>
          <w:sz w:val="20"/>
          <w:szCs w:val="20"/>
          <w:lang w:eastAsia="en-CA"/>
        </w:rPr>
        <w:noBreakHyphen/>
        <w:t xml:space="preserve"> Hearsay </w:t>
      </w:r>
      <w:r w:rsidRPr="003943F8">
        <w:rPr>
          <w:rFonts w:eastAsia="Times New Roman" w:cs="Times New Roman"/>
          <w:sz w:val="20"/>
          <w:szCs w:val="20"/>
          <w:lang w:eastAsia="en-CA"/>
        </w:rPr>
        <w:noBreakHyphen/>
        <w:t xml:space="preserve"> Admissibility of prior inconsistent statements </w:t>
      </w:r>
      <w:r w:rsidRPr="003943F8">
        <w:rPr>
          <w:rFonts w:eastAsia="Times New Roman" w:cs="Times New Roman"/>
          <w:sz w:val="20"/>
          <w:szCs w:val="20"/>
          <w:lang w:eastAsia="en-CA"/>
        </w:rPr>
        <w:noBreakHyphen/>
        <w:t xml:space="preserve"> Reliability </w:t>
      </w:r>
      <w:r w:rsidRPr="003943F8">
        <w:rPr>
          <w:rFonts w:eastAsia="Times New Roman" w:cs="Times New Roman"/>
          <w:sz w:val="20"/>
          <w:szCs w:val="20"/>
          <w:lang w:eastAsia="en-CA"/>
        </w:rPr>
        <w:noBreakHyphen/>
        <w:t xml:space="preserve"> Application of </w:t>
      </w:r>
      <w:r w:rsidRPr="003943F8">
        <w:rPr>
          <w:rFonts w:eastAsia="Times New Roman" w:cs="Times New Roman"/>
          <w:i/>
          <w:sz w:val="20"/>
          <w:szCs w:val="20"/>
          <w:lang w:val="en-US" w:eastAsia="en-CA"/>
        </w:rPr>
        <w:t xml:space="preserve">R. </w:t>
      </w:r>
      <w:r w:rsidRPr="003943F8">
        <w:rPr>
          <w:rFonts w:eastAsia="Times New Roman" w:cs="Times New Roman"/>
          <w:i/>
          <w:iCs/>
          <w:sz w:val="20"/>
          <w:szCs w:val="20"/>
          <w:lang w:val="en-US" w:eastAsia="en-CA"/>
        </w:rPr>
        <w:t>v.</w:t>
      </w:r>
      <w:r w:rsidRPr="003943F8">
        <w:rPr>
          <w:rFonts w:eastAsia="Times New Roman" w:cs="Times New Roman"/>
          <w:i/>
          <w:sz w:val="20"/>
          <w:szCs w:val="20"/>
          <w:lang w:val="en-US" w:eastAsia="en-CA"/>
        </w:rPr>
        <w:t xml:space="preserve"> B. (K.G.)</w:t>
      </w:r>
      <w:r w:rsidRPr="003943F8">
        <w:rPr>
          <w:rFonts w:eastAsia="Times New Roman" w:cs="Times New Roman"/>
          <w:sz w:val="20"/>
          <w:szCs w:val="20"/>
          <w:lang w:val="en-US" w:eastAsia="en-CA"/>
        </w:rPr>
        <w:t xml:space="preserve">, [1993] 1 S.C.R. 740 </w:t>
      </w:r>
      <w:r w:rsidRPr="003943F8">
        <w:rPr>
          <w:rFonts w:eastAsia="Times New Roman" w:cs="Times New Roman"/>
          <w:sz w:val="20"/>
          <w:szCs w:val="20"/>
          <w:lang w:val="en-US" w:eastAsia="en-CA"/>
        </w:rPr>
        <w:noBreakHyphen/>
        <w:t xml:space="preserve"> </w:t>
      </w:r>
      <w:r w:rsidRPr="003943F8">
        <w:rPr>
          <w:rFonts w:eastAsia="Times New Roman" w:cs="Times New Roman"/>
          <w:sz w:val="20"/>
          <w:szCs w:val="20"/>
          <w:lang w:eastAsia="en-CA"/>
        </w:rPr>
        <w:t xml:space="preserve">Whether the Court of Appeal erred in holding the trial judge responsible for the Crown’s decisions at trial not to call D.S.’s former counsel to testify and not to ask certain questions of D.S </w:t>
      </w:r>
      <w:r w:rsidRPr="003943F8">
        <w:rPr>
          <w:rFonts w:eastAsia="Times New Roman" w:cs="Times New Roman"/>
          <w:sz w:val="20"/>
          <w:szCs w:val="20"/>
          <w:lang w:eastAsia="en-CA"/>
        </w:rPr>
        <w:noBreakHyphen/>
        <w:t xml:space="preserve"> Whether D.S.’s assertion of solicitor</w:t>
      </w:r>
      <w:r w:rsidRPr="003943F8">
        <w:rPr>
          <w:rFonts w:eastAsia="Times New Roman" w:cs="Times New Roman"/>
          <w:sz w:val="20"/>
          <w:szCs w:val="20"/>
          <w:lang w:eastAsia="en-CA"/>
        </w:rPr>
        <w:noBreakHyphen/>
      </w:r>
      <w:proofErr w:type="spellStart"/>
      <w:r w:rsidRPr="003943F8">
        <w:rPr>
          <w:rFonts w:eastAsia="Times New Roman" w:cs="Times New Roman"/>
          <w:sz w:val="20"/>
          <w:szCs w:val="20"/>
          <w:lang w:eastAsia="en-CA"/>
        </w:rPr>
        <w:t>client</w:t>
      </w:r>
      <w:proofErr w:type="spellEnd"/>
      <w:r w:rsidRPr="003943F8">
        <w:rPr>
          <w:rFonts w:eastAsia="Times New Roman" w:cs="Times New Roman"/>
          <w:sz w:val="20"/>
          <w:szCs w:val="20"/>
          <w:lang w:eastAsia="en-CA"/>
        </w:rPr>
        <w:t xml:space="preserve"> privilege made the opportunity to cross</w:t>
      </w:r>
      <w:r w:rsidRPr="003943F8">
        <w:rPr>
          <w:rFonts w:eastAsia="Times New Roman" w:cs="Times New Roman"/>
          <w:sz w:val="20"/>
          <w:szCs w:val="20"/>
          <w:lang w:eastAsia="en-CA"/>
        </w:rPr>
        <w:noBreakHyphen/>
        <w:t xml:space="preserve">examine him to a large extent illusory </w:t>
      </w:r>
      <w:r w:rsidRPr="003943F8">
        <w:rPr>
          <w:rFonts w:eastAsia="Times New Roman" w:cs="Times New Roman"/>
          <w:sz w:val="20"/>
          <w:szCs w:val="20"/>
          <w:lang w:eastAsia="en-CA"/>
        </w:rPr>
        <w:noBreakHyphen/>
        <w:t xml:space="preserve"> Whether the trial judge erred by failing to consider whether the circumstances surrounding the preparation and presentation of the agreed statement of facts provided adequate substitutes for customary court processes to meet the standard of threshold reliability.</w:t>
      </w:r>
    </w:p>
    <w:p w:rsidR="00B45050" w:rsidRPr="003943F8" w:rsidRDefault="00B45050" w:rsidP="00B45050">
      <w:pPr>
        <w:widowControl w:val="0"/>
        <w:jc w:val="both"/>
        <w:rPr>
          <w:rFonts w:eastAsia="Times New Roman" w:cs="Times New Roman"/>
          <w:sz w:val="20"/>
          <w:szCs w:val="20"/>
          <w:lang w:eastAsia="en-CA"/>
        </w:rPr>
      </w:pPr>
    </w:p>
    <w:p w:rsidR="00B45050" w:rsidRPr="003943F8" w:rsidRDefault="00B45050" w:rsidP="00B45050">
      <w:pPr>
        <w:widowControl w:val="0"/>
        <w:jc w:val="both"/>
        <w:rPr>
          <w:rFonts w:eastAsia="Times New Roman" w:cs="Times New Roman"/>
          <w:sz w:val="20"/>
          <w:szCs w:val="20"/>
          <w:lang w:eastAsia="en-CA"/>
        </w:rPr>
      </w:pPr>
      <w:r w:rsidRPr="003943F8">
        <w:rPr>
          <w:rFonts w:eastAsia="Times New Roman" w:cs="Times New Roman"/>
          <w:sz w:val="20"/>
          <w:szCs w:val="20"/>
          <w:lang w:eastAsia="en-CA"/>
        </w:rPr>
        <w:t xml:space="preserve">The appellant, </w:t>
      </w:r>
      <w:proofErr w:type="spellStart"/>
      <w:r w:rsidRPr="003943F8">
        <w:rPr>
          <w:rFonts w:eastAsia="Times New Roman" w:cs="Times New Roman"/>
          <w:sz w:val="20"/>
          <w:szCs w:val="20"/>
          <w:lang w:eastAsia="en-CA"/>
        </w:rPr>
        <w:t>Yousanthan</w:t>
      </w:r>
      <w:proofErr w:type="spellEnd"/>
      <w:r w:rsidRPr="003943F8">
        <w:rPr>
          <w:rFonts w:eastAsia="Times New Roman" w:cs="Times New Roman"/>
          <w:sz w:val="20"/>
          <w:szCs w:val="20"/>
          <w:lang w:eastAsia="en-CA"/>
        </w:rPr>
        <w:t xml:space="preserve"> </w:t>
      </w:r>
      <w:proofErr w:type="spellStart"/>
      <w:r w:rsidRPr="003943F8">
        <w:rPr>
          <w:rFonts w:eastAsia="Times New Roman" w:cs="Times New Roman"/>
          <w:sz w:val="20"/>
          <w:szCs w:val="20"/>
          <w:lang w:eastAsia="en-CA"/>
        </w:rPr>
        <w:t>Youvarajah</w:t>
      </w:r>
      <w:proofErr w:type="spellEnd"/>
      <w:r w:rsidRPr="003943F8">
        <w:rPr>
          <w:rFonts w:eastAsia="Times New Roman" w:cs="Times New Roman"/>
          <w:sz w:val="20"/>
          <w:szCs w:val="20"/>
          <w:lang w:eastAsia="en-CA"/>
        </w:rPr>
        <w:t xml:space="preserve">, and a young person, D.S., were charged with first degree murder and tried separately.  The Crown accepted that the young person was the shooter and alleged that </w:t>
      </w:r>
      <w:proofErr w:type="spellStart"/>
      <w:r w:rsidRPr="003943F8">
        <w:rPr>
          <w:rFonts w:eastAsia="Times New Roman" w:cs="Times New Roman"/>
          <w:sz w:val="20"/>
          <w:szCs w:val="20"/>
          <w:lang w:eastAsia="en-CA"/>
        </w:rPr>
        <w:t>Youvarajah</w:t>
      </w:r>
      <w:proofErr w:type="spellEnd"/>
      <w:r w:rsidRPr="003943F8">
        <w:rPr>
          <w:rFonts w:eastAsia="Times New Roman" w:cs="Times New Roman"/>
          <w:sz w:val="20"/>
          <w:szCs w:val="20"/>
          <w:lang w:eastAsia="en-CA"/>
        </w:rPr>
        <w:t xml:space="preserve"> arranged for the shooting because the victim, an occasional drug dealer, had short</w:t>
      </w:r>
      <w:r w:rsidRPr="003943F8">
        <w:rPr>
          <w:rFonts w:eastAsia="Times New Roman" w:cs="Times New Roman"/>
          <w:sz w:val="20"/>
          <w:szCs w:val="20"/>
          <w:lang w:eastAsia="en-CA"/>
        </w:rPr>
        <w:noBreakHyphen/>
        <w:t xml:space="preserve">changed him on two previous occasions.  During his trial, the young person pleaded guilty to second degree murder, and his counsel and the Crown signed an agreed statement of facts which stipulated among other things that </w:t>
      </w:r>
      <w:proofErr w:type="spellStart"/>
      <w:r w:rsidRPr="003943F8">
        <w:rPr>
          <w:rFonts w:eastAsia="Times New Roman" w:cs="Times New Roman"/>
          <w:sz w:val="20"/>
          <w:szCs w:val="20"/>
          <w:lang w:eastAsia="en-CA"/>
        </w:rPr>
        <w:t>Youvarajah</w:t>
      </w:r>
      <w:proofErr w:type="spellEnd"/>
      <w:r w:rsidRPr="003943F8">
        <w:rPr>
          <w:rFonts w:eastAsia="Times New Roman" w:cs="Times New Roman"/>
          <w:sz w:val="20"/>
          <w:szCs w:val="20"/>
          <w:lang w:eastAsia="en-CA"/>
        </w:rPr>
        <w:t xml:space="preserve"> (a) gave the young person the handgun used in the shooting, (b) told him to shoot the victim and (c) demanded the handgun back shortly after the shooting.  During the course of </w:t>
      </w:r>
      <w:proofErr w:type="spellStart"/>
      <w:r w:rsidRPr="003943F8">
        <w:rPr>
          <w:rFonts w:eastAsia="Times New Roman" w:cs="Times New Roman"/>
          <w:sz w:val="20"/>
          <w:szCs w:val="20"/>
          <w:lang w:eastAsia="en-CA"/>
        </w:rPr>
        <w:t>Youvarajah’s</w:t>
      </w:r>
      <w:proofErr w:type="spellEnd"/>
      <w:r w:rsidRPr="003943F8">
        <w:rPr>
          <w:rFonts w:eastAsia="Times New Roman" w:cs="Times New Roman"/>
          <w:sz w:val="20"/>
          <w:szCs w:val="20"/>
          <w:lang w:eastAsia="en-CA"/>
        </w:rPr>
        <w:t xml:space="preserve"> trial, the young person recanted portions of the agreed statement of facts.  In response, the Crown sought to have the agreed statement of facts admitted as evidence capable of proving the truth of its contents.  The application was dismissed on the basis that it did not meet the necessary threshold of reliability for the admission of hearsay evidence.  </w:t>
      </w:r>
      <w:proofErr w:type="spellStart"/>
      <w:r w:rsidRPr="003943F8">
        <w:rPr>
          <w:rFonts w:eastAsia="Times New Roman" w:cs="Times New Roman"/>
          <w:sz w:val="20"/>
          <w:szCs w:val="20"/>
          <w:lang w:eastAsia="en-CA"/>
        </w:rPr>
        <w:t>Youvarajah’s</w:t>
      </w:r>
      <w:proofErr w:type="spellEnd"/>
      <w:r w:rsidRPr="003943F8">
        <w:rPr>
          <w:rFonts w:eastAsia="Times New Roman" w:cs="Times New Roman"/>
          <w:sz w:val="20"/>
          <w:szCs w:val="20"/>
          <w:lang w:eastAsia="en-CA"/>
        </w:rPr>
        <w:t xml:space="preserve"> request for a directed verdict of acquittal was subsequently granted.  The Court of Appeal allowed the appeal and ordered a new trial. </w:t>
      </w:r>
    </w:p>
    <w:p w:rsidR="00B45050" w:rsidRPr="003943F8" w:rsidRDefault="00B45050" w:rsidP="00B45050">
      <w:pPr>
        <w:widowControl w:val="0"/>
        <w:jc w:val="both"/>
        <w:rPr>
          <w:rFonts w:eastAsia="Times New Roman" w:cs="Times New Roman"/>
          <w:sz w:val="20"/>
          <w:szCs w:val="20"/>
          <w:lang w:eastAsia="en-CA"/>
        </w:rPr>
      </w:pPr>
    </w:p>
    <w:p w:rsidR="00B45050" w:rsidRPr="003943F8" w:rsidRDefault="00B45050" w:rsidP="00B45050">
      <w:pPr>
        <w:widowControl w:val="0"/>
        <w:jc w:val="both"/>
        <w:rPr>
          <w:rFonts w:eastAsia="Times New Roman" w:cs="Times New Roman"/>
          <w:sz w:val="20"/>
          <w:szCs w:val="20"/>
          <w:lang w:eastAsia="en-CA"/>
        </w:rPr>
      </w:pPr>
    </w:p>
    <w:p w:rsidR="00B45050" w:rsidRPr="003943F8" w:rsidRDefault="00B45050" w:rsidP="00B45050">
      <w:pPr>
        <w:widowControl w:val="0"/>
        <w:ind w:left="2880" w:hanging="2880"/>
        <w:jc w:val="both"/>
        <w:rPr>
          <w:rFonts w:eastAsia="Times New Roman" w:cs="Times New Roman"/>
          <w:sz w:val="20"/>
          <w:szCs w:val="20"/>
          <w:lang w:eastAsia="en-CA"/>
        </w:rPr>
      </w:pPr>
      <w:r w:rsidRPr="003943F8">
        <w:rPr>
          <w:rFonts w:eastAsia="Times New Roman" w:cs="Times New Roman"/>
          <w:sz w:val="20"/>
          <w:szCs w:val="20"/>
          <w:lang w:eastAsia="en-CA"/>
        </w:rPr>
        <w:t>Origin of the case:</w:t>
      </w:r>
      <w:r w:rsidRPr="003943F8">
        <w:rPr>
          <w:rFonts w:eastAsia="Times New Roman" w:cs="Times New Roman"/>
          <w:sz w:val="20"/>
          <w:szCs w:val="20"/>
          <w:lang w:eastAsia="en-CA"/>
        </w:rPr>
        <w:tab/>
        <w:t>Ontario</w:t>
      </w:r>
    </w:p>
    <w:p w:rsidR="00B45050" w:rsidRPr="003943F8" w:rsidRDefault="00B45050" w:rsidP="00B45050">
      <w:pPr>
        <w:widowControl w:val="0"/>
        <w:ind w:left="2880" w:hanging="2880"/>
        <w:jc w:val="both"/>
        <w:rPr>
          <w:rFonts w:eastAsia="Times New Roman" w:cs="Times New Roman"/>
          <w:sz w:val="20"/>
          <w:szCs w:val="20"/>
          <w:lang w:eastAsia="en-CA"/>
        </w:rPr>
      </w:pPr>
    </w:p>
    <w:p w:rsidR="00B45050" w:rsidRPr="003943F8" w:rsidRDefault="00B45050" w:rsidP="00B45050">
      <w:pPr>
        <w:widowControl w:val="0"/>
        <w:ind w:left="2880" w:hanging="2880"/>
        <w:jc w:val="both"/>
        <w:rPr>
          <w:rFonts w:eastAsia="Times New Roman" w:cs="Times New Roman"/>
          <w:sz w:val="20"/>
          <w:szCs w:val="20"/>
          <w:lang w:eastAsia="en-CA"/>
        </w:rPr>
      </w:pPr>
      <w:r w:rsidRPr="003943F8">
        <w:rPr>
          <w:rFonts w:eastAsia="Times New Roman" w:cs="Times New Roman"/>
          <w:sz w:val="20"/>
          <w:szCs w:val="20"/>
          <w:lang w:eastAsia="en-CA"/>
        </w:rPr>
        <w:t>File No.:</w:t>
      </w:r>
      <w:r w:rsidRPr="003943F8">
        <w:rPr>
          <w:rFonts w:eastAsia="Times New Roman" w:cs="Times New Roman"/>
          <w:sz w:val="20"/>
          <w:szCs w:val="20"/>
          <w:lang w:eastAsia="en-CA"/>
        </w:rPr>
        <w:tab/>
        <w:t>34732</w:t>
      </w:r>
    </w:p>
    <w:p w:rsidR="00B45050" w:rsidRPr="003943F8" w:rsidRDefault="00B45050" w:rsidP="00B45050">
      <w:pPr>
        <w:widowControl w:val="0"/>
        <w:ind w:left="2880" w:hanging="2880"/>
        <w:jc w:val="both"/>
        <w:rPr>
          <w:rFonts w:eastAsia="Times New Roman" w:cs="Times New Roman"/>
          <w:sz w:val="20"/>
          <w:szCs w:val="20"/>
          <w:lang w:eastAsia="en-CA"/>
        </w:rPr>
      </w:pPr>
    </w:p>
    <w:p w:rsidR="00B45050" w:rsidRPr="003943F8" w:rsidRDefault="00B45050" w:rsidP="00B45050">
      <w:pPr>
        <w:widowControl w:val="0"/>
        <w:ind w:left="2880" w:hanging="2880"/>
        <w:jc w:val="both"/>
        <w:rPr>
          <w:rFonts w:eastAsia="Times New Roman" w:cs="Times New Roman"/>
          <w:sz w:val="20"/>
          <w:szCs w:val="20"/>
          <w:lang w:eastAsia="en-CA"/>
        </w:rPr>
      </w:pPr>
      <w:r w:rsidRPr="003943F8">
        <w:rPr>
          <w:rFonts w:eastAsia="Times New Roman" w:cs="Times New Roman"/>
          <w:sz w:val="20"/>
          <w:szCs w:val="20"/>
          <w:lang w:eastAsia="en-CA"/>
        </w:rPr>
        <w:t>Judgment of the Court of Appeal:</w:t>
      </w:r>
      <w:r w:rsidRPr="003943F8">
        <w:rPr>
          <w:rFonts w:eastAsia="Times New Roman" w:cs="Times New Roman"/>
          <w:sz w:val="20"/>
          <w:szCs w:val="20"/>
          <w:lang w:eastAsia="en-CA"/>
        </w:rPr>
        <w:tab/>
        <w:t>October 20, 2011</w:t>
      </w:r>
    </w:p>
    <w:p w:rsidR="00B45050" w:rsidRPr="003943F8" w:rsidRDefault="00B45050" w:rsidP="00B45050">
      <w:pPr>
        <w:widowControl w:val="0"/>
        <w:ind w:left="2880" w:hanging="2880"/>
        <w:jc w:val="both"/>
        <w:rPr>
          <w:rFonts w:eastAsia="Times New Roman" w:cs="Times New Roman"/>
          <w:sz w:val="20"/>
          <w:szCs w:val="20"/>
          <w:lang w:eastAsia="en-CA"/>
        </w:rPr>
      </w:pPr>
    </w:p>
    <w:p w:rsidR="00B45050" w:rsidRPr="003943F8" w:rsidRDefault="00B45050" w:rsidP="00B45050">
      <w:pPr>
        <w:widowControl w:val="0"/>
        <w:ind w:left="2880" w:hanging="2880"/>
        <w:jc w:val="both"/>
        <w:rPr>
          <w:rFonts w:eastAsia="Times New Roman" w:cs="Times New Roman"/>
          <w:sz w:val="20"/>
          <w:szCs w:val="20"/>
          <w:lang w:eastAsia="en-CA"/>
        </w:rPr>
      </w:pPr>
      <w:r w:rsidRPr="003943F8">
        <w:rPr>
          <w:rFonts w:eastAsia="Times New Roman" w:cs="Times New Roman"/>
          <w:sz w:val="20"/>
          <w:szCs w:val="20"/>
          <w:lang w:eastAsia="en-CA"/>
        </w:rPr>
        <w:t>Counsel:</w:t>
      </w:r>
      <w:r w:rsidRPr="003943F8">
        <w:rPr>
          <w:rFonts w:eastAsia="Times New Roman" w:cs="Times New Roman"/>
          <w:sz w:val="20"/>
          <w:szCs w:val="20"/>
          <w:lang w:eastAsia="en-CA"/>
        </w:rPr>
        <w:tab/>
        <w:t xml:space="preserve">Philip Campbell and Jonathan </w:t>
      </w:r>
      <w:proofErr w:type="spellStart"/>
      <w:r w:rsidRPr="003943F8">
        <w:rPr>
          <w:rFonts w:eastAsia="Times New Roman" w:cs="Times New Roman"/>
          <w:sz w:val="20"/>
          <w:szCs w:val="20"/>
          <w:lang w:eastAsia="en-CA"/>
        </w:rPr>
        <w:t>Dawe</w:t>
      </w:r>
      <w:proofErr w:type="spellEnd"/>
      <w:r w:rsidRPr="003943F8">
        <w:rPr>
          <w:rFonts w:eastAsia="Times New Roman" w:cs="Times New Roman"/>
          <w:sz w:val="20"/>
          <w:szCs w:val="20"/>
          <w:lang w:eastAsia="en-CA"/>
        </w:rPr>
        <w:t xml:space="preserve"> for the appellant</w:t>
      </w:r>
    </w:p>
    <w:p w:rsidR="00B45050" w:rsidRPr="003943F8" w:rsidRDefault="00B45050" w:rsidP="00B45050">
      <w:pPr>
        <w:widowControl w:val="0"/>
        <w:ind w:left="2880" w:hanging="2880"/>
        <w:jc w:val="both"/>
        <w:rPr>
          <w:rFonts w:eastAsia="Times New Roman" w:cs="Times New Roman"/>
          <w:sz w:val="20"/>
          <w:szCs w:val="20"/>
          <w:lang w:eastAsia="en-CA"/>
        </w:rPr>
      </w:pPr>
      <w:r w:rsidRPr="003943F8">
        <w:rPr>
          <w:rFonts w:eastAsia="Times New Roman" w:cs="Times New Roman"/>
          <w:sz w:val="20"/>
          <w:szCs w:val="20"/>
          <w:lang w:eastAsia="en-CA"/>
        </w:rPr>
        <w:tab/>
        <w:t>James K. Stewart for the respondent</w:t>
      </w:r>
    </w:p>
    <w:p w:rsidR="00B45050" w:rsidRPr="003943F8" w:rsidRDefault="00B45050" w:rsidP="00B45050">
      <w:pPr>
        <w:tabs>
          <w:tab w:val="left" w:pos="-1440"/>
          <w:tab w:val="left" w:pos="-720"/>
        </w:tabs>
        <w:jc w:val="both"/>
        <w:rPr>
          <w:sz w:val="20"/>
          <w:szCs w:val="20"/>
        </w:rPr>
      </w:pPr>
    </w:p>
    <w:p w:rsidR="00B45050" w:rsidRDefault="00F008AC" w:rsidP="00B45050">
      <w:pPr>
        <w:tabs>
          <w:tab w:val="left" w:pos="-1440"/>
          <w:tab w:val="left" w:pos="-720"/>
        </w:tabs>
        <w:jc w:val="both"/>
        <w:rPr>
          <w:sz w:val="20"/>
          <w:szCs w:val="20"/>
          <w:lang w:val="fr-CA"/>
        </w:rPr>
      </w:pPr>
      <w:r w:rsidRPr="00F008AC">
        <w:rPr>
          <w:sz w:val="20"/>
          <w:szCs w:val="20"/>
          <w:lang w:val="fr-CA"/>
        </w:rPr>
        <w:pict>
          <v:rect id="_x0000_i1080" style="width:2in;height:1pt" o:hrpct="0" o:hralign="center" o:hrstd="t" o:hrnoshade="t" o:hr="t" fillcolor="black [3213]" stroked="f"/>
        </w:pict>
      </w:r>
    </w:p>
    <w:p w:rsidR="00B45050" w:rsidRDefault="00B45050" w:rsidP="00B45050">
      <w:pPr>
        <w:tabs>
          <w:tab w:val="left" w:pos="-1440"/>
          <w:tab w:val="left" w:pos="-720"/>
        </w:tabs>
        <w:jc w:val="both"/>
        <w:rPr>
          <w:sz w:val="20"/>
          <w:szCs w:val="20"/>
          <w:lang w:val="fr-CA"/>
        </w:rPr>
      </w:pPr>
    </w:p>
    <w:p w:rsidR="00B45050" w:rsidRDefault="00B45050" w:rsidP="00B45050">
      <w:pPr>
        <w:tabs>
          <w:tab w:val="left" w:pos="-1440"/>
          <w:tab w:val="left" w:pos="-720"/>
        </w:tabs>
        <w:jc w:val="both"/>
        <w:rPr>
          <w:sz w:val="20"/>
          <w:szCs w:val="20"/>
          <w:lang w:val="fr-CA"/>
        </w:rPr>
      </w:pPr>
    </w:p>
    <w:p w:rsidR="00B45050" w:rsidRDefault="00B45050">
      <w:pPr>
        <w:rPr>
          <w:sz w:val="20"/>
          <w:szCs w:val="20"/>
          <w:lang w:val="fr-CA"/>
        </w:rPr>
      </w:pPr>
    </w:p>
    <w:p w:rsidR="00B45050" w:rsidRDefault="00B45050">
      <w:pPr>
        <w:rPr>
          <w:sz w:val="20"/>
          <w:szCs w:val="20"/>
          <w:lang w:val="fr-CA"/>
        </w:rPr>
      </w:pPr>
      <w:r>
        <w:rPr>
          <w:sz w:val="20"/>
          <w:szCs w:val="20"/>
          <w:lang w:val="fr-CA"/>
        </w:rPr>
        <w:br w:type="page"/>
      </w:r>
    </w:p>
    <w:p w:rsidR="00B45050" w:rsidRPr="002131F6" w:rsidRDefault="00F008AC" w:rsidP="00B45050">
      <w:pPr>
        <w:widowControl w:val="0"/>
        <w:ind w:left="720" w:hanging="720"/>
        <w:jc w:val="both"/>
        <w:rPr>
          <w:rFonts w:eastAsia="Times New Roman" w:cs="Times New Roman"/>
          <w:sz w:val="20"/>
          <w:szCs w:val="20"/>
          <w:lang w:val="fr-CA" w:eastAsia="en-CA"/>
        </w:rPr>
      </w:pPr>
      <w:r w:rsidRPr="002131F6">
        <w:rPr>
          <w:rFonts w:eastAsia="Times New Roman" w:cs="Times New Roman"/>
          <w:b/>
          <w:sz w:val="20"/>
          <w:szCs w:val="20"/>
          <w:lang w:val="fr-CA" w:eastAsia="en-CA"/>
        </w:rPr>
        <w:lastRenderedPageBreak/>
        <w:fldChar w:fldCharType="begin"/>
      </w:r>
      <w:r w:rsidR="00B45050" w:rsidRPr="002131F6">
        <w:rPr>
          <w:rFonts w:eastAsia="Times New Roman" w:cs="Times New Roman"/>
          <w:b/>
          <w:sz w:val="20"/>
          <w:szCs w:val="20"/>
          <w:lang w:val="fr-CA" w:eastAsia="en-CA"/>
        </w:rPr>
        <w:instrText xml:space="preserve"> SEQ CHAPTER \h \r 1</w:instrText>
      </w:r>
      <w:r w:rsidRPr="002131F6">
        <w:rPr>
          <w:rFonts w:eastAsia="Times New Roman" w:cs="Times New Roman"/>
          <w:b/>
          <w:sz w:val="20"/>
          <w:szCs w:val="20"/>
          <w:lang w:val="fr-CA" w:eastAsia="en-CA"/>
        </w:rPr>
        <w:fldChar w:fldCharType="end"/>
      </w:r>
      <w:r w:rsidR="00B45050" w:rsidRPr="002131F6">
        <w:rPr>
          <w:rFonts w:eastAsia="Times New Roman" w:cs="Times New Roman"/>
          <w:b/>
          <w:sz w:val="20"/>
          <w:szCs w:val="20"/>
          <w:lang w:val="fr-CA" w:eastAsia="en-CA"/>
        </w:rPr>
        <w:t>34732</w:t>
      </w:r>
      <w:r w:rsidR="00B45050" w:rsidRPr="002131F6">
        <w:rPr>
          <w:rFonts w:eastAsia="Times New Roman" w:cs="Times New Roman"/>
          <w:sz w:val="20"/>
          <w:szCs w:val="20"/>
          <w:lang w:val="fr-CA" w:eastAsia="en-CA"/>
        </w:rPr>
        <w:tab/>
      </w:r>
      <w:proofErr w:type="spellStart"/>
      <w:r w:rsidR="00B45050" w:rsidRPr="002131F6">
        <w:rPr>
          <w:rFonts w:eastAsia="Times New Roman" w:cs="Times New Roman"/>
          <w:b/>
          <w:i/>
          <w:sz w:val="20"/>
          <w:szCs w:val="20"/>
          <w:lang w:val="fr-CA" w:eastAsia="en-CA"/>
        </w:rPr>
        <w:t>Yousanthan</w:t>
      </w:r>
      <w:proofErr w:type="spellEnd"/>
      <w:r w:rsidR="00B45050" w:rsidRPr="002131F6">
        <w:rPr>
          <w:rFonts w:eastAsia="Times New Roman" w:cs="Times New Roman"/>
          <w:b/>
          <w:i/>
          <w:sz w:val="20"/>
          <w:szCs w:val="20"/>
          <w:lang w:val="fr-CA" w:eastAsia="en-CA"/>
        </w:rPr>
        <w:t xml:space="preserve"> </w:t>
      </w:r>
      <w:proofErr w:type="spellStart"/>
      <w:r w:rsidR="00B45050" w:rsidRPr="002131F6">
        <w:rPr>
          <w:rFonts w:eastAsia="Times New Roman" w:cs="Times New Roman"/>
          <w:b/>
          <w:i/>
          <w:sz w:val="20"/>
          <w:szCs w:val="20"/>
          <w:lang w:val="fr-CA" w:eastAsia="en-CA"/>
        </w:rPr>
        <w:t>Youvarajah</w:t>
      </w:r>
      <w:proofErr w:type="spellEnd"/>
      <w:r w:rsidR="00B45050" w:rsidRPr="002131F6">
        <w:rPr>
          <w:rFonts w:eastAsia="Times New Roman" w:cs="Times New Roman"/>
          <w:b/>
          <w:i/>
          <w:sz w:val="20"/>
          <w:szCs w:val="20"/>
          <w:lang w:val="fr-CA" w:eastAsia="en-CA"/>
        </w:rPr>
        <w:t xml:space="preserve"> c. Sa Majesté la Reine</w:t>
      </w:r>
    </w:p>
    <w:p w:rsidR="00B45050" w:rsidRPr="002131F6" w:rsidRDefault="00B45050" w:rsidP="00B45050">
      <w:pPr>
        <w:widowControl w:val="0"/>
        <w:jc w:val="both"/>
        <w:rPr>
          <w:rFonts w:eastAsia="Times New Roman" w:cs="Times New Roman"/>
          <w:sz w:val="20"/>
          <w:szCs w:val="20"/>
          <w:lang w:val="fr-CA" w:eastAsia="en-CA"/>
        </w:rPr>
      </w:pPr>
    </w:p>
    <w:p w:rsidR="00B45050" w:rsidRPr="002131F6" w:rsidRDefault="00B45050" w:rsidP="00B45050">
      <w:pPr>
        <w:widowControl w:val="0"/>
        <w:jc w:val="both"/>
        <w:rPr>
          <w:rFonts w:eastAsia="Times New Roman" w:cs="Times New Roman"/>
          <w:smallCaps/>
          <w:sz w:val="20"/>
          <w:szCs w:val="20"/>
          <w:lang w:val="fr-CA" w:eastAsia="en-CA"/>
        </w:rPr>
      </w:pPr>
      <w:r w:rsidRPr="002131F6">
        <w:rPr>
          <w:rFonts w:eastAsia="Times New Roman" w:cs="Times New Roman"/>
          <w:smallCaps/>
          <w:sz w:val="20"/>
          <w:szCs w:val="20"/>
          <w:lang w:val="fr-CA" w:eastAsia="en-CA"/>
        </w:rPr>
        <w:t xml:space="preserve">(Ordonnance de </w:t>
      </w:r>
      <w:proofErr w:type="spellStart"/>
      <w:r w:rsidRPr="002131F6">
        <w:rPr>
          <w:rFonts w:eastAsia="Times New Roman" w:cs="Times New Roman"/>
          <w:smallCaps/>
          <w:sz w:val="20"/>
          <w:szCs w:val="20"/>
          <w:lang w:val="fr-CA" w:eastAsia="en-CA"/>
        </w:rPr>
        <w:t>non</w:t>
      </w:r>
      <w:r w:rsidRPr="002131F6">
        <w:rPr>
          <w:rFonts w:eastAsia="Times New Roman" w:cs="Times New Roman"/>
          <w:smallCaps/>
          <w:sz w:val="20"/>
          <w:szCs w:val="20"/>
          <w:lang w:val="fr-CA" w:eastAsia="en-CA"/>
        </w:rPr>
        <w:noBreakHyphen/>
        <w:t>publication</w:t>
      </w:r>
      <w:proofErr w:type="spellEnd"/>
      <w:r w:rsidRPr="002131F6">
        <w:rPr>
          <w:rFonts w:eastAsia="Times New Roman" w:cs="Times New Roman"/>
          <w:smallCaps/>
          <w:sz w:val="20"/>
          <w:szCs w:val="20"/>
          <w:lang w:val="fr-CA" w:eastAsia="en-CA"/>
        </w:rPr>
        <w:t xml:space="preserve"> dans le dossier)</w:t>
      </w:r>
    </w:p>
    <w:p w:rsidR="00B45050" w:rsidRPr="002131F6" w:rsidRDefault="00B45050" w:rsidP="00B45050">
      <w:pPr>
        <w:widowControl w:val="0"/>
        <w:jc w:val="both"/>
        <w:rPr>
          <w:rFonts w:eastAsia="Times New Roman" w:cs="Times New Roman"/>
          <w:sz w:val="20"/>
          <w:szCs w:val="20"/>
          <w:lang w:val="fr-CA" w:eastAsia="en-CA"/>
        </w:rPr>
      </w:pPr>
    </w:p>
    <w:p w:rsidR="00B45050" w:rsidRPr="002131F6" w:rsidRDefault="00B45050" w:rsidP="00B45050">
      <w:pPr>
        <w:widowControl w:val="0"/>
        <w:jc w:val="both"/>
        <w:rPr>
          <w:rFonts w:eastAsia="Times New Roman" w:cs="Times New Roman"/>
          <w:sz w:val="20"/>
          <w:szCs w:val="20"/>
          <w:lang w:val="fr-CA" w:eastAsia="en-CA"/>
        </w:rPr>
      </w:pPr>
      <w:r w:rsidRPr="002131F6">
        <w:rPr>
          <w:rFonts w:eastAsia="Times New Roman" w:cs="Times New Roman"/>
          <w:sz w:val="20"/>
          <w:szCs w:val="20"/>
          <w:lang w:val="fr-CA" w:eastAsia="en-CA"/>
        </w:rPr>
        <w:t xml:space="preserve">Droit criminel </w:t>
      </w:r>
      <w:r w:rsidRPr="002131F6">
        <w:rPr>
          <w:rFonts w:eastAsia="Times New Roman" w:cs="Times New Roman"/>
          <w:sz w:val="20"/>
          <w:szCs w:val="20"/>
          <w:lang w:val="fr-CA" w:eastAsia="en-CA"/>
        </w:rPr>
        <w:noBreakHyphen/>
        <w:t xml:space="preserve"> Preuve </w:t>
      </w:r>
      <w:r w:rsidRPr="002131F6">
        <w:rPr>
          <w:rFonts w:eastAsia="Times New Roman" w:cs="Times New Roman"/>
          <w:sz w:val="20"/>
          <w:szCs w:val="20"/>
          <w:lang w:val="fr-CA" w:eastAsia="en-CA"/>
        </w:rPr>
        <w:noBreakHyphen/>
        <w:t xml:space="preserve"> </w:t>
      </w:r>
      <w:proofErr w:type="spellStart"/>
      <w:r w:rsidRPr="002131F6">
        <w:rPr>
          <w:rFonts w:eastAsia="Times New Roman" w:cs="Times New Roman"/>
          <w:sz w:val="20"/>
          <w:szCs w:val="20"/>
          <w:lang w:val="fr-CA" w:eastAsia="en-CA"/>
        </w:rPr>
        <w:t>Ouï</w:t>
      </w:r>
      <w:r w:rsidRPr="002131F6">
        <w:rPr>
          <w:rFonts w:eastAsia="Times New Roman" w:cs="Times New Roman"/>
          <w:sz w:val="20"/>
          <w:szCs w:val="20"/>
          <w:lang w:val="fr-CA" w:eastAsia="en-CA"/>
        </w:rPr>
        <w:noBreakHyphen/>
        <w:t>dire</w:t>
      </w:r>
      <w:proofErr w:type="spellEnd"/>
      <w:r w:rsidRPr="002131F6">
        <w:rPr>
          <w:rFonts w:eastAsia="Times New Roman" w:cs="Times New Roman"/>
          <w:sz w:val="20"/>
          <w:szCs w:val="20"/>
          <w:lang w:val="fr-CA" w:eastAsia="en-CA"/>
        </w:rPr>
        <w:t xml:space="preserve"> </w:t>
      </w:r>
      <w:r w:rsidRPr="002131F6">
        <w:rPr>
          <w:rFonts w:eastAsia="Times New Roman" w:cs="Times New Roman"/>
          <w:sz w:val="20"/>
          <w:szCs w:val="20"/>
          <w:lang w:val="fr-CA" w:eastAsia="en-CA"/>
        </w:rPr>
        <w:noBreakHyphen/>
        <w:t xml:space="preserve"> Admissibilité de déclarations antérieures incompatibles </w:t>
      </w:r>
      <w:r w:rsidRPr="002131F6">
        <w:rPr>
          <w:rFonts w:eastAsia="Times New Roman" w:cs="Times New Roman"/>
          <w:sz w:val="20"/>
          <w:szCs w:val="20"/>
          <w:lang w:val="fr-CA" w:eastAsia="en-CA"/>
        </w:rPr>
        <w:noBreakHyphen/>
        <w:t xml:space="preserve"> Fiabilité </w:t>
      </w:r>
      <w:r w:rsidRPr="002131F6">
        <w:rPr>
          <w:rFonts w:eastAsia="Times New Roman" w:cs="Times New Roman"/>
          <w:sz w:val="20"/>
          <w:szCs w:val="20"/>
          <w:lang w:val="fr-CA" w:eastAsia="en-CA"/>
        </w:rPr>
        <w:noBreakHyphen/>
        <w:t xml:space="preserve"> Application de </w:t>
      </w:r>
      <w:r w:rsidRPr="002131F6">
        <w:rPr>
          <w:rFonts w:eastAsia="Times New Roman" w:cs="Times New Roman"/>
          <w:i/>
          <w:sz w:val="20"/>
          <w:szCs w:val="20"/>
          <w:lang w:val="fr-CA" w:eastAsia="en-CA"/>
        </w:rPr>
        <w:t>R. c</w:t>
      </w:r>
      <w:r w:rsidRPr="002131F6">
        <w:rPr>
          <w:rFonts w:eastAsia="Times New Roman" w:cs="Times New Roman"/>
          <w:i/>
          <w:iCs/>
          <w:sz w:val="20"/>
          <w:szCs w:val="20"/>
          <w:lang w:val="fr-CA" w:eastAsia="en-CA"/>
        </w:rPr>
        <w:t>.</w:t>
      </w:r>
      <w:r w:rsidRPr="002131F6">
        <w:rPr>
          <w:rFonts w:eastAsia="Times New Roman" w:cs="Times New Roman"/>
          <w:i/>
          <w:sz w:val="20"/>
          <w:szCs w:val="20"/>
          <w:lang w:val="fr-CA" w:eastAsia="en-CA"/>
        </w:rPr>
        <w:t xml:space="preserve"> B. (K.G.)</w:t>
      </w:r>
      <w:r w:rsidRPr="002131F6">
        <w:rPr>
          <w:rFonts w:eastAsia="Times New Roman" w:cs="Times New Roman"/>
          <w:sz w:val="20"/>
          <w:szCs w:val="20"/>
          <w:lang w:val="fr-CA" w:eastAsia="en-CA"/>
        </w:rPr>
        <w:t xml:space="preserve">, [1993] 1 R.C.S. 740 </w:t>
      </w:r>
      <w:r w:rsidRPr="002131F6">
        <w:rPr>
          <w:rFonts w:eastAsia="Times New Roman" w:cs="Times New Roman"/>
          <w:sz w:val="20"/>
          <w:szCs w:val="20"/>
          <w:lang w:val="fr-CA" w:eastAsia="en-CA"/>
        </w:rPr>
        <w:noBreakHyphen/>
        <w:t xml:space="preserve"> La Cour d’appel </w:t>
      </w:r>
      <w:proofErr w:type="spellStart"/>
      <w:r w:rsidRPr="002131F6">
        <w:rPr>
          <w:rFonts w:eastAsia="Times New Roman" w:cs="Times New Roman"/>
          <w:sz w:val="20"/>
          <w:szCs w:val="20"/>
          <w:lang w:val="fr-CA" w:eastAsia="en-CA"/>
        </w:rPr>
        <w:t>a</w:t>
      </w:r>
      <w:r w:rsidRPr="002131F6">
        <w:rPr>
          <w:rFonts w:eastAsia="Times New Roman" w:cs="Times New Roman"/>
          <w:sz w:val="20"/>
          <w:szCs w:val="20"/>
          <w:lang w:val="fr-CA" w:eastAsia="en-CA"/>
        </w:rPr>
        <w:noBreakHyphen/>
        <w:t>t</w:t>
      </w:r>
      <w:r w:rsidRPr="002131F6">
        <w:rPr>
          <w:rFonts w:eastAsia="Times New Roman" w:cs="Times New Roman"/>
          <w:sz w:val="20"/>
          <w:szCs w:val="20"/>
          <w:lang w:val="fr-CA" w:eastAsia="en-CA"/>
        </w:rPr>
        <w:noBreakHyphen/>
        <w:t>elle</w:t>
      </w:r>
      <w:proofErr w:type="spellEnd"/>
      <w:r w:rsidRPr="002131F6">
        <w:rPr>
          <w:rFonts w:eastAsia="Times New Roman" w:cs="Times New Roman"/>
          <w:sz w:val="20"/>
          <w:szCs w:val="20"/>
          <w:lang w:val="fr-CA" w:eastAsia="en-CA"/>
        </w:rPr>
        <w:t xml:space="preserve"> eu tort de tenir le juge du procès responsable des décisions prises par le ministère public au procès de ne pas faire comparaître l’ancien avocat de D.S. et de ne pas poser certaines questions à D.S.? Le fait que D.S. ait invoqué le privilège du secret professionnel de l’avocat </w:t>
      </w:r>
      <w:proofErr w:type="spellStart"/>
      <w:r w:rsidRPr="002131F6">
        <w:rPr>
          <w:rFonts w:eastAsia="Times New Roman" w:cs="Times New Roman"/>
          <w:sz w:val="20"/>
          <w:szCs w:val="20"/>
          <w:lang w:val="fr-CA" w:eastAsia="en-CA"/>
        </w:rPr>
        <w:t>a</w:t>
      </w:r>
      <w:r w:rsidRPr="002131F6">
        <w:rPr>
          <w:rFonts w:eastAsia="Times New Roman" w:cs="Times New Roman"/>
          <w:sz w:val="20"/>
          <w:szCs w:val="20"/>
          <w:lang w:val="fr-CA" w:eastAsia="en-CA"/>
        </w:rPr>
        <w:noBreakHyphen/>
        <w:t>t</w:t>
      </w:r>
      <w:r w:rsidRPr="002131F6">
        <w:rPr>
          <w:rFonts w:eastAsia="Times New Roman" w:cs="Times New Roman"/>
          <w:sz w:val="20"/>
          <w:szCs w:val="20"/>
          <w:lang w:val="fr-CA" w:eastAsia="en-CA"/>
        </w:rPr>
        <w:noBreakHyphen/>
        <w:t>il</w:t>
      </w:r>
      <w:proofErr w:type="spellEnd"/>
      <w:r w:rsidRPr="002131F6">
        <w:rPr>
          <w:rFonts w:eastAsia="Times New Roman" w:cs="Times New Roman"/>
          <w:sz w:val="20"/>
          <w:szCs w:val="20"/>
          <w:lang w:val="fr-CA" w:eastAsia="en-CA"/>
        </w:rPr>
        <w:t xml:space="preserve"> eu pour effet de rendre illusoire l’occasion de le </w:t>
      </w:r>
      <w:proofErr w:type="spellStart"/>
      <w:r w:rsidRPr="002131F6">
        <w:rPr>
          <w:rFonts w:eastAsia="Times New Roman" w:cs="Times New Roman"/>
          <w:sz w:val="20"/>
          <w:szCs w:val="20"/>
          <w:lang w:val="fr-CA" w:eastAsia="en-CA"/>
        </w:rPr>
        <w:t>contre</w:t>
      </w:r>
      <w:r w:rsidRPr="002131F6">
        <w:rPr>
          <w:rFonts w:eastAsia="Times New Roman" w:cs="Times New Roman"/>
          <w:sz w:val="20"/>
          <w:szCs w:val="20"/>
          <w:lang w:val="fr-CA" w:eastAsia="en-CA"/>
        </w:rPr>
        <w:noBreakHyphen/>
        <w:t>interroger</w:t>
      </w:r>
      <w:proofErr w:type="spellEnd"/>
      <w:r w:rsidRPr="002131F6">
        <w:rPr>
          <w:rFonts w:eastAsia="Times New Roman" w:cs="Times New Roman"/>
          <w:sz w:val="20"/>
          <w:szCs w:val="20"/>
          <w:lang w:val="fr-CA" w:eastAsia="en-CA"/>
        </w:rPr>
        <w:t xml:space="preserve">? Le juge du procès </w:t>
      </w:r>
      <w:proofErr w:type="spellStart"/>
      <w:r w:rsidRPr="002131F6">
        <w:rPr>
          <w:rFonts w:eastAsia="Times New Roman" w:cs="Times New Roman"/>
          <w:sz w:val="20"/>
          <w:szCs w:val="20"/>
          <w:lang w:val="fr-CA" w:eastAsia="en-CA"/>
        </w:rPr>
        <w:t>a</w:t>
      </w:r>
      <w:r w:rsidRPr="002131F6">
        <w:rPr>
          <w:rFonts w:eastAsia="Times New Roman" w:cs="Times New Roman"/>
          <w:sz w:val="20"/>
          <w:szCs w:val="20"/>
          <w:lang w:val="fr-CA" w:eastAsia="en-CA"/>
        </w:rPr>
        <w:noBreakHyphen/>
        <w:t>t</w:t>
      </w:r>
      <w:r w:rsidRPr="002131F6">
        <w:rPr>
          <w:rFonts w:eastAsia="Times New Roman" w:cs="Times New Roman"/>
          <w:sz w:val="20"/>
          <w:szCs w:val="20"/>
          <w:lang w:val="fr-CA" w:eastAsia="en-CA"/>
        </w:rPr>
        <w:noBreakHyphen/>
        <w:t>il</w:t>
      </w:r>
      <w:proofErr w:type="spellEnd"/>
      <w:r w:rsidRPr="002131F6">
        <w:rPr>
          <w:rFonts w:eastAsia="Times New Roman" w:cs="Times New Roman"/>
          <w:sz w:val="20"/>
          <w:szCs w:val="20"/>
          <w:lang w:val="fr-CA" w:eastAsia="en-CA"/>
        </w:rPr>
        <w:t xml:space="preserve"> eu tort de ne pas s’être demandé si les circonstances dans lesquelles l’exposé conjoint des faits avait été rédigé et présenté constituaient un moyen adéquat, autre que les processus judiciaires usuels, de satisfaire au seuil de fiabilité?</w:t>
      </w:r>
    </w:p>
    <w:p w:rsidR="00B45050" w:rsidRPr="002131F6" w:rsidRDefault="00B45050" w:rsidP="00B45050">
      <w:pPr>
        <w:widowControl w:val="0"/>
        <w:jc w:val="both"/>
        <w:rPr>
          <w:rFonts w:eastAsia="Times New Roman" w:cs="Times New Roman"/>
          <w:sz w:val="20"/>
          <w:szCs w:val="20"/>
          <w:lang w:val="fr-CA" w:eastAsia="en-CA"/>
        </w:rPr>
      </w:pPr>
    </w:p>
    <w:p w:rsidR="00B45050" w:rsidRPr="002131F6" w:rsidRDefault="00B45050" w:rsidP="00B45050">
      <w:pPr>
        <w:widowControl w:val="0"/>
        <w:jc w:val="both"/>
        <w:rPr>
          <w:rFonts w:eastAsia="Times New Roman" w:cs="Times New Roman"/>
          <w:sz w:val="20"/>
          <w:szCs w:val="20"/>
          <w:lang w:val="fr-CA" w:eastAsia="en-CA"/>
        </w:rPr>
      </w:pPr>
      <w:r w:rsidRPr="002131F6">
        <w:rPr>
          <w:rFonts w:eastAsia="Times New Roman" w:cs="Times New Roman"/>
          <w:sz w:val="20"/>
          <w:szCs w:val="20"/>
          <w:lang w:val="fr-CA" w:eastAsia="en-CA"/>
        </w:rPr>
        <w:t xml:space="preserve">L’appelant, </w:t>
      </w:r>
      <w:proofErr w:type="spellStart"/>
      <w:r w:rsidRPr="002131F6">
        <w:rPr>
          <w:rFonts w:eastAsia="Times New Roman" w:cs="Times New Roman"/>
          <w:sz w:val="20"/>
          <w:szCs w:val="20"/>
          <w:lang w:val="fr-CA" w:eastAsia="en-CA"/>
        </w:rPr>
        <w:t>Yousanthan</w:t>
      </w:r>
      <w:proofErr w:type="spellEnd"/>
      <w:r w:rsidRPr="002131F6">
        <w:rPr>
          <w:rFonts w:eastAsia="Times New Roman" w:cs="Times New Roman"/>
          <w:sz w:val="20"/>
          <w:szCs w:val="20"/>
          <w:lang w:val="fr-CA" w:eastAsia="en-CA"/>
        </w:rPr>
        <w:t xml:space="preserve"> </w:t>
      </w:r>
      <w:proofErr w:type="spellStart"/>
      <w:r w:rsidRPr="002131F6">
        <w:rPr>
          <w:rFonts w:eastAsia="Times New Roman" w:cs="Times New Roman"/>
          <w:sz w:val="20"/>
          <w:szCs w:val="20"/>
          <w:lang w:val="fr-CA" w:eastAsia="en-CA"/>
        </w:rPr>
        <w:t>Youvarajah</w:t>
      </w:r>
      <w:proofErr w:type="spellEnd"/>
      <w:r w:rsidRPr="002131F6">
        <w:rPr>
          <w:rFonts w:eastAsia="Times New Roman" w:cs="Times New Roman"/>
          <w:sz w:val="20"/>
          <w:szCs w:val="20"/>
          <w:lang w:val="fr-CA" w:eastAsia="en-CA"/>
        </w:rPr>
        <w:t>, et un adolescent, D.S., ont été accusés de meurtre au premier degré et jugés séparément.  Le ministère public a accepté que l’adolescent était le tireur, et a allégué que M. </w:t>
      </w:r>
      <w:proofErr w:type="spellStart"/>
      <w:r w:rsidRPr="002131F6">
        <w:rPr>
          <w:rFonts w:eastAsia="Times New Roman" w:cs="Times New Roman"/>
          <w:sz w:val="20"/>
          <w:szCs w:val="20"/>
          <w:lang w:val="fr-CA" w:eastAsia="en-CA"/>
        </w:rPr>
        <w:t>Youvarajah</w:t>
      </w:r>
      <w:proofErr w:type="spellEnd"/>
      <w:r w:rsidRPr="002131F6">
        <w:rPr>
          <w:rFonts w:eastAsia="Times New Roman" w:cs="Times New Roman"/>
          <w:sz w:val="20"/>
          <w:szCs w:val="20"/>
          <w:lang w:val="fr-CA" w:eastAsia="en-CA"/>
        </w:rPr>
        <w:t xml:space="preserve"> avait organisé le meurtre parce que la victime, un trafiquant de drogue occasionnel, l’avait roulé deux fois auparavant.  Lors de son procès, l’adolescent a plaidé coupable à une accusation de meurtre au deuxième degré, et ses avocats ainsi que le ministère public ont signé un exposé conjoint des faits indiquant, entre autres choses, que M. </w:t>
      </w:r>
      <w:proofErr w:type="spellStart"/>
      <w:r w:rsidRPr="002131F6">
        <w:rPr>
          <w:rFonts w:eastAsia="Times New Roman" w:cs="Times New Roman"/>
          <w:sz w:val="20"/>
          <w:szCs w:val="20"/>
          <w:lang w:val="fr-CA" w:eastAsia="en-CA"/>
        </w:rPr>
        <w:t>Youvarajah</w:t>
      </w:r>
      <w:proofErr w:type="spellEnd"/>
      <w:r w:rsidRPr="002131F6">
        <w:rPr>
          <w:rFonts w:eastAsia="Times New Roman" w:cs="Times New Roman"/>
          <w:sz w:val="20"/>
          <w:szCs w:val="20"/>
          <w:lang w:val="fr-CA" w:eastAsia="en-CA"/>
        </w:rPr>
        <w:t xml:space="preserve"> avait a) donné à l’adolescent le pistolet utilisé pour le meurtre, b) dit à l’adolescent d’abattre la victime et c) exigé que l’adolescent lui remette le pistolet peu après le meurtre.  Durant le procès de M. </w:t>
      </w:r>
      <w:proofErr w:type="spellStart"/>
      <w:r w:rsidRPr="002131F6">
        <w:rPr>
          <w:rFonts w:eastAsia="Times New Roman" w:cs="Times New Roman"/>
          <w:sz w:val="20"/>
          <w:szCs w:val="20"/>
          <w:lang w:val="fr-CA" w:eastAsia="en-CA"/>
        </w:rPr>
        <w:t>Youvarajah</w:t>
      </w:r>
      <w:proofErr w:type="spellEnd"/>
      <w:r w:rsidRPr="002131F6">
        <w:rPr>
          <w:rFonts w:eastAsia="Times New Roman" w:cs="Times New Roman"/>
          <w:sz w:val="20"/>
          <w:szCs w:val="20"/>
          <w:lang w:val="fr-CA" w:eastAsia="en-CA"/>
        </w:rPr>
        <w:t xml:space="preserve">, l’adolescent est revenu sur des parties de l’exposé conjoint des faits.  Le ministère public a réagi en demandant que l’exposé conjoint des faits soit admis en tant que preuve susceptible d’établir la véracité de son contenu.  La demande a été rejetée au motif qu’elle ne satisfaisait pas au seuil de fiabilité établi pour l’admission d’une preuve par </w:t>
      </w:r>
      <w:proofErr w:type="spellStart"/>
      <w:r w:rsidRPr="002131F6">
        <w:rPr>
          <w:rFonts w:eastAsia="Times New Roman" w:cs="Times New Roman"/>
          <w:sz w:val="20"/>
          <w:szCs w:val="20"/>
          <w:lang w:val="fr-CA" w:eastAsia="en-CA"/>
        </w:rPr>
        <w:t>ouï</w:t>
      </w:r>
      <w:r w:rsidRPr="002131F6">
        <w:rPr>
          <w:rFonts w:eastAsia="Times New Roman" w:cs="Times New Roman"/>
          <w:sz w:val="20"/>
          <w:szCs w:val="20"/>
          <w:lang w:val="fr-CA" w:eastAsia="en-CA"/>
        </w:rPr>
        <w:noBreakHyphen/>
        <w:t>dire</w:t>
      </w:r>
      <w:proofErr w:type="spellEnd"/>
      <w:r w:rsidRPr="002131F6">
        <w:rPr>
          <w:rFonts w:eastAsia="Times New Roman" w:cs="Times New Roman"/>
          <w:sz w:val="20"/>
          <w:szCs w:val="20"/>
          <w:lang w:val="fr-CA" w:eastAsia="en-CA"/>
        </w:rPr>
        <w:t>.  Il a ensuite été fait droit à la demande présentée par M. </w:t>
      </w:r>
      <w:proofErr w:type="spellStart"/>
      <w:r w:rsidRPr="002131F6">
        <w:rPr>
          <w:rFonts w:eastAsia="Times New Roman" w:cs="Times New Roman"/>
          <w:sz w:val="20"/>
          <w:szCs w:val="20"/>
          <w:lang w:val="fr-CA" w:eastAsia="en-CA"/>
        </w:rPr>
        <w:t>Youvarajah</w:t>
      </w:r>
      <w:proofErr w:type="spellEnd"/>
      <w:r w:rsidRPr="002131F6">
        <w:rPr>
          <w:rFonts w:eastAsia="Times New Roman" w:cs="Times New Roman"/>
          <w:sz w:val="20"/>
          <w:szCs w:val="20"/>
          <w:lang w:val="fr-CA" w:eastAsia="en-CA"/>
        </w:rPr>
        <w:t xml:space="preserve"> pour obtenir un verdict imposé d’acquittement.  La Cour d’appel a accueilli l’appel et ordonné un nouveau procès. </w:t>
      </w:r>
    </w:p>
    <w:p w:rsidR="00B45050" w:rsidRPr="002131F6" w:rsidRDefault="00B45050" w:rsidP="00B45050">
      <w:pPr>
        <w:widowControl w:val="0"/>
        <w:jc w:val="both"/>
        <w:rPr>
          <w:rFonts w:eastAsia="Times New Roman" w:cs="Times New Roman"/>
          <w:sz w:val="20"/>
          <w:szCs w:val="20"/>
          <w:lang w:val="fr-CA" w:eastAsia="en-CA"/>
        </w:rPr>
      </w:pPr>
    </w:p>
    <w:p w:rsidR="00B45050" w:rsidRPr="002131F6" w:rsidRDefault="00B45050" w:rsidP="00B45050">
      <w:pPr>
        <w:widowControl w:val="0"/>
        <w:jc w:val="both"/>
        <w:rPr>
          <w:rFonts w:eastAsia="Times New Roman" w:cs="Times New Roman"/>
          <w:sz w:val="20"/>
          <w:szCs w:val="20"/>
          <w:lang w:val="fr-CA" w:eastAsia="en-CA"/>
        </w:rPr>
      </w:pPr>
    </w:p>
    <w:p w:rsidR="00B45050" w:rsidRPr="002131F6" w:rsidRDefault="00B45050" w:rsidP="00B45050">
      <w:pPr>
        <w:widowControl w:val="0"/>
        <w:ind w:left="2880" w:hanging="2880"/>
        <w:jc w:val="both"/>
        <w:rPr>
          <w:rFonts w:eastAsia="Times New Roman" w:cs="Times New Roman"/>
          <w:sz w:val="20"/>
          <w:szCs w:val="20"/>
          <w:lang w:val="fr-CA" w:eastAsia="en-CA"/>
        </w:rPr>
      </w:pPr>
      <w:r w:rsidRPr="002131F6">
        <w:rPr>
          <w:rFonts w:eastAsia="Times New Roman" w:cs="Times New Roman"/>
          <w:sz w:val="20"/>
          <w:szCs w:val="20"/>
          <w:lang w:val="fr-CA" w:eastAsia="en-CA"/>
        </w:rPr>
        <w:t>Origine :</w:t>
      </w:r>
      <w:r w:rsidRPr="002131F6">
        <w:rPr>
          <w:rFonts w:eastAsia="Times New Roman" w:cs="Times New Roman"/>
          <w:sz w:val="20"/>
          <w:szCs w:val="20"/>
          <w:lang w:val="fr-CA" w:eastAsia="en-CA"/>
        </w:rPr>
        <w:tab/>
        <w:t>Ontario</w:t>
      </w:r>
    </w:p>
    <w:p w:rsidR="00B45050" w:rsidRPr="002131F6" w:rsidRDefault="00B45050" w:rsidP="00B45050">
      <w:pPr>
        <w:widowControl w:val="0"/>
        <w:ind w:left="2880" w:hanging="2880"/>
        <w:jc w:val="both"/>
        <w:rPr>
          <w:rFonts w:eastAsia="Times New Roman" w:cs="Times New Roman"/>
          <w:sz w:val="20"/>
          <w:szCs w:val="20"/>
          <w:lang w:val="fr-CA" w:eastAsia="en-CA"/>
        </w:rPr>
      </w:pPr>
    </w:p>
    <w:p w:rsidR="00B45050" w:rsidRPr="002131F6" w:rsidRDefault="00B45050" w:rsidP="00B45050">
      <w:pPr>
        <w:widowControl w:val="0"/>
        <w:ind w:left="2880" w:hanging="2880"/>
        <w:jc w:val="both"/>
        <w:rPr>
          <w:rFonts w:eastAsia="Times New Roman" w:cs="Times New Roman"/>
          <w:sz w:val="20"/>
          <w:szCs w:val="20"/>
          <w:lang w:val="fr-CA" w:eastAsia="en-CA"/>
        </w:rPr>
      </w:pPr>
      <w:r w:rsidRPr="002131F6">
        <w:rPr>
          <w:rFonts w:eastAsia="Times New Roman" w:cs="Times New Roman"/>
          <w:sz w:val="20"/>
          <w:szCs w:val="20"/>
          <w:lang w:val="fr-CA" w:eastAsia="en-CA"/>
        </w:rPr>
        <w:t>N</w:t>
      </w:r>
      <w:r w:rsidRPr="002131F6">
        <w:rPr>
          <w:rFonts w:eastAsia="Times New Roman" w:cs="Times New Roman"/>
          <w:sz w:val="20"/>
          <w:szCs w:val="20"/>
          <w:vertAlign w:val="superscript"/>
          <w:lang w:val="fr-CA" w:eastAsia="en-CA"/>
        </w:rPr>
        <w:t>o</w:t>
      </w:r>
      <w:r w:rsidRPr="002131F6">
        <w:rPr>
          <w:rFonts w:eastAsia="Times New Roman" w:cs="Times New Roman"/>
          <w:sz w:val="20"/>
          <w:szCs w:val="20"/>
          <w:lang w:val="fr-CA" w:eastAsia="en-CA"/>
        </w:rPr>
        <w:t xml:space="preserve"> du greffe :</w:t>
      </w:r>
      <w:r w:rsidRPr="002131F6">
        <w:rPr>
          <w:rFonts w:eastAsia="Times New Roman" w:cs="Times New Roman"/>
          <w:sz w:val="20"/>
          <w:szCs w:val="20"/>
          <w:lang w:val="fr-CA" w:eastAsia="en-CA"/>
        </w:rPr>
        <w:tab/>
        <w:t>34732</w:t>
      </w:r>
    </w:p>
    <w:p w:rsidR="00B45050" w:rsidRPr="002131F6" w:rsidRDefault="00B45050" w:rsidP="00B45050">
      <w:pPr>
        <w:widowControl w:val="0"/>
        <w:ind w:left="2880" w:hanging="2880"/>
        <w:jc w:val="both"/>
        <w:rPr>
          <w:rFonts w:eastAsia="Times New Roman" w:cs="Times New Roman"/>
          <w:sz w:val="20"/>
          <w:szCs w:val="20"/>
          <w:lang w:val="fr-CA" w:eastAsia="en-CA"/>
        </w:rPr>
      </w:pPr>
    </w:p>
    <w:p w:rsidR="00B45050" w:rsidRPr="002131F6" w:rsidRDefault="00B45050" w:rsidP="00B45050">
      <w:pPr>
        <w:widowControl w:val="0"/>
        <w:ind w:left="2880" w:hanging="2880"/>
        <w:jc w:val="both"/>
        <w:rPr>
          <w:rFonts w:eastAsia="Times New Roman" w:cs="Times New Roman"/>
          <w:sz w:val="20"/>
          <w:szCs w:val="20"/>
          <w:lang w:val="fr-CA" w:eastAsia="en-CA"/>
        </w:rPr>
      </w:pPr>
      <w:r w:rsidRPr="002131F6">
        <w:rPr>
          <w:rFonts w:eastAsia="Times New Roman" w:cs="Times New Roman"/>
          <w:sz w:val="20"/>
          <w:szCs w:val="20"/>
          <w:lang w:val="fr-CA" w:eastAsia="en-CA"/>
        </w:rPr>
        <w:t>Arrêt de la Cour d’appel :</w:t>
      </w:r>
      <w:r w:rsidRPr="002131F6">
        <w:rPr>
          <w:rFonts w:eastAsia="Times New Roman" w:cs="Times New Roman"/>
          <w:sz w:val="20"/>
          <w:szCs w:val="20"/>
          <w:lang w:val="fr-CA" w:eastAsia="en-CA"/>
        </w:rPr>
        <w:tab/>
        <w:t>le 20 octobre 2011</w:t>
      </w:r>
    </w:p>
    <w:p w:rsidR="00B45050" w:rsidRPr="002131F6" w:rsidRDefault="00B45050" w:rsidP="00B45050">
      <w:pPr>
        <w:widowControl w:val="0"/>
        <w:ind w:left="2880" w:hanging="2880"/>
        <w:jc w:val="both"/>
        <w:rPr>
          <w:rFonts w:eastAsia="Times New Roman" w:cs="Times New Roman"/>
          <w:sz w:val="20"/>
          <w:szCs w:val="20"/>
          <w:lang w:val="fr-CA" w:eastAsia="en-CA"/>
        </w:rPr>
      </w:pPr>
    </w:p>
    <w:p w:rsidR="00B45050" w:rsidRDefault="00B45050" w:rsidP="00B45050">
      <w:pPr>
        <w:widowControl w:val="0"/>
        <w:ind w:left="2880" w:hanging="2880"/>
        <w:jc w:val="both"/>
        <w:rPr>
          <w:rFonts w:eastAsia="Times New Roman" w:cs="Times New Roman"/>
          <w:sz w:val="20"/>
          <w:szCs w:val="20"/>
          <w:lang w:val="fr-CA" w:eastAsia="en-CA"/>
        </w:rPr>
      </w:pPr>
      <w:r w:rsidRPr="002131F6">
        <w:rPr>
          <w:rFonts w:eastAsia="Times New Roman" w:cs="Times New Roman"/>
          <w:sz w:val="20"/>
          <w:szCs w:val="20"/>
          <w:lang w:val="fr-CA" w:eastAsia="en-CA"/>
        </w:rPr>
        <w:t>Avocats :</w:t>
      </w:r>
      <w:r w:rsidRPr="002131F6">
        <w:rPr>
          <w:rFonts w:eastAsia="Times New Roman" w:cs="Times New Roman"/>
          <w:sz w:val="20"/>
          <w:szCs w:val="20"/>
          <w:lang w:val="fr-CA" w:eastAsia="en-CA"/>
        </w:rPr>
        <w:tab/>
        <w:t xml:space="preserve">Philip Campbell et Jonathan </w:t>
      </w:r>
      <w:proofErr w:type="spellStart"/>
      <w:r w:rsidRPr="002131F6">
        <w:rPr>
          <w:rFonts w:eastAsia="Times New Roman" w:cs="Times New Roman"/>
          <w:sz w:val="20"/>
          <w:szCs w:val="20"/>
          <w:lang w:val="fr-CA" w:eastAsia="en-CA"/>
        </w:rPr>
        <w:t>Dawe</w:t>
      </w:r>
      <w:proofErr w:type="spellEnd"/>
      <w:r w:rsidRPr="002131F6">
        <w:rPr>
          <w:rFonts w:eastAsia="Times New Roman" w:cs="Times New Roman"/>
          <w:sz w:val="20"/>
          <w:szCs w:val="20"/>
          <w:lang w:val="fr-CA" w:eastAsia="en-CA"/>
        </w:rPr>
        <w:t xml:space="preserve"> pour l’appelant</w:t>
      </w:r>
    </w:p>
    <w:p w:rsidR="00B45050" w:rsidRPr="002131F6" w:rsidRDefault="00B45050" w:rsidP="00B45050">
      <w:pPr>
        <w:widowControl w:val="0"/>
        <w:ind w:left="2880" w:hanging="2880"/>
        <w:jc w:val="both"/>
        <w:rPr>
          <w:rFonts w:eastAsia="Times New Roman" w:cs="Times New Roman"/>
          <w:sz w:val="20"/>
          <w:szCs w:val="20"/>
          <w:lang w:val="fr-CA" w:eastAsia="en-CA"/>
        </w:rPr>
      </w:pPr>
      <w:r w:rsidRPr="002131F6">
        <w:rPr>
          <w:rFonts w:eastAsia="Times New Roman" w:cs="Times New Roman"/>
          <w:sz w:val="20"/>
          <w:szCs w:val="20"/>
          <w:lang w:val="fr-CA" w:eastAsia="en-CA"/>
        </w:rPr>
        <w:tab/>
        <w:t>James K. Stewart pour l’intimée</w:t>
      </w:r>
    </w:p>
    <w:p w:rsidR="00B45050" w:rsidRDefault="00B45050" w:rsidP="00B45050">
      <w:pPr>
        <w:tabs>
          <w:tab w:val="left" w:pos="-1440"/>
          <w:tab w:val="left" w:pos="-720"/>
        </w:tabs>
        <w:jc w:val="both"/>
        <w:rPr>
          <w:sz w:val="20"/>
          <w:szCs w:val="20"/>
          <w:lang w:val="fr-CA"/>
        </w:rPr>
      </w:pPr>
    </w:p>
    <w:p w:rsidR="00B45050" w:rsidRDefault="00F008AC" w:rsidP="00B45050">
      <w:pPr>
        <w:tabs>
          <w:tab w:val="left" w:pos="-1440"/>
          <w:tab w:val="left" w:pos="-720"/>
        </w:tabs>
        <w:jc w:val="both"/>
        <w:rPr>
          <w:sz w:val="20"/>
          <w:szCs w:val="20"/>
          <w:lang w:val="fr-CA"/>
        </w:rPr>
      </w:pPr>
      <w:r w:rsidRPr="00F008AC">
        <w:rPr>
          <w:sz w:val="20"/>
          <w:szCs w:val="20"/>
          <w:lang w:val="fr-CA"/>
        </w:rPr>
        <w:pict>
          <v:rect id="_x0000_i1081" style="width:2in;height:1pt" o:hrpct="0" o:hralign="center" o:hrstd="t" o:hrnoshade="t" o:hr="t" fillcolor="black [3213]" stroked="f"/>
        </w:pict>
      </w:r>
    </w:p>
    <w:p w:rsidR="00B45050" w:rsidRDefault="00B45050" w:rsidP="00B45050">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410AAE" w:rsidRPr="00410AAE" w:rsidRDefault="00F008AC" w:rsidP="00410AAE">
      <w:pPr>
        <w:widowControl w:val="0"/>
        <w:ind w:left="720" w:hanging="720"/>
        <w:jc w:val="both"/>
        <w:rPr>
          <w:rFonts w:eastAsia="Times New Roman" w:cs="Times New Roman"/>
          <w:sz w:val="20"/>
          <w:szCs w:val="20"/>
          <w:lang w:eastAsia="en-CA"/>
        </w:rPr>
      </w:pPr>
      <w:r w:rsidRPr="00F008AC">
        <w:rPr>
          <w:rFonts w:eastAsia="Times New Roman" w:cs="Times New Roman"/>
          <w:b/>
          <w:sz w:val="20"/>
          <w:szCs w:val="20"/>
          <w:lang w:eastAsia="en-CA"/>
        </w:rPr>
        <w:lastRenderedPageBreak/>
        <w:fldChar w:fldCharType="begin"/>
      </w:r>
      <w:r w:rsidR="00410AAE" w:rsidRPr="00410AAE">
        <w:rPr>
          <w:rFonts w:eastAsia="Times New Roman" w:cs="Times New Roman"/>
          <w:b/>
          <w:sz w:val="20"/>
          <w:szCs w:val="20"/>
          <w:lang w:val="en-US" w:eastAsia="en-CA"/>
        </w:rPr>
        <w:instrText xml:space="preserve"> SEQ CHAPTER \h \r 1</w:instrText>
      </w:r>
      <w:r w:rsidRPr="00410AAE">
        <w:rPr>
          <w:rFonts w:eastAsia="Times New Roman" w:cs="Times New Roman"/>
          <w:b/>
          <w:sz w:val="20"/>
          <w:szCs w:val="20"/>
          <w:lang w:val="en-US" w:eastAsia="en-CA"/>
        </w:rPr>
        <w:fldChar w:fldCharType="end"/>
      </w:r>
      <w:r w:rsidR="00410AAE" w:rsidRPr="00410AAE">
        <w:rPr>
          <w:rFonts w:eastAsia="Times New Roman" w:cs="Times New Roman"/>
          <w:b/>
          <w:sz w:val="20"/>
          <w:szCs w:val="20"/>
          <w:lang w:eastAsia="en-CA"/>
        </w:rPr>
        <w:t>34767</w:t>
      </w:r>
      <w:r w:rsidR="00410AAE" w:rsidRPr="00410AAE">
        <w:rPr>
          <w:rFonts w:eastAsia="Times New Roman" w:cs="Times New Roman"/>
          <w:sz w:val="20"/>
          <w:szCs w:val="20"/>
          <w:lang w:eastAsia="en-CA"/>
        </w:rPr>
        <w:tab/>
      </w:r>
      <w:r w:rsidR="00410AAE" w:rsidRPr="00410AAE">
        <w:rPr>
          <w:rFonts w:eastAsia="Times New Roman" w:cs="Times New Roman"/>
          <w:b/>
          <w:i/>
          <w:sz w:val="20"/>
          <w:szCs w:val="20"/>
          <w:lang w:eastAsia="en-CA"/>
        </w:rPr>
        <w:t xml:space="preserve">Attorney General of Canada on Behalf of the Czech Republic, and the Minister of Justice of Canada v. </w:t>
      </w:r>
      <w:proofErr w:type="spellStart"/>
      <w:r w:rsidR="00410AAE" w:rsidRPr="00410AAE">
        <w:rPr>
          <w:rFonts w:eastAsia="Times New Roman" w:cs="Times New Roman"/>
          <w:b/>
          <w:i/>
          <w:sz w:val="20"/>
          <w:szCs w:val="20"/>
          <w:lang w:eastAsia="en-CA"/>
        </w:rPr>
        <w:t>Brestislav</w:t>
      </w:r>
      <w:proofErr w:type="spellEnd"/>
      <w:r w:rsidR="00410AAE" w:rsidRPr="00410AAE">
        <w:rPr>
          <w:rFonts w:eastAsia="Times New Roman" w:cs="Times New Roman"/>
          <w:b/>
          <w:i/>
          <w:sz w:val="20"/>
          <w:szCs w:val="20"/>
          <w:lang w:eastAsia="en-CA"/>
        </w:rPr>
        <w:t xml:space="preserve"> </w:t>
      </w:r>
      <w:proofErr w:type="spellStart"/>
      <w:r w:rsidR="00410AAE" w:rsidRPr="00410AAE">
        <w:rPr>
          <w:rFonts w:eastAsia="Times New Roman" w:cs="Times New Roman"/>
          <w:b/>
          <w:i/>
          <w:sz w:val="20"/>
          <w:szCs w:val="20"/>
          <w:lang w:eastAsia="en-CA"/>
        </w:rPr>
        <w:t>Zajicek</w:t>
      </w:r>
      <w:proofErr w:type="spellEnd"/>
    </w:p>
    <w:p w:rsidR="00410AAE" w:rsidRPr="00410AAE" w:rsidRDefault="00410AAE" w:rsidP="00410AAE">
      <w:pPr>
        <w:widowControl w:val="0"/>
        <w:jc w:val="both"/>
        <w:rPr>
          <w:rFonts w:eastAsia="Times New Roman" w:cs="Times New Roman"/>
          <w:sz w:val="20"/>
          <w:szCs w:val="20"/>
          <w:lang w:eastAsia="en-CA"/>
        </w:rPr>
      </w:pPr>
    </w:p>
    <w:p w:rsidR="00410AAE" w:rsidRPr="00410AAE" w:rsidRDefault="00410AAE" w:rsidP="00410AAE">
      <w:pPr>
        <w:widowControl w:val="0"/>
        <w:jc w:val="both"/>
        <w:rPr>
          <w:rFonts w:eastAsia="Times New Roman" w:cs="Times New Roman"/>
          <w:sz w:val="20"/>
          <w:szCs w:val="20"/>
          <w:lang w:eastAsia="en-CA"/>
        </w:rPr>
      </w:pPr>
      <w:r w:rsidRPr="00410AAE">
        <w:rPr>
          <w:rFonts w:eastAsia="Times New Roman" w:cs="Times New Roman"/>
          <w:sz w:val="20"/>
          <w:szCs w:val="20"/>
          <w:lang w:eastAsia="en-CA"/>
        </w:rPr>
        <w:t xml:space="preserve">Criminal Law </w:t>
      </w:r>
      <w:r w:rsidRPr="00410AAE">
        <w:rPr>
          <w:rFonts w:eastAsia="Times New Roman" w:cs="Times New Roman"/>
          <w:sz w:val="20"/>
          <w:szCs w:val="20"/>
          <w:lang w:eastAsia="en-CA"/>
        </w:rPr>
        <w:noBreakHyphen/>
        <w:t xml:space="preserve"> Extradition </w:t>
      </w:r>
      <w:r w:rsidRPr="00410AAE">
        <w:rPr>
          <w:rFonts w:eastAsia="Times New Roman" w:cs="Times New Roman"/>
          <w:sz w:val="20"/>
          <w:szCs w:val="20"/>
          <w:lang w:eastAsia="en-CA"/>
        </w:rPr>
        <w:noBreakHyphen/>
        <w:t xml:space="preserve"> Jurisdiction </w:t>
      </w:r>
      <w:r w:rsidRPr="00410AAE">
        <w:rPr>
          <w:rFonts w:eastAsia="Times New Roman" w:cs="Times New Roman"/>
          <w:sz w:val="20"/>
          <w:szCs w:val="20"/>
          <w:lang w:eastAsia="en-CA"/>
        </w:rPr>
        <w:noBreakHyphen/>
        <w:t xml:space="preserve"> Whether the Court of Appeal erred in its interpretation of the abuse of process jurisdiction of the extradition judge under s. 25 of the </w:t>
      </w:r>
      <w:r w:rsidRPr="00410AAE">
        <w:rPr>
          <w:rFonts w:eastAsia="Times New Roman" w:cs="Times New Roman"/>
          <w:i/>
          <w:sz w:val="20"/>
          <w:szCs w:val="20"/>
          <w:lang w:eastAsia="en-CA"/>
        </w:rPr>
        <w:t>Extradition Act</w:t>
      </w:r>
      <w:r w:rsidRPr="00410AAE">
        <w:rPr>
          <w:rFonts w:eastAsia="Times New Roman" w:cs="Times New Roman"/>
          <w:sz w:val="20"/>
          <w:szCs w:val="20"/>
          <w:lang w:eastAsia="en-CA"/>
        </w:rPr>
        <w:t xml:space="preserve">, S.C. 1999, c. 18 </w:t>
      </w:r>
      <w:r w:rsidRPr="00410AAE">
        <w:rPr>
          <w:rFonts w:eastAsia="Times New Roman" w:cs="Times New Roman"/>
          <w:sz w:val="20"/>
          <w:szCs w:val="20"/>
          <w:lang w:eastAsia="en-CA"/>
        </w:rPr>
        <w:noBreakHyphen/>
        <w:t xml:space="preserve"> Whether the majority of the Court of Appeal erred in its application of the curative proviso in s. 53(b</w:t>
      </w:r>
      <w:proofErr w:type="gramStart"/>
      <w:r w:rsidRPr="00410AAE">
        <w:rPr>
          <w:rFonts w:eastAsia="Times New Roman" w:cs="Times New Roman"/>
          <w:sz w:val="20"/>
          <w:szCs w:val="20"/>
          <w:lang w:eastAsia="en-CA"/>
        </w:rPr>
        <w:t>)(</w:t>
      </w:r>
      <w:proofErr w:type="gramEnd"/>
      <w:r w:rsidRPr="00410AAE">
        <w:rPr>
          <w:rFonts w:eastAsia="Times New Roman" w:cs="Times New Roman"/>
          <w:sz w:val="20"/>
          <w:szCs w:val="20"/>
          <w:lang w:eastAsia="en-CA"/>
        </w:rPr>
        <w:t xml:space="preserve">ii) of the </w:t>
      </w:r>
      <w:r w:rsidRPr="00410AAE">
        <w:rPr>
          <w:rFonts w:eastAsia="Times New Roman" w:cs="Times New Roman"/>
          <w:i/>
          <w:sz w:val="20"/>
          <w:szCs w:val="20"/>
          <w:lang w:eastAsia="en-CA"/>
        </w:rPr>
        <w:t>Act</w:t>
      </w:r>
      <w:r w:rsidRPr="00410AAE">
        <w:rPr>
          <w:rFonts w:eastAsia="Times New Roman" w:cs="Times New Roman"/>
          <w:sz w:val="20"/>
          <w:szCs w:val="20"/>
          <w:lang w:eastAsia="en-CA"/>
        </w:rPr>
        <w:t xml:space="preserve"> </w:t>
      </w:r>
      <w:r w:rsidRPr="00410AAE">
        <w:rPr>
          <w:rFonts w:eastAsia="Times New Roman" w:cs="Times New Roman"/>
          <w:sz w:val="20"/>
          <w:szCs w:val="20"/>
          <w:lang w:eastAsia="en-CA"/>
        </w:rPr>
        <w:noBreakHyphen/>
        <w:t xml:space="preserve"> Whether the Minister’s decision to order the respondent’s surrender was reasonable.</w:t>
      </w:r>
    </w:p>
    <w:p w:rsidR="00410AAE" w:rsidRPr="00410AAE" w:rsidRDefault="00410AAE" w:rsidP="00410AAE">
      <w:pPr>
        <w:widowControl w:val="0"/>
        <w:jc w:val="both"/>
        <w:rPr>
          <w:rFonts w:eastAsia="Times New Roman" w:cs="Times New Roman"/>
          <w:sz w:val="20"/>
          <w:szCs w:val="20"/>
          <w:lang w:eastAsia="en-CA"/>
        </w:rPr>
      </w:pPr>
    </w:p>
    <w:p w:rsidR="00410AAE" w:rsidRPr="00410AAE" w:rsidRDefault="00410AAE" w:rsidP="00410AAE">
      <w:pPr>
        <w:widowControl w:val="0"/>
        <w:jc w:val="both"/>
        <w:rPr>
          <w:rFonts w:eastAsia="Times New Roman" w:cs="Times New Roman"/>
          <w:sz w:val="20"/>
          <w:szCs w:val="20"/>
          <w:lang w:eastAsia="en-CA"/>
        </w:rPr>
      </w:pPr>
      <w:r w:rsidRPr="00410AAE">
        <w:rPr>
          <w:rFonts w:eastAsia="Times New Roman" w:cs="Times New Roman"/>
          <w:sz w:val="20"/>
          <w:szCs w:val="20"/>
          <w:lang w:eastAsia="en-CA"/>
        </w:rPr>
        <w:t xml:space="preserve">The Czech Republic sought the respondent’s extradition to stand trial on charges of robbery and property offences alleged to have been committed nine years before the extradition request was made.  The evidence allegedly implicating the respondent in these offences includes his confession to Czech authorities and statements made by three alleged accomplices.  In resisting committal, the respondent claimed that his confession was obtained by torture and accordingly sought a stay of the extradition proceedings on grounds of abuse of process in violation of section 7 of the </w:t>
      </w:r>
      <w:r w:rsidRPr="00410AAE">
        <w:rPr>
          <w:rFonts w:eastAsia="Times New Roman" w:cs="Times New Roman"/>
          <w:i/>
          <w:sz w:val="20"/>
          <w:szCs w:val="20"/>
          <w:lang w:eastAsia="en-CA"/>
        </w:rPr>
        <w:t>Charter</w:t>
      </w:r>
      <w:r w:rsidRPr="00410AAE">
        <w:rPr>
          <w:rFonts w:eastAsia="Times New Roman" w:cs="Times New Roman"/>
          <w:sz w:val="20"/>
          <w:szCs w:val="20"/>
          <w:lang w:eastAsia="en-CA"/>
        </w:rPr>
        <w:t xml:space="preserve">.  The judge conducting the extradition hearing granted the appellants’ application for a committal order.  In so doing, the extradition judge found that there was sufficient evidence, namely the accomplice evidence, to commit the respondent regardless of his confession which was not considered.  The extradition judge concluded that her jurisdiction to grant </w:t>
      </w:r>
      <w:r w:rsidRPr="00410AAE">
        <w:rPr>
          <w:rFonts w:eastAsia="Times New Roman" w:cs="Times New Roman"/>
          <w:i/>
          <w:sz w:val="20"/>
          <w:szCs w:val="20"/>
          <w:lang w:eastAsia="en-CA"/>
        </w:rPr>
        <w:t>Charter</w:t>
      </w:r>
      <w:r w:rsidRPr="00410AAE">
        <w:rPr>
          <w:rFonts w:eastAsia="Times New Roman" w:cs="Times New Roman"/>
          <w:sz w:val="20"/>
          <w:szCs w:val="20"/>
          <w:lang w:eastAsia="en-CA"/>
        </w:rPr>
        <w:t xml:space="preserve"> remedies, including a stay of proceedings, was not engaged in this regard as it was restricted to matters directly related to the fairness of the committal proceedings, and that the allegations of torture and procedural delay were matters for the Minister of Justice.  The respondent renewed his request for a stay of the extradition proceedings before the Minister of Justice, submitting that his surrender should be refused as unjust or oppressive, </w:t>
      </w:r>
      <w:r w:rsidRPr="00410AAE">
        <w:rPr>
          <w:rFonts w:eastAsia="Times New Roman" w:cs="Times New Roman"/>
          <w:i/>
          <w:sz w:val="20"/>
          <w:szCs w:val="20"/>
          <w:lang w:eastAsia="en-CA"/>
        </w:rPr>
        <w:t>inter alia</w:t>
      </w:r>
      <w:r w:rsidRPr="00410AAE">
        <w:rPr>
          <w:rFonts w:eastAsia="Times New Roman" w:cs="Times New Roman"/>
          <w:sz w:val="20"/>
          <w:szCs w:val="20"/>
          <w:lang w:eastAsia="en-CA"/>
        </w:rPr>
        <w:t xml:space="preserve"> on the basis that his confession was obtained by torture.  The Minister of Justice was not satisfied that the respondent’s allegations of torture established an abuse of process and proceeded to issue a surrender order.</w:t>
      </w:r>
    </w:p>
    <w:p w:rsidR="00410AAE" w:rsidRPr="00410AAE" w:rsidRDefault="00410AAE" w:rsidP="00410AAE">
      <w:pPr>
        <w:widowControl w:val="0"/>
        <w:jc w:val="both"/>
        <w:rPr>
          <w:rFonts w:eastAsia="Times New Roman" w:cs="Times New Roman"/>
          <w:sz w:val="20"/>
          <w:szCs w:val="20"/>
          <w:lang w:eastAsia="en-CA"/>
        </w:rPr>
      </w:pPr>
    </w:p>
    <w:p w:rsidR="00410AAE" w:rsidRPr="00410AAE" w:rsidRDefault="00410AAE" w:rsidP="00410AAE">
      <w:pPr>
        <w:widowControl w:val="0"/>
        <w:jc w:val="both"/>
        <w:rPr>
          <w:rFonts w:eastAsia="Times New Roman" w:cs="Times New Roman"/>
          <w:sz w:val="20"/>
          <w:szCs w:val="20"/>
          <w:lang w:eastAsia="en-CA"/>
        </w:rPr>
      </w:pPr>
    </w:p>
    <w:p w:rsidR="00410AAE" w:rsidRPr="00410AAE" w:rsidRDefault="00410AAE" w:rsidP="00410AAE">
      <w:pPr>
        <w:widowControl w:val="0"/>
        <w:ind w:left="2880" w:hanging="2880"/>
        <w:jc w:val="both"/>
        <w:rPr>
          <w:rFonts w:eastAsia="Times New Roman" w:cs="Times New Roman"/>
          <w:sz w:val="20"/>
          <w:szCs w:val="20"/>
          <w:lang w:eastAsia="en-CA"/>
        </w:rPr>
      </w:pPr>
      <w:r w:rsidRPr="00410AAE">
        <w:rPr>
          <w:rFonts w:eastAsia="Times New Roman" w:cs="Times New Roman"/>
          <w:sz w:val="20"/>
          <w:szCs w:val="20"/>
          <w:lang w:eastAsia="en-CA"/>
        </w:rPr>
        <w:t>Origin of the case:</w:t>
      </w:r>
      <w:r w:rsidRPr="00410AAE">
        <w:rPr>
          <w:rFonts w:eastAsia="Times New Roman" w:cs="Times New Roman"/>
          <w:sz w:val="20"/>
          <w:szCs w:val="20"/>
          <w:lang w:eastAsia="en-CA"/>
        </w:rPr>
        <w:tab/>
        <w:t>Ontario</w:t>
      </w:r>
    </w:p>
    <w:p w:rsidR="00410AAE" w:rsidRPr="00410AAE" w:rsidRDefault="00410AAE" w:rsidP="00410AAE">
      <w:pPr>
        <w:widowControl w:val="0"/>
        <w:ind w:left="2880" w:hanging="2880"/>
        <w:jc w:val="both"/>
        <w:rPr>
          <w:rFonts w:eastAsia="Times New Roman" w:cs="Times New Roman"/>
          <w:sz w:val="20"/>
          <w:szCs w:val="20"/>
          <w:lang w:eastAsia="en-CA"/>
        </w:rPr>
      </w:pPr>
    </w:p>
    <w:p w:rsidR="00410AAE" w:rsidRPr="00410AAE" w:rsidRDefault="00410AAE" w:rsidP="00410AAE">
      <w:pPr>
        <w:widowControl w:val="0"/>
        <w:ind w:left="2880" w:hanging="2880"/>
        <w:jc w:val="both"/>
        <w:rPr>
          <w:rFonts w:eastAsia="Times New Roman" w:cs="Times New Roman"/>
          <w:sz w:val="20"/>
          <w:szCs w:val="20"/>
          <w:lang w:eastAsia="en-CA"/>
        </w:rPr>
      </w:pPr>
      <w:r w:rsidRPr="00410AAE">
        <w:rPr>
          <w:rFonts w:eastAsia="Times New Roman" w:cs="Times New Roman"/>
          <w:sz w:val="20"/>
          <w:szCs w:val="20"/>
          <w:lang w:eastAsia="en-CA"/>
        </w:rPr>
        <w:t>File No.:</w:t>
      </w:r>
      <w:r w:rsidRPr="00410AAE">
        <w:rPr>
          <w:rFonts w:eastAsia="Times New Roman" w:cs="Times New Roman"/>
          <w:sz w:val="20"/>
          <w:szCs w:val="20"/>
          <w:lang w:eastAsia="en-CA"/>
        </w:rPr>
        <w:tab/>
        <w:t>34767</w:t>
      </w:r>
    </w:p>
    <w:p w:rsidR="00410AAE" w:rsidRPr="00410AAE" w:rsidRDefault="00410AAE" w:rsidP="00410AAE">
      <w:pPr>
        <w:widowControl w:val="0"/>
        <w:ind w:left="2880" w:hanging="2880"/>
        <w:jc w:val="both"/>
        <w:rPr>
          <w:rFonts w:eastAsia="Times New Roman" w:cs="Times New Roman"/>
          <w:sz w:val="20"/>
          <w:szCs w:val="20"/>
          <w:lang w:eastAsia="en-CA"/>
        </w:rPr>
      </w:pPr>
    </w:p>
    <w:p w:rsidR="00410AAE" w:rsidRPr="00410AAE" w:rsidRDefault="00410AAE" w:rsidP="00410AAE">
      <w:pPr>
        <w:widowControl w:val="0"/>
        <w:ind w:left="2880" w:hanging="2880"/>
        <w:jc w:val="both"/>
        <w:rPr>
          <w:rFonts w:eastAsia="Times New Roman" w:cs="Times New Roman"/>
          <w:sz w:val="20"/>
          <w:szCs w:val="20"/>
          <w:lang w:eastAsia="en-CA"/>
        </w:rPr>
      </w:pPr>
      <w:r w:rsidRPr="00410AAE">
        <w:rPr>
          <w:rFonts w:eastAsia="Times New Roman" w:cs="Times New Roman"/>
          <w:sz w:val="20"/>
          <w:szCs w:val="20"/>
          <w:lang w:eastAsia="en-CA"/>
        </w:rPr>
        <w:t>Judgment of the Court of Appeal:</w:t>
      </w:r>
      <w:r w:rsidRPr="00410AAE">
        <w:rPr>
          <w:rFonts w:eastAsia="Times New Roman" w:cs="Times New Roman"/>
          <w:sz w:val="20"/>
          <w:szCs w:val="20"/>
          <w:lang w:eastAsia="en-CA"/>
        </w:rPr>
        <w:tab/>
        <w:t>February 14, 2012</w:t>
      </w:r>
    </w:p>
    <w:p w:rsidR="00410AAE" w:rsidRPr="00410AAE" w:rsidRDefault="00410AAE" w:rsidP="00410AAE">
      <w:pPr>
        <w:widowControl w:val="0"/>
        <w:ind w:left="2880" w:hanging="2880"/>
        <w:jc w:val="both"/>
        <w:rPr>
          <w:rFonts w:eastAsia="Times New Roman" w:cs="Times New Roman"/>
          <w:sz w:val="20"/>
          <w:szCs w:val="20"/>
          <w:lang w:eastAsia="en-CA"/>
        </w:rPr>
      </w:pPr>
    </w:p>
    <w:p w:rsidR="00410AAE" w:rsidRPr="00410AAE" w:rsidRDefault="00410AAE" w:rsidP="00410AAE">
      <w:pPr>
        <w:widowControl w:val="0"/>
        <w:ind w:left="2880" w:hanging="2880"/>
        <w:jc w:val="both"/>
        <w:rPr>
          <w:rFonts w:eastAsia="Times New Roman" w:cs="Times New Roman"/>
          <w:sz w:val="20"/>
          <w:szCs w:val="20"/>
          <w:lang w:eastAsia="en-CA"/>
        </w:rPr>
      </w:pPr>
      <w:r w:rsidRPr="00410AAE">
        <w:rPr>
          <w:rFonts w:eastAsia="Times New Roman" w:cs="Times New Roman"/>
          <w:sz w:val="20"/>
          <w:szCs w:val="20"/>
          <w:lang w:eastAsia="en-CA"/>
        </w:rPr>
        <w:t>Counsel:</w:t>
      </w:r>
      <w:r w:rsidRPr="00410AAE">
        <w:rPr>
          <w:rFonts w:eastAsia="Times New Roman" w:cs="Times New Roman"/>
          <w:sz w:val="20"/>
          <w:szCs w:val="20"/>
          <w:lang w:eastAsia="en-CA"/>
        </w:rPr>
        <w:tab/>
        <w:t xml:space="preserve">Janet </w:t>
      </w:r>
      <w:proofErr w:type="spellStart"/>
      <w:r w:rsidRPr="00410AAE">
        <w:rPr>
          <w:rFonts w:eastAsia="Times New Roman" w:cs="Times New Roman"/>
          <w:sz w:val="20"/>
          <w:szCs w:val="20"/>
          <w:lang w:eastAsia="en-CA"/>
        </w:rPr>
        <w:t>Henchey</w:t>
      </w:r>
      <w:proofErr w:type="spellEnd"/>
      <w:r w:rsidRPr="00410AAE">
        <w:rPr>
          <w:rFonts w:eastAsia="Times New Roman" w:cs="Times New Roman"/>
          <w:sz w:val="20"/>
          <w:szCs w:val="20"/>
          <w:lang w:eastAsia="en-CA"/>
        </w:rPr>
        <w:t xml:space="preserve"> and Jeffrey G. Johnston for the appellants</w:t>
      </w:r>
    </w:p>
    <w:p w:rsidR="00410AAE" w:rsidRPr="00410AAE" w:rsidRDefault="00410AAE" w:rsidP="00410AAE">
      <w:pPr>
        <w:widowControl w:val="0"/>
        <w:ind w:left="2880" w:hanging="2880"/>
        <w:jc w:val="both"/>
        <w:rPr>
          <w:rFonts w:eastAsia="Times New Roman" w:cs="Times New Roman"/>
          <w:sz w:val="20"/>
          <w:szCs w:val="20"/>
          <w:lang w:eastAsia="en-CA"/>
        </w:rPr>
      </w:pPr>
      <w:r w:rsidRPr="00410AAE">
        <w:rPr>
          <w:rFonts w:eastAsia="Times New Roman" w:cs="Times New Roman"/>
          <w:sz w:val="20"/>
          <w:szCs w:val="20"/>
          <w:lang w:eastAsia="en-CA"/>
        </w:rPr>
        <w:tab/>
      </w:r>
      <w:proofErr w:type="spellStart"/>
      <w:r w:rsidRPr="00410AAE">
        <w:rPr>
          <w:rFonts w:eastAsia="Times New Roman" w:cs="Times New Roman"/>
          <w:sz w:val="20"/>
          <w:szCs w:val="20"/>
          <w:lang w:eastAsia="en-CA"/>
        </w:rPr>
        <w:t>Julianna</w:t>
      </w:r>
      <w:proofErr w:type="spellEnd"/>
      <w:r w:rsidRPr="00410AAE">
        <w:rPr>
          <w:rFonts w:eastAsia="Times New Roman" w:cs="Times New Roman"/>
          <w:sz w:val="20"/>
          <w:szCs w:val="20"/>
          <w:lang w:eastAsia="en-CA"/>
        </w:rPr>
        <w:t> A. Greenspan for the respondent</w:t>
      </w:r>
    </w:p>
    <w:p w:rsidR="003320D5" w:rsidRPr="00410AAE"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82"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C340E4" w:rsidRPr="009B3CD3" w:rsidRDefault="00F008AC" w:rsidP="00C340E4">
      <w:pPr>
        <w:widowControl w:val="0"/>
        <w:ind w:left="720" w:hanging="720"/>
        <w:jc w:val="both"/>
        <w:rPr>
          <w:sz w:val="20"/>
          <w:szCs w:val="20"/>
          <w:lang w:val="fr-CA"/>
        </w:rPr>
      </w:pPr>
      <w:r w:rsidRPr="009B3CD3">
        <w:rPr>
          <w:b/>
          <w:sz w:val="20"/>
          <w:szCs w:val="20"/>
          <w:lang w:val="fr-CA"/>
        </w:rPr>
        <w:lastRenderedPageBreak/>
        <w:fldChar w:fldCharType="begin"/>
      </w:r>
      <w:r w:rsidR="00C340E4" w:rsidRPr="009B3CD3">
        <w:rPr>
          <w:b/>
          <w:sz w:val="20"/>
          <w:szCs w:val="20"/>
          <w:lang w:val="fr-CA"/>
        </w:rPr>
        <w:instrText xml:space="preserve"> SEQ CHAPTER \h \r 1</w:instrText>
      </w:r>
      <w:r w:rsidRPr="009B3CD3">
        <w:rPr>
          <w:b/>
          <w:sz w:val="20"/>
          <w:szCs w:val="20"/>
          <w:lang w:val="fr-CA"/>
        </w:rPr>
        <w:fldChar w:fldCharType="end"/>
      </w:r>
      <w:r w:rsidR="00C340E4" w:rsidRPr="009B3CD3">
        <w:rPr>
          <w:b/>
          <w:sz w:val="20"/>
          <w:szCs w:val="20"/>
          <w:lang w:val="fr-CA"/>
        </w:rPr>
        <w:t>34767</w:t>
      </w:r>
      <w:r w:rsidR="00C340E4" w:rsidRPr="009B3CD3">
        <w:rPr>
          <w:sz w:val="20"/>
          <w:szCs w:val="20"/>
          <w:lang w:val="fr-CA"/>
        </w:rPr>
        <w:tab/>
      </w:r>
      <w:r w:rsidR="00C340E4" w:rsidRPr="009B3CD3">
        <w:rPr>
          <w:b/>
          <w:i/>
          <w:sz w:val="20"/>
          <w:szCs w:val="20"/>
          <w:lang w:val="fr-CA"/>
        </w:rPr>
        <w:t xml:space="preserve">Procureur général du Canada au nom de la République tchèque et le ministre de la Justice du Canada c. </w:t>
      </w:r>
      <w:proofErr w:type="spellStart"/>
      <w:r w:rsidR="00C340E4" w:rsidRPr="009B3CD3">
        <w:rPr>
          <w:b/>
          <w:i/>
          <w:sz w:val="20"/>
          <w:szCs w:val="20"/>
          <w:lang w:val="fr-CA"/>
        </w:rPr>
        <w:t>Bretislav</w:t>
      </w:r>
      <w:proofErr w:type="spellEnd"/>
      <w:r w:rsidR="00C340E4" w:rsidRPr="009B3CD3">
        <w:rPr>
          <w:b/>
          <w:i/>
          <w:sz w:val="20"/>
          <w:szCs w:val="20"/>
          <w:lang w:val="fr-CA"/>
        </w:rPr>
        <w:t xml:space="preserve"> </w:t>
      </w:r>
      <w:proofErr w:type="spellStart"/>
      <w:r w:rsidR="00C340E4" w:rsidRPr="009B3CD3">
        <w:rPr>
          <w:b/>
          <w:i/>
          <w:sz w:val="20"/>
          <w:szCs w:val="20"/>
          <w:lang w:val="fr-CA"/>
        </w:rPr>
        <w:t>Zajicek</w:t>
      </w:r>
      <w:proofErr w:type="spellEnd"/>
    </w:p>
    <w:p w:rsidR="00C340E4" w:rsidRPr="009B3CD3" w:rsidRDefault="00C340E4" w:rsidP="00C340E4">
      <w:pPr>
        <w:widowControl w:val="0"/>
        <w:jc w:val="both"/>
        <w:rPr>
          <w:sz w:val="20"/>
          <w:szCs w:val="20"/>
          <w:lang w:val="fr-CA"/>
        </w:rPr>
      </w:pPr>
    </w:p>
    <w:p w:rsidR="00C340E4" w:rsidRPr="009B3CD3" w:rsidRDefault="00C340E4" w:rsidP="00C340E4">
      <w:pPr>
        <w:widowControl w:val="0"/>
        <w:jc w:val="both"/>
        <w:rPr>
          <w:sz w:val="20"/>
          <w:szCs w:val="20"/>
          <w:lang w:val="fr-CA"/>
        </w:rPr>
      </w:pPr>
      <w:r w:rsidRPr="009B3CD3">
        <w:rPr>
          <w:sz w:val="20"/>
          <w:szCs w:val="20"/>
          <w:lang w:val="fr-CA"/>
        </w:rPr>
        <w:t xml:space="preserve">Droit criminel </w:t>
      </w:r>
      <w:r w:rsidRPr="009B3CD3">
        <w:rPr>
          <w:sz w:val="20"/>
          <w:szCs w:val="20"/>
          <w:lang w:val="fr-CA"/>
        </w:rPr>
        <w:noBreakHyphen/>
        <w:t xml:space="preserve"> Extradition </w:t>
      </w:r>
      <w:r w:rsidRPr="009B3CD3">
        <w:rPr>
          <w:sz w:val="20"/>
          <w:szCs w:val="20"/>
          <w:lang w:val="fr-CA"/>
        </w:rPr>
        <w:noBreakHyphen/>
        <w:t xml:space="preserve"> Compétence </w:t>
      </w:r>
      <w:r w:rsidRPr="009B3CD3">
        <w:rPr>
          <w:sz w:val="20"/>
          <w:szCs w:val="20"/>
          <w:lang w:val="fr-CA"/>
        </w:rPr>
        <w:noBreakHyphen/>
        <w:t xml:space="preserve"> La Cour d’appel s’</w:t>
      </w:r>
      <w:proofErr w:type="spellStart"/>
      <w:r w:rsidRPr="009B3CD3">
        <w:rPr>
          <w:sz w:val="20"/>
          <w:szCs w:val="20"/>
          <w:lang w:val="fr-CA"/>
        </w:rPr>
        <w:t>est</w:t>
      </w:r>
      <w:r w:rsidRPr="009B3CD3">
        <w:rPr>
          <w:sz w:val="20"/>
          <w:szCs w:val="20"/>
          <w:lang w:val="fr-CA"/>
        </w:rPr>
        <w:noBreakHyphen/>
        <w:t>elle</w:t>
      </w:r>
      <w:proofErr w:type="spellEnd"/>
      <w:r w:rsidRPr="009B3CD3">
        <w:rPr>
          <w:sz w:val="20"/>
          <w:szCs w:val="20"/>
          <w:lang w:val="fr-CA"/>
        </w:rPr>
        <w:t xml:space="preserve"> trompée dans son interprétation de la compétence en matière d’abus de procédure de la juge d’extradition aux termes de l’art. 25 de la </w:t>
      </w:r>
      <w:r w:rsidRPr="009B3CD3">
        <w:rPr>
          <w:i/>
          <w:sz w:val="20"/>
          <w:szCs w:val="20"/>
          <w:lang w:val="fr-CA"/>
        </w:rPr>
        <w:t>Loi sur l’extradition</w:t>
      </w:r>
      <w:r w:rsidRPr="009B3CD3">
        <w:rPr>
          <w:sz w:val="20"/>
          <w:szCs w:val="20"/>
          <w:lang w:val="fr-CA"/>
        </w:rPr>
        <w:t xml:space="preserve">, L.C. 1999, ch. 18? </w:t>
      </w:r>
      <w:r w:rsidRPr="009B3CD3">
        <w:rPr>
          <w:sz w:val="20"/>
          <w:szCs w:val="20"/>
          <w:lang w:val="fr-CA"/>
        </w:rPr>
        <w:noBreakHyphen/>
        <w:t xml:space="preserve"> Les juges majoritaires de la Cour d’appel se </w:t>
      </w:r>
      <w:proofErr w:type="spellStart"/>
      <w:r w:rsidRPr="009B3CD3">
        <w:rPr>
          <w:sz w:val="20"/>
          <w:szCs w:val="20"/>
          <w:lang w:val="fr-CA"/>
        </w:rPr>
        <w:t>sont</w:t>
      </w:r>
      <w:r w:rsidRPr="009B3CD3">
        <w:rPr>
          <w:sz w:val="20"/>
          <w:szCs w:val="20"/>
          <w:lang w:val="fr-CA"/>
        </w:rPr>
        <w:noBreakHyphen/>
        <w:t>ils</w:t>
      </w:r>
      <w:proofErr w:type="spellEnd"/>
      <w:r w:rsidRPr="009B3CD3">
        <w:rPr>
          <w:sz w:val="20"/>
          <w:szCs w:val="20"/>
          <w:lang w:val="fr-CA"/>
        </w:rPr>
        <w:t xml:space="preserve"> trompés dans leur application de la disposition réparatrice prévue au </w:t>
      </w:r>
      <w:proofErr w:type="spellStart"/>
      <w:r w:rsidRPr="009B3CD3">
        <w:rPr>
          <w:sz w:val="20"/>
          <w:szCs w:val="20"/>
          <w:lang w:val="fr-CA"/>
        </w:rPr>
        <w:t>sous</w:t>
      </w:r>
      <w:r w:rsidRPr="009B3CD3">
        <w:rPr>
          <w:sz w:val="20"/>
          <w:szCs w:val="20"/>
          <w:lang w:val="fr-CA"/>
        </w:rPr>
        <w:noBreakHyphen/>
        <w:t>alinéa</w:t>
      </w:r>
      <w:proofErr w:type="spellEnd"/>
      <w:r w:rsidRPr="009B3CD3">
        <w:rPr>
          <w:sz w:val="20"/>
          <w:szCs w:val="20"/>
          <w:lang w:val="fr-CA"/>
        </w:rPr>
        <w:t> 53</w:t>
      </w:r>
      <w:r w:rsidRPr="009B3CD3">
        <w:rPr>
          <w:i/>
          <w:sz w:val="20"/>
          <w:szCs w:val="20"/>
          <w:lang w:val="fr-CA"/>
        </w:rPr>
        <w:t>b</w:t>
      </w:r>
      <w:proofErr w:type="gramStart"/>
      <w:r w:rsidRPr="009B3CD3">
        <w:rPr>
          <w:sz w:val="20"/>
          <w:szCs w:val="20"/>
          <w:lang w:val="fr-CA"/>
        </w:rPr>
        <w:t>)(</w:t>
      </w:r>
      <w:proofErr w:type="gramEnd"/>
      <w:r w:rsidRPr="009B3CD3">
        <w:rPr>
          <w:sz w:val="20"/>
          <w:szCs w:val="20"/>
          <w:lang w:val="fr-CA"/>
        </w:rPr>
        <w:t xml:space="preserve">ii) de la </w:t>
      </w:r>
      <w:r w:rsidRPr="009B3CD3">
        <w:rPr>
          <w:i/>
          <w:sz w:val="20"/>
          <w:szCs w:val="20"/>
          <w:lang w:val="fr-CA"/>
        </w:rPr>
        <w:t>Loi</w:t>
      </w:r>
      <w:r w:rsidRPr="009B3CD3">
        <w:rPr>
          <w:sz w:val="20"/>
          <w:szCs w:val="20"/>
          <w:lang w:val="fr-CA"/>
        </w:rPr>
        <w:t xml:space="preserve">? </w:t>
      </w:r>
      <w:r w:rsidRPr="009B3CD3">
        <w:rPr>
          <w:sz w:val="20"/>
          <w:szCs w:val="20"/>
          <w:lang w:val="fr-CA"/>
        </w:rPr>
        <w:noBreakHyphen/>
        <w:t xml:space="preserve"> La décision du ministre d’ordonner l’extradition de l’intimé </w:t>
      </w:r>
      <w:proofErr w:type="spellStart"/>
      <w:r w:rsidRPr="009B3CD3">
        <w:rPr>
          <w:sz w:val="20"/>
          <w:szCs w:val="20"/>
          <w:lang w:val="fr-CA"/>
        </w:rPr>
        <w:t>était</w:t>
      </w:r>
      <w:r w:rsidRPr="009B3CD3">
        <w:rPr>
          <w:sz w:val="20"/>
          <w:szCs w:val="20"/>
          <w:lang w:val="fr-CA"/>
        </w:rPr>
        <w:noBreakHyphen/>
        <w:t>elle</w:t>
      </w:r>
      <w:proofErr w:type="spellEnd"/>
      <w:r w:rsidRPr="009B3CD3">
        <w:rPr>
          <w:sz w:val="20"/>
          <w:szCs w:val="20"/>
          <w:lang w:val="fr-CA"/>
        </w:rPr>
        <w:t xml:space="preserve"> raisonnable?</w:t>
      </w:r>
    </w:p>
    <w:p w:rsidR="00C340E4" w:rsidRPr="009B3CD3" w:rsidRDefault="00C340E4" w:rsidP="00C340E4">
      <w:pPr>
        <w:widowControl w:val="0"/>
        <w:jc w:val="both"/>
        <w:rPr>
          <w:sz w:val="20"/>
          <w:szCs w:val="20"/>
          <w:lang w:val="fr-CA"/>
        </w:rPr>
      </w:pPr>
    </w:p>
    <w:p w:rsidR="00C340E4" w:rsidRPr="009B3CD3" w:rsidRDefault="00C340E4" w:rsidP="00C340E4">
      <w:pPr>
        <w:widowControl w:val="0"/>
        <w:jc w:val="both"/>
        <w:rPr>
          <w:sz w:val="20"/>
          <w:szCs w:val="20"/>
          <w:lang w:val="fr-CA"/>
        </w:rPr>
      </w:pPr>
      <w:r w:rsidRPr="009B3CD3">
        <w:rPr>
          <w:sz w:val="20"/>
          <w:szCs w:val="20"/>
          <w:lang w:val="fr-CA"/>
        </w:rPr>
        <w:t xml:space="preserve">La République tchèque a demandé l’extradition de l’intimé pour qu’il subisse son procès sur des accusations de vol qualifié et d’infractions contre les biens qu’ils aurait censément commis neuf ans avant la demande d’extradition.  La preuve qui impliquerait censément l’intimé dans ces infractions comprend notamment son aveu aux autorités tchèques et des déclarations faites par trois complices présumés.  Dans sa contestation de l’incarcération, l’intimé a allégué que son aveu avait été obtenu par la torture et il a par conséquent demandé l’arrêt de la procédure d’extradition pour abus de procédure en violation de l’article 7 de la </w:t>
      </w:r>
      <w:r w:rsidRPr="009B3CD3">
        <w:rPr>
          <w:i/>
          <w:sz w:val="20"/>
          <w:szCs w:val="20"/>
          <w:lang w:val="fr-CA"/>
        </w:rPr>
        <w:t>Charte</w:t>
      </w:r>
      <w:r w:rsidRPr="009B3CD3">
        <w:rPr>
          <w:sz w:val="20"/>
          <w:szCs w:val="20"/>
          <w:lang w:val="fr-CA"/>
        </w:rPr>
        <w:t xml:space="preserve">.  La juge qui présidait l’audience en matière d’extradition a accueilli la demande d’ordonnance d’incarcération présentée par les appelants.  Ce faisant, la juge d’extradition a conclu qu’il y avait suffisamment d’éléments de preuve, notamment les témoignages des complices, pour incarcérer l’intimé sans égard à son aveu qui n’a pas été pris en compte.  La juge d’extradition a conclu que sa compétence pour accorder des réparations fondées sur la </w:t>
      </w:r>
      <w:r w:rsidRPr="009B3CD3">
        <w:rPr>
          <w:i/>
          <w:sz w:val="20"/>
          <w:szCs w:val="20"/>
          <w:lang w:val="fr-CA"/>
        </w:rPr>
        <w:t>Charte</w:t>
      </w:r>
      <w:r w:rsidRPr="009B3CD3">
        <w:rPr>
          <w:sz w:val="20"/>
          <w:szCs w:val="20"/>
          <w:lang w:val="fr-CA"/>
        </w:rPr>
        <w:t>, notamment l’arrêt de la procédure, ne pouvait être exercée à cet égard, puisqu’elle se limitait à des questions directement liées à l’équité de la procédure d’incarcération, et que les allégations de torture et de retards dans la procédure relevaient de la compétence du ministre de la Justice.  L’intimé a réitéré sa demande d’arrêt de la procédure d’extradition au ministre de la Justice, faisant valoir que son extradition devrait être refusée parce qu’injuste ou tyrannique, notamment parce que son aveu avait été obtenu par la torture.  Le ministre de la Justice n’était pas convaincu que les allégations de torture de l’intimé permettaient de conclure à un abus de procédure et a pris un arrêté d’extradition.</w:t>
      </w:r>
    </w:p>
    <w:p w:rsidR="00C340E4" w:rsidRPr="009B3CD3" w:rsidRDefault="00C340E4" w:rsidP="00C340E4">
      <w:pPr>
        <w:widowControl w:val="0"/>
        <w:jc w:val="both"/>
        <w:rPr>
          <w:sz w:val="20"/>
          <w:szCs w:val="20"/>
          <w:lang w:val="fr-CA"/>
        </w:rPr>
      </w:pPr>
    </w:p>
    <w:p w:rsidR="00C340E4" w:rsidRPr="009B3CD3" w:rsidRDefault="00C340E4" w:rsidP="00C340E4">
      <w:pPr>
        <w:widowControl w:val="0"/>
        <w:jc w:val="both"/>
        <w:rPr>
          <w:sz w:val="20"/>
          <w:szCs w:val="20"/>
          <w:lang w:val="fr-CA"/>
        </w:rPr>
      </w:pPr>
    </w:p>
    <w:p w:rsidR="00C340E4" w:rsidRPr="009B3CD3" w:rsidRDefault="00C340E4" w:rsidP="00C340E4">
      <w:pPr>
        <w:widowControl w:val="0"/>
        <w:ind w:left="2880" w:hanging="2880"/>
        <w:jc w:val="both"/>
        <w:rPr>
          <w:sz w:val="20"/>
          <w:szCs w:val="20"/>
          <w:lang w:val="fr-CA"/>
        </w:rPr>
      </w:pPr>
      <w:r w:rsidRPr="009B3CD3">
        <w:rPr>
          <w:sz w:val="20"/>
          <w:szCs w:val="20"/>
          <w:lang w:val="fr-CA"/>
        </w:rPr>
        <w:t>Origine :</w:t>
      </w:r>
      <w:r w:rsidRPr="009B3CD3">
        <w:rPr>
          <w:sz w:val="20"/>
          <w:szCs w:val="20"/>
          <w:lang w:val="fr-CA"/>
        </w:rPr>
        <w:tab/>
        <w:t>Ontario</w:t>
      </w:r>
    </w:p>
    <w:p w:rsidR="00C340E4" w:rsidRPr="009B3CD3" w:rsidRDefault="00C340E4" w:rsidP="00C340E4">
      <w:pPr>
        <w:widowControl w:val="0"/>
        <w:ind w:left="2880" w:hanging="2880"/>
        <w:jc w:val="both"/>
        <w:rPr>
          <w:sz w:val="20"/>
          <w:szCs w:val="20"/>
          <w:lang w:val="fr-CA"/>
        </w:rPr>
      </w:pPr>
    </w:p>
    <w:p w:rsidR="00C340E4" w:rsidRPr="009B3CD3" w:rsidRDefault="00C340E4" w:rsidP="00C340E4">
      <w:pPr>
        <w:widowControl w:val="0"/>
        <w:ind w:left="2880" w:hanging="2880"/>
        <w:jc w:val="both"/>
        <w:rPr>
          <w:sz w:val="20"/>
          <w:szCs w:val="20"/>
          <w:lang w:val="fr-CA"/>
        </w:rPr>
      </w:pPr>
      <w:r w:rsidRPr="009B3CD3">
        <w:rPr>
          <w:sz w:val="20"/>
          <w:szCs w:val="20"/>
          <w:lang w:val="fr-CA"/>
        </w:rPr>
        <w:t>N</w:t>
      </w:r>
      <w:r w:rsidRPr="009B3CD3">
        <w:rPr>
          <w:sz w:val="20"/>
          <w:szCs w:val="20"/>
          <w:vertAlign w:val="superscript"/>
          <w:lang w:val="fr-CA"/>
        </w:rPr>
        <w:t>o</w:t>
      </w:r>
      <w:r w:rsidRPr="009B3CD3">
        <w:rPr>
          <w:sz w:val="20"/>
          <w:szCs w:val="20"/>
          <w:lang w:val="fr-CA"/>
        </w:rPr>
        <w:t xml:space="preserve"> du greffe :</w:t>
      </w:r>
      <w:r w:rsidRPr="009B3CD3">
        <w:rPr>
          <w:sz w:val="20"/>
          <w:szCs w:val="20"/>
          <w:lang w:val="fr-CA"/>
        </w:rPr>
        <w:tab/>
        <w:t>34767</w:t>
      </w:r>
    </w:p>
    <w:p w:rsidR="00C340E4" w:rsidRPr="009B3CD3" w:rsidRDefault="00C340E4" w:rsidP="00C340E4">
      <w:pPr>
        <w:widowControl w:val="0"/>
        <w:ind w:left="2880" w:hanging="2880"/>
        <w:jc w:val="both"/>
        <w:rPr>
          <w:sz w:val="20"/>
          <w:szCs w:val="20"/>
          <w:lang w:val="fr-CA"/>
        </w:rPr>
      </w:pPr>
    </w:p>
    <w:p w:rsidR="00C340E4" w:rsidRPr="009B3CD3" w:rsidRDefault="00C340E4" w:rsidP="00C340E4">
      <w:pPr>
        <w:widowControl w:val="0"/>
        <w:ind w:left="2880" w:hanging="2880"/>
        <w:jc w:val="both"/>
        <w:rPr>
          <w:sz w:val="20"/>
          <w:szCs w:val="20"/>
          <w:lang w:val="fr-CA"/>
        </w:rPr>
      </w:pPr>
      <w:r w:rsidRPr="009B3CD3">
        <w:rPr>
          <w:sz w:val="20"/>
          <w:szCs w:val="20"/>
          <w:lang w:val="fr-CA"/>
        </w:rPr>
        <w:t>Arrêt de la Cour d’appel :</w:t>
      </w:r>
      <w:r w:rsidRPr="009B3CD3">
        <w:rPr>
          <w:sz w:val="20"/>
          <w:szCs w:val="20"/>
          <w:lang w:val="fr-CA"/>
        </w:rPr>
        <w:tab/>
        <w:t>le 14 février 2012</w:t>
      </w:r>
    </w:p>
    <w:p w:rsidR="00C340E4" w:rsidRPr="009B3CD3" w:rsidRDefault="00C340E4" w:rsidP="00C340E4">
      <w:pPr>
        <w:widowControl w:val="0"/>
        <w:ind w:left="2880" w:hanging="2880"/>
        <w:jc w:val="both"/>
        <w:rPr>
          <w:sz w:val="20"/>
          <w:szCs w:val="20"/>
          <w:lang w:val="fr-CA"/>
        </w:rPr>
      </w:pPr>
    </w:p>
    <w:p w:rsidR="00C340E4" w:rsidRPr="009B3CD3" w:rsidRDefault="00C340E4" w:rsidP="00C340E4">
      <w:pPr>
        <w:widowControl w:val="0"/>
        <w:ind w:left="2880" w:hanging="2880"/>
        <w:jc w:val="both"/>
        <w:rPr>
          <w:sz w:val="20"/>
          <w:szCs w:val="20"/>
          <w:lang w:val="fr-CA"/>
        </w:rPr>
      </w:pPr>
      <w:r w:rsidRPr="009B3CD3">
        <w:rPr>
          <w:sz w:val="20"/>
          <w:szCs w:val="20"/>
          <w:lang w:val="fr-CA"/>
        </w:rPr>
        <w:t>Avocats :</w:t>
      </w:r>
      <w:r w:rsidRPr="009B3CD3">
        <w:rPr>
          <w:sz w:val="20"/>
          <w:szCs w:val="20"/>
          <w:lang w:val="fr-CA"/>
        </w:rPr>
        <w:tab/>
        <w:t xml:space="preserve">Janet </w:t>
      </w:r>
      <w:proofErr w:type="spellStart"/>
      <w:r w:rsidRPr="009B3CD3">
        <w:rPr>
          <w:sz w:val="20"/>
          <w:szCs w:val="20"/>
          <w:lang w:val="fr-CA"/>
        </w:rPr>
        <w:t>Henchey</w:t>
      </w:r>
      <w:proofErr w:type="spellEnd"/>
      <w:r w:rsidRPr="009B3CD3">
        <w:rPr>
          <w:sz w:val="20"/>
          <w:szCs w:val="20"/>
          <w:lang w:val="fr-CA"/>
        </w:rPr>
        <w:t xml:space="preserve"> et Jeffrey G. Johnston pour les appelants</w:t>
      </w:r>
    </w:p>
    <w:p w:rsidR="00C340E4" w:rsidRPr="00C340E4" w:rsidRDefault="00C340E4" w:rsidP="00C340E4">
      <w:pPr>
        <w:widowControl w:val="0"/>
        <w:ind w:left="2880" w:hanging="2880"/>
        <w:jc w:val="both"/>
        <w:rPr>
          <w:sz w:val="20"/>
          <w:szCs w:val="20"/>
        </w:rPr>
      </w:pPr>
      <w:r w:rsidRPr="009B3CD3">
        <w:rPr>
          <w:sz w:val="20"/>
          <w:szCs w:val="20"/>
          <w:lang w:val="fr-CA"/>
        </w:rPr>
        <w:tab/>
      </w:r>
      <w:proofErr w:type="spellStart"/>
      <w:r w:rsidRPr="00C340E4">
        <w:rPr>
          <w:sz w:val="20"/>
          <w:szCs w:val="20"/>
        </w:rPr>
        <w:t>Julianna</w:t>
      </w:r>
      <w:proofErr w:type="spellEnd"/>
      <w:r w:rsidRPr="00C340E4">
        <w:rPr>
          <w:sz w:val="20"/>
          <w:szCs w:val="20"/>
        </w:rPr>
        <w:t xml:space="preserve"> A. Greenspan pour </w:t>
      </w:r>
      <w:proofErr w:type="spellStart"/>
      <w:r w:rsidRPr="00C340E4">
        <w:rPr>
          <w:sz w:val="20"/>
          <w:szCs w:val="20"/>
        </w:rPr>
        <w:t>l’intimé</w:t>
      </w:r>
      <w:proofErr w:type="spellEnd"/>
    </w:p>
    <w:p w:rsidR="003320D5" w:rsidRPr="00292ED2" w:rsidRDefault="003320D5" w:rsidP="000B3C9A">
      <w:pPr>
        <w:tabs>
          <w:tab w:val="left" w:pos="-1440"/>
          <w:tab w:val="left" w:pos="-720"/>
        </w:tabs>
        <w:jc w:val="both"/>
        <w:rPr>
          <w:sz w:val="20"/>
          <w:szCs w:val="20"/>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83"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292ED2" w:rsidRPr="00292ED2" w:rsidRDefault="00F008AC" w:rsidP="00292ED2">
      <w:pPr>
        <w:widowControl w:val="0"/>
        <w:ind w:left="720" w:hanging="720"/>
        <w:jc w:val="both"/>
        <w:rPr>
          <w:rFonts w:eastAsia="Times New Roman" w:cs="Times New Roman"/>
          <w:sz w:val="20"/>
          <w:szCs w:val="20"/>
          <w:lang w:eastAsia="en-CA"/>
        </w:rPr>
      </w:pPr>
      <w:r w:rsidRPr="00F008AC">
        <w:rPr>
          <w:rFonts w:eastAsia="Times New Roman" w:cs="Times New Roman"/>
          <w:b/>
          <w:sz w:val="20"/>
          <w:szCs w:val="20"/>
          <w:lang w:eastAsia="en-CA"/>
        </w:rPr>
        <w:lastRenderedPageBreak/>
        <w:fldChar w:fldCharType="begin"/>
      </w:r>
      <w:r w:rsidR="00292ED2" w:rsidRPr="00292ED2">
        <w:rPr>
          <w:rFonts w:eastAsia="Times New Roman" w:cs="Times New Roman"/>
          <w:b/>
          <w:sz w:val="20"/>
          <w:szCs w:val="20"/>
          <w:lang w:val="en-US" w:eastAsia="en-CA"/>
        </w:rPr>
        <w:instrText xml:space="preserve"> SEQ CHAPTER \h \r 1</w:instrText>
      </w:r>
      <w:r w:rsidRPr="00292ED2">
        <w:rPr>
          <w:rFonts w:eastAsia="Times New Roman" w:cs="Times New Roman"/>
          <w:b/>
          <w:sz w:val="20"/>
          <w:szCs w:val="20"/>
          <w:lang w:val="en-US" w:eastAsia="en-CA"/>
        </w:rPr>
        <w:fldChar w:fldCharType="end"/>
      </w:r>
      <w:r w:rsidR="00292ED2" w:rsidRPr="00292ED2">
        <w:rPr>
          <w:rFonts w:eastAsia="Times New Roman" w:cs="Times New Roman"/>
          <w:b/>
          <w:sz w:val="20"/>
          <w:szCs w:val="20"/>
          <w:lang w:eastAsia="en-CA"/>
        </w:rPr>
        <w:t>34934</w:t>
      </w:r>
      <w:r w:rsidR="00292ED2" w:rsidRPr="00292ED2">
        <w:rPr>
          <w:rFonts w:eastAsia="Times New Roman" w:cs="Times New Roman"/>
          <w:sz w:val="20"/>
          <w:szCs w:val="20"/>
          <w:lang w:eastAsia="en-CA"/>
        </w:rPr>
        <w:tab/>
      </w:r>
      <w:r w:rsidR="00292ED2" w:rsidRPr="00292ED2">
        <w:rPr>
          <w:rFonts w:eastAsia="Times New Roman" w:cs="Times New Roman"/>
          <w:b/>
          <w:i/>
          <w:sz w:val="20"/>
          <w:szCs w:val="20"/>
          <w:lang w:eastAsia="en-CA"/>
        </w:rPr>
        <w:t xml:space="preserve">Her Majesty </w:t>
      </w:r>
      <w:proofErr w:type="gramStart"/>
      <w:r w:rsidR="00292ED2" w:rsidRPr="00292ED2">
        <w:rPr>
          <w:rFonts w:eastAsia="Times New Roman" w:cs="Times New Roman"/>
          <w:b/>
          <w:i/>
          <w:sz w:val="20"/>
          <w:szCs w:val="20"/>
          <w:lang w:eastAsia="en-CA"/>
        </w:rPr>
        <w:t>The</w:t>
      </w:r>
      <w:proofErr w:type="gramEnd"/>
      <w:r w:rsidR="00292ED2" w:rsidRPr="00292ED2">
        <w:rPr>
          <w:rFonts w:eastAsia="Times New Roman" w:cs="Times New Roman"/>
          <w:b/>
          <w:i/>
          <w:sz w:val="20"/>
          <w:szCs w:val="20"/>
          <w:lang w:eastAsia="en-CA"/>
        </w:rPr>
        <w:t xml:space="preserve"> Queen v. Peter Garfield Taylor</w:t>
      </w:r>
    </w:p>
    <w:p w:rsidR="00292ED2" w:rsidRPr="00292ED2" w:rsidRDefault="00292ED2" w:rsidP="00292ED2">
      <w:pPr>
        <w:widowControl w:val="0"/>
        <w:jc w:val="both"/>
        <w:rPr>
          <w:rFonts w:eastAsia="Times New Roman" w:cs="Times New Roman"/>
          <w:sz w:val="20"/>
          <w:szCs w:val="20"/>
          <w:lang w:eastAsia="en-CA"/>
        </w:rPr>
      </w:pPr>
    </w:p>
    <w:p w:rsidR="00292ED2" w:rsidRPr="00292ED2" w:rsidRDefault="00292ED2" w:rsidP="00292ED2">
      <w:pPr>
        <w:widowControl w:val="0"/>
        <w:jc w:val="both"/>
        <w:rPr>
          <w:rFonts w:eastAsia="Times New Roman" w:cs="Times New Roman"/>
          <w:smallCaps/>
          <w:sz w:val="20"/>
          <w:szCs w:val="20"/>
          <w:lang w:val="en-US" w:eastAsia="en-CA"/>
        </w:rPr>
      </w:pPr>
      <w:r w:rsidRPr="00292ED2">
        <w:rPr>
          <w:rFonts w:eastAsia="Times New Roman" w:cs="Times New Roman"/>
          <w:smallCaps/>
          <w:sz w:val="20"/>
          <w:szCs w:val="20"/>
          <w:lang w:val="en-US" w:eastAsia="en-CA"/>
        </w:rPr>
        <w:t xml:space="preserve">(Publication </w:t>
      </w:r>
      <w:r>
        <w:rPr>
          <w:rFonts w:eastAsia="Times New Roman" w:cs="Times New Roman"/>
          <w:smallCaps/>
          <w:sz w:val="20"/>
          <w:szCs w:val="20"/>
          <w:lang w:val="en-US" w:eastAsia="en-CA"/>
        </w:rPr>
        <w:t>B</w:t>
      </w:r>
      <w:r w:rsidRPr="00292ED2">
        <w:rPr>
          <w:rFonts w:eastAsia="Times New Roman" w:cs="Times New Roman"/>
          <w:smallCaps/>
          <w:sz w:val="20"/>
          <w:szCs w:val="20"/>
          <w:lang w:val="en-US" w:eastAsia="en-CA"/>
        </w:rPr>
        <w:t xml:space="preserve">an in </w:t>
      </w:r>
      <w:r>
        <w:rPr>
          <w:rFonts w:eastAsia="Times New Roman" w:cs="Times New Roman"/>
          <w:smallCaps/>
          <w:sz w:val="20"/>
          <w:szCs w:val="20"/>
          <w:lang w:val="en-US" w:eastAsia="en-CA"/>
        </w:rPr>
        <w:t>C</w:t>
      </w:r>
      <w:r w:rsidRPr="00292ED2">
        <w:rPr>
          <w:rFonts w:eastAsia="Times New Roman" w:cs="Times New Roman"/>
          <w:smallCaps/>
          <w:sz w:val="20"/>
          <w:szCs w:val="20"/>
          <w:lang w:val="en-US" w:eastAsia="en-CA"/>
        </w:rPr>
        <w:t xml:space="preserve">ase) </w:t>
      </w:r>
    </w:p>
    <w:p w:rsidR="00292ED2" w:rsidRPr="00292ED2" w:rsidRDefault="00292ED2" w:rsidP="00292ED2">
      <w:pPr>
        <w:widowControl w:val="0"/>
        <w:jc w:val="both"/>
        <w:rPr>
          <w:rFonts w:eastAsia="Times New Roman" w:cs="Times New Roman"/>
          <w:smallCaps/>
          <w:sz w:val="20"/>
          <w:szCs w:val="20"/>
          <w:lang w:val="en-US" w:eastAsia="en-CA"/>
        </w:rPr>
      </w:pPr>
    </w:p>
    <w:p w:rsidR="00292ED2" w:rsidRPr="00292ED2" w:rsidRDefault="00292ED2" w:rsidP="00292ED2">
      <w:pPr>
        <w:widowControl w:val="0"/>
        <w:jc w:val="both"/>
        <w:rPr>
          <w:rFonts w:eastAsia="Times New Roman" w:cs="Times New Roman"/>
          <w:sz w:val="20"/>
          <w:szCs w:val="20"/>
          <w:lang w:eastAsia="en-CA"/>
        </w:rPr>
      </w:pPr>
      <w:r w:rsidRPr="00292ED2">
        <w:rPr>
          <w:rFonts w:eastAsia="Times New Roman" w:cs="Times New Roman"/>
          <w:sz w:val="20"/>
          <w:szCs w:val="20"/>
          <w:lang w:eastAsia="en-CA"/>
        </w:rPr>
        <w:t xml:space="preserve">Criminal law </w:t>
      </w:r>
      <w:r w:rsidRPr="00292ED2">
        <w:rPr>
          <w:rFonts w:eastAsia="Times New Roman" w:cs="Times New Roman"/>
          <w:sz w:val="20"/>
          <w:szCs w:val="20"/>
          <w:lang w:eastAsia="en-CA"/>
        </w:rPr>
        <w:noBreakHyphen/>
        <w:t xml:space="preserve"> Evidence </w:t>
      </w:r>
      <w:r w:rsidRPr="00292ED2">
        <w:rPr>
          <w:rFonts w:eastAsia="Times New Roman" w:cs="Times New Roman"/>
          <w:sz w:val="20"/>
          <w:szCs w:val="20"/>
          <w:lang w:eastAsia="en-CA"/>
        </w:rPr>
        <w:noBreakHyphen/>
        <w:t xml:space="preserve"> Assessment </w:t>
      </w:r>
      <w:r w:rsidRPr="00292ED2">
        <w:rPr>
          <w:rFonts w:eastAsia="Times New Roman" w:cs="Times New Roman"/>
          <w:sz w:val="20"/>
          <w:szCs w:val="20"/>
          <w:lang w:eastAsia="en-CA"/>
        </w:rPr>
        <w:noBreakHyphen/>
        <w:t xml:space="preserve"> Accused convicted of sexual assault and unlawful confinement </w:t>
      </w:r>
      <w:r w:rsidRPr="00292ED2">
        <w:rPr>
          <w:rFonts w:eastAsia="Times New Roman" w:cs="Times New Roman"/>
          <w:sz w:val="20"/>
          <w:szCs w:val="20"/>
          <w:lang w:eastAsia="en-CA"/>
        </w:rPr>
        <w:noBreakHyphen/>
        <w:t xml:space="preserve"> Trial judge rejecting evidence of witness as being fabrication </w:t>
      </w:r>
      <w:r w:rsidRPr="00292ED2">
        <w:rPr>
          <w:rFonts w:eastAsia="Times New Roman" w:cs="Times New Roman"/>
          <w:sz w:val="20"/>
          <w:szCs w:val="20"/>
          <w:lang w:eastAsia="en-CA"/>
        </w:rPr>
        <w:noBreakHyphen/>
        <w:t xml:space="preserve"> </w:t>
      </w:r>
      <w:proofErr w:type="gramStart"/>
      <w:r w:rsidRPr="00292ED2">
        <w:rPr>
          <w:rFonts w:eastAsia="Times New Roman" w:cs="Times New Roman"/>
          <w:sz w:val="20"/>
          <w:szCs w:val="20"/>
          <w:lang w:eastAsia="en-CA"/>
        </w:rPr>
        <w:t>Whether</w:t>
      </w:r>
      <w:proofErr w:type="gramEnd"/>
      <w:r w:rsidRPr="00292ED2">
        <w:rPr>
          <w:rFonts w:eastAsia="Times New Roman" w:cs="Times New Roman"/>
          <w:sz w:val="20"/>
          <w:szCs w:val="20"/>
          <w:lang w:eastAsia="en-CA"/>
        </w:rPr>
        <w:t xml:space="preserve"> trial judge erred in his assessment of the evidence of the witness </w:t>
      </w:r>
      <w:r w:rsidRPr="00292ED2">
        <w:rPr>
          <w:rFonts w:eastAsia="Times New Roman" w:cs="Times New Roman"/>
          <w:sz w:val="20"/>
          <w:szCs w:val="20"/>
          <w:lang w:eastAsia="en-CA"/>
        </w:rPr>
        <w:noBreakHyphen/>
        <w:t xml:space="preserve"> Whether trial judge misapprehended the trial evidence as a whole.</w:t>
      </w:r>
    </w:p>
    <w:p w:rsidR="00292ED2" w:rsidRPr="00292ED2" w:rsidRDefault="00292ED2" w:rsidP="00292ED2">
      <w:pPr>
        <w:widowControl w:val="0"/>
        <w:jc w:val="both"/>
        <w:rPr>
          <w:rFonts w:eastAsia="Times New Roman" w:cs="Times New Roman"/>
          <w:sz w:val="20"/>
          <w:szCs w:val="20"/>
          <w:lang w:eastAsia="en-CA"/>
        </w:rPr>
      </w:pPr>
    </w:p>
    <w:p w:rsidR="00292ED2" w:rsidRPr="00292ED2" w:rsidRDefault="00292ED2" w:rsidP="00292ED2">
      <w:pPr>
        <w:widowControl w:val="0"/>
        <w:jc w:val="both"/>
        <w:rPr>
          <w:rFonts w:eastAsia="Times New Roman" w:cs="Times New Roman"/>
          <w:sz w:val="20"/>
          <w:szCs w:val="20"/>
          <w:lang w:eastAsia="en-CA"/>
        </w:rPr>
      </w:pPr>
      <w:r w:rsidRPr="00292ED2">
        <w:rPr>
          <w:rFonts w:eastAsia="Times New Roman" w:cs="Times New Roman"/>
          <w:sz w:val="20"/>
          <w:szCs w:val="20"/>
          <w:lang w:eastAsia="en-CA"/>
        </w:rPr>
        <w:t xml:space="preserve">The accused was convicted of sexual assault and unlawful confinement as a result of an allegation that he briefly locked the child complainant into his shed and inappropriately touched her.  The </w:t>
      </w:r>
      <w:proofErr w:type="spellStart"/>
      <w:r w:rsidRPr="00292ED2">
        <w:rPr>
          <w:rFonts w:eastAsia="Times New Roman" w:cs="Times New Roman"/>
          <w:sz w:val="20"/>
          <w:szCs w:val="20"/>
          <w:lang w:eastAsia="en-CA"/>
        </w:rPr>
        <w:t>accused’s</w:t>
      </w:r>
      <w:proofErr w:type="spellEnd"/>
      <w:r w:rsidRPr="00292ED2">
        <w:rPr>
          <w:rFonts w:eastAsia="Times New Roman" w:cs="Times New Roman"/>
          <w:sz w:val="20"/>
          <w:szCs w:val="20"/>
          <w:lang w:eastAsia="en-CA"/>
        </w:rPr>
        <w:t xml:space="preserve"> son testified at trial that he was working on a truck near the shed at the time of the alleged incident and that the shed door could not have been closed.  The trial judge rejected the son’s evidence as being a fabrication because the son did not disclose that information, which could have helped his father, to the police and “did nothing”.  The majority of the Court of Appeal held that the trial judge erred in his assessment of the son’s evidence and failed to assess the evidence as a whole.  The convictions were set aside and a new trial was ordered.</w:t>
      </w:r>
    </w:p>
    <w:p w:rsidR="00292ED2" w:rsidRPr="00292ED2" w:rsidRDefault="00292ED2" w:rsidP="00292ED2">
      <w:pPr>
        <w:widowControl w:val="0"/>
        <w:jc w:val="both"/>
        <w:rPr>
          <w:rFonts w:eastAsia="Times New Roman" w:cs="Times New Roman"/>
          <w:sz w:val="20"/>
          <w:szCs w:val="20"/>
          <w:lang w:eastAsia="en-CA"/>
        </w:rPr>
      </w:pPr>
    </w:p>
    <w:p w:rsidR="00292ED2" w:rsidRPr="00292ED2" w:rsidRDefault="00292ED2" w:rsidP="00292ED2">
      <w:pPr>
        <w:widowControl w:val="0"/>
        <w:jc w:val="both"/>
        <w:rPr>
          <w:rFonts w:eastAsia="Times New Roman" w:cs="Times New Roman"/>
          <w:sz w:val="20"/>
          <w:szCs w:val="20"/>
          <w:lang w:eastAsia="en-CA"/>
        </w:rPr>
      </w:pPr>
    </w:p>
    <w:p w:rsidR="00292ED2" w:rsidRPr="00292ED2" w:rsidRDefault="00292ED2" w:rsidP="00292ED2">
      <w:pPr>
        <w:widowControl w:val="0"/>
        <w:ind w:left="2880" w:hanging="2880"/>
        <w:jc w:val="both"/>
        <w:rPr>
          <w:rFonts w:eastAsia="Times New Roman" w:cs="Times New Roman"/>
          <w:sz w:val="20"/>
          <w:szCs w:val="20"/>
          <w:lang w:eastAsia="en-CA"/>
        </w:rPr>
      </w:pPr>
      <w:r w:rsidRPr="00292ED2">
        <w:rPr>
          <w:rFonts w:eastAsia="Times New Roman" w:cs="Times New Roman"/>
          <w:sz w:val="20"/>
          <w:szCs w:val="20"/>
          <w:lang w:eastAsia="en-CA"/>
        </w:rPr>
        <w:t>Origin of the case:</w:t>
      </w:r>
      <w:r w:rsidRPr="00292ED2">
        <w:rPr>
          <w:rFonts w:eastAsia="Times New Roman" w:cs="Times New Roman"/>
          <w:sz w:val="20"/>
          <w:szCs w:val="20"/>
          <w:lang w:eastAsia="en-CA"/>
        </w:rPr>
        <w:tab/>
        <w:t>Newfoundland and Labrador</w:t>
      </w:r>
    </w:p>
    <w:p w:rsidR="00292ED2" w:rsidRPr="00292ED2" w:rsidRDefault="00292ED2" w:rsidP="00292ED2">
      <w:pPr>
        <w:widowControl w:val="0"/>
        <w:ind w:left="2880" w:hanging="2880"/>
        <w:jc w:val="both"/>
        <w:rPr>
          <w:rFonts w:eastAsia="Times New Roman" w:cs="Times New Roman"/>
          <w:sz w:val="20"/>
          <w:szCs w:val="20"/>
          <w:lang w:eastAsia="en-CA"/>
        </w:rPr>
      </w:pPr>
    </w:p>
    <w:p w:rsidR="00292ED2" w:rsidRPr="00292ED2" w:rsidRDefault="00292ED2" w:rsidP="00292ED2">
      <w:pPr>
        <w:widowControl w:val="0"/>
        <w:ind w:left="2880" w:hanging="2880"/>
        <w:jc w:val="both"/>
        <w:rPr>
          <w:rFonts w:eastAsia="Times New Roman" w:cs="Times New Roman"/>
          <w:sz w:val="20"/>
          <w:szCs w:val="20"/>
          <w:lang w:eastAsia="en-CA"/>
        </w:rPr>
      </w:pPr>
      <w:r w:rsidRPr="00292ED2">
        <w:rPr>
          <w:rFonts w:eastAsia="Times New Roman" w:cs="Times New Roman"/>
          <w:sz w:val="20"/>
          <w:szCs w:val="20"/>
          <w:lang w:eastAsia="en-CA"/>
        </w:rPr>
        <w:t>File No.:</w:t>
      </w:r>
      <w:r w:rsidRPr="00292ED2">
        <w:rPr>
          <w:rFonts w:eastAsia="Times New Roman" w:cs="Times New Roman"/>
          <w:sz w:val="20"/>
          <w:szCs w:val="20"/>
          <w:lang w:eastAsia="en-CA"/>
        </w:rPr>
        <w:tab/>
        <w:t>34934</w:t>
      </w:r>
    </w:p>
    <w:p w:rsidR="00292ED2" w:rsidRPr="00292ED2" w:rsidRDefault="00292ED2" w:rsidP="00292ED2">
      <w:pPr>
        <w:widowControl w:val="0"/>
        <w:ind w:left="2880" w:hanging="2880"/>
        <w:jc w:val="both"/>
        <w:rPr>
          <w:rFonts w:eastAsia="Times New Roman" w:cs="Times New Roman"/>
          <w:sz w:val="20"/>
          <w:szCs w:val="20"/>
          <w:lang w:eastAsia="en-CA"/>
        </w:rPr>
      </w:pPr>
    </w:p>
    <w:p w:rsidR="00292ED2" w:rsidRPr="00292ED2" w:rsidRDefault="00292ED2" w:rsidP="00292ED2">
      <w:pPr>
        <w:widowControl w:val="0"/>
        <w:ind w:left="2880" w:hanging="2880"/>
        <w:jc w:val="both"/>
        <w:rPr>
          <w:rFonts w:eastAsia="Times New Roman" w:cs="Times New Roman"/>
          <w:sz w:val="20"/>
          <w:szCs w:val="20"/>
          <w:lang w:eastAsia="en-CA"/>
        </w:rPr>
      </w:pPr>
      <w:r w:rsidRPr="00292ED2">
        <w:rPr>
          <w:rFonts w:eastAsia="Times New Roman" w:cs="Times New Roman"/>
          <w:sz w:val="20"/>
          <w:szCs w:val="20"/>
          <w:lang w:eastAsia="en-CA"/>
        </w:rPr>
        <w:t>Judgment of the Court of Appeal:</w:t>
      </w:r>
      <w:r w:rsidRPr="00292ED2">
        <w:rPr>
          <w:rFonts w:eastAsia="Times New Roman" w:cs="Times New Roman"/>
          <w:sz w:val="20"/>
          <w:szCs w:val="20"/>
          <w:lang w:eastAsia="en-CA"/>
        </w:rPr>
        <w:tab/>
        <w:t>June 13, 2012</w:t>
      </w:r>
    </w:p>
    <w:p w:rsidR="00292ED2" w:rsidRPr="00292ED2" w:rsidRDefault="00292ED2" w:rsidP="00292ED2">
      <w:pPr>
        <w:widowControl w:val="0"/>
        <w:ind w:left="2880" w:hanging="2880"/>
        <w:jc w:val="both"/>
        <w:rPr>
          <w:rFonts w:eastAsia="Times New Roman" w:cs="Times New Roman"/>
          <w:sz w:val="20"/>
          <w:szCs w:val="20"/>
          <w:lang w:eastAsia="en-CA"/>
        </w:rPr>
      </w:pPr>
    </w:p>
    <w:p w:rsidR="00292ED2" w:rsidRPr="00292ED2" w:rsidRDefault="00292ED2" w:rsidP="00292ED2">
      <w:pPr>
        <w:widowControl w:val="0"/>
        <w:ind w:left="2880" w:hanging="2880"/>
        <w:jc w:val="both"/>
        <w:rPr>
          <w:rFonts w:eastAsia="Times New Roman" w:cs="Times New Roman"/>
          <w:sz w:val="20"/>
          <w:szCs w:val="20"/>
          <w:lang w:eastAsia="en-CA"/>
        </w:rPr>
      </w:pPr>
      <w:r w:rsidRPr="00292ED2">
        <w:rPr>
          <w:rFonts w:eastAsia="Times New Roman" w:cs="Times New Roman"/>
          <w:sz w:val="20"/>
          <w:szCs w:val="20"/>
          <w:lang w:eastAsia="en-CA"/>
        </w:rPr>
        <w:t>Counsel:</w:t>
      </w:r>
      <w:r w:rsidRPr="00292ED2">
        <w:rPr>
          <w:rFonts w:eastAsia="Times New Roman" w:cs="Times New Roman"/>
          <w:sz w:val="20"/>
          <w:szCs w:val="20"/>
          <w:lang w:eastAsia="en-CA"/>
        </w:rPr>
        <w:tab/>
        <w:t>Stephen R. Dawson for the Appellant</w:t>
      </w:r>
    </w:p>
    <w:p w:rsidR="00292ED2" w:rsidRPr="00292ED2" w:rsidRDefault="00292ED2" w:rsidP="00292ED2">
      <w:pPr>
        <w:widowControl w:val="0"/>
        <w:ind w:left="2880" w:hanging="2880"/>
        <w:jc w:val="both"/>
        <w:rPr>
          <w:rFonts w:eastAsia="Times New Roman" w:cs="Times New Roman"/>
          <w:sz w:val="20"/>
          <w:szCs w:val="20"/>
          <w:lang w:eastAsia="en-CA"/>
        </w:rPr>
      </w:pPr>
      <w:r w:rsidRPr="00292ED2">
        <w:rPr>
          <w:rFonts w:eastAsia="Times New Roman" w:cs="Times New Roman"/>
          <w:sz w:val="20"/>
          <w:szCs w:val="20"/>
          <w:lang w:eastAsia="en-CA"/>
        </w:rPr>
        <w:tab/>
        <w:t>Peter Garfield Taylor, unrepresented</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84"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Default="003320D5">
      <w:pPr>
        <w:rPr>
          <w:sz w:val="20"/>
          <w:szCs w:val="20"/>
          <w:lang w:val="fr-CA"/>
        </w:rPr>
      </w:pPr>
      <w:r>
        <w:rPr>
          <w:sz w:val="20"/>
          <w:szCs w:val="20"/>
          <w:lang w:val="fr-CA"/>
        </w:rPr>
        <w:br w:type="page"/>
      </w:r>
    </w:p>
    <w:p w:rsidR="00292ED2" w:rsidRPr="00292ED2" w:rsidRDefault="00F008AC" w:rsidP="00292ED2">
      <w:pPr>
        <w:widowControl w:val="0"/>
        <w:ind w:left="720" w:hanging="720"/>
        <w:jc w:val="both"/>
        <w:rPr>
          <w:rFonts w:eastAsia="Times New Roman" w:cs="Times New Roman"/>
          <w:sz w:val="20"/>
          <w:szCs w:val="20"/>
          <w:lang w:val="fr-CA" w:eastAsia="en-CA"/>
        </w:rPr>
      </w:pPr>
      <w:r w:rsidRPr="00292ED2">
        <w:rPr>
          <w:rFonts w:eastAsia="Times New Roman" w:cs="Times New Roman"/>
          <w:b/>
          <w:sz w:val="20"/>
          <w:szCs w:val="20"/>
          <w:lang w:val="fr-CA" w:eastAsia="en-CA"/>
        </w:rPr>
        <w:lastRenderedPageBreak/>
        <w:fldChar w:fldCharType="begin"/>
      </w:r>
      <w:r w:rsidR="00292ED2" w:rsidRPr="00292ED2">
        <w:rPr>
          <w:rFonts w:eastAsia="Times New Roman" w:cs="Times New Roman"/>
          <w:b/>
          <w:sz w:val="20"/>
          <w:szCs w:val="20"/>
          <w:lang w:val="fr-CA" w:eastAsia="en-CA"/>
        </w:rPr>
        <w:instrText xml:space="preserve"> SEQ CHAPTER \h \r 1</w:instrText>
      </w:r>
      <w:r w:rsidRPr="00292ED2">
        <w:rPr>
          <w:rFonts w:eastAsia="Times New Roman" w:cs="Times New Roman"/>
          <w:b/>
          <w:sz w:val="20"/>
          <w:szCs w:val="20"/>
          <w:lang w:val="fr-CA" w:eastAsia="en-CA"/>
        </w:rPr>
        <w:fldChar w:fldCharType="end"/>
      </w:r>
      <w:r w:rsidR="00292ED2" w:rsidRPr="00292ED2">
        <w:rPr>
          <w:rFonts w:eastAsia="Times New Roman" w:cs="Times New Roman"/>
          <w:b/>
          <w:sz w:val="20"/>
          <w:szCs w:val="20"/>
          <w:lang w:val="fr-CA" w:eastAsia="en-CA"/>
        </w:rPr>
        <w:t>34934</w:t>
      </w:r>
      <w:r w:rsidR="00292ED2" w:rsidRPr="00292ED2">
        <w:rPr>
          <w:rFonts w:eastAsia="Times New Roman" w:cs="Times New Roman"/>
          <w:sz w:val="20"/>
          <w:szCs w:val="20"/>
          <w:lang w:val="fr-CA" w:eastAsia="en-CA"/>
        </w:rPr>
        <w:tab/>
      </w:r>
      <w:r w:rsidR="00292ED2" w:rsidRPr="00292ED2">
        <w:rPr>
          <w:rFonts w:eastAsia="Times New Roman" w:cs="Times New Roman"/>
          <w:b/>
          <w:i/>
          <w:sz w:val="20"/>
          <w:szCs w:val="20"/>
          <w:lang w:val="fr-CA" w:eastAsia="en-CA"/>
        </w:rPr>
        <w:t>Sa Majesté la Reine c. Peter Garfield Taylor</w:t>
      </w:r>
    </w:p>
    <w:p w:rsidR="00292ED2" w:rsidRPr="00292ED2" w:rsidRDefault="00292ED2" w:rsidP="00292ED2">
      <w:pPr>
        <w:widowControl w:val="0"/>
        <w:jc w:val="both"/>
        <w:rPr>
          <w:rFonts w:eastAsia="Times New Roman" w:cs="Times New Roman"/>
          <w:sz w:val="20"/>
          <w:szCs w:val="20"/>
          <w:lang w:val="fr-CA" w:eastAsia="en-CA"/>
        </w:rPr>
      </w:pPr>
    </w:p>
    <w:p w:rsidR="00292ED2" w:rsidRPr="00292ED2" w:rsidRDefault="00292ED2" w:rsidP="00292ED2">
      <w:pPr>
        <w:widowControl w:val="0"/>
        <w:jc w:val="both"/>
        <w:rPr>
          <w:rFonts w:eastAsia="Times New Roman" w:cs="Times New Roman"/>
          <w:smallCaps/>
          <w:sz w:val="20"/>
          <w:szCs w:val="20"/>
          <w:lang w:val="fr-CA" w:eastAsia="en-CA"/>
        </w:rPr>
      </w:pPr>
      <w:r w:rsidRPr="00292ED2">
        <w:rPr>
          <w:rFonts w:eastAsia="Times New Roman" w:cs="Times New Roman"/>
          <w:smallCaps/>
          <w:sz w:val="20"/>
          <w:szCs w:val="20"/>
          <w:lang w:val="fr-CA" w:eastAsia="en-CA"/>
        </w:rPr>
        <w:t xml:space="preserve">(Ordonnance de non-publication dans le dossier) </w:t>
      </w:r>
    </w:p>
    <w:p w:rsidR="00292ED2" w:rsidRPr="00292ED2" w:rsidRDefault="00292ED2" w:rsidP="00292ED2">
      <w:pPr>
        <w:widowControl w:val="0"/>
        <w:jc w:val="both"/>
        <w:rPr>
          <w:rFonts w:eastAsia="Times New Roman" w:cs="Times New Roman"/>
          <w:smallCaps/>
          <w:sz w:val="20"/>
          <w:szCs w:val="20"/>
          <w:lang w:val="fr-CA" w:eastAsia="en-CA"/>
        </w:rPr>
      </w:pPr>
    </w:p>
    <w:p w:rsidR="00292ED2" w:rsidRPr="00292ED2" w:rsidRDefault="00292ED2" w:rsidP="00292ED2">
      <w:pPr>
        <w:widowControl w:val="0"/>
        <w:jc w:val="both"/>
        <w:rPr>
          <w:rFonts w:eastAsia="Times New Roman" w:cs="Times New Roman"/>
          <w:sz w:val="20"/>
          <w:szCs w:val="20"/>
          <w:lang w:val="fr-CA" w:eastAsia="en-CA"/>
        </w:rPr>
      </w:pPr>
      <w:r w:rsidRPr="00292ED2">
        <w:rPr>
          <w:rFonts w:eastAsia="Times New Roman" w:cs="Times New Roman"/>
          <w:sz w:val="20"/>
          <w:szCs w:val="20"/>
          <w:lang w:val="fr-CA" w:eastAsia="en-CA"/>
        </w:rPr>
        <w:t>Droit criminel - Preuve - Appréciation - L’accusé a été déclaré coupable d’agression sexuelle et de séquestration - Le juge du procès a rejeté un témoignage comme étant une fabrication - Le juge du procès s’est-il trompé dans son appréciation du témoignage? - Le juge du procès a-t-il mal interprété la preuve au procès dans son ensemble?</w:t>
      </w:r>
    </w:p>
    <w:p w:rsidR="00292ED2" w:rsidRPr="00292ED2" w:rsidRDefault="00292ED2" w:rsidP="00292ED2">
      <w:pPr>
        <w:widowControl w:val="0"/>
        <w:jc w:val="both"/>
        <w:rPr>
          <w:rFonts w:eastAsia="Times New Roman" w:cs="Times New Roman"/>
          <w:sz w:val="20"/>
          <w:szCs w:val="20"/>
          <w:lang w:val="fr-CA" w:eastAsia="en-CA"/>
        </w:rPr>
      </w:pPr>
    </w:p>
    <w:p w:rsidR="00292ED2" w:rsidRPr="00292ED2" w:rsidRDefault="00292ED2" w:rsidP="00292ED2">
      <w:pPr>
        <w:widowControl w:val="0"/>
        <w:jc w:val="both"/>
        <w:rPr>
          <w:rFonts w:eastAsia="Times New Roman" w:cs="Times New Roman"/>
          <w:sz w:val="20"/>
          <w:szCs w:val="20"/>
          <w:lang w:val="fr-CA" w:eastAsia="en-CA"/>
        </w:rPr>
      </w:pPr>
      <w:r w:rsidRPr="00292ED2">
        <w:rPr>
          <w:rFonts w:eastAsia="Times New Roman" w:cs="Times New Roman"/>
          <w:sz w:val="20"/>
          <w:szCs w:val="20"/>
          <w:lang w:val="fr-CA" w:eastAsia="en-CA"/>
        </w:rPr>
        <w:t>L’accusé a été déclaré coupable d’agression sexuelle et de séquestration à la suite d’une allégation selon laquelle il avait brièvement enfermé à clé l’enfant plaignante dans sa remise et lui avait fait des attouchements inappropriés.  Le fils de l’accusé a affirmé dans son témoignage au procès qu’il travaillait sur un camion près de la remise au moment de l’incident présumé et que la porte de la remise ne pouvait pas être fermée.  Le juge du procès a rejeté le témoignage du fils comme étant une fabrication parce que celui-ci n’avait pas communiqué aux policiers ce renseignement qui aurait pu aider son père et qu’il n’avait « rien fait ».  Les juges majoritaires de la Cour d’appel ont statué que le juge du procès s’était trompé dans son appréciation du témoignage du fils et qu’il avait omis d’apprécier la preuve dans son ensemble.  Les déclarations de culpabilité ont été annulées et un nouveau procès a été ordonné.</w:t>
      </w:r>
    </w:p>
    <w:p w:rsidR="00292ED2" w:rsidRPr="00292ED2" w:rsidRDefault="00292ED2" w:rsidP="00292ED2">
      <w:pPr>
        <w:widowControl w:val="0"/>
        <w:jc w:val="both"/>
        <w:rPr>
          <w:rFonts w:eastAsia="Times New Roman" w:cs="Times New Roman"/>
          <w:sz w:val="20"/>
          <w:szCs w:val="20"/>
          <w:lang w:val="fr-CA" w:eastAsia="en-CA"/>
        </w:rPr>
      </w:pPr>
    </w:p>
    <w:p w:rsidR="00292ED2" w:rsidRPr="00292ED2" w:rsidRDefault="00292ED2" w:rsidP="00292ED2">
      <w:pPr>
        <w:widowControl w:val="0"/>
        <w:jc w:val="both"/>
        <w:rPr>
          <w:rFonts w:eastAsia="Times New Roman" w:cs="Times New Roman"/>
          <w:sz w:val="20"/>
          <w:szCs w:val="20"/>
          <w:lang w:val="fr-CA" w:eastAsia="en-CA"/>
        </w:rPr>
      </w:pPr>
    </w:p>
    <w:p w:rsidR="00292ED2" w:rsidRPr="00292ED2" w:rsidRDefault="00292ED2" w:rsidP="00292ED2">
      <w:pPr>
        <w:widowControl w:val="0"/>
        <w:ind w:left="2880" w:hanging="2880"/>
        <w:jc w:val="both"/>
        <w:rPr>
          <w:rFonts w:eastAsia="Times New Roman" w:cs="Times New Roman"/>
          <w:sz w:val="20"/>
          <w:szCs w:val="20"/>
          <w:lang w:val="fr-CA" w:eastAsia="en-CA"/>
        </w:rPr>
      </w:pPr>
      <w:r w:rsidRPr="00292ED2">
        <w:rPr>
          <w:rFonts w:eastAsia="Times New Roman" w:cs="Times New Roman"/>
          <w:sz w:val="20"/>
          <w:szCs w:val="20"/>
          <w:lang w:val="fr-CA" w:eastAsia="en-CA"/>
        </w:rPr>
        <w:t>Origine :</w:t>
      </w:r>
      <w:r w:rsidRPr="00292ED2">
        <w:rPr>
          <w:rFonts w:eastAsia="Times New Roman" w:cs="Times New Roman"/>
          <w:sz w:val="20"/>
          <w:szCs w:val="20"/>
          <w:lang w:val="fr-CA" w:eastAsia="en-CA"/>
        </w:rPr>
        <w:tab/>
        <w:t>Terre-Neuve-et-Labrador</w:t>
      </w:r>
    </w:p>
    <w:p w:rsidR="00292ED2" w:rsidRPr="00292ED2" w:rsidRDefault="00292ED2" w:rsidP="00292ED2">
      <w:pPr>
        <w:widowControl w:val="0"/>
        <w:ind w:left="2880" w:hanging="2880"/>
        <w:jc w:val="both"/>
        <w:rPr>
          <w:rFonts w:eastAsia="Times New Roman" w:cs="Times New Roman"/>
          <w:sz w:val="20"/>
          <w:szCs w:val="20"/>
          <w:lang w:val="fr-CA" w:eastAsia="en-CA"/>
        </w:rPr>
      </w:pPr>
    </w:p>
    <w:p w:rsidR="00292ED2" w:rsidRPr="00292ED2" w:rsidRDefault="00292ED2" w:rsidP="00292ED2">
      <w:pPr>
        <w:widowControl w:val="0"/>
        <w:ind w:left="2880" w:hanging="2880"/>
        <w:jc w:val="both"/>
        <w:rPr>
          <w:rFonts w:eastAsia="Times New Roman" w:cs="Times New Roman"/>
          <w:sz w:val="20"/>
          <w:szCs w:val="20"/>
          <w:lang w:val="fr-CA" w:eastAsia="en-CA"/>
        </w:rPr>
      </w:pPr>
      <w:r w:rsidRPr="00292ED2">
        <w:rPr>
          <w:rFonts w:eastAsia="Times New Roman" w:cs="Times New Roman"/>
          <w:sz w:val="20"/>
          <w:szCs w:val="20"/>
          <w:lang w:val="fr-CA" w:eastAsia="en-CA"/>
        </w:rPr>
        <w:t>N</w:t>
      </w:r>
      <w:r w:rsidRPr="00292ED2">
        <w:rPr>
          <w:rFonts w:eastAsia="Times New Roman" w:cs="Times New Roman"/>
          <w:sz w:val="20"/>
          <w:szCs w:val="20"/>
          <w:vertAlign w:val="superscript"/>
          <w:lang w:val="fr-CA" w:eastAsia="en-CA"/>
        </w:rPr>
        <w:t>o</w:t>
      </w:r>
      <w:r w:rsidRPr="00292ED2">
        <w:rPr>
          <w:rFonts w:eastAsia="Times New Roman" w:cs="Times New Roman"/>
          <w:sz w:val="20"/>
          <w:szCs w:val="20"/>
          <w:lang w:val="fr-CA" w:eastAsia="en-CA"/>
        </w:rPr>
        <w:t xml:space="preserve"> du greffe :</w:t>
      </w:r>
      <w:r w:rsidRPr="00292ED2">
        <w:rPr>
          <w:rFonts w:eastAsia="Times New Roman" w:cs="Times New Roman"/>
          <w:sz w:val="20"/>
          <w:szCs w:val="20"/>
          <w:lang w:val="fr-CA" w:eastAsia="en-CA"/>
        </w:rPr>
        <w:tab/>
        <w:t>34934</w:t>
      </w:r>
    </w:p>
    <w:p w:rsidR="00292ED2" w:rsidRPr="00292ED2" w:rsidRDefault="00292ED2" w:rsidP="00292ED2">
      <w:pPr>
        <w:widowControl w:val="0"/>
        <w:ind w:left="2880" w:hanging="2880"/>
        <w:jc w:val="both"/>
        <w:rPr>
          <w:rFonts w:eastAsia="Times New Roman" w:cs="Times New Roman"/>
          <w:sz w:val="20"/>
          <w:szCs w:val="20"/>
          <w:lang w:val="fr-CA" w:eastAsia="en-CA"/>
        </w:rPr>
      </w:pPr>
    </w:p>
    <w:p w:rsidR="00292ED2" w:rsidRPr="00292ED2" w:rsidRDefault="00292ED2" w:rsidP="00292ED2">
      <w:pPr>
        <w:widowControl w:val="0"/>
        <w:ind w:left="2880" w:hanging="2880"/>
        <w:jc w:val="both"/>
        <w:rPr>
          <w:rFonts w:eastAsia="Times New Roman" w:cs="Times New Roman"/>
          <w:sz w:val="20"/>
          <w:szCs w:val="20"/>
          <w:lang w:val="fr-CA" w:eastAsia="en-CA"/>
        </w:rPr>
      </w:pPr>
      <w:r w:rsidRPr="00292ED2">
        <w:rPr>
          <w:rFonts w:eastAsia="Times New Roman" w:cs="Times New Roman"/>
          <w:sz w:val="20"/>
          <w:szCs w:val="20"/>
          <w:lang w:val="fr-CA" w:eastAsia="en-CA"/>
        </w:rPr>
        <w:t>Arrêt de la Cour d’appel :</w:t>
      </w:r>
      <w:r w:rsidRPr="00292ED2">
        <w:rPr>
          <w:rFonts w:eastAsia="Times New Roman" w:cs="Times New Roman"/>
          <w:sz w:val="20"/>
          <w:szCs w:val="20"/>
          <w:lang w:val="fr-CA" w:eastAsia="en-CA"/>
        </w:rPr>
        <w:tab/>
        <w:t>le 13 juin 2012</w:t>
      </w:r>
    </w:p>
    <w:p w:rsidR="00292ED2" w:rsidRPr="00292ED2" w:rsidRDefault="00292ED2" w:rsidP="00292ED2">
      <w:pPr>
        <w:widowControl w:val="0"/>
        <w:ind w:left="2880" w:hanging="2880"/>
        <w:jc w:val="both"/>
        <w:rPr>
          <w:rFonts w:eastAsia="Times New Roman" w:cs="Times New Roman"/>
          <w:sz w:val="20"/>
          <w:szCs w:val="20"/>
          <w:lang w:val="fr-CA" w:eastAsia="en-CA"/>
        </w:rPr>
      </w:pPr>
    </w:p>
    <w:p w:rsidR="00292ED2" w:rsidRPr="00292ED2" w:rsidRDefault="00292ED2" w:rsidP="00292ED2">
      <w:pPr>
        <w:widowControl w:val="0"/>
        <w:ind w:left="2880" w:hanging="2880"/>
        <w:jc w:val="both"/>
        <w:rPr>
          <w:rFonts w:eastAsia="Times New Roman" w:cs="Times New Roman"/>
          <w:sz w:val="20"/>
          <w:szCs w:val="20"/>
          <w:lang w:val="fr-CA" w:eastAsia="en-CA"/>
        </w:rPr>
      </w:pPr>
      <w:r w:rsidRPr="00292ED2">
        <w:rPr>
          <w:rFonts w:eastAsia="Times New Roman" w:cs="Times New Roman"/>
          <w:sz w:val="20"/>
          <w:szCs w:val="20"/>
          <w:lang w:val="fr-CA" w:eastAsia="en-CA"/>
        </w:rPr>
        <w:t>Avocats :</w:t>
      </w:r>
      <w:r w:rsidRPr="00292ED2">
        <w:rPr>
          <w:rFonts w:eastAsia="Times New Roman" w:cs="Times New Roman"/>
          <w:sz w:val="20"/>
          <w:szCs w:val="20"/>
          <w:lang w:val="fr-CA" w:eastAsia="en-CA"/>
        </w:rPr>
        <w:tab/>
        <w:t>Stephen R. Dawson pour l’appelante</w:t>
      </w:r>
    </w:p>
    <w:p w:rsidR="00292ED2" w:rsidRPr="00292ED2" w:rsidRDefault="00292ED2" w:rsidP="00292ED2">
      <w:pPr>
        <w:widowControl w:val="0"/>
        <w:ind w:left="2880" w:hanging="2880"/>
        <w:jc w:val="both"/>
        <w:rPr>
          <w:rFonts w:eastAsia="Times New Roman" w:cs="Times New Roman"/>
          <w:sz w:val="20"/>
          <w:szCs w:val="20"/>
          <w:lang w:val="fr-CA" w:eastAsia="en-CA"/>
        </w:rPr>
      </w:pPr>
      <w:r w:rsidRPr="00292ED2">
        <w:rPr>
          <w:rFonts w:eastAsia="Times New Roman" w:cs="Times New Roman"/>
          <w:sz w:val="20"/>
          <w:szCs w:val="20"/>
          <w:lang w:val="fr-CA" w:eastAsia="en-CA"/>
        </w:rPr>
        <w:tab/>
        <w:t>Peter Garfield Taylor, non représenté</w:t>
      </w:r>
    </w:p>
    <w:p w:rsidR="003320D5" w:rsidRDefault="003320D5" w:rsidP="000B3C9A">
      <w:pPr>
        <w:tabs>
          <w:tab w:val="left" w:pos="-1440"/>
          <w:tab w:val="left" w:pos="-720"/>
        </w:tabs>
        <w:jc w:val="both"/>
        <w:rPr>
          <w:sz w:val="20"/>
          <w:szCs w:val="20"/>
          <w:lang w:val="fr-CA"/>
        </w:rPr>
      </w:pPr>
    </w:p>
    <w:p w:rsidR="003320D5" w:rsidRDefault="00F008AC" w:rsidP="003320D5">
      <w:pPr>
        <w:tabs>
          <w:tab w:val="left" w:pos="-1440"/>
          <w:tab w:val="left" w:pos="-720"/>
        </w:tabs>
        <w:jc w:val="both"/>
        <w:rPr>
          <w:sz w:val="20"/>
          <w:szCs w:val="20"/>
          <w:lang w:val="fr-CA"/>
        </w:rPr>
      </w:pPr>
      <w:r w:rsidRPr="00F008AC">
        <w:rPr>
          <w:sz w:val="20"/>
          <w:szCs w:val="20"/>
          <w:lang w:val="fr-CA"/>
        </w:rPr>
        <w:pict>
          <v:rect id="_x0000_i1085" style="width:2in;height:1pt" o:hrpct="0" o:hralign="center" o:hrstd="t" o:hrnoshade="t" o:hr="t" fillcolor="black [3213]" stroked="f"/>
        </w:pict>
      </w:r>
    </w:p>
    <w:p w:rsidR="003320D5" w:rsidRDefault="003320D5" w:rsidP="003320D5">
      <w:pPr>
        <w:tabs>
          <w:tab w:val="left" w:pos="-1440"/>
          <w:tab w:val="left" w:pos="-720"/>
        </w:tabs>
        <w:jc w:val="both"/>
        <w:rPr>
          <w:sz w:val="20"/>
          <w:szCs w:val="20"/>
          <w:lang w:val="fr-CA"/>
        </w:rPr>
      </w:pPr>
    </w:p>
    <w:p w:rsidR="003320D5" w:rsidRDefault="003320D5" w:rsidP="000B3C9A">
      <w:pPr>
        <w:tabs>
          <w:tab w:val="left" w:pos="-1440"/>
          <w:tab w:val="left" w:pos="-720"/>
        </w:tabs>
        <w:jc w:val="both"/>
        <w:rPr>
          <w:sz w:val="20"/>
          <w:szCs w:val="20"/>
          <w:lang w:val="fr-CA"/>
        </w:rPr>
      </w:pPr>
    </w:p>
    <w:p w:rsidR="003320D5" w:rsidRPr="00DD0B49" w:rsidRDefault="003320D5"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483800"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483800"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0D6C56">
              <w:rPr>
                <w:rFonts w:cs="Times New Roman"/>
                <w:b/>
                <w:bCs/>
                <w:sz w:val="20"/>
                <w:szCs w:val="20"/>
                <w:lang w:val="en-GB"/>
              </w:rPr>
              <w:t>2</w:t>
            </w:r>
            <w:r w:rsidRPr="00DD0B49">
              <w:rPr>
                <w:rFonts w:cs="Times New Roman"/>
                <w:b/>
                <w:bCs/>
                <w:sz w:val="20"/>
                <w:szCs w:val="20"/>
                <w:lang w:val="en-GB"/>
              </w:rPr>
              <w:t xml:space="preserve">] </w:t>
            </w:r>
            <w:r w:rsidR="000D6C56">
              <w:rPr>
                <w:rFonts w:cs="Times New Roman"/>
                <w:b/>
                <w:bCs/>
                <w:sz w:val="20"/>
                <w:szCs w:val="20"/>
                <w:lang w:val="en-GB"/>
              </w:rPr>
              <w:t>2</w:t>
            </w:r>
            <w:r w:rsidRPr="00DD0B49">
              <w:rPr>
                <w:rFonts w:cs="Times New Roman"/>
                <w:b/>
                <w:bCs/>
                <w:sz w:val="20"/>
                <w:szCs w:val="20"/>
                <w:lang w:val="en-GB"/>
              </w:rPr>
              <w:t xml:space="preserve"> S.C.R. Part </w:t>
            </w:r>
            <w:r w:rsidR="000D6C56">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0D6C56" w:rsidP="003B3977">
            <w:pPr>
              <w:rPr>
                <w:rFonts w:cs="Times New Roman"/>
                <w:sz w:val="20"/>
                <w:szCs w:val="20"/>
                <w:lang w:val="en-GB"/>
              </w:rPr>
            </w:pPr>
            <w:r>
              <w:rPr>
                <w:rFonts w:cs="Times New Roman"/>
                <w:sz w:val="20"/>
                <w:szCs w:val="20"/>
                <w:lang w:val="en-GB"/>
              </w:rPr>
              <w:t>An</w:t>
            </w:r>
            <w:r w:rsidR="00DD0B49" w:rsidRPr="00DD0B49">
              <w:rPr>
                <w:rFonts w:cs="Times New Roman"/>
                <w:sz w:val="20"/>
                <w:szCs w:val="20"/>
                <w:lang w:val="en-GB"/>
              </w:rPr>
              <w:t>na</w:t>
            </w:r>
            <w:r>
              <w:rPr>
                <w:rFonts w:cs="Times New Roman"/>
                <w:sz w:val="20"/>
                <w:szCs w:val="20"/>
                <w:lang w:val="en-GB"/>
              </w:rPr>
              <w:t>p</w:t>
            </w:r>
            <w:r w:rsidR="00DD0B49" w:rsidRPr="00DD0B49">
              <w:rPr>
                <w:rFonts w:cs="Times New Roman"/>
                <w:sz w:val="20"/>
                <w:szCs w:val="20"/>
                <w:lang w:val="en-GB"/>
              </w:rPr>
              <w:t>o</w:t>
            </w:r>
            <w:r>
              <w:rPr>
                <w:rFonts w:cs="Times New Roman"/>
                <w:sz w:val="20"/>
                <w:szCs w:val="20"/>
                <w:lang w:val="en-GB"/>
              </w:rPr>
              <w:t>lis County District School Board</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M</w:t>
            </w:r>
            <w:r w:rsidR="00DD0B49" w:rsidRPr="00DD0B49">
              <w:rPr>
                <w:rFonts w:cs="Times New Roman"/>
                <w:sz w:val="20"/>
                <w:szCs w:val="20"/>
                <w:lang w:val="en-GB"/>
              </w:rPr>
              <w:t>a</w:t>
            </w:r>
            <w:r>
              <w:rPr>
                <w:rFonts w:cs="Times New Roman"/>
                <w:sz w:val="20"/>
                <w:szCs w:val="20"/>
                <w:lang w:val="en-GB"/>
              </w:rPr>
              <w:t>rshal</w:t>
            </w:r>
            <w:r w:rsidR="00DD0B49" w:rsidRPr="00DD0B49">
              <w:rPr>
                <w:rFonts w:cs="Times New Roman"/>
                <w:sz w:val="20"/>
                <w:szCs w:val="20"/>
                <w:lang w:val="en-GB"/>
              </w:rPr>
              <w:t>l,</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D6C56">
              <w:rPr>
                <w:rFonts w:cs="Times New Roman"/>
                <w:sz w:val="20"/>
                <w:szCs w:val="20"/>
                <w:lang w:val="en-GB"/>
              </w:rPr>
              <w:t>2</w:t>
            </w:r>
            <w:r w:rsidRPr="00DD0B49">
              <w:rPr>
                <w:rFonts w:cs="Times New Roman"/>
                <w:sz w:val="20"/>
                <w:szCs w:val="20"/>
                <w:lang w:val="en-GB"/>
              </w:rPr>
              <w:t xml:space="preserve"> SCC 2</w:t>
            </w:r>
            <w:r w:rsidR="000D6C56">
              <w:rPr>
                <w:rFonts w:cs="Times New Roman"/>
                <w:sz w:val="20"/>
                <w:szCs w:val="20"/>
                <w:lang w:val="en-GB"/>
              </w:rPr>
              <w:t>7</w:t>
            </w:r>
            <w:r w:rsidRPr="00DD0B49">
              <w:rPr>
                <w:rFonts w:cs="Times New Roman"/>
                <w:sz w:val="20"/>
                <w:szCs w:val="20"/>
                <w:lang w:val="en-GB"/>
              </w:rPr>
              <w:t>, [201</w:t>
            </w:r>
            <w:r w:rsidR="000D6C56">
              <w:rPr>
                <w:rFonts w:cs="Times New Roman"/>
                <w:sz w:val="20"/>
                <w:szCs w:val="20"/>
                <w:lang w:val="en-GB"/>
              </w:rPr>
              <w:t>2</w:t>
            </w:r>
            <w:r w:rsidRPr="00DD0B49">
              <w:rPr>
                <w:rFonts w:cs="Times New Roman"/>
                <w:sz w:val="20"/>
                <w:szCs w:val="20"/>
                <w:lang w:val="en-GB"/>
              </w:rPr>
              <w:t xml:space="preserve">] </w:t>
            </w:r>
            <w:r w:rsidR="000D6C56">
              <w:rPr>
                <w:rFonts w:cs="Times New Roman"/>
                <w:sz w:val="20"/>
                <w:szCs w:val="20"/>
                <w:lang w:val="en-GB"/>
              </w:rPr>
              <w:t>2</w:t>
            </w:r>
            <w:r w:rsidRPr="00DD0B49">
              <w:rPr>
                <w:rFonts w:cs="Times New Roman"/>
                <w:sz w:val="20"/>
                <w:szCs w:val="20"/>
                <w:lang w:val="en-GB"/>
              </w:rPr>
              <w:t xml:space="preserve"> S.C.R. 8</w:t>
            </w:r>
            <w:r w:rsidR="000D6C56">
              <w:rPr>
                <w:rFonts w:cs="Times New Roman"/>
                <w:sz w:val="20"/>
                <w:szCs w:val="20"/>
                <w:lang w:val="en-GB"/>
              </w:rPr>
              <w:t>4</w:t>
            </w:r>
          </w:p>
          <w:p w:rsidR="00DD0B49" w:rsidRPr="00DD0B49" w:rsidRDefault="00DD0B49" w:rsidP="003B3977">
            <w:pPr>
              <w:rPr>
                <w:rFonts w:cs="Times New Roman"/>
                <w:sz w:val="20"/>
                <w:szCs w:val="20"/>
                <w:lang w:val="en-GB"/>
              </w:rPr>
            </w:pPr>
          </w:p>
          <w:p w:rsidR="00DD0B49" w:rsidRPr="00DD0B49" w:rsidRDefault="000D6C56" w:rsidP="003B3977">
            <w:pPr>
              <w:rPr>
                <w:rFonts w:cs="Times New Roman"/>
                <w:sz w:val="20"/>
                <w:szCs w:val="20"/>
                <w:lang w:val="en-GB"/>
              </w:rPr>
            </w:pPr>
            <w:proofErr w:type="spellStart"/>
            <w:r>
              <w:rPr>
                <w:rFonts w:cs="Times New Roman"/>
                <w:sz w:val="20"/>
                <w:szCs w:val="20"/>
                <w:lang w:val="en-GB"/>
              </w:rPr>
              <w:t>Cinar</w:t>
            </w:r>
            <w:proofErr w:type="spellEnd"/>
            <w:r>
              <w:rPr>
                <w:rFonts w:cs="Times New Roman"/>
                <w:sz w:val="20"/>
                <w:szCs w:val="20"/>
                <w:lang w:val="en-GB"/>
              </w:rPr>
              <w:t xml:space="preserve"> Corporation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R</w:t>
            </w:r>
            <w:r w:rsidR="00DD0B49" w:rsidRPr="00DD0B49">
              <w:rPr>
                <w:rFonts w:cs="Times New Roman"/>
                <w:iCs/>
                <w:sz w:val="20"/>
                <w:szCs w:val="20"/>
                <w:lang w:val="en-GB"/>
              </w:rPr>
              <w:t>o</w:t>
            </w:r>
            <w:r>
              <w:rPr>
                <w:rFonts w:cs="Times New Roman"/>
                <w:iCs/>
                <w:sz w:val="20"/>
                <w:szCs w:val="20"/>
                <w:lang w:val="en-GB"/>
              </w:rPr>
              <w:t>bi</w:t>
            </w:r>
            <w:r w:rsidR="00DD0B49" w:rsidRPr="00DD0B49">
              <w:rPr>
                <w:rFonts w:cs="Times New Roman"/>
                <w:iCs/>
                <w:sz w:val="20"/>
                <w:szCs w:val="20"/>
                <w:lang w:val="en-GB"/>
              </w:rPr>
              <w:t>n</w:t>
            </w:r>
            <w:r>
              <w:rPr>
                <w:rFonts w:cs="Times New Roman"/>
                <w:iCs/>
                <w:sz w:val="20"/>
                <w:szCs w:val="20"/>
                <w:lang w:val="en-GB"/>
              </w:rPr>
              <w:t>son</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D6C56">
              <w:rPr>
                <w:rFonts w:cs="Times New Roman"/>
                <w:sz w:val="20"/>
                <w:szCs w:val="20"/>
                <w:lang w:val="en-GB"/>
              </w:rPr>
              <w:t>2</w:t>
            </w:r>
            <w:r w:rsidRPr="00DD0B49">
              <w:rPr>
                <w:rFonts w:cs="Times New Roman"/>
                <w:sz w:val="20"/>
                <w:szCs w:val="20"/>
                <w:lang w:val="en-GB"/>
              </w:rPr>
              <w:t xml:space="preserve"> SCC 2</w:t>
            </w:r>
            <w:r w:rsidR="000D6C56">
              <w:rPr>
                <w:rFonts w:cs="Times New Roman"/>
                <w:sz w:val="20"/>
                <w:szCs w:val="20"/>
                <w:lang w:val="en-GB"/>
              </w:rPr>
              <w:t>5</w:t>
            </w:r>
            <w:r w:rsidRPr="00DD0B49">
              <w:rPr>
                <w:rFonts w:cs="Times New Roman"/>
                <w:sz w:val="20"/>
                <w:szCs w:val="20"/>
                <w:lang w:val="en-GB"/>
              </w:rPr>
              <w:t>, [201</w:t>
            </w:r>
            <w:r w:rsidR="000D6C56">
              <w:rPr>
                <w:rFonts w:cs="Times New Roman"/>
                <w:sz w:val="20"/>
                <w:szCs w:val="20"/>
                <w:lang w:val="en-GB"/>
              </w:rPr>
              <w:t>2</w:t>
            </w:r>
            <w:r w:rsidRPr="00DD0B49">
              <w:rPr>
                <w:rFonts w:cs="Times New Roman"/>
                <w:sz w:val="20"/>
                <w:szCs w:val="20"/>
                <w:lang w:val="en-GB"/>
              </w:rPr>
              <w:t xml:space="preserve">] </w:t>
            </w:r>
            <w:r w:rsidR="000D6C56">
              <w:rPr>
                <w:rFonts w:cs="Times New Roman"/>
                <w:sz w:val="20"/>
                <w:szCs w:val="20"/>
                <w:lang w:val="en-GB"/>
              </w:rPr>
              <w:t>2</w:t>
            </w:r>
            <w:r w:rsidRPr="00DD0B49">
              <w:rPr>
                <w:rFonts w:cs="Times New Roman"/>
                <w:sz w:val="20"/>
                <w:szCs w:val="20"/>
                <w:lang w:val="en-GB"/>
              </w:rPr>
              <w:t xml:space="preserve"> S.C.R. </w:t>
            </w:r>
            <w:r w:rsidR="000D6C56">
              <w:rPr>
                <w:rFonts w:cs="Times New Roman"/>
                <w:sz w:val="20"/>
                <w:szCs w:val="20"/>
                <w:lang w:val="en-GB"/>
              </w:rPr>
              <w:t>5</w:t>
            </w:r>
            <w:r w:rsidRPr="00DD0B49">
              <w:rPr>
                <w:rFonts w:cs="Times New Roman"/>
                <w:sz w:val="20"/>
                <w:szCs w:val="20"/>
                <w:lang w:val="en-GB"/>
              </w:rPr>
              <w:t>5</w:t>
            </w:r>
          </w:p>
          <w:p w:rsidR="00DD0B49" w:rsidRPr="00DD0B49" w:rsidRDefault="00DD0B49" w:rsidP="003B3977">
            <w:pPr>
              <w:rPr>
                <w:rFonts w:cs="Times New Roman"/>
                <w:iCs/>
                <w:sz w:val="20"/>
                <w:szCs w:val="20"/>
                <w:lang w:val="en-GB"/>
              </w:rPr>
            </w:pPr>
          </w:p>
          <w:p w:rsidR="00DD0B49" w:rsidRPr="00DD0B49" w:rsidRDefault="00967CEA" w:rsidP="003B3977">
            <w:pPr>
              <w:rPr>
                <w:rFonts w:cs="Times New Roman"/>
                <w:iCs/>
                <w:sz w:val="20"/>
                <w:szCs w:val="20"/>
                <w:lang w:val="en-GB"/>
              </w:rPr>
            </w:pPr>
            <w:r>
              <w:rPr>
                <w:rFonts w:cs="Times New Roman"/>
                <w:iCs/>
                <w:sz w:val="20"/>
                <w:szCs w:val="20"/>
                <w:lang w:val="en-GB"/>
              </w:rPr>
              <w:t xml:space="preserve">Clements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Clements</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D6C56">
              <w:rPr>
                <w:rFonts w:cs="Times New Roman"/>
                <w:sz w:val="20"/>
                <w:szCs w:val="20"/>
                <w:lang w:val="en-GB"/>
              </w:rPr>
              <w:t>2</w:t>
            </w:r>
            <w:r w:rsidRPr="00DD0B49">
              <w:rPr>
                <w:rFonts w:cs="Times New Roman"/>
                <w:sz w:val="20"/>
                <w:szCs w:val="20"/>
                <w:lang w:val="en-GB"/>
              </w:rPr>
              <w:t xml:space="preserve"> SCC </w:t>
            </w:r>
            <w:r w:rsidR="00967CEA">
              <w:rPr>
                <w:rFonts w:cs="Times New Roman"/>
                <w:sz w:val="20"/>
                <w:szCs w:val="20"/>
                <w:lang w:val="en-GB"/>
              </w:rPr>
              <w:t>32</w:t>
            </w:r>
            <w:r w:rsidRPr="00DD0B49">
              <w:rPr>
                <w:rFonts w:cs="Times New Roman"/>
                <w:sz w:val="20"/>
                <w:szCs w:val="20"/>
                <w:lang w:val="en-GB"/>
              </w:rPr>
              <w:t>, [201</w:t>
            </w:r>
            <w:r w:rsidR="000D6C56">
              <w:rPr>
                <w:rFonts w:cs="Times New Roman"/>
                <w:sz w:val="20"/>
                <w:szCs w:val="20"/>
                <w:lang w:val="en-GB"/>
              </w:rPr>
              <w:t>2</w:t>
            </w:r>
            <w:r w:rsidRPr="00DD0B49">
              <w:rPr>
                <w:rFonts w:cs="Times New Roman"/>
                <w:sz w:val="20"/>
                <w:szCs w:val="20"/>
                <w:lang w:val="en-GB"/>
              </w:rPr>
              <w:t xml:space="preserve">] </w:t>
            </w:r>
            <w:r w:rsidR="000D6C56">
              <w:rPr>
                <w:rFonts w:cs="Times New Roman"/>
                <w:sz w:val="20"/>
                <w:szCs w:val="20"/>
                <w:lang w:val="en-GB"/>
              </w:rPr>
              <w:t>2</w:t>
            </w:r>
            <w:r w:rsidRPr="00DD0B49">
              <w:rPr>
                <w:rFonts w:cs="Times New Roman"/>
                <w:sz w:val="20"/>
                <w:szCs w:val="20"/>
                <w:lang w:val="en-GB"/>
              </w:rPr>
              <w:t xml:space="preserve"> S.C.R. </w:t>
            </w:r>
            <w:r w:rsidR="00967CEA">
              <w:rPr>
                <w:rFonts w:cs="Times New Roman"/>
                <w:sz w:val="20"/>
                <w:szCs w:val="20"/>
                <w:lang w:val="en-GB"/>
              </w:rPr>
              <w:t>181</w:t>
            </w:r>
          </w:p>
          <w:p w:rsidR="00DD0B49" w:rsidRPr="00DD0B49" w:rsidRDefault="00DD0B49" w:rsidP="003B3977">
            <w:pPr>
              <w:rPr>
                <w:rFonts w:cs="Times New Roman"/>
                <w:sz w:val="20"/>
                <w:szCs w:val="20"/>
                <w:lang w:val="en-GB"/>
              </w:rPr>
            </w:pPr>
          </w:p>
          <w:p w:rsidR="00DD0B49" w:rsidRPr="00DD0B49" w:rsidRDefault="00967CEA" w:rsidP="003B3977">
            <w:pPr>
              <w:rPr>
                <w:rFonts w:cs="Times New Roman"/>
                <w:sz w:val="20"/>
                <w:szCs w:val="20"/>
                <w:lang w:val="en-GB"/>
              </w:rPr>
            </w:pPr>
            <w:r>
              <w:rPr>
                <w:rFonts w:cs="Times New Roman"/>
                <w:sz w:val="20"/>
                <w:szCs w:val="20"/>
                <w:lang w:val="en-GB"/>
              </w:rPr>
              <w:t>Halifax (Regional Municipality)</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Canada (Public W</w:t>
            </w:r>
            <w:r w:rsidR="00DD0B49" w:rsidRPr="00DD0B49">
              <w:rPr>
                <w:rFonts w:cs="Times New Roman"/>
                <w:sz w:val="20"/>
                <w:szCs w:val="20"/>
                <w:lang w:val="en-GB"/>
              </w:rPr>
              <w:t>o</w:t>
            </w:r>
            <w:r>
              <w:rPr>
                <w:rFonts w:cs="Times New Roman"/>
                <w:sz w:val="20"/>
                <w:szCs w:val="20"/>
                <w:lang w:val="en-GB"/>
              </w:rPr>
              <w:t>rks and Gov</w:t>
            </w:r>
            <w:r w:rsidR="00DD0B49" w:rsidRPr="00DD0B49">
              <w:rPr>
                <w:rFonts w:cs="Times New Roman"/>
                <w:sz w:val="20"/>
                <w:szCs w:val="20"/>
                <w:lang w:val="en-GB"/>
              </w:rPr>
              <w:t>e</w:t>
            </w:r>
            <w:r>
              <w:rPr>
                <w:rFonts w:cs="Times New Roman"/>
                <w:sz w:val="20"/>
                <w:szCs w:val="20"/>
                <w:lang w:val="en-GB"/>
              </w:rPr>
              <w:t>rnmen</w:t>
            </w:r>
            <w:r w:rsidR="00DD0B49" w:rsidRPr="00DD0B49">
              <w:rPr>
                <w:rFonts w:cs="Times New Roman"/>
                <w:sz w:val="20"/>
                <w:szCs w:val="20"/>
                <w:lang w:val="en-GB"/>
              </w:rPr>
              <w:t>t</w:t>
            </w:r>
            <w:r>
              <w:rPr>
                <w:rFonts w:cs="Times New Roman"/>
                <w:sz w:val="20"/>
                <w:szCs w:val="20"/>
                <w:lang w:val="en-GB"/>
              </w:rPr>
              <w:t xml:space="preserve"> Services)</w:t>
            </w:r>
            <w:r w:rsidR="00DD0B49" w:rsidRPr="00DD0B49">
              <w:rPr>
                <w:rFonts w:cs="Times New Roman"/>
                <w:sz w:val="20"/>
                <w:szCs w:val="20"/>
                <w:lang w:val="en-GB"/>
              </w:rPr>
              <w:t>,</w:t>
            </w:r>
          </w:p>
          <w:p w:rsidR="00DD0B49" w:rsidRPr="009B247A" w:rsidRDefault="00DD0B49" w:rsidP="003B3977">
            <w:pPr>
              <w:rPr>
                <w:rFonts w:cs="Times New Roman"/>
                <w:sz w:val="20"/>
                <w:szCs w:val="20"/>
                <w:lang w:val="fr-CA"/>
              </w:rPr>
            </w:pPr>
            <w:r w:rsidRPr="009B247A">
              <w:rPr>
                <w:rFonts w:cs="Times New Roman"/>
                <w:sz w:val="20"/>
                <w:szCs w:val="20"/>
                <w:lang w:val="fr-CA"/>
              </w:rPr>
              <w:t>201</w:t>
            </w:r>
            <w:r w:rsidR="000D6C56" w:rsidRPr="009B247A">
              <w:rPr>
                <w:rFonts w:cs="Times New Roman"/>
                <w:sz w:val="20"/>
                <w:szCs w:val="20"/>
                <w:lang w:val="fr-CA"/>
              </w:rPr>
              <w:t>2</w:t>
            </w:r>
            <w:r w:rsidRPr="009B247A">
              <w:rPr>
                <w:rFonts w:cs="Times New Roman"/>
                <w:sz w:val="20"/>
                <w:szCs w:val="20"/>
                <w:lang w:val="fr-CA"/>
              </w:rPr>
              <w:t xml:space="preserve"> SCC 2</w:t>
            </w:r>
            <w:r w:rsidR="00967CEA" w:rsidRPr="009B247A">
              <w:rPr>
                <w:rFonts w:cs="Times New Roman"/>
                <w:sz w:val="20"/>
                <w:szCs w:val="20"/>
                <w:lang w:val="fr-CA"/>
              </w:rPr>
              <w:t>9</w:t>
            </w:r>
            <w:r w:rsidRPr="009B247A">
              <w:rPr>
                <w:rFonts w:cs="Times New Roman"/>
                <w:sz w:val="20"/>
                <w:szCs w:val="20"/>
                <w:lang w:val="fr-CA"/>
              </w:rPr>
              <w:t>, [201</w:t>
            </w:r>
            <w:r w:rsidR="000D6C56" w:rsidRPr="009B247A">
              <w:rPr>
                <w:rFonts w:cs="Times New Roman"/>
                <w:sz w:val="20"/>
                <w:szCs w:val="20"/>
                <w:lang w:val="fr-CA"/>
              </w:rPr>
              <w:t>2</w:t>
            </w:r>
            <w:r w:rsidRPr="009B247A">
              <w:rPr>
                <w:rFonts w:cs="Times New Roman"/>
                <w:sz w:val="20"/>
                <w:szCs w:val="20"/>
                <w:lang w:val="fr-CA"/>
              </w:rPr>
              <w:t xml:space="preserve">] </w:t>
            </w:r>
            <w:r w:rsidR="000D6C56" w:rsidRPr="009B247A">
              <w:rPr>
                <w:rFonts w:cs="Times New Roman"/>
                <w:sz w:val="20"/>
                <w:szCs w:val="20"/>
                <w:lang w:val="fr-CA"/>
              </w:rPr>
              <w:t>2</w:t>
            </w:r>
            <w:r w:rsidRPr="009B247A">
              <w:rPr>
                <w:rFonts w:cs="Times New Roman"/>
                <w:sz w:val="20"/>
                <w:szCs w:val="20"/>
                <w:lang w:val="fr-CA"/>
              </w:rPr>
              <w:t xml:space="preserve"> S.C.R. </w:t>
            </w:r>
            <w:r w:rsidR="00967CEA" w:rsidRPr="009B247A">
              <w:rPr>
                <w:rFonts w:cs="Times New Roman"/>
                <w:sz w:val="20"/>
                <w:szCs w:val="20"/>
                <w:lang w:val="fr-CA"/>
              </w:rPr>
              <w:t>10</w:t>
            </w:r>
            <w:r w:rsidRPr="009B247A">
              <w:rPr>
                <w:rFonts w:cs="Times New Roman"/>
                <w:sz w:val="20"/>
                <w:szCs w:val="20"/>
                <w:lang w:val="fr-CA"/>
              </w:rPr>
              <w:t>8</w:t>
            </w:r>
          </w:p>
          <w:p w:rsidR="00DD0B49" w:rsidRPr="009B247A" w:rsidRDefault="00DD0B49" w:rsidP="003B3977">
            <w:pPr>
              <w:rPr>
                <w:rFonts w:cs="Times New Roman"/>
                <w:sz w:val="20"/>
                <w:szCs w:val="20"/>
                <w:lang w:val="fr-CA"/>
              </w:rPr>
            </w:pPr>
          </w:p>
          <w:p w:rsidR="00DD0B49" w:rsidRPr="009B247A" w:rsidRDefault="00DD0B49" w:rsidP="003B3977">
            <w:pPr>
              <w:rPr>
                <w:rFonts w:cs="Times New Roman"/>
                <w:sz w:val="20"/>
                <w:szCs w:val="20"/>
                <w:lang w:val="fr-CA"/>
              </w:rPr>
            </w:pPr>
            <w:r w:rsidRPr="009B247A">
              <w:rPr>
                <w:rFonts w:cs="Times New Roman"/>
                <w:sz w:val="20"/>
                <w:szCs w:val="20"/>
                <w:lang w:val="fr-CA"/>
              </w:rPr>
              <w:t xml:space="preserve">R. </w:t>
            </w:r>
            <w:r w:rsidRPr="009B247A">
              <w:rPr>
                <w:rFonts w:cs="Times New Roman"/>
                <w:i/>
                <w:iCs/>
                <w:sz w:val="20"/>
                <w:szCs w:val="20"/>
                <w:lang w:val="fr-CA"/>
              </w:rPr>
              <w:t>v</w:t>
            </w:r>
            <w:r w:rsidRPr="009B247A">
              <w:rPr>
                <w:rFonts w:cs="Times New Roman"/>
                <w:sz w:val="20"/>
                <w:szCs w:val="20"/>
                <w:lang w:val="fr-CA"/>
              </w:rPr>
              <w:t>. G</w:t>
            </w:r>
            <w:r w:rsidR="009B247A" w:rsidRPr="009B247A">
              <w:rPr>
                <w:rFonts w:cs="Times New Roman"/>
                <w:sz w:val="20"/>
                <w:szCs w:val="20"/>
                <w:lang w:val="fr-CA"/>
              </w:rPr>
              <w:t>ibbons</w:t>
            </w:r>
            <w:r w:rsidRPr="009B247A">
              <w:rPr>
                <w:rFonts w:cs="Times New Roman"/>
                <w:sz w:val="20"/>
                <w:szCs w:val="20"/>
                <w:lang w:val="fr-CA"/>
              </w:rPr>
              <w:t>,</w:t>
            </w:r>
          </w:p>
          <w:p w:rsidR="00DD0B49" w:rsidRPr="007907CB" w:rsidRDefault="00DD0B49" w:rsidP="003B3977">
            <w:pPr>
              <w:rPr>
                <w:rFonts w:cs="Times New Roman"/>
                <w:sz w:val="20"/>
                <w:szCs w:val="20"/>
              </w:rPr>
            </w:pPr>
            <w:r w:rsidRPr="007907CB">
              <w:rPr>
                <w:rFonts w:cs="Times New Roman"/>
                <w:sz w:val="20"/>
                <w:szCs w:val="20"/>
              </w:rPr>
              <w:t>201</w:t>
            </w:r>
            <w:r w:rsidR="000D6C56" w:rsidRPr="007907CB">
              <w:rPr>
                <w:rFonts w:cs="Times New Roman"/>
                <w:sz w:val="20"/>
                <w:szCs w:val="20"/>
              </w:rPr>
              <w:t>2</w:t>
            </w:r>
            <w:r w:rsidRPr="007907CB">
              <w:rPr>
                <w:rFonts w:cs="Times New Roman"/>
                <w:sz w:val="20"/>
                <w:szCs w:val="20"/>
              </w:rPr>
              <w:t xml:space="preserve"> SCC 2</w:t>
            </w:r>
            <w:r w:rsidR="009B247A" w:rsidRPr="007907CB">
              <w:rPr>
                <w:rFonts w:cs="Times New Roman"/>
                <w:sz w:val="20"/>
                <w:szCs w:val="20"/>
              </w:rPr>
              <w:t>8</w:t>
            </w:r>
            <w:r w:rsidRPr="007907CB">
              <w:rPr>
                <w:rFonts w:cs="Times New Roman"/>
                <w:sz w:val="20"/>
                <w:szCs w:val="20"/>
              </w:rPr>
              <w:t>, [201</w:t>
            </w:r>
            <w:r w:rsidR="000D6C56" w:rsidRPr="007907CB">
              <w:rPr>
                <w:rFonts w:cs="Times New Roman"/>
                <w:sz w:val="20"/>
                <w:szCs w:val="20"/>
              </w:rPr>
              <w:t>2</w:t>
            </w:r>
            <w:r w:rsidRPr="007907CB">
              <w:rPr>
                <w:rFonts w:cs="Times New Roman"/>
                <w:sz w:val="20"/>
                <w:szCs w:val="20"/>
              </w:rPr>
              <w:t xml:space="preserve">] </w:t>
            </w:r>
            <w:r w:rsidR="000D6C56" w:rsidRPr="007907CB">
              <w:rPr>
                <w:rFonts w:cs="Times New Roman"/>
                <w:sz w:val="20"/>
                <w:szCs w:val="20"/>
              </w:rPr>
              <w:t>2</w:t>
            </w:r>
            <w:r w:rsidRPr="007907CB">
              <w:rPr>
                <w:rFonts w:cs="Times New Roman"/>
                <w:sz w:val="20"/>
                <w:szCs w:val="20"/>
              </w:rPr>
              <w:t xml:space="preserve"> S.C.R. </w:t>
            </w:r>
            <w:r w:rsidR="009B247A" w:rsidRPr="007907CB">
              <w:rPr>
                <w:rFonts w:cs="Times New Roman"/>
                <w:sz w:val="20"/>
                <w:szCs w:val="20"/>
              </w:rPr>
              <w:t>92</w:t>
            </w:r>
          </w:p>
          <w:p w:rsidR="00DD0B49" w:rsidRPr="007907CB" w:rsidRDefault="00DD0B49" w:rsidP="003B3977">
            <w:pPr>
              <w:rPr>
                <w:rFonts w:cs="Times New Roman"/>
                <w:sz w:val="20"/>
                <w:szCs w:val="20"/>
              </w:rPr>
            </w:pPr>
          </w:p>
          <w:p w:rsidR="00DD0B49" w:rsidRPr="009B247A" w:rsidRDefault="009B247A" w:rsidP="003B3977">
            <w:pPr>
              <w:rPr>
                <w:rFonts w:cs="Times New Roman"/>
                <w:sz w:val="20"/>
                <w:szCs w:val="20"/>
              </w:rPr>
            </w:pPr>
            <w:r w:rsidRPr="009B247A">
              <w:rPr>
                <w:rFonts w:cs="Times New Roman"/>
                <w:sz w:val="20"/>
                <w:szCs w:val="20"/>
              </w:rPr>
              <w:t xml:space="preserve">R. </w:t>
            </w:r>
            <w:r w:rsidRPr="009B247A">
              <w:rPr>
                <w:rFonts w:cs="Times New Roman"/>
                <w:i/>
                <w:iCs/>
                <w:sz w:val="20"/>
                <w:szCs w:val="20"/>
              </w:rPr>
              <w:t>v</w:t>
            </w:r>
            <w:r w:rsidRPr="009B247A">
              <w:rPr>
                <w:rFonts w:cs="Times New Roman"/>
                <w:sz w:val="20"/>
                <w:szCs w:val="20"/>
              </w:rPr>
              <w:t xml:space="preserve">. </w:t>
            </w:r>
            <w:proofErr w:type="spellStart"/>
            <w:r w:rsidRPr="009B247A">
              <w:rPr>
                <w:rFonts w:cs="Times New Roman"/>
                <w:sz w:val="20"/>
                <w:szCs w:val="20"/>
              </w:rPr>
              <w:t>Maybin</w:t>
            </w:r>
            <w:proofErr w:type="spellEnd"/>
            <w:r w:rsidR="00DD0B49" w:rsidRPr="009B247A">
              <w:rPr>
                <w:rFonts w:cs="Times New Roman"/>
                <w:sz w:val="20"/>
                <w:szCs w:val="20"/>
              </w:rPr>
              <w:t>,</w:t>
            </w:r>
          </w:p>
          <w:p w:rsidR="00DD0B49" w:rsidRPr="00967CEA" w:rsidRDefault="00DD0B49" w:rsidP="003B3977">
            <w:pPr>
              <w:rPr>
                <w:rFonts w:cs="Times New Roman"/>
                <w:sz w:val="20"/>
                <w:szCs w:val="20"/>
              </w:rPr>
            </w:pPr>
            <w:r w:rsidRPr="00967CEA">
              <w:rPr>
                <w:rFonts w:cs="Times New Roman"/>
                <w:sz w:val="20"/>
                <w:szCs w:val="20"/>
              </w:rPr>
              <w:t>201</w:t>
            </w:r>
            <w:r w:rsidR="000D6C56" w:rsidRPr="00967CEA">
              <w:rPr>
                <w:rFonts w:cs="Times New Roman"/>
                <w:sz w:val="20"/>
                <w:szCs w:val="20"/>
              </w:rPr>
              <w:t>2</w:t>
            </w:r>
            <w:r w:rsidRPr="00967CEA">
              <w:rPr>
                <w:rFonts w:cs="Times New Roman"/>
                <w:sz w:val="20"/>
                <w:szCs w:val="20"/>
              </w:rPr>
              <w:t xml:space="preserve"> SCC 2</w:t>
            </w:r>
            <w:r w:rsidR="009B247A">
              <w:rPr>
                <w:rFonts w:cs="Times New Roman"/>
                <w:sz w:val="20"/>
                <w:szCs w:val="20"/>
              </w:rPr>
              <w:t>4</w:t>
            </w:r>
            <w:r w:rsidRPr="00967CEA">
              <w:rPr>
                <w:rFonts w:cs="Times New Roman"/>
                <w:sz w:val="20"/>
                <w:szCs w:val="20"/>
              </w:rPr>
              <w:t>, [201</w:t>
            </w:r>
            <w:r w:rsidR="000D6C56" w:rsidRPr="00967CEA">
              <w:rPr>
                <w:rFonts w:cs="Times New Roman"/>
                <w:sz w:val="20"/>
                <w:szCs w:val="20"/>
              </w:rPr>
              <w:t>2</w:t>
            </w:r>
            <w:r w:rsidRPr="00967CEA">
              <w:rPr>
                <w:rFonts w:cs="Times New Roman"/>
                <w:sz w:val="20"/>
                <w:szCs w:val="20"/>
              </w:rPr>
              <w:t xml:space="preserve">] </w:t>
            </w:r>
            <w:r w:rsidR="000D6C56" w:rsidRPr="00967CEA">
              <w:rPr>
                <w:rFonts w:cs="Times New Roman"/>
                <w:sz w:val="20"/>
                <w:szCs w:val="20"/>
              </w:rPr>
              <w:t>2</w:t>
            </w:r>
            <w:r w:rsidRPr="00967CEA">
              <w:rPr>
                <w:rFonts w:cs="Times New Roman"/>
                <w:sz w:val="20"/>
                <w:szCs w:val="20"/>
              </w:rPr>
              <w:t xml:space="preserve"> S.C.R. </w:t>
            </w:r>
            <w:r w:rsidR="009B247A">
              <w:rPr>
                <w:rFonts w:cs="Times New Roman"/>
                <w:sz w:val="20"/>
                <w:szCs w:val="20"/>
              </w:rPr>
              <w:t>30</w:t>
            </w:r>
          </w:p>
          <w:p w:rsidR="00DD0B49" w:rsidRPr="00967CEA" w:rsidRDefault="00DD0B49" w:rsidP="003B3977">
            <w:pPr>
              <w:rPr>
                <w:rFonts w:cs="Times New Roman"/>
                <w:sz w:val="20"/>
                <w:szCs w:val="20"/>
              </w:rPr>
            </w:pPr>
          </w:p>
          <w:p w:rsidR="00DD0B49" w:rsidRPr="00967CEA" w:rsidRDefault="009B247A" w:rsidP="003B3977">
            <w:pPr>
              <w:rPr>
                <w:rFonts w:cs="Times New Roman"/>
                <w:sz w:val="20"/>
                <w:szCs w:val="20"/>
              </w:rPr>
            </w:pPr>
            <w:r w:rsidRPr="009B247A">
              <w:rPr>
                <w:rFonts w:cs="Times New Roman"/>
                <w:sz w:val="20"/>
                <w:szCs w:val="20"/>
              </w:rPr>
              <w:t xml:space="preserve">R. </w:t>
            </w:r>
            <w:r w:rsidRPr="009B247A">
              <w:rPr>
                <w:rFonts w:cs="Times New Roman"/>
                <w:i/>
                <w:iCs/>
                <w:sz w:val="20"/>
                <w:szCs w:val="20"/>
              </w:rPr>
              <w:t>v</w:t>
            </w:r>
            <w:r w:rsidRPr="009B247A">
              <w:rPr>
                <w:rFonts w:cs="Times New Roman"/>
                <w:sz w:val="20"/>
                <w:szCs w:val="20"/>
              </w:rPr>
              <w:t xml:space="preserve">. </w:t>
            </w:r>
            <w:proofErr w:type="spellStart"/>
            <w:r w:rsidRPr="009B247A">
              <w:rPr>
                <w:rFonts w:cs="Times New Roman"/>
                <w:sz w:val="20"/>
                <w:szCs w:val="20"/>
              </w:rPr>
              <w:t>Mayuran</w:t>
            </w:r>
            <w:proofErr w:type="spellEnd"/>
            <w:r w:rsidR="00DD0B49" w:rsidRPr="00967CEA">
              <w:rPr>
                <w:rFonts w:cs="Times New Roman"/>
                <w:iCs/>
                <w:sz w:val="20"/>
                <w:szCs w:val="20"/>
              </w:rPr>
              <w:t>,</w:t>
            </w:r>
          </w:p>
          <w:p w:rsidR="00DD0B49" w:rsidRPr="00967CEA" w:rsidRDefault="00DD0B49" w:rsidP="003B3977">
            <w:pPr>
              <w:rPr>
                <w:rFonts w:cs="Times New Roman"/>
                <w:sz w:val="20"/>
                <w:szCs w:val="20"/>
              </w:rPr>
            </w:pPr>
            <w:r w:rsidRPr="00967CEA">
              <w:rPr>
                <w:rFonts w:cs="Times New Roman"/>
                <w:sz w:val="20"/>
                <w:szCs w:val="20"/>
              </w:rPr>
              <w:t>201</w:t>
            </w:r>
            <w:r w:rsidR="000D6C56" w:rsidRPr="00967CEA">
              <w:rPr>
                <w:rFonts w:cs="Times New Roman"/>
                <w:sz w:val="20"/>
                <w:szCs w:val="20"/>
              </w:rPr>
              <w:t>2</w:t>
            </w:r>
            <w:r w:rsidRPr="00967CEA">
              <w:rPr>
                <w:rFonts w:cs="Times New Roman"/>
                <w:sz w:val="20"/>
                <w:szCs w:val="20"/>
              </w:rPr>
              <w:t xml:space="preserve"> SCC </w:t>
            </w:r>
            <w:r w:rsidR="009B247A">
              <w:rPr>
                <w:rFonts w:cs="Times New Roman"/>
                <w:sz w:val="20"/>
                <w:szCs w:val="20"/>
              </w:rPr>
              <w:t>3</w:t>
            </w:r>
            <w:r w:rsidRPr="00967CEA">
              <w:rPr>
                <w:rFonts w:cs="Times New Roman"/>
                <w:sz w:val="20"/>
                <w:szCs w:val="20"/>
              </w:rPr>
              <w:t>1, [201</w:t>
            </w:r>
            <w:r w:rsidR="000D6C56" w:rsidRPr="00967CEA">
              <w:rPr>
                <w:rFonts w:cs="Times New Roman"/>
                <w:sz w:val="20"/>
                <w:szCs w:val="20"/>
              </w:rPr>
              <w:t>2</w:t>
            </w:r>
            <w:r w:rsidRPr="00967CEA">
              <w:rPr>
                <w:rFonts w:cs="Times New Roman"/>
                <w:sz w:val="20"/>
                <w:szCs w:val="20"/>
              </w:rPr>
              <w:t xml:space="preserve">] </w:t>
            </w:r>
            <w:r w:rsidR="000D6C56" w:rsidRPr="00967CEA">
              <w:rPr>
                <w:rFonts w:cs="Times New Roman"/>
                <w:sz w:val="20"/>
                <w:szCs w:val="20"/>
              </w:rPr>
              <w:t>2</w:t>
            </w:r>
            <w:r w:rsidRPr="00967CEA">
              <w:rPr>
                <w:rFonts w:cs="Times New Roman"/>
                <w:sz w:val="20"/>
                <w:szCs w:val="20"/>
              </w:rPr>
              <w:t xml:space="preserve"> S.C.R. </w:t>
            </w:r>
            <w:r w:rsidR="009B247A">
              <w:rPr>
                <w:rFonts w:cs="Times New Roman"/>
                <w:sz w:val="20"/>
                <w:szCs w:val="20"/>
              </w:rPr>
              <w:t>1</w:t>
            </w:r>
            <w:r w:rsidRPr="00967CEA">
              <w:rPr>
                <w:rFonts w:cs="Times New Roman"/>
                <w:sz w:val="20"/>
                <w:szCs w:val="20"/>
              </w:rPr>
              <w:t>6</w:t>
            </w:r>
            <w:r w:rsidR="009B247A">
              <w:rPr>
                <w:rFonts w:cs="Times New Roman"/>
                <w:sz w:val="20"/>
                <w:szCs w:val="20"/>
              </w:rPr>
              <w:t>2</w:t>
            </w:r>
          </w:p>
          <w:p w:rsidR="00DD0B49" w:rsidRPr="00967CEA" w:rsidRDefault="00DD0B49" w:rsidP="003B3977">
            <w:pPr>
              <w:keepNext/>
              <w:keepLines/>
              <w:rPr>
                <w:rFonts w:cs="Times New Roman"/>
                <w:bCs/>
                <w:sz w:val="20"/>
                <w:szCs w:val="20"/>
              </w:rPr>
            </w:pPr>
          </w:p>
          <w:p w:rsidR="000D6C56" w:rsidRPr="00967CEA" w:rsidRDefault="000D6C56" w:rsidP="000D6C56">
            <w:pPr>
              <w:rPr>
                <w:rFonts w:cs="Times New Roman"/>
                <w:sz w:val="20"/>
                <w:szCs w:val="20"/>
              </w:rPr>
            </w:pPr>
            <w:r w:rsidRPr="00967CEA">
              <w:rPr>
                <w:rFonts w:cs="Times New Roman"/>
                <w:sz w:val="20"/>
                <w:szCs w:val="20"/>
              </w:rPr>
              <w:t xml:space="preserve">R. </w:t>
            </w:r>
            <w:r w:rsidRPr="00967CEA">
              <w:rPr>
                <w:rFonts w:cs="Times New Roman"/>
                <w:i/>
                <w:iCs/>
                <w:sz w:val="20"/>
                <w:szCs w:val="20"/>
              </w:rPr>
              <w:t>v.</w:t>
            </w:r>
            <w:r w:rsidRPr="00967CEA">
              <w:rPr>
                <w:rFonts w:cs="Times New Roman"/>
                <w:sz w:val="20"/>
                <w:szCs w:val="20"/>
              </w:rPr>
              <w:t xml:space="preserve"> </w:t>
            </w:r>
            <w:r w:rsidR="009B247A">
              <w:rPr>
                <w:rFonts w:cs="Times New Roman"/>
                <w:sz w:val="20"/>
                <w:szCs w:val="20"/>
              </w:rPr>
              <w:t>R</w:t>
            </w:r>
            <w:r w:rsidRPr="00967CEA">
              <w:rPr>
                <w:rFonts w:cs="Times New Roman"/>
                <w:sz w:val="20"/>
                <w:szCs w:val="20"/>
              </w:rPr>
              <w:t>o</w:t>
            </w:r>
            <w:r w:rsidR="009B247A">
              <w:rPr>
                <w:rFonts w:cs="Times New Roman"/>
                <w:sz w:val="20"/>
                <w:szCs w:val="20"/>
              </w:rPr>
              <w:t>y</w:t>
            </w:r>
            <w:r w:rsidRPr="00967CEA">
              <w:rPr>
                <w:rFonts w:cs="Times New Roman"/>
                <w:sz w:val="20"/>
                <w:szCs w:val="20"/>
              </w:rPr>
              <w:t>,</w:t>
            </w:r>
          </w:p>
          <w:p w:rsidR="000D6C56" w:rsidRPr="009B247A" w:rsidRDefault="000D6C56" w:rsidP="000D6C56">
            <w:pPr>
              <w:rPr>
                <w:rFonts w:cs="Times New Roman"/>
                <w:sz w:val="20"/>
                <w:szCs w:val="20"/>
                <w:lang w:val="fr-CA"/>
              </w:rPr>
            </w:pPr>
            <w:r w:rsidRPr="009B247A">
              <w:rPr>
                <w:rFonts w:cs="Times New Roman"/>
                <w:sz w:val="20"/>
                <w:szCs w:val="20"/>
                <w:lang w:val="fr-CA"/>
              </w:rPr>
              <w:t>2012 SCC 2</w:t>
            </w:r>
            <w:r w:rsidR="009B247A" w:rsidRPr="009B247A">
              <w:rPr>
                <w:rFonts w:cs="Times New Roman"/>
                <w:sz w:val="20"/>
                <w:szCs w:val="20"/>
                <w:lang w:val="fr-CA"/>
              </w:rPr>
              <w:t>6</w:t>
            </w:r>
            <w:r w:rsidRPr="009B247A">
              <w:rPr>
                <w:rFonts w:cs="Times New Roman"/>
                <w:sz w:val="20"/>
                <w:szCs w:val="20"/>
                <w:lang w:val="fr-CA"/>
              </w:rPr>
              <w:t xml:space="preserve">, [2012] 2 S.C.R. </w:t>
            </w:r>
            <w:r w:rsidR="009B247A" w:rsidRPr="009B247A">
              <w:rPr>
                <w:rFonts w:cs="Times New Roman"/>
                <w:sz w:val="20"/>
                <w:szCs w:val="20"/>
                <w:lang w:val="fr-CA"/>
              </w:rPr>
              <w:t>60</w:t>
            </w:r>
          </w:p>
          <w:p w:rsidR="000D6C56" w:rsidRPr="009B247A" w:rsidRDefault="000D6C56" w:rsidP="000D6C56">
            <w:pPr>
              <w:rPr>
                <w:rFonts w:cs="Times New Roman"/>
                <w:sz w:val="20"/>
                <w:szCs w:val="20"/>
                <w:lang w:val="fr-CA"/>
              </w:rPr>
            </w:pPr>
          </w:p>
          <w:p w:rsidR="000D6C56" w:rsidRPr="009B247A" w:rsidRDefault="000D6C56" w:rsidP="000D6C56">
            <w:pPr>
              <w:rPr>
                <w:rFonts w:cs="Times New Roman"/>
                <w:sz w:val="20"/>
                <w:szCs w:val="20"/>
                <w:lang w:val="fr-CA"/>
              </w:rPr>
            </w:pPr>
            <w:r w:rsidRPr="009B247A">
              <w:rPr>
                <w:rFonts w:cs="Times New Roman"/>
                <w:sz w:val="20"/>
                <w:szCs w:val="20"/>
                <w:lang w:val="fr-CA"/>
              </w:rPr>
              <w:t xml:space="preserve">R. </w:t>
            </w:r>
            <w:r w:rsidRPr="009B247A">
              <w:rPr>
                <w:rFonts w:cs="Times New Roman"/>
                <w:i/>
                <w:iCs/>
                <w:sz w:val="20"/>
                <w:szCs w:val="20"/>
                <w:lang w:val="fr-CA"/>
              </w:rPr>
              <w:t>v</w:t>
            </w:r>
            <w:r w:rsidRPr="009B247A">
              <w:rPr>
                <w:rFonts w:cs="Times New Roman"/>
                <w:sz w:val="20"/>
                <w:szCs w:val="20"/>
                <w:lang w:val="fr-CA"/>
              </w:rPr>
              <w:t xml:space="preserve">. </w:t>
            </w:r>
            <w:proofErr w:type="spellStart"/>
            <w:r w:rsidR="009B247A" w:rsidRPr="009B247A">
              <w:rPr>
                <w:rFonts w:cs="Times New Roman"/>
                <w:sz w:val="20"/>
                <w:szCs w:val="20"/>
                <w:lang w:val="fr-CA"/>
              </w:rPr>
              <w:t>Venneri</w:t>
            </w:r>
            <w:proofErr w:type="spellEnd"/>
            <w:r w:rsidRPr="009B247A">
              <w:rPr>
                <w:rFonts w:cs="Times New Roman"/>
                <w:sz w:val="20"/>
                <w:szCs w:val="20"/>
                <w:lang w:val="fr-CA"/>
              </w:rPr>
              <w:t>,</w:t>
            </w:r>
          </w:p>
          <w:p w:rsidR="000D6C56" w:rsidRPr="009B247A" w:rsidRDefault="000D6C56" w:rsidP="000D6C56">
            <w:pPr>
              <w:rPr>
                <w:rFonts w:cs="Times New Roman"/>
                <w:sz w:val="20"/>
                <w:szCs w:val="20"/>
                <w:lang w:val="fr-CA"/>
              </w:rPr>
            </w:pPr>
            <w:r w:rsidRPr="009B247A">
              <w:rPr>
                <w:rFonts w:cs="Times New Roman"/>
                <w:sz w:val="20"/>
                <w:szCs w:val="20"/>
                <w:lang w:val="fr-CA"/>
              </w:rPr>
              <w:t xml:space="preserve">2012 SCC </w:t>
            </w:r>
            <w:r w:rsidR="009B247A" w:rsidRPr="009B247A">
              <w:rPr>
                <w:rFonts w:cs="Times New Roman"/>
                <w:sz w:val="20"/>
                <w:szCs w:val="20"/>
                <w:lang w:val="fr-CA"/>
              </w:rPr>
              <w:t>33</w:t>
            </w:r>
            <w:r w:rsidRPr="009B247A">
              <w:rPr>
                <w:rFonts w:cs="Times New Roman"/>
                <w:sz w:val="20"/>
                <w:szCs w:val="20"/>
                <w:lang w:val="fr-CA"/>
              </w:rPr>
              <w:t xml:space="preserve">, [2012] 2 S.C.R. </w:t>
            </w:r>
            <w:r w:rsidR="009B247A" w:rsidRPr="009B247A">
              <w:rPr>
                <w:rFonts w:cs="Times New Roman"/>
                <w:sz w:val="20"/>
                <w:szCs w:val="20"/>
                <w:lang w:val="fr-CA"/>
              </w:rPr>
              <w:t>211</w:t>
            </w:r>
          </w:p>
          <w:p w:rsidR="000D6C56" w:rsidRPr="009B247A" w:rsidRDefault="000D6C56" w:rsidP="000D6C56">
            <w:pPr>
              <w:rPr>
                <w:rFonts w:cs="Times New Roman"/>
                <w:sz w:val="20"/>
                <w:szCs w:val="20"/>
                <w:lang w:val="fr-CA"/>
              </w:rPr>
            </w:pPr>
          </w:p>
          <w:p w:rsidR="000D6C56" w:rsidRPr="009B247A" w:rsidRDefault="000D6C56" w:rsidP="000D6C56">
            <w:pPr>
              <w:rPr>
                <w:rFonts w:cs="Times New Roman"/>
                <w:sz w:val="20"/>
                <w:szCs w:val="20"/>
                <w:lang w:val="fr-CA"/>
              </w:rPr>
            </w:pPr>
            <w:r w:rsidRPr="009B247A">
              <w:rPr>
                <w:rFonts w:cs="Times New Roman"/>
                <w:sz w:val="20"/>
                <w:szCs w:val="20"/>
                <w:lang w:val="fr-CA"/>
              </w:rPr>
              <w:t>T</w:t>
            </w:r>
            <w:r w:rsidR="009B247A" w:rsidRPr="009B247A">
              <w:rPr>
                <w:rFonts w:cs="Times New Roman"/>
                <w:sz w:val="20"/>
                <w:szCs w:val="20"/>
                <w:lang w:val="fr-CA"/>
              </w:rPr>
              <w:t>essie</w:t>
            </w:r>
            <w:r w:rsidRPr="009B247A">
              <w:rPr>
                <w:rFonts w:cs="Times New Roman"/>
                <w:sz w:val="20"/>
                <w:szCs w:val="20"/>
                <w:lang w:val="fr-CA"/>
              </w:rPr>
              <w:t>r</w:t>
            </w:r>
            <w:r w:rsidR="009B247A" w:rsidRPr="009B247A">
              <w:rPr>
                <w:rFonts w:cs="Times New Roman"/>
                <w:sz w:val="20"/>
                <w:szCs w:val="20"/>
                <w:lang w:val="fr-CA"/>
              </w:rPr>
              <w:t xml:space="preserve"> </w:t>
            </w:r>
            <w:proofErr w:type="spellStart"/>
            <w:r w:rsidR="009B247A" w:rsidRPr="009B247A">
              <w:rPr>
                <w:rFonts w:cs="Times New Roman"/>
                <w:sz w:val="20"/>
                <w:szCs w:val="20"/>
                <w:lang w:val="fr-CA"/>
              </w:rPr>
              <w:t>Lté</w:t>
            </w:r>
            <w:r w:rsidRPr="009B247A">
              <w:rPr>
                <w:rFonts w:cs="Times New Roman"/>
                <w:sz w:val="20"/>
                <w:szCs w:val="20"/>
                <w:lang w:val="fr-CA"/>
              </w:rPr>
              <w:t>e</w:t>
            </w:r>
            <w:proofErr w:type="spellEnd"/>
            <w:r w:rsidRPr="009B247A">
              <w:rPr>
                <w:rFonts w:cs="Times New Roman"/>
                <w:sz w:val="20"/>
                <w:szCs w:val="20"/>
                <w:lang w:val="fr-CA"/>
              </w:rPr>
              <w:t xml:space="preserve"> </w:t>
            </w:r>
            <w:r w:rsidRPr="009B247A">
              <w:rPr>
                <w:rFonts w:cs="Times New Roman"/>
                <w:i/>
                <w:iCs/>
                <w:sz w:val="20"/>
                <w:szCs w:val="20"/>
                <w:lang w:val="fr-CA"/>
              </w:rPr>
              <w:t>v.</w:t>
            </w:r>
            <w:r w:rsidRPr="009B247A">
              <w:rPr>
                <w:rFonts w:cs="Times New Roman"/>
                <w:sz w:val="20"/>
                <w:szCs w:val="20"/>
                <w:lang w:val="fr-CA"/>
              </w:rPr>
              <w:t xml:space="preserve"> </w:t>
            </w:r>
            <w:proofErr w:type="spellStart"/>
            <w:r w:rsidR="009B247A">
              <w:rPr>
                <w:rFonts w:cs="Times New Roman"/>
                <w:sz w:val="20"/>
                <w:szCs w:val="20"/>
                <w:lang w:val="fr-CA"/>
              </w:rPr>
              <w:t>Qu</w:t>
            </w:r>
            <w:r w:rsidR="00954614">
              <w:rPr>
                <w:rFonts w:cs="Times New Roman"/>
                <w:sz w:val="20"/>
                <w:szCs w:val="20"/>
                <w:lang w:val="fr-CA"/>
              </w:rPr>
              <w:t>e</w:t>
            </w:r>
            <w:r w:rsidR="009B247A">
              <w:rPr>
                <w:rFonts w:cs="Times New Roman"/>
                <w:sz w:val="20"/>
                <w:szCs w:val="20"/>
                <w:lang w:val="fr-CA"/>
              </w:rPr>
              <w:t>bec</w:t>
            </w:r>
            <w:proofErr w:type="spellEnd"/>
            <w:r w:rsidR="009B247A">
              <w:rPr>
                <w:rFonts w:cs="Times New Roman"/>
                <w:sz w:val="20"/>
                <w:szCs w:val="20"/>
                <w:lang w:val="fr-CA"/>
              </w:rPr>
              <w:t xml:space="preserve"> (</w:t>
            </w:r>
            <w:r w:rsidRPr="009B247A">
              <w:rPr>
                <w:rFonts w:cs="Times New Roman"/>
                <w:sz w:val="20"/>
                <w:szCs w:val="20"/>
                <w:lang w:val="fr-CA"/>
              </w:rPr>
              <w:t>C</w:t>
            </w:r>
            <w:r w:rsidR="009B247A">
              <w:rPr>
                <w:rFonts w:cs="Times New Roman"/>
                <w:sz w:val="20"/>
                <w:szCs w:val="20"/>
                <w:lang w:val="fr-CA"/>
              </w:rPr>
              <w:t>ommissio</w:t>
            </w:r>
            <w:r w:rsidRPr="009B247A">
              <w:rPr>
                <w:rFonts w:cs="Times New Roman"/>
                <w:sz w:val="20"/>
                <w:szCs w:val="20"/>
                <w:lang w:val="fr-CA"/>
              </w:rPr>
              <w:t>n</w:t>
            </w:r>
            <w:r w:rsidR="009B247A">
              <w:rPr>
                <w:rFonts w:cs="Times New Roman"/>
                <w:sz w:val="20"/>
                <w:szCs w:val="20"/>
                <w:lang w:val="fr-CA"/>
              </w:rPr>
              <w:t xml:space="preserve"> </w:t>
            </w:r>
            <w:r w:rsidRPr="009B247A">
              <w:rPr>
                <w:rFonts w:cs="Times New Roman"/>
                <w:sz w:val="20"/>
                <w:szCs w:val="20"/>
                <w:lang w:val="fr-CA"/>
              </w:rPr>
              <w:t>d</w:t>
            </w:r>
            <w:r w:rsidR="009B247A">
              <w:rPr>
                <w:rFonts w:cs="Times New Roman"/>
                <w:sz w:val="20"/>
                <w:szCs w:val="20"/>
                <w:lang w:val="fr-CA"/>
              </w:rPr>
              <w:t>e l</w:t>
            </w:r>
            <w:r w:rsidRPr="009B247A">
              <w:rPr>
                <w:rFonts w:cs="Times New Roman"/>
                <w:sz w:val="20"/>
                <w:szCs w:val="20"/>
                <w:lang w:val="fr-CA"/>
              </w:rPr>
              <w:t>a</w:t>
            </w:r>
            <w:r w:rsidR="009B247A">
              <w:rPr>
                <w:rFonts w:cs="Times New Roman"/>
                <w:sz w:val="20"/>
                <w:szCs w:val="20"/>
                <w:lang w:val="fr-CA"/>
              </w:rPr>
              <w:t xml:space="preserve"> santé et de la sécurité du travail)</w:t>
            </w:r>
            <w:r w:rsidRPr="009B247A">
              <w:rPr>
                <w:rFonts w:cs="Times New Roman"/>
                <w:sz w:val="20"/>
                <w:szCs w:val="20"/>
                <w:lang w:val="fr-CA"/>
              </w:rPr>
              <w:t>,</w:t>
            </w:r>
          </w:p>
          <w:p w:rsidR="000D6C56" w:rsidRPr="00CD7DF1" w:rsidRDefault="000D6C56" w:rsidP="000D6C56">
            <w:pPr>
              <w:rPr>
                <w:rFonts w:cs="Times New Roman"/>
                <w:sz w:val="20"/>
                <w:szCs w:val="20"/>
              </w:rPr>
            </w:pPr>
            <w:r w:rsidRPr="00CD7DF1">
              <w:rPr>
                <w:rFonts w:cs="Times New Roman"/>
                <w:sz w:val="20"/>
                <w:szCs w:val="20"/>
              </w:rPr>
              <w:t>2012 SCC 2</w:t>
            </w:r>
            <w:r w:rsidR="00CD7DF1" w:rsidRPr="00CD7DF1">
              <w:rPr>
                <w:rFonts w:cs="Times New Roman"/>
                <w:sz w:val="20"/>
                <w:szCs w:val="20"/>
              </w:rPr>
              <w:t>3</w:t>
            </w:r>
            <w:r w:rsidRPr="00CD7DF1">
              <w:rPr>
                <w:rFonts w:cs="Times New Roman"/>
                <w:sz w:val="20"/>
                <w:szCs w:val="20"/>
              </w:rPr>
              <w:t xml:space="preserve">, [2012] 2 S.C.R. </w:t>
            </w:r>
            <w:r w:rsidR="00CD7DF1" w:rsidRPr="00CD7DF1">
              <w:rPr>
                <w:rFonts w:cs="Times New Roman"/>
                <w:sz w:val="20"/>
                <w:szCs w:val="20"/>
              </w:rPr>
              <w:t>3</w:t>
            </w:r>
          </w:p>
          <w:p w:rsidR="000D6C56" w:rsidRPr="00CD7DF1" w:rsidRDefault="000D6C56" w:rsidP="000D6C56">
            <w:pPr>
              <w:rPr>
                <w:rFonts w:cs="Times New Roman"/>
                <w:sz w:val="20"/>
                <w:szCs w:val="20"/>
              </w:rPr>
            </w:pPr>
          </w:p>
          <w:p w:rsidR="000D6C56" w:rsidRPr="00CD7DF1" w:rsidRDefault="00CD7DF1" w:rsidP="000D6C56">
            <w:pPr>
              <w:rPr>
                <w:rFonts w:cs="Times New Roman"/>
                <w:sz w:val="20"/>
                <w:szCs w:val="20"/>
              </w:rPr>
            </w:pPr>
            <w:r w:rsidRPr="00CD7DF1">
              <w:rPr>
                <w:rFonts w:cs="Times New Roman"/>
                <w:sz w:val="20"/>
                <w:szCs w:val="20"/>
              </w:rPr>
              <w:t>Wes</w:t>
            </w:r>
            <w:r w:rsidR="000D6C56" w:rsidRPr="00CD7DF1">
              <w:rPr>
                <w:rFonts w:cs="Times New Roman"/>
                <w:sz w:val="20"/>
                <w:szCs w:val="20"/>
              </w:rPr>
              <w:t>t</w:t>
            </w:r>
            <w:r w:rsidRPr="00CD7DF1">
              <w:rPr>
                <w:rFonts w:cs="Times New Roman"/>
                <w:sz w:val="20"/>
                <w:szCs w:val="20"/>
              </w:rPr>
              <w:t>m</w:t>
            </w:r>
            <w:r w:rsidR="000D6C56" w:rsidRPr="00CD7DF1">
              <w:rPr>
                <w:rFonts w:cs="Times New Roman"/>
                <w:sz w:val="20"/>
                <w:szCs w:val="20"/>
              </w:rPr>
              <w:t>o</w:t>
            </w:r>
            <w:r w:rsidRPr="00CD7DF1">
              <w:rPr>
                <w:rFonts w:cs="Times New Roman"/>
                <w:sz w:val="20"/>
                <w:szCs w:val="20"/>
              </w:rPr>
              <w:t>unt (City)</w:t>
            </w:r>
            <w:r w:rsidR="000D6C56" w:rsidRPr="00CD7DF1">
              <w:rPr>
                <w:rFonts w:cs="Times New Roman"/>
                <w:sz w:val="20"/>
                <w:szCs w:val="20"/>
              </w:rPr>
              <w:t xml:space="preserve"> </w:t>
            </w:r>
            <w:r w:rsidR="000D6C56" w:rsidRPr="00CD7DF1">
              <w:rPr>
                <w:rFonts w:cs="Times New Roman"/>
                <w:i/>
                <w:iCs/>
                <w:sz w:val="20"/>
                <w:szCs w:val="20"/>
              </w:rPr>
              <w:t xml:space="preserve">v. </w:t>
            </w:r>
            <w:proofErr w:type="spellStart"/>
            <w:r w:rsidR="000D6C56" w:rsidRPr="00CD7DF1">
              <w:rPr>
                <w:rFonts w:cs="Times New Roman"/>
                <w:iCs/>
                <w:sz w:val="20"/>
                <w:szCs w:val="20"/>
              </w:rPr>
              <w:t>Ro</w:t>
            </w:r>
            <w:r>
              <w:rPr>
                <w:rFonts w:cs="Times New Roman"/>
                <w:iCs/>
                <w:sz w:val="20"/>
                <w:szCs w:val="20"/>
              </w:rPr>
              <w:t>ssy</w:t>
            </w:r>
            <w:proofErr w:type="spellEnd"/>
            <w:r w:rsidR="000D6C56" w:rsidRPr="00CD7DF1">
              <w:rPr>
                <w:rFonts w:cs="Times New Roman"/>
                <w:iCs/>
                <w:sz w:val="20"/>
                <w:szCs w:val="20"/>
              </w:rPr>
              <w:t>,</w:t>
            </w:r>
          </w:p>
          <w:p w:rsidR="000D6C56" w:rsidRPr="00CD7DF1" w:rsidRDefault="000D6C56" w:rsidP="000D6C56">
            <w:pPr>
              <w:rPr>
                <w:rFonts w:cs="Times New Roman"/>
                <w:sz w:val="20"/>
                <w:szCs w:val="20"/>
              </w:rPr>
            </w:pPr>
            <w:r w:rsidRPr="00CD7DF1">
              <w:rPr>
                <w:rFonts w:cs="Times New Roman"/>
                <w:sz w:val="20"/>
                <w:szCs w:val="20"/>
              </w:rPr>
              <w:t xml:space="preserve">2012 SCC </w:t>
            </w:r>
            <w:r w:rsidR="00CD7DF1">
              <w:rPr>
                <w:rFonts w:cs="Times New Roman"/>
                <w:sz w:val="20"/>
                <w:szCs w:val="20"/>
              </w:rPr>
              <w:t>30</w:t>
            </w:r>
            <w:r w:rsidRPr="00CD7DF1">
              <w:rPr>
                <w:rFonts w:cs="Times New Roman"/>
                <w:sz w:val="20"/>
                <w:szCs w:val="20"/>
              </w:rPr>
              <w:t xml:space="preserve">, [2012] 2 S.C.R. </w:t>
            </w:r>
            <w:r w:rsidR="00CD7DF1">
              <w:rPr>
                <w:rFonts w:cs="Times New Roman"/>
                <w:sz w:val="20"/>
                <w:szCs w:val="20"/>
              </w:rPr>
              <w:t>13</w:t>
            </w:r>
            <w:r w:rsidRPr="00CD7DF1">
              <w:rPr>
                <w:rFonts w:cs="Times New Roman"/>
                <w:sz w:val="20"/>
                <w:szCs w:val="20"/>
              </w:rPr>
              <w:t>6</w:t>
            </w:r>
          </w:p>
          <w:p w:rsidR="000D6C56" w:rsidRPr="00CD7DF1" w:rsidRDefault="000D6C56" w:rsidP="003B3977">
            <w:pPr>
              <w:keepNext/>
              <w:keepLines/>
              <w:rPr>
                <w:rFonts w:cs="Times New Roman"/>
                <w:bCs/>
                <w:sz w:val="20"/>
                <w:szCs w:val="20"/>
              </w:rPr>
            </w:pPr>
          </w:p>
          <w:p w:rsidR="00DD0B49" w:rsidRPr="00DD0B49" w:rsidRDefault="00F008AC" w:rsidP="003B3977">
            <w:pPr>
              <w:keepNext/>
              <w:keepLines/>
              <w:rPr>
                <w:rFonts w:cs="Times New Roman"/>
                <w:bCs/>
                <w:sz w:val="20"/>
                <w:szCs w:val="20"/>
                <w:lang w:val="fr-CA"/>
              </w:rPr>
            </w:pPr>
            <w:r w:rsidRPr="00F008AC">
              <w:rPr>
                <w:rFonts w:cs="Times New Roman"/>
                <w:sz w:val="20"/>
                <w:szCs w:val="20"/>
              </w:rPr>
              <w:pict>
                <v:rect id="_x0000_i1088"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0D6C56">
              <w:rPr>
                <w:rFonts w:cs="Times New Roman"/>
                <w:b/>
                <w:bCs/>
                <w:sz w:val="20"/>
                <w:szCs w:val="20"/>
                <w:lang w:val="fr-CA"/>
              </w:rPr>
              <w:t>2</w:t>
            </w:r>
            <w:r w:rsidRPr="00DD0B49">
              <w:rPr>
                <w:rFonts w:cs="Times New Roman"/>
                <w:b/>
                <w:bCs/>
                <w:sz w:val="20"/>
                <w:szCs w:val="20"/>
                <w:lang w:val="fr-CA"/>
              </w:rPr>
              <w:t xml:space="preserve">] </w:t>
            </w:r>
            <w:r w:rsidR="000D6C56">
              <w:rPr>
                <w:rFonts w:cs="Times New Roman"/>
                <w:b/>
                <w:bCs/>
                <w:sz w:val="20"/>
                <w:szCs w:val="20"/>
                <w:lang w:val="fr-CA"/>
              </w:rPr>
              <w:t>2</w:t>
            </w:r>
            <w:r w:rsidRPr="00DD0B49">
              <w:rPr>
                <w:rFonts w:cs="Times New Roman"/>
                <w:b/>
                <w:bCs/>
                <w:sz w:val="20"/>
                <w:szCs w:val="20"/>
                <w:lang w:val="fr-CA"/>
              </w:rPr>
              <w:t xml:space="preserve"> R.C.S. Partie </w:t>
            </w:r>
            <w:r w:rsidR="000D6C56">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0D6C56" w:rsidRDefault="000D6C56" w:rsidP="003B3977">
            <w:pPr>
              <w:rPr>
                <w:rFonts w:cs="Times New Roman"/>
                <w:sz w:val="20"/>
                <w:szCs w:val="20"/>
              </w:rPr>
            </w:pPr>
            <w:r w:rsidRPr="000D6C56">
              <w:rPr>
                <w:rFonts w:cs="Times New Roman"/>
                <w:sz w:val="20"/>
                <w:szCs w:val="20"/>
              </w:rPr>
              <w:t>A</w:t>
            </w:r>
            <w:r w:rsidR="00DD0B49" w:rsidRPr="000D6C56">
              <w:rPr>
                <w:rFonts w:cs="Times New Roman"/>
                <w:sz w:val="20"/>
                <w:szCs w:val="20"/>
              </w:rPr>
              <w:t>n</w:t>
            </w:r>
            <w:r w:rsidRPr="000D6C56">
              <w:rPr>
                <w:rFonts w:cs="Times New Roman"/>
                <w:sz w:val="20"/>
                <w:szCs w:val="20"/>
              </w:rPr>
              <w:t>n</w:t>
            </w:r>
            <w:r w:rsidR="00DD0B49" w:rsidRPr="000D6C56">
              <w:rPr>
                <w:rFonts w:cs="Times New Roman"/>
                <w:sz w:val="20"/>
                <w:szCs w:val="20"/>
              </w:rPr>
              <w:t>a</w:t>
            </w:r>
            <w:r w:rsidRPr="000D6C56">
              <w:rPr>
                <w:rFonts w:cs="Times New Roman"/>
                <w:sz w:val="20"/>
                <w:szCs w:val="20"/>
              </w:rPr>
              <w:t>p</w:t>
            </w:r>
            <w:r w:rsidR="00DD0B49" w:rsidRPr="000D6C56">
              <w:rPr>
                <w:rFonts w:cs="Times New Roman"/>
                <w:sz w:val="20"/>
                <w:szCs w:val="20"/>
              </w:rPr>
              <w:t>o</w:t>
            </w:r>
            <w:r w:rsidRPr="000D6C56">
              <w:rPr>
                <w:rFonts w:cs="Times New Roman"/>
                <w:sz w:val="20"/>
                <w:szCs w:val="20"/>
              </w:rPr>
              <w:t>lis Co</w:t>
            </w:r>
            <w:r w:rsidR="00DD0B49" w:rsidRPr="000D6C56">
              <w:rPr>
                <w:rFonts w:cs="Times New Roman"/>
                <w:sz w:val="20"/>
                <w:szCs w:val="20"/>
              </w:rPr>
              <w:t>u</w:t>
            </w:r>
            <w:r w:rsidRPr="000D6C56">
              <w:rPr>
                <w:rFonts w:cs="Times New Roman"/>
                <w:sz w:val="20"/>
                <w:szCs w:val="20"/>
              </w:rPr>
              <w:t>n</w:t>
            </w:r>
            <w:r w:rsidR="00DD0B49" w:rsidRPr="000D6C56">
              <w:rPr>
                <w:rFonts w:cs="Times New Roman"/>
                <w:sz w:val="20"/>
                <w:szCs w:val="20"/>
              </w:rPr>
              <w:t>t</w:t>
            </w:r>
            <w:r w:rsidRPr="000D6C56">
              <w:rPr>
                <w:rFonts w:cs="Times New Roman"/>
                <w:sz w:val="20"/>
                <w:szCs w:val="20"/>
              </w:rPr>
              <w:t>y Distr</w:t>
            </w:r>
            <w:r w:rsidR="00DD0B49" w:rsidRPr="000D6C56">
              <w:rPr>
                <w:rFonts w:cs="Times New Roman"/>
                <w:sz w:val="20"/>
                <w:szCs w:val="20"/>
              </w:rPr>
              <w:t>i</w:t>
            </w:r>
            <w:r w:rsidRPr="000D6C56">
              <w:rPr>
                <w:rFonts w:cs="Times New Roman"/>
                <w:sz w:val="20"/>
                <w:szCs w:val="20"/>
              </w:rPr>
              <w:t>ct School Board</w:t>
            </w:r>
            <w:r w:rsidR="00DD0B49" w:rsidRPr="000D6C56">
              <w:rPr>
                <w:rFonts w:cs="Times New Roman"/>
                <w:sz w:val="20"/>
                <w:szCs w:val="20"/>
              </w:rPr>
              <w:t xml:space="preserve"> </w:t>
            </w:r>
            <w:r w:rsidR="00DD0B49" w:rsidRPr="000D6C56">
              <w:rPr>
                <w:rFonts w:cs="Times New Roman"/>
                <w:i/>
                <w:sz w:val="20"/>
                <w:szCs w:val="20"/>
              </w:rPr>
              <w:t>c.</w:t>
            </w:r>
            <w:r w:rsidR="00DD0B49" w:rsidRPr="000D6C56">
              <w:rPr>
                <w:rFonts w:cs="Times New Roman"/>
                <w:sz w:val="20"/>
                <w:szCs w:val="20"/>
              </w:rPr>
              <w:t xml:space="preserve"> </w:t>
            </w:r>
            <w:r>
              <w:rPr>
                <w:rFonts w:cs="Times New Roman"/>
                <w:sz w:val="20"/>
                <w:szCs w:val="20"/>
              </w:rPr>
              <w:t>Ma</w:t>
            </w:r>
            <w:r w:rsidR="00DD0B49" w:rsidRPr="000D6C56">
              <w:rPr>
                <w:rFonts w:cs="Times New Roman"/>
                <w:sz w:val="20"/>
                <w:szCs w:val="20"/>
              </w:rPr>
              <w:t>r</w:t>
            </w:r>
            <w:r>
              <w:rPr>
                <w:rFonts w:cs="Times New Roman"/>
                <w:sz w:val="20"/>
                <w:szCs w:val="20"/>
              </w:rPr>
              <w:t>sh</w:t>
            </w:r>
            <w:r w:rsidR="00DD0B49" w:rsidRPr="000D6C56">
              <w:rPr>
                <w:rFonts w:cs="Times New Roman"/>
                <w:sz w:val="20"/>
                <w:szCs w:val="20"/>
              </w:rPr>
              <w:t>al</w:t>
            </w:r>
            <w:r>
              <w:rPr>
                <w:rFonts w:cs="Times New Roman"/>
                <w:sz w:val="20"/>
                <w:szCs w:val="20"/>
              </w:rPr>
              <w:t>l</w:t>
            </w:r>
            <w:r w:rsidR="00DD0B49" w:rsidRPr="000D6C56">
              <w:rPr>
                <w:rFonts w:cs="Times New Roman"/>
                <w:sz w:val="20"/>
                <w:szCs w:val="20"/>
              </w:rPr>
              <w:t>,</w:t>
            </w:r>
          </w:p>
          <w:p w:rsidR="00DD0B49" w:rsidRPr="007907CB" w:rsidRDefault="00DD0B49" w:rsidP="003B3977">
            <w:pPr>
              <w:rPr>
                <w:rFonts w:cs="Times New Roman"/>
                <w:sz w:val="20"/>
                <w:szCs w:val="20"/>
                <w:lang w:val="fr-CA"/>
              </w:rPr>
            </w:pPr>
            <w:r w:rsidRPr="007907CB">
              <w:rPr>
                <w:rFonts w:cs="Times New Roman"/>
                <w:sz w:val="20"/>
                <w:szCs w:val="20"/>
                <w:lang w:val="fr-CA"/>
              </w:rPr>
              <w:t>201</w:t>
            </w:r>
            <w:r w:rsidR="000D6C56" w:rsidRPr="007907CB">
              <w:rPr>
                <w:rFonts w:cs="Times New Roman"/>
                <w:sz w:val="20"/>
                <w:szCs w:val="20"/>
                <w:lang w:val="fr-CA"/>
              </w:rPr>
              <w:t>2</w:t>
            </w:r>
            <w:r w:rsidRPr="007907CB">
              <w:rPr>
                <w:rFonts w:cs="Times New Roman"/>
                <w:sz w:val="20"/>
                <w:szCs w:val="20"/>
                <w:lang w:val="fr-CA"/>
              </w:rPr>
              <w:t xml:space="preserve"> CSC 2</w:t>
            </w:r>
            <w:r w:rsidR="000D6C56" w:rsidRPr="007907CB">
              <w:rPr>
                <w:rFonts w:cs="Times New Roman"/>
                <w:sz w:val="20"/>
                <w:szCs w:val="20"/>
                <w:lang w:val="fr-CA"/>
              </w:rPr>
              <w:t>7</w:t>
            </w:r>
            <w:r w:rsidRPr="007907CB">
              <w:rPr>
                <w:rFonts w:cs="Times New Roman"/>
                <w:sz w:val="20"/>
                <w:szCs w:val="20"/>
                <w:lang w:val="fr-CA"/>
              </w:rPr>
              <w:t>, [201</w:t>
            </w:r>
            <w:r w:rsidR="000D6C56" w:rsidRPr="007907CB">
              <w:rPr>
                <w:rFonts w:cs="Times New Roman"/>
                <w:sz w:val="20"/>
                <w:szCs w:val="20"/>
                <w:lang w:val="fr-CA"/>
              </w:rPr>
              <w:t>2</w:t>
            </w:r>
            <w:r w:rsidRPr="007907CB">
              <w:rPr>
                <w:rFonts w:cs="Times New Roman"/>
                <w:sz w:val="20"/>
                <w:szCs w:val="20"/>
                <w:lang w:val="fr-CA"/>
              </w:rPr>
              <w:t xml:space="preserve">] </w:t>
            </w:r>
            <w:r w:rsidR="000D6C56" w:rsidRPr="007907CB">
              <w:rPr>
                <w:rFonts w:cs="Times New Roman"/>
                <w:sz w:val="20"/>
                <w:szCs w:val="20"/>
                <w:lang w:val="fr-CA"/>
              </w:rPr>
              <w:t>2</w:t>
            </w:r>
            <w:r w:rsidRPr="007907CB">
              <w:rPr>
                <w:rFonts w:cs="Times New Roman"/>
                <w:sz w:val="20"/>
                <w:szCs w:val="20"/>
                <w:lang w:val="fr-CA"/>
              </w:rPr>
              <w:t xml:space="preserve"> R.C.S. 8</w:t>
            </w:r>
            <w:r w:rsidR="000D6C56" w:rsidRPr="007907CB">
              <w:rPr>
                <w:rFonts w:cs="Times New Roman"/>
                <w:sz w:val="20"/>
                <w:szCs w:val="20"/>
                <w:lang w:val="fr-CA"/>
              </w:rPr>
              <w:t>4</w:t>
            </w:r>
          </w:p>
          <w:p w:rsidR="00DD0B49" w:rsidRPr="007907CB" w:rsidRDefault="00DD0B49" w:rsidP="003B3977">
            <w:pPr>
              <w:rPr>
                <w:rFonts w:cs="Times New Roman"/>
                <w:sz w:val="20"/>
                <w:szCs w:val="20"/>
                <w:lang w:val="fr-CA"/>
              </w:rPr>
            </w:pPr>
          </w:p>
          <w:p w:rsidR="00DD0B49" w:rsidRPr="007907CB" w:rsidRDefault="000D6C56" w:rsidP="003B3977">
            <w:pPr>
              <w:rPr>
                <w:rFonts w:cs="Times New Roman"/>
                <w:sz w:val="20"/>
                <w:szCs w:val="20"/>
                <w:lang w:val="fr-CA"/>
              </w:rPr>
            </w:pPr>
            <w:proofErr w:type="spellStart"/>
            <w:r w:rsidRPr="007907CB">
              <w:rPr>
                <w:rFonts w:cs="Times New Roman"/>
                <w:sz w:val="20"/>
                <w:szCs w:val="20"/>
                <w:lang w:val="fr-CA"/>
              </w:rPr>
              <w:t>Cinar</w:t>
            </w:r>
            <w:proofErr w:type="spellEnd"/>
            <w:r w:rsidRPr="007907CB">
              <w:rPr>
                <w:rFonts w:cs="Times New Roman"/>
                <w:sz w:val="20"/>
                <w:szCs w:val="20"/>
                <w:lang w:val="fr-CA"/>
              </w:rPr>
              <w:t xml:space="preserve"> Corporation</w:t>
            </w:r>
            <w:r w:rsidR="00DD0B49" w:rsidRPr="007907CB">
              <w:rPr>
                <w:rFonts w:cs="Times New Roman"/>
                <w:sz w:val="20"/>
                <w:szCs w:val="20"/>
                <w:lang w:val="fr-CA"/>
              </w:rPr>
              <w:t xml:space="preserve"> </w:t>
            </w:r>
            <w:r w:rsidR="00DD0B49" w:rsidRPr="007907CB">
              <w:rPr>
                <w:rFonts w:cs="Times New Roman"/>
                <w:i/>
                <w:iCs/>
                <w:sz w:val="20"/>
                <w:szCs w:val="20"/>
                <w:lang w:val="fr-CA"/>
              </w:rPr>
              <w:t>c.</w:t>
            </w:r>
            <w:r w:rsidR="00DD0B49" w:rsidRPr="007907CB">
              <w:rPr>
                <w:rFonts w:cs="Times New Roman"/>
                <w:iCs/>
                <w:sz w:val="20"/>
                <w:szCs w:val="20"/>
                <w:lang w:val="fr-CA"/>
              </w:rPr>
              <w:t xml:space="preserve"> </w:t>
            </w:r>
            <w:r w:rsidRPr="007907CB">
              <w:rPr>
                <w:rFonts w:cs="Times New Roman"/>
                <w:iCs/>
                <w:sz w:val="20"/>
                <w:szCs w:val="20"/>
                <w:lang w:val="fr-CA"/>
              </w:rPr>
              <w:t>Robins</w:t>
            </w:r>
            <w:r w:rsidR="00DD0B49" w:rsidRPr="007907CB">
              <w:rPr>
                <w:rFonts w:cs="Times New Roman"/>
                <w:iCs/>
                <w:sz w:val="20"/>
                <w:szCs w:val="20"/>
                <w:lang w:val="fr-CA"/>
              </w:rPr>
              <w:t>on</w:t>
            </w:r>
            <w:r w:rsidR="00DD0B49" w:rsidRPr="007907CB">
              <w:rPr>
                <w:rFonts w:cs="Times New Roman"/>
                <w:sz w:val="20"/>
                <w:szCs w:val="20"/>
                <w:lang w:val="fr-CA"/>
              </w:rPr>
              <w:t>,</w:t>
            </w:r>
          </w:p>
          <w:p w:rsidR="00DD0B49" w:rsidRPr="007907CB" w:rsidRDefault="00DD0B49" w:rsidP="003B3977">
            <w:pPr>
              <w:rPr>
                <w:rFonts w:cs="Times New Roman"/>
                <w:sz w:val="20"/>
                <w:szCs w:val="20"/>
                <w:lang w:val="fr-CA"/>
              </w:rPr>
            </w:pPr>
            <w:r w:rsidRPr="007907CB">
              <w:rPr>
                <w:rFonts w:cs="Times New Roman"/>
                <w:sz w:val="20"/>
                <w:szCs w:val="20"/>
                <w:lang w:val="fr-CA"/>
              </w:rPr>
              <w:t>201</w:t>
            </w:r>
            <w:r w:rsidR="000D6C56" w:rsidRPr="007907CB">
              <w:rPr>
                <w:rFonts w:cs="Times New Roman"/>
                <w:sz w:val="20"/>
                <w:szCs w:val="20"/>
                <w:lang w:val="fr-CA"/>
              </w:rPr>
              <w:t>2</w:t>
            </w:r>
            <w:r w:rsidRPr="007907CB">
              <w:rPr>
                <w:rFonts w:cs="Times New Roman"/>
                <w:sz w:val="20"/>
                <w:szCs w:val="20"/>
                <w:lang w:val="fr-CA"/>
              </w:rPr>
              <w:t xml:space="preserve"> CSC 2</w:t>
            </w:r>
            <w:r w:rsidR="000D6C56" w:rsidRPr="007907CB">
              <w:rPr>
                <w:rFonts w:cs="Times New Roman"/>
                <w:sz w:val="20"/>
                <w:szCs w:val="20"/>
                <w:lang w:val="fr-CA"/>
              </w:rPr>
              <w:t>5</w:t>
            </w:r>
            <w:r w:rsidRPr="007907CB">
              <w:rPr>
                <w:rFonts w:cs="Times New Roman"/>
                <w:sz w:val="20"/>
                <w:szCs w:val="20"/>
                <w:lang w:val="fr-CA"/>
              </w:rPr>
              <w:t>, [201</w:t>
            </w:r>
            <w:r w:rsidR="000D6C56" w:rsidRPr="007907CB">
              <w:rPr>
                <w:rFonts w:cs="Times New Roman"/>
                <w:sz w:val="20"/>
                <w:szCs w:val="20"/>
                <w:lang w:val="fr-CA"/>
              </w:rPr>
              <w:t>2</w:t>
            </w:r>
            <w:r w:rsidRPr="007907CB">
              <w:rPr>
                <w:rFonts w:cs="Times New Roman"/>
                <w:sz w:val="20"/>
                <w:szCs w:val="20"/>
                <w:lang w:val="fr-CA"/>
              </w:rPr>
              <w:t xml:space="preserve">] </w:t>
            </w:r>
            <w:r w:rsidR="000D6C56" w:rsidRPr="007907CB">
              <w:rPr>
                <w:rFonts w:cs="Times New Roman"/>
                <w:sz w:val="20"/>
                <w:szCs w:val="20"/>
                <w:lang w:val="fr-CA"/>
              </w:rPr>
              <w:t>2</w:t>
            </w:r>
            <w:r w:rsidRPr="007907CB">
              <w:rPr>
                <w:rFonts w:cs="Times New Roman"/>
                <w:sz w:val="20"/>
                <w:szCs w:val="20"/>
                <w:lang w:val="fr-CA"/>
              </w:rPr>
              <w:t xml:space="preserve"> R.C.S. </w:t>
            </w:r>
            <w:r w:rsidR="000D6C56" w:rsidRPr="007907CB">
              <w:rPr>
                <w:rFonts w:cs="Times New Roman"/>
                <w:sz w:val="20"/>
                <w:szCs w:val="20"/>
                <w:lang w:val="fr-CA"/>
              </w:rPr>
              <w:t>5</w:t>
            </w:r>
            <w:r w:rsidRPr="007907CB">
              <w:rPr>
                <w:rFonts w:cs="Times New Roman"/>
                <w:sz w:val="20"/>
                <w:szCs w:val="20"/>
                <w:lang w:val="fr-CA"/>
              </w:rPr>
              <w:t>5</w:t>
            </w:r>
          </w:p>
          <w:p w:rsidR="00DD0B49" w:rsidRPr="007907CB" w:rsidRDefault="00DD0B49" w:rsidP="003B3977">
            <w:pPr>
              <w:rPr>
                <w:rFonts w:cs="Times New Roman"/>
                <w:iCs/>
                <w:sz w:val="20"/>
                <w:szCs w:val="20"/>
                <w:lang w:val="fr-CA"/>
              </w:rPr>
            </w:pPr>
          </w:p>
          <w:p w:rsidR="00DD0B49" w:rsidRPr="00967CEA" w:rsidRDefault="00967CEA" w:rsidP="003B3977">
            <w:pPr>
              <w:rPr>
                <w:rFonts w:cs="Times New Roman"/>
                <w:iCs/>
                <w:sz w:val="20"/>
                <w:szCs w:val="20"/>
                <w:lang w:val="fr-CA"/>
              </w:rPr>
            </w:pPr>
            <w:proofErr w:type="spellStart"/>
            <w:r w:rsidRPr="00967CEA">
              <w:rPr>
                <w:rFonts w:cs="Times New Roman"/>
                <w:iCs/>
                <w:sz w:val="20"/>
                <w:szCs w:val="20"/>
                <w:lang w:val="fr-CA"/>
              </w:rPr>
              <w:t>Clements</w:t>
            </w:r>
            <w:proofErr w:type="spellEnd"/>
            <w:r w:rsidR="00DD0B49" w:rsidRPr="00967CEA">
              <w:rPr>
                <w:rFonts w:cs="Times New Roman"/>
                <w:iCs/>
                <w:sz w:val="20"/>
                <w:szCs w:val="20"/>
                <w:lang w:val="fr-CA"/>
              </w:rPr>
              <w:t xml:space="preserve"> </w:t>
            </w:r>
            <w:r w:rsidR="00DD0B49" w:rsidRPr="00967CEA">
              <w:rPr>
                <w:rFonts w:cs="Times New Roman"/>
                <w:i/>
                <w:iCs/>
                <w:sz w:val="20"/>
                <w:szCs w:val="20"/>
                <w:lang w:val="fr-CA"/>
              </w:rPr>
              <w:t>c.</w:t>
            </w:r>
            <w:r w:rsidR="00DD0B49" w:rsidRPr="00967CEA">
              <w:rPr>
                <w:rFonts w:cs="Times New Roman"/>
                <w:iCs/>
                <w:sz w:val="20"/>
                <w:szCs w:val="20"/>
                <w:lang w:val="fr-CA"/>
              </w:rPr>
              <w:t xml:space="preserve"> </w:t>
            </w:r>
            <w:proofErr w:type="spellStart"/>
            <w:r w:rsidRPr="00967CEA">
              <w:rPr>
                <w:rFonts w:cs="Times New Roman"/>
                <w:iCs/>
                <w:sz w:val="20"/>
                <w:szCs w:val="20"/>
                <w:lang w:val="fr-CA"/>
              </w:rPr>
              <w:t>C</w:t>
            </w:r>
            <w:r w:rsidR="00DD0B49" w:rsidRPr="00967CEA">
              <w:rPr>
                <w:rFonts w:cs="Times New Roman"/>
                <w:iCs/>
                <w:sz w:val="20"/>
                <w:szCs w:val="20"/>
                <w:lang w:val="fr-CA"/>
              </w:rPr>
              <w:t>le</w:t>
            </w:r>
            <w:r w:rsidRPr="00967CEA">
              <w:rPr>
                <w:rFonts w:cs="Times New Roman"/>
                <w:iCs/>
                <w:sz w:val="20"/>
                <w:szCs w:val="20"/>
                <w:lang w:val="fr-CA"/>
              </w:rPr>
              <w:t>ments</w:t>
            </w:r>
            <w:proofErr w:type="spellEnd"/>
            <w:r w:rsidR="00DD0B49" w:rsidRPr="00967CEA">
              <w:rPr>
                <w:rFonts w:cs="Times New Roman"/>
                <w:iCs/>
                <w:sz w:val="20"/>
                <w:szCs w:val="20"/>
                <w:lang w:val="fr-CA"/>
              </w:rPr>
              <w:t>,</w:t>
            </w:r>
          </w:p>
          <w:p w:rsidR="00DD0B49" w:rsidRPr="00967CEA" w:rsidRDefault="00DD0B49" w:rsidP="003B3977">
            <w:pPr>
              <w:rPr>
                <w:rFonts w:cs="Times New Roman"/>
                <w:sz w:val="20"/>
                <w:szCs w:val="20"/>
                <w:lang w:val="fr-CA"/>
              </w:rPr>
            </w:pPr>
            <w:r w:rsidRPr="00967CEA">
              <w:rPr>
                <w:rFonts w:cs="Times New Roman"/>
                <w:sz w:val="20"/>
                <w:szCs w:val="20"/>
                <w:lang w:val="fr-CA"/>
              </w:rPr>
              <w:t>201</w:t>
            </w:r>
            <w:r w:rsidR="000D6C56" w:rsidRPr="00967CEA">
              <w:rPr>
                <w:rFonts w:cs="Times New Roman"/>
                <w:sz w:val="20"/>
                <w:szCs w:val="20"/>
                <w:lang w:val="fr-CA"/>
              </w:rPr>
              <w:t>2</w:t>
            </w:r>
            <w:r w:rsidRPr="00967CEA">
              <w:rPr>
                <w:rFonts w:cs="Times New Roman"/>
                <w:sz w:val="20"/>
                <w:szCs w:val="20"/>
                <w:lang w:val="fr-CA"/>
              </w:rPr>
              <w:t xml:space="preserve"> CSC </w:t>
            </w:r>
            <w:r w:rsidR="00967CEA" w:rsidRPr="00967CEA">
              <w:rPr>
                <w:rFonts w:cs="Times New Roman"/>
                <w:sz w:val="20"/>
                <w:szCs w:val="20"/>
                <w:lang w:val="fr-CA"/>
              </w:rPr>
              <w:t>32</w:t>
            </w:r>
            <w:r w:rsidRPr="00967CEA">
              <w:rPr>
                <w:rFonts w:cs="Times New Roman"/>
                <w:sz w:val="20"/>
                <w:szCs w:val="20"/>
                <w:lang w:val="fr-CA"/>
              </w:rPr>
              <w:t>, [201</w:t>
            </w:r>
            <w:r w:rsidR="000D6C56" w:rsidRPr="00967CEA">
              <w:rPr>
                <w:rFonts w:cs="Times New Roman"/>
                <w:sz w:val="20"/>
                <w:szCs w:val="20"/>
                <w:lang w:val="fr-CA"/>
              </w:rPr>
              <w:t>2</w:t>
            </w:r>
            <w:r w:rsidRPr="00967CEA">
              <w:rPr>
                <w:rFonts w:cs="Times New Roman"/>
                <w:sz w:val="20"/>
                <w:szCs w:val="20"/>
                <w:lang w:val="fr-CA"/>
              </w:rPr>
              <w:t xml:space="preserve">] </w:t>
            </w:r>
            <w:r w:rsidR="000D6C56" w:rsidRPr="00967CEA">
              <w:rPr>
                <w:rFonts w:cs="Times New Roman"/>
                <w:sz w:val="20"/>
                <w:szCs w:val="20"/>
                <w:lang w:val="fr-CA"/>
              </w:rPr>
              <w:t>2</w:t>
            </w:r>
            <w:r w:rsidRPr="00967CEA">
              <w:rPr>
                <w:rFonts w:cs="Times New Roman"/>
                <w:sz w:val="20"/>
                <w:szCs w:val="20"/>
                <w:lang w:val="fr-CA"/>
              </w:rPr>
              <w:t xml:space="preserve"> R.C.S. </w:t>
            </w:r>
            <w:r w:rsidR="00967CEA" w:rsidRPr="00967CEA">
              <w:rPr>
                <w:rFonts w:cs="Times New Roman"/>
                <w:sz w:val="20"/>
                <w:szCs w:val="20"/>
                <w:lang w:val="fr-CA"/>
              </w:rPr>
              <w:t>181</w:t>
            </w:r>
          </w:p>
          <w:p w:rsidR="00DD0B49" w:rsidRPr="00967CEA" w:rsidRDefault="00DD0B49" w:rsidP="003B3977">
            <w:pPr>
              <w:rPr>
                <w:rFonts w:cs="Times New Roman"/>
                <w:sz w:val="20"/>
                <w:szCs w:val="20"/>
                <w:lang w:val="fr-CA"/>
              </w:rPr>
            </w:pPr>
          </w:p>
          <w:p w:rsidR="00DD0B49" w:rsidRPr="00967CEA" w:rsidRDefault="00967CEA" w:rsidP="003B3977">
            <w:pPr>
              <w:rPr>
                <w:rFonts w:cs="Times New Roman"/>
                <w:sz w:val="20"/>
                <w:szCs w:val="20"/>
                <w:lang w:val="fr-CA"/>
              </w:rPr>
            </w:pPr>
            <w:r w:rsidRPr="00967CEA">
              <w:rPr>
                <w:rFonts w:cs="Times New Roman"/>
                <w:sz w:val="20"/>
                <w:szCs w:val="20"/>
                <w:lang w:val="fr-CA"/>
              </w:rPr>
              <w:t>Halifax (</w:t>
            </w:r>
            <w:proofErr w:type="spellStart"/>
            <w:r w:rsidRPr="00967CEA">
              <w:rPr>
                <w:rFonts w:cs="Times New Roman"/>
                <w:sz w:val="20"/>
                <w:szCs w:val="20"/>
                <w:lang w:val="fr-CA"/>
              </w:rPr>
              <w:t>Regional</w:t>
            </w:r>
            <w:proofErr w:type="spellEnd"/>
            <w:r w:rsidRPr="00967CEA">
              <w:rPr>
                <w:rFonts w:cs="Times New Roman"/>
                <w:sz w:val="20"/>
                <w:szCs w:val="20"/>
                <w:lang w:val="fr-CA"/>
              </w:rPr>
              <w:t xml:space="preserve"> </w:t>
            </w:r>
            <w:proofErr w:type="spellStart"/>
            <w:r w:rsidRPr="00967CEA">
              <w:rPr>
                <w:rFonts w:cs="Times New Roman"/>
                <w:sz w:val="20"/>
                <w:szCs w:val="20"/>
                <w:lang w:val="fr-CA"/>
              </w:rPr>
              <w:t>Municipality</w:t>
            </w:r>
            <w:proofErr w:type="spellEnd"/>
            <w:r w:rsidRPr="00967CEA">
              <w:rPr>
                <w:rFonts w:cs="Times New Roman"/>
                <w:sz w:val="20"/>
                <w:szCs w:val="20"/>
                <w:lang w:val="fr-CA"/>
              </w:rPr>
              <w:t>)</w:t>
            </w:r>
            <w:r w:rsidR="00DD0B49" w:rsidRPr="00967CEA">
              <w:rPr>
                <w:rFonts w:cs="Times New Roman"/>
                <w:sz w:val="20"/>
                <w:szCs w:val="20"/>
                <w:lang w:val="fr-CA"/>
              </w:rPr>
              <w:t xml:space="preserve"> </w:t>
            </w:r>
            <w:r w:rsidR="00DD0B49" w:rsidRPr="00967CEA">
              <w:rPr>
                <w:rFonts w:cs="Times New Roman"/>
                <w:i/>
                <w:iCs/>
                <w:sz w:val="20"/>
                <w:szCs w:val="20"/>
                <w:lang w:val="fr-CA"/>
              </w:rPr>
              <w:t>c.</w:t>
            </w:r>
            <w:r w:rsidR="00DD0B49" w:rsidRPr="00967CEA">
              <w:rPr>
                <w:rFonts w:cs="Times New Roman"/>
                <w:sz w:val="20"/>
                <w:szCs w:val="20"/>
                <w:lang w:val="fr-CA"/>
              </w:rPr>
              <w:t xml:space="preserve"> </w:t>
            </w:r>
            <w:r w:rsidRPr="00967CEA">
              <w:rPr>
                <w:rFonts w:cs="Times New Roman"/>
                <w:sz w:val="20"/>
                <w:szCs w:val="20"/>
                <w:lang w:val="fr-CA"/>
              </w:rPr>
              <w:t>Canada (Travaux pub</w:t>
            </w:r>
            <w:r w:rsidR="00DD0B49" w:rsidRPr="00967CEA">
              <w:rPr>
                <w:rFonts w:cs="Times New Roman"/>
                <w:sz w:val="20"/>
                <w:szCs w:val="20"/>
                <w:lang w:val="fr-CA"/>
              </w:rPr>
              <w:t>l</w:t>
            </w:r>
            <w:r w:rsidRPr="00967CEA">
              <w:rPr>
                <w:rFonts w:cs="Times New Roman"/>
                <w:sz w:val="20"/>
                <w:szCs w:val="20"/>
                <w:lang w:val="fr-CA"/>
              </w:rPr>
              <w:t xml:space="preserve">ics </w:t>
            </w:r>
            <w:r w:rsidR="00DD0B49" w:rsidRPr="00967CEA">
              <w:rPr>
                <w:rFonts w:cs="Times New Roman"/>
                <w:sz w:val="20"/>
                <w:szCs w:val="20"/>
                <w:lang w:val="fr-CA"/>
              </w:rPr>
              <w:t>et</w:t>
            </w:r>
            <w:r w:rsidRPr="00967CEA">
              <w:rPr>
                <w:rFonts w:cs="Times New Roman"/>
                <w:sz w:val="20"/>
                <w:szCs w:val="20"/>
                <w:lang w:val="fr-CA"/>
              </w:rPr>
              <w:t xml:space="preserve"> Services gouvernementaux)</w:t>
            </w:r>
            <w:r w:rsidR="00DD0B49" w:rsidRPr="00967CEA">
              <w:rPr>
                <w:rFonts w:cs="Times New Roman"/>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0D6C56">
              <w:rPr>
                <w:rFonts w:cs="Times New Roman"/>
                <w:sz w:val="20"/>
                <w:szCs w:val="20"/>
                <w:lang w:val="en-GB"/>
              </w:rPr>
              <w:t>2</w:t>
            </w:r>
            <w:r w:rsidRPr="00DD0B49">
              <w:rPr>
                <w:rFonts w:cs="Times New Roman"/>
                <w:sz w:val="20"/>
                <w:szCs w:val="20"/>
                <w:lang w:val="en-GB"/>
              </w:rPr>
              <w:t xml:space="preserve"> CSC 2</w:t>
            </w:r>
            <w:r w:rsidR="00967CEA">
              <w:rPr>
                <w:rFonts w:cs="Times New Roman"/>
                <w:sz w:val="20"/>
                <w:szCs w:val="20"/>
                <w:lang w:val="en-GB"/>
              </w:rPr>
              <w:t>9</w:t>
            </w:r>
            <w:r w:rsidRPr="00DD0B49">
              <w:rPr>
                <w:rFonts w:cs="Times New Roman"/>
                <w:sz w:val="20"/>
                <w:szCs w:val="20"/>
                <w:lang w:val="en-GB"/>
              </w:rPr>
              <w:t>, [201</w:t>
            </w:r>
            <w:r w:rsidR="000D6C56">
              <w:rPr>
                <w:rFonts w:cs="Times New Roman"/>
                <w:sz w:val="20"/>
                <w:szCs w:val="20"/>
                <w:lang w:val="en-GB"/>
              </w:rPr>
              <w:t>2</w:t>
            </w:r>
            <w:r w:rsidRPr="00DD0B49">
              <w:rPr>
                <w:rFonts w:cs="Times New Roman"/>
                <w:sz w:val="20"/>
                <w:szCs w:val="20"/>
                <w:lang w:val="en-GB"/>
              </w:rPr>
              <w:t xml:space="preserve">] </w:t>
            </w:r>
            <w:r w:rsidR="000D6C56">
              <w:rPr>
                <w:rFonts w:cs="Times New Roman"/>
                <w:sz w:val="20"/>
                <w:szCs w:val="20"/>
                <w:lang w:val="en-GB"/>
              </w:rPr>
              <w:t>2</w:t>
            </w:r>
            <w:r w:rsidRPr="00DD0B49">
              <w:rPr>
                <w:rFonts w:cs="Times New Roman"/>
                <w:sz w:val="20"/>
                <w:szCs w:val="20"/>
                <w:lang w:val="en-GB"/>
              </w:rPr>
              <w:t xml:space="preserve"> R.C.S. 1</w:t>
            </w:r>
            <w:r w:rsidR="00967CEA">
              <w:rPr>
                <w:rFonts w:cs="Times New Roman"/>
                <w:sz w:val="20"/>
                <w:szCs w:val="20"/>
                <w:lang w:val="en-GB"/>
              </w:rPr>
              <w:t>08</w:t>
            </w:r>
          </w:p>
          <w:p w:rsidR="00DD0B49" w:rsidRPr="00DD0B49" w:rsidRDefault="00DD0B49" w:rsidP="003B3977">
            <w:pPr>
              <w:rPr>
                <w:rFonts w:cs="Times New Roman"/>
                <w:sz w:val="20"/>
                <w:szCs w:val="20"/>
                <w:lang w:val="en-GB"/>
              </w:rPr>
            </w:pPr>
          </w:p>
          <w:p w:rsidR="00DD0B49" w:rsidRPr="007907CB" w:rsidRDefault="00DD0B49" w:rsidP="003B3977">
            <w:pPr>
              <w:rPr>
                <w:rFonts w:cs="Times New Roman"/>
                <w:sz w:val="20"/>
                <w:szCs w:val="20"/>
              </w:rPr>
            </w:pPr>
            <w:r w:rsidRPr="007907CB">
              <w:rPr>
                <w:rFonts w:cs="Times New Roman"/>
                <w:sz w:val="20"/>
                <w:szCs w:val="20"/>
              </w:rPr>
              <w:t xml:space="preserve">R. </w:t>
            </w:r>
            <w:r w:rsidRPr="007907CB">
              <w:rPr>
                <w:rFonts w:cs="Times New Roman"/>
                <w:i/>
                <w:iCs/>
                <w:sz w:val="20"/>
                <w:szCs w:val="20"/>
              </w:rPr>
              <w:t>c</w:t>
            </w:r>
            <w:r w:rsidRPr="007907CB">
              <w:rPr>
                <w:rFonts w:cs="Times New Roman"/>
                <w:sz w:val="20"/>
                <w:szCs w:val="20"/>
              </w:rPr>
              <w:t xml:space="preserve">. </w:t>
            </w:r>
            <w:r w:rsidR="009B247A" w:rsidRPr="007907CB">
              <w:rPr>
                <w:rFonts w:cs="Times New Roman"/>
                <w:sz w:val="20"/>
                <w:szCs w:val="20"/>
              </w:rPr>
              <w:t>Gibbons</w:t>
            </w:r>
            <w:r w:rsidRPr="007907CB">
              <w:rPr>
                <w:rFonts w:cs="Times New Roman"/>
                <w:sz w:val="20"/>
                <w:szCs w:val="20"/>
              </w:rPr>
              <w:t>,</w:t>
            </w:r>
          </w:p>
          <w:p w:rsidR="00DD0B49" w:rsidRPr="007907CB" w:rsidRDefault="00DD0B49" w:rsidP="003B3977">
            <w:pPr>
              <w:rPr>
                <w:rFonts w:cs="Times New Roman"/>
                <w:sz w:val="20"/>
                <w:szCs w:val="20"/>
              </w:rPr>
            </w:pPr>
            <w:r w:rsidRPr="007907CB">
              <w:rPr>
                <w:rFonts w:cs="Times New Roman"/>
                <w:sz w:val="20"/>
                <w:szCs w:val="20"/>
              </w:rPr>
              <w:t>201</w:t>
            </w:r>
            <w:r w:rsidR="000D6C56" w:rsidRPr="007907CB">
              <w:rPr>
                <w:rFonts w:cs="Times New Roman"/>
                <w:sz w:val="20"/>
                <w:szCs w:val="20"/>
              </w:rPr>
              <w:t>2</w:t>
            </w:r>
            <w:r w:rsidRPr="007907CB">
              <w:rPr>
                <w:rFonts w:cs="Times New Roman"/>
                <w:sz w:val="20"/>
                <w:szCs w:val="20"/>
              </w:rPr>
              <w:t xml:space="preserve"> CSC 2</w:t>
            </w:r>
            <w:r w:rsidR="009B247A" w:rsidRPr="007907CB">
              <w:rPr>
                <w:rFonts w:cs="Times New Roman"/>
                <w:sz w:val="20"/>
                <w:szCs w:val="20"/>
              </w:rPr>
              <w:t>8</w:t>
            </w:r>
            <w:r w:rsidRPr="007907CB">
              <w:rPr>
                <w:rFonts w:cs="Times New Roman"/>
                <w:sz w:val="20"/>
                <w:szCs w:val="20"/>
              </w:rPr>
              <w:t>, [201</w:t>
            </w:r>
            <w:r w:rsidR="000D6C56" w:rsidRPr="007907CB">
              <w:rPr>
                <w:rFonts w:cs="Times New Roman"/>
                <w:sz w:val="20"/>
                <w:szCs w:val="20"/>
              </w:rPr>
              <w:t>2</w:t>
            </w:r>
            <w:r w:rsidRPr="007907CB">
              <w:rPr>
                <w:rFonts w:cs="Times New Roman"/>
                <w:sz w:val="20"/>
                <w:szCs w:val="20"/>
              </w:rPr>
              <w:t xml:space="preserve">] </w:t>
            </w:r>
            <w:r w:rsidR="000D6C56" w:rsidRPr="007907CB">
              <w:rPr>
                <w:rFonts w:cs="Times New Roman"/>
                <w:sz w:val="20"/>
                <w:szCs w:val="20"/>
              </w:rPr>
              <w:t>2</w:t>
            </w:r>
            <w:r w:rsidRPr="007907CB">
              <w:rPr>
                <w:rFonts w:cs="Times New Roman"/>
                <w:sz w:val="20"/>
                <w:szCs w:val="20"/>
              </w:rPr>
              <w:t xml:space="preserve"> R.C.S. </w:t>
            </w:r>
            <w:r w:rsidR="009B247A" w:rsidRPr="007907CB">
              <w:rPr>
                <w:rFonts w:cs="Times New Roman"/>
                <w:sz w:val="20"/>
                <w:szCs w:val="20"/>
              </w:rPr>
              <w:t>92</w:t>
            </w:r>
          </w:p>
          <w:p w:rsidR="00DD0B49" w:rsidRPr="007907CB" w:rsidRDefault="00DD0B49" w:rsidP="003B3977">
            <w:pPr>
              <w:rPr>
                <w:rFonts w:cs="Times New Roman"/>
                <w:sz w:val="20"/>
                <w:szCs w:val="20"/>
              </w:rPr>
            </w:pPr>
          </w:p>
          <w:p w:rsidR="00DD0B49" w:rsidRPr="00DD0B49" w:rsidRDefault="009B247A" w:rsidP="003B3977">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Pr>
                <w:rFonts w:cs="Times New Roman"/>
                <w:sz w:val="20"/>
                <w:szCs w:val="20"/>
                <w:lang w:val="en-GB"/>
              </w:rPr>
              <w:t>Maybin</w:t>
            </w:r>
            <w:proofErr w:type="spellEnd"/>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0D6C56">
              <w:rPr>
                <w:rFonts w:cs="Times New Roman"/>
                <w:sz w:val="20"/>
                <w:szCs w:val="20"/>
              </w:rPr>
              <w:t>2</w:t>
            </w:r>
            <w:r w:rsidRPr="00DD0B49">
              <w:rPr>
                <w:rFonts w:cs="Times New Roman"/>
                <w:sz w:val="20"/>
                <w:szCs w:val="20"/>
              </w:rPr>
              <w:t xml:space="preserve"> CSC 2</w:t>
            </w:r>
            <w:r w:rsidR="009B247A">
              <w:rPr>
                <w:rFonts w:cs="Times New Roman"/>
                <w:sz w:val="20"/>
                <w:szCs w:val="20"/>
              </w:rPr>
              <w:t>4</w:t>
            </w:r>
            <w:r w:rsidRPr="00DD0B49">
              <w:rPr>
                <w:rFonts w:cs="Times New Roman"/>
                <w:sz w:val="20"/>
                <w:szCs w:val="20"/>
              </w:rPr>
              <w:t>, [201</w:t>
            </w:r>
            <w:r w:rsidR="000D6C56">
              <w:rPr>
                <w:rFonts w:cs="Times New Roman"/>
                <w:sz w:val="20"/>
                <w:szCs w:val="20"/>
              </w:rPr>
              <w:t>2</w:t>
            </w:r>
            <w:r w:rsidRPr="00DD0B49">
              <w:rPr>
                <w:rFonts w:cs="Times New Roman"/>
                <w:sz w:val="20"/>
                <w:szCs w:val="20"/>
              </w:rPr>
              <w:t xml:space="preserve">] </w:t>
            </w:r>
            <w:r w:rsidR="000D6C56">
              <w:rPr>
                <w:rFonts w:cs="Times New Roman"/>
                <w:sz w:val="20"/>
                <w:szCs w:val="20"/>
              </w:rPr>
              <w:t>2</w:t>
            </w:r>
            <w:r w:rsidRPr="00DD0B49">
              <w:rPr>
                <w:rFonts w:cs="Times New Roman"/>
                <w:sz w:val="20"/>
                <w:szCs w:val="20"/>
              </w:rPr>
              <w:t xml:space="preserve"> R.C.S. </w:t>
            </w:r>
            <w:r w:rsidR="009B247A">
              <w:rPr>
                <w:rFonts w:cs="Times New Roman"/>
                <w:sz w:val="20"/>
                <w:szCs w:val="20"/>
              </w:rPr>
              <w:t>30</w:t>
            </w:r>
          </w:p>
          <w:p w:rsidR="00DD0B49" w:rsidRPr="00DD0B49" w:rsidRDefault="00DD0B49" w:rsidP="003B3977">
            <w:pPr>
              <w:rPr>
                <w:rFonts w:cs="Times New Roman"/>
                <w:sz w:val="20"/>
                <w:szCs w:val="20"/>
              </w:rPr>
            </w:pPr>
          </w:p>
          <w:p w:rsidR="00DD0B49" w:rsidRPr="00967CEA" w:rsidRDefault="009B247A" w:rsidP="003B3977">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Pr>
                <w:rFonts w:cs="Times New Roman"/>
                <w:sz w:val="20"/>
                <w:szCs w:val="20"/>
                <w:lang w:val="en-GB"/>
              </w:rPr>
              <w:t>Mayuran</w:t>
            </w:r>
            <w:proofErr w:type="spellEnd"/>
            <w:r w:rsidR="00DD0B49" w:rsidRPr="00967CEA">
              <w:rPr>
                <w:rFonts w:cs="Times New Roman"/>
                <w:iCs/>
                <w:sz w:val="20"/>
                <w:szCs w:val="20"/>
              </w:rPr>
              <w:t>,</w:t>
            </w:r>
          </w:p>
          <w:p w:rsidR="00DD0B49" w:rsidRPr="00967CEA" w:rsidRDefault="00DD0B49" w:rsidP="003B3977">
            <w:pPr>
              <w:rPr>
                <w:rFonts w:cs="Times New Roman"/>
                <w:sz w:val="20"/>
                <w:szCs w:val="20"/>
              </w:rPr>
            </w:pPr>
            <w:r w:rsidRPr="00967CEA">
              <w:rPr>
                <w:rFonts w:cs="Times New Roman"/>
                <w:sz w:val="20"/>
                <w:szCs w:val="20"/>
              </w:rPr>
              <w:t>201</w:t>
            </w:r>
            <w:r w:rsidR="000D6C56" w:rsidRPr="00967CEA">
              <w:rPr>
                <w:rFonts w:cs="Times New Roman"/>
                <w:sz w:val="20"/>
                <w:szCs w:val="20"/>
              </w:rPr>
              <w:t>2</w:t>
            </w:r>
            <w:r w:rsidRPr="00967CEA">
              <w:rPr>
                <w:rFonts w:cs="Times New Roman"/>
                <w:sz w:val="20"/>
                <w:szCs w:val="20"/>
              </w:rPr>
              <w:t xml:space="preserve"> CSC </w:t>
            </w:r>
            <w:r w:rsidR="009B247A">
              <w:rPr>
                <w:rFonts w:cs="Times New Roman"/>
                <w:sz w:val="20"/>
                <w:szCs w:val="20"/>
              </w:rPr>
              <w:t>3</w:t>
            </w:r>
            <w:r w:rsidRPr="00967CEA">
              <w:rPr>
                <w:rFonts w:cs="Times New Roman"/>
                <w:sz w:val="20"/>
                <w:szCs w:val="20"/>
              </w:rPr>
              <w:t>1, [201</w:t>
            </w:r>
            <w:r w:rsidR="000D6C56" w:rsidRPr="00967CEA">
              <w:rPr>
                <w:rFonts w:cs="Times New Roman"/>
                <w:sz w:val="20"/>
                <w:szCs w:val="20"/>
              </w:rPr>
              <w:t>2</w:t>
            </w:r>
            <w:r w:rsidRPr="00967CEA">
              <w:rPr>
                <w:rFonts w:cs="Times New Roman"/>
                <w:sz w:val="20"/>
                <w:szCs w:val="20"/>
              </w:rPr>
              <w:t xml:space="preserve">] </w:t>
            </w:r>
            <w:r w:rsidR="000D6C56" w:rsidRPr="00967CEA">
              <w:rPr>
                <w:rFonts w:cs="Times New Roman"/>
                <w:sz w:val="20"/>
                <w:szCs w:val="20"/>
              </w:rPr>
              <w:t>2</w:t>
            </w:r>
            <w:r w:rsidRPr="00967CEA">
              <w:rPr>
                <w:rFonts w:cs="Times New Roman"/>
                <w:sz w:val="20"/>
                <w:szCs w:val="20"/>
              </w:rPr>
              <w:t xml:space="preserve"> R.C.S. </w:t>
            </w:r>
            <w:r w:rsidR="009B247A">
              <w:rPr>
                <w:rFonts w:cs="Times New Roman"/>
                <w:sz w:val="20"/>
                <w:szCs w:val="20"/>
              </w:rPr>
              <w:t>1</w:t>
            </w:r>
            <w:r w:rsidRPr="00967CEA">
              <w:rPr>
                <w:rFonts w:cs="Times New Roman"/>
                <w:sz w:val="20"/>
                <w:szCs w:val="20"/>
              </w:rPr>
              <w:t>6</w:t>
            </w:r>
            <w:r w:rsidR="009B247A">
              <w:rPr>
                <w:rFonts w:cs="Times New Roman"/>
                <w:sz w:val="20"/>
                <w:szCs w:val="20"/>
              </w:rPr>
              <w:t>2</w:t>
            </w:r>
          </w:p>
          <w:p w:rsidR="00DD0B49" w:rsidRPr="00967CEA" w:rsidRDefault="00DD0B49" w:rsidP="003B3977">
            <w:pPr>
              <w:keepNext/>
              <w:keepLines/>
              <w:rPr>
                <w:rFonts w:cs="Times New Roman"/>
                <w:bCs/>
                <w:sz w:val="20"/>
                <w:szCs w:val="20"/>
              </w:rPr>
            </w:pPr>
          </w:p>
          <w:p w:rsidR="000D6C56" w:rsidRPr="00967CEA" w:rsidRDefault="000D6C56" w:rsidP="000D6C56">
            <w:pPr>
              <w:rPr>
                <w:rFonts w:cs="Times New Roman"/>
                <w:sz w:val="20"/>
                <w:szCs w:val="20"/>
              </w:rPr>
            </w:pPr>
            <w:r w:rsidRPr="00967CEA">
              <w:rPr>
                <w:rFonts w:cs="Times New Roman"/>
                <w:sz w:val="20"/>
                <w:szCs w:val="20"/>
              </w:rPr>
              <w:t xml:space="preserve">R. </w:t>
            </w:r>
            <w:r w:rsidRPr="00967CEA">
              <w:rPr>
                <w:rFonts w:cs="Times New Roman"/>
                <w:i/>
                <w:iCs/>
                <w:sz w:val="20"/>
                <w:szCs w:val="20"/>
              </w:rPr>
              <w:t>c.</w:t>
            </w:r>
            <w:r w:rsidRPr="00967CEA">
              <w:rPr>
                <w:rFonts w:cs="Times New Roman"/>
                <w:sz w:val="20"/>
                <w:szCs w:val="20"/>
              </w:rPr>
              <w:t xml:space="preserve"> </w:t>
            </w:r>
            <w:r w:rsidR="009B247A">
              <w:rPr>
                <w:rFonts w:cs="Times New Roman"/>
                <w:sz w:val="20"/>
                <w:szCs w:val="20"/>
              </w:rPr>
              <w:t>R</w:t>
            </w:r>
            <w:r w:rsidRPr="00967CEA">
              <w:rPr>
                <w:rFonts w:cs="Times New Roman"/>
                <w:sz w:val="20"/>
                <w:szCs w:val="20"/>
              </w:rPr>
              <w:t>o</w:t>
            </w:r>
            <w:r w:rsidR="009B247A">
              <w:rPr>
                <w:rFonts w:cs="Times New Roman"/>
                <w:sz w:val="20"/>
                <w:szCs w:val="20"/>
              </w:rPr>
              <w:t>y</w:t>
            </w:r>
            <w:r w:rsidRPr="00967CEA">
              <w:rPr>
                <w:rFonts w:cs="Times New Roman"/>
                <w:sz w:val="20"/>
                <w:szCs w:val="20"/>
              </w:rPr>
              <w:t>,</w:t>
            </w:r>
          </w:p>
          <w:p w:rsidR="000D6C56" w:rsidRPr="009B247A" w:rsidRDefault="000D6C56" w:rsidP="000D6C56">
            <w:pPr>
              <w:rPr>
                <w:rFonts w:cs="Times New Roman"/>
                <w:sz w:val="20"/>
                <w:szCs w:val="20"/>
                <w:lang w:val="fr-CA"/>
              </w:rPr>
            </w:pPr>
            <w:r w:rsidRPr="009B247A">
              <w:rPr>
                <w:rFonts w:cs="Times New Roman"/>
                <w:sz w:val="20"/>
                <w:szCs w:val="20"/>
                <w:lang w:val="fr-CA"/>
              </w:rPr>
              <w:t>2012 CSC 2</w:t>
            </w:r>
            <w:r w:rsidR="009B247A" w:rsidRPr="009B247A">
              <w:rPr>
                <w:rFonts w:cs="Times New Roman"/>
                <w:sz w:val="20"/>
                <w:szCs w:val="20"/>
                <w:lang w:val="fr-CA"/>
              </w:rPr>
              <w:t>6</w:t>
            </w:r>
            <w:r w:rsidRPr="009B247A">
              <w:rPr>
                <w:rFonts w:cs="Times New Roman"/>
                <w:sz w:val="20"/>
                <w:szCs w:val="20"/>
                <w:lang w:val="fr-CA"/>
              </w:rPr>
              <w:t xml:space="preserve">, [2012] 2 R.C.S. </w:t>
            </w:r>
            <w:r w:rsidR="009B247A" w:rsidRPr="009B247A">
              <w:rPr>
                <w:rFonts w:cs="Times New Roman"/>
                <w:sz w:val="20"/>
                <w:szCs w:val="20"/>
                <w:lang w:val="fr-CA"/>
              </w:rPr>
              <w:t>60</w:t>
            </w:r>
          </w:p>
          <w:p w:rsidR="000D6C56" w:rsidRPr="009B247A" w:rsidRDefault="000D6C56" w:rsidP="000D6C56">
            <w:pPr>
              <w:rPr>
                <w:rFonts w:cs="Times New Roman"/>
                <w:sz w:val="20"/>
                <w:szCs w:val="20"/>
                <w:lang w:val="fr-CA"/>
              </w:rPr>
            </w:pPr>
          </w:p>
          <w:p w:rsidR="000D6C56" w:rsidRPr="009B247A" w:rsidRDefault="000D6C56" w:rsidP="000D6C56">
            <w:pPr>
              <w:rPr>
                <w:rFonts w:cs="Times New Roman"/>
                <w:sz w:val="20"/>
                <w:szCs w:val="20"/>
                <w:lang w:val="fr-CA"/>
              </w:rPr>
            </w:pPr>
            <w:r w:rsidRPr="009B247A">
              <w:rPr>
                <w:rFonts w:cs="Times New Roman"/>
                <w:sz w:val="20"/>
                <w:szCs w:val="20"/>
                <w:lang w:val="fr-CA"/>
              </w:rPr>
              <w:t xml:space="preserve">R. </w:t>
            </w:r>
            <w:r w:rsidRPr="009B247A">
              <w:rPr>
                <w:rFonts w:cs="Times New Roman"/>
                <w:i/>
                <w:iCs/>
                <w:sz w:val="20"/>
                <w:szCs w:val="20"/>
                <w:lang w:val="fr-CA"/>
              </w:rPr>
              <w:t>c</w:t>
            </w:r>
            <w:r w:rsidRPr="009B247A">
              <w:rPr>
                <w:rFonts w:cs="Times New Roman"/>
                <w:sz w:val="20"/>
                <w:szCs w:val="20"/>
                <w:lang w:val="fr-CA"/>
              </w:rPr>
              <w:t xml:space="preserve">. </w:t>
            </w:r>
            <w:proofErr w:type="spellStart"/>
            <w:r w:rsidR="009B247A" w:rsidRPr="009B247A">
              <w:rPr>
                <w:rFonts w:cs="Times New Roman"/>
                <w:sz w:val="20"/>
                <w:szCs w:val="20"/>
                <w:lang w:val="fr-CA"/>
              </w:rPr>
              <w:t>Venneri</w:t>
            </w:r>
            <w:proofErr w:type="spellEnd"/>
            <w:r w:rsidRPr="009B247A">
              <w:rPr>
                <w:rFonts w:cs="Times New Roman"/>
                <w:sz w:val="20"/>
                <w:szCs w:val="20"/>
                <w:lang w:val="fr-CA"/>
              </w:rPr>
              <w:t>,</w:t>
            </w:r>
          </w:p>
          <w:p w:rsidR="000D6C56" w:rsidRPr="00CD7DF1" w:rsidRDefault="000D6C56" w:rsidP="000D6C56">
            <w:pPr>
              <w:rPr>
                <w:rFonts w:cs="Times New Roman"/>
                <w:sz w:val="20"/>
                <w:szCs w:val="20"/>
                <w:lang w:val="fr-CA"/>
              </w:rPr>
            </w:pPr>
            <w:r w:rsidRPr="00CD7DF1">
              <w:rPr>
                <w:rFonts w:cs="Times New Roman"/>
                <w:sz w:val="20"/>
                <w:szCs w:val="20"/>
                <w:lang w:val="fr-CA"/>
              </w:rPr>
              <w:t xml:space="preserve">2012 CSC </w:t>
            </w:r>
            <w:r w:rsidR="009B247A" w:rsidRPr="00CD7DF1">
              <w:rPr>
                <w:rFonts w:cs="Times New Roman"/>
                <w:sz w:val="20"/>
                <w:szCs w:val="20"/>
                <w:lang w:val="fr-CA"/>
              </w:rPr>
              <w:t>33</w:t>
            </w:r>
            <w:r w:rsidRPr="00CD7DF1">
              <w:rPr>
                <w:rFonts w:cs="Times New Roman"/>
                <w:sz w:val="20"/>
                <w:szCs w:val="20"/>
                <w:lang w:val="fr-CA"/>
              </w:rPr>
              <w:t xml:space="preserve">, [2012] 2 R.C.S. </w:t>
            </w:r>
            <w:r w:rsidR="009B247A" w:rsidRPr="00CD7DF1">
              <w:rPr>
                <w:rFonts w:cs="Times New Roman"/>
                <w:sz w:val="20"/>
                <w:szCs w:val="20"/>
                <w:lang w:val="fr-CA"/>
              </w:rPr>
              <w:t>211</w:t>
            </w:r>
          </w:p>
          <w:p w:rsidR="000D6C56" w:rsidRPr="00CD7DF1" w:rsidRDefault="000D6C56" w:rsidP="000D6C56">
            <w:pPr>
              <w:rPr>
                <w:rFonts w:cs="Times New Roman"/>
                <w:sz w:val="20"/>
                <w:szCs w:val="20"/>
                <w:lang w:val="fr-CA"/>
              </w:rPr>
            </w:pPr>
          </w:p>
          <w:p w:rsidR="000D6C56" w:rsidRPr="00CD7DF1" w:rsidRDefault="000D6C56" w:rsidP="000D6C56">
            <w:pPr>
              <w:rPr>
                <w:rFonts w:cs="Times New Roman"/>
                <w:sz w:val="20"/>
                <w:szCs w:val="20"/>
                <w:lang w:val="fr-CA"/>
              </w:rPr>
            </w:pPr>
            <w:r w:rsidRPr="00CD7DF1">
              <w:rPr>
                <w:rFonts w:cs="Times New Roman"/>
                <w:sz w:val="20"/>
                <w:szCs w:val="20"/>
                <w:lang w:val="fr-CA"/>
              </w:rPr>
              <w:t>T</w:t>
            </w:r>
            <w:r w:rsidR="00CD7DF1" w:rsidRPr="00CD7DF1">
              <w:rPr>
                <w:rFonts w:cs="Times New Roman"/>
                <w:sz w:val="20"/>
                <w:szCs w:val="20"/>
                <w:lang w:val="fr-CA"/>
              </w:rPr>
              <w:t>essie</w:t>
            </w:r>
            <w:r w:rsidRPr="00CD7DF1">
              <w:rPr>
                <w:rFonts w:cs="Times New Roman"/>
                <w:sz w:val="20"/>
                <w:szCs w:val="20"/>
                <w:lang w:val="fr-CA"/>
              </w:rPr>
              <w:t>r</w:t>
            </w:r>
            <w:r w:rsidR="00CD7DF1" w:rsidRPr="00CD7DF1">
              <w:rPr>
                <w:rFonts w:cs="Times New Roman"/>
                <w:sz w:val="20"/>
                <w:szCs w:val="20"/>
                <w:lang w:val="fr-CA"/>
              </w:rPr>
              <w:t xml:space="preserve"> </w:t>
            </w:r>
            <w:proofErr w:type="spellStart"/>
            <w:r w:rsidR="00CD7DF1" w:rsidRPr="00CD7DF1">
              <w:rPr>
                <w:rFonts w:cs="Times New Roman"/>
                <w:sz w:val="20"/>
                <w:szCs w:val="20"/>
                <w:lang w:val="fr-CA"/>
              </w:rPr>
              <w:t>L</w:t>
            </w:r>
            <w:r w:rsidRPr="00CD7DF1">
              <w:rPr>
                <w:rFonts w:cs="Times New Roman"/>
                <w:sz w:val="20"/>
                <w:szCs w:val="20"/>
                <w:lang w:val="fr-CA"/>
              </w:rPr>
              <w:t>t</w:t>
            </w:r>
            <w:r w:rsidR="00CD7DF1" w:rsidRPr="00CD7DF1">
              <w:rPr>
                <w:rFonts w:cs="Times New Roman"/>
                <w:sz w:val="20"/>
                <w:szCs w:val="20"/>
                <w:lang w:val="fr-CA"/>
              </w:rPr>
              <w:t>é</w:t>
            </w:r>
            <w:r w:rsidRPr="00CD7DF1">
              <w:rPr>
                <w:rFonts w:cs="Times New Roman"/>
                <w:sz w:val="20"/>
                <w:szCs w:val="20"/>
                <w:lang w:val="fr-CA"/>
              </w:rPr>
              <w:t>e</w:t>
            </w:r>
            <w:proofErr w:type="spellEnd"/>
            <w:r w:rsidRPr="00CD7DF1">
              <w:rPr>
                <w:rFonts w:cs="Times New Roman"/>
                <w:sz w:val="20"/>
                <w:szCs w:val="20"/>
                <w:lang w:val="fr-CA"/>
              </w:rPr>
              <w:t xml:space="preserve"> </w:t>
            </w:r>
            <w:r w:rsidRPr="00CD7DF1">
              <w:rPr>
                <w:rFonts w:cs="Times New Roman"/>
                <w:i/>
                <w:iCs/>
                <w:sz w:val="20"/>
                <w:szCs w:val="20"/>
                <w:lang w:val="fr-CA"/>
              </w:rPr>
              <w:t>c.</w:t>
            </w:r>
            <w:r w:rsidRPr="00CD7DF1">
              <w:rPr>
                <w:rFonts w:cs="Times New Roman"/>
                <w:sz w:val="20"/>
                <w:szCs w:val="20"/>
                <w:lang w:val="fr-CA"/>
              </w:rPr>
              <w:t xml:space="preserve"> </w:t>
            </w:r>
            <w:r w:rsidR="00CD7DF1">
              <w:rPr>
                <w:rFonts w:cs="Times New Roman"/>
                <w:sz w:val="20"/>
                <w:szCs w:val="20"/>
                <w:lang w:val="fr-CA"/>
              </w:rPr>
              <w:t>Québec (</w:t>
            </w:r>
            <w:r w:rsidRPr="00CD7DF1">
              <w:rPr>
                <w:rFonts w:cs="Times New Roman"/>
                <w:sz w:val="20"/>
                <w:szCs w:val="20"/>
                <w:lang w:val="fr-CA"/>
              </w:rPr>
              <w:t>C</w:t>
            </w:r>
            <w:r w:rsidR="00CD7DF1">
              <w:rPr>
                <w:rFonts w:cs="Times New Roman"/>
                <w:sz w:val="20"/>
                <w:szCs w:val="20"/>
                <w:lang w:val="fr-CA"/>
              </w:rPr>
              <w:t>ommissio</w:t>
            </w:r>
            <w:r w:rsidRPr="00CD7DF1">
              <w:rPr>
                <w:rFonts w:cs="Times New Roman"/>
                <w:sz w:val="20"/>
                <w:szCs w:val="20"/>
                <w:lang w:val="fr-CA"/>
              </w:rPr>
              <w:t>n</w:t>
            </w:r>
            <w:r w:rsidR="00CD7DF1">
              <w:rPr>
                <w:rFonts w:cs="Times New Roman"/>
                <w:sz w:val="20"/>
                <w:szCs w:val="20"/>
                <w:lang w:val="fr-CA"/>
              </w:rPr>
              <w:t xml:space="preserve"> de l</w:t>
            </w:r>
            <w:r w:rsidRPr="00CD7DF1">
              <w:rPr>
                <w:rFonts w:cs="Times New Roman"/>
                <w:sz w:val="20"/>
                <w:szCs w:val="20"/>
                <w:lang w:val="fr-CA"/>
              </w:rPr>
              <w:t>a</w:t>
            </w:r>
            <w:r w:rsidR="00CD7DF1">
              <w:rPr>
                <w:rFonts w:cs="Times New Roman"/>
                <w:sz w:val="20"/>
                <w:szCs w:val="20"/>
                <w:lang w:val="fr-CA"/>
              </w:rPr>
              <w:t xml:space="preserve"> s</w:t>
            </w:r>
            <w:r w:rsidRPr="00CD7DF1">
              <w:rPr>
                <w:rFonts w:cs="Times New Roman"/>
                <w:sz w:val="20"/>
                <w:szCs w:val="20"/>
                <w:lang w:val="fr-CA"/>
              </w:rPr>
              <w:t>a</w:t>
            </w:r>
            <w:r w:rsidR="00CD7DF1">
              <w:rPr>
                <w:rFonts w:cs="Times New Roman"/>
                <w:sz w:val="20"/>
                <w:szCs w:val="20"/>
                <w:lang w:val="fr-CA"/>
              </w:rPr>
              <w:t>nté et de la sécurité du travail)</w:t>
            </w:r>
            <w:r w:rsidRPr="00CD7DF1">
              <w:rPr>
                <w:rFonts w:cs="Times New Roman"/>
                <w:sz w:val="20"/>
                <w:szCs w:val="20"/>
                <w:lang w:val="fr-CA"/>
              </w:rPr>
              <w:t>,</w:t>
            </w:r>
          </w:p>
          <w:p w:rsidR="000D6C56" w:rsidRPr="00DD0B49" w:rsidRDefault="000D6C56" w:rsidP="000D6C56">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2</w:t>
            </w:r>
            <w:r w:rsidR="00CD7DF1">
              <w:rPr>
                <w:rFonts w:cs="Times New Roman"/>
                <w:sz w:val="20"/>
                <w:szCs w:val="20"/>
              </w:rPr>
              <w:t>3</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sidR="00CD7DF1">
              <w:rPr>
                <w:rFonts w:cs="Times New Roman"/>
                <w:sz w:val="20"/>
                <w:szCs w:val="20"/>
              </w:rPr>
              <w:t>3</w:t>
            </w:r>
          </w:p>
          <w:p w:rsidR="000D6C56" w:rsidRPr="00DD0B49" w:rsidRDefault="000D6C56" w:rsidP="000D6C56">
            <w:pPr>
              <w:rPr>
                <w:rFonts w:cs="Times New Roman"/>
                <w:sz w:val="20"/>
                <w:szCs w:val="20"/>
              </w:rPr>
            </w:pPr>
          </w:p>
          <w:p w:rsidR="000D6C56" w:rsidRPr="00CD7DF1" w:rsidRDefault="00CD7DF1" w:rsidP="000D6C56">
            <w:pPr>
              <w:rPr>
                <w:rFonts w:cs="Times New Roman"/>
                <w:sz w:val="20"/>
                <w:szCs w:val="20"/>
              </w:rPr>
            </w:pPr>
            <w:r w:rsidRPr="00CD7DF1">
              <w:rPr>
                <w:rFonts w:cs="Times New Roman"/>
                <w:sz w:val="20"/>
                <w:szCs w:val="20"/>
              </w:rPr>
              <w:t>W</w:t>
            </w:r>
            <w:r w:rsidR="000D6C56" w:rsidRPr="00CD7DF1">
              <w:rPr>
                <w:rFonts w:cs="Times New Roman"/>
                <w:sz w:val="20"/>
                <w:szCs w:val="20"/>
              </w:rPr>
              <w:t>e</w:t>
            </w:r>
            <w:r w:rsidRPr="00CD7DF1">
              <w:rPr>
                <w:rFonts w:cs="Times New Roman"/>
                <w:sz w:val="20"/>
                <w:szCs w:val="20"/>
              </w:rPr>
              <w:t>s</w:t>
            </w:r>
            <w:r w:rsidR="000D6C56" w:rsidRPr="00CD7DF1">
              <w:rPr>
                <w:rFonts w:cs="Times New Roman"/>
                <w:sz w:val="20"/>
                <w:szCs w:val="20"/>
              </w:rPr>
              <w:t>t</w:t>
            </w:r>
            <w:r w:rsidRPr="00CD7DF1">
              <w:rPr>
                <w:rFonts w:cs="Times New Roman"/>
                <w:sz w:val="20"/>
                <w:szCs w:val="20"/>
              </w:rPr>
              <w:t>m</w:t>
            </w:r>
            <w:r w:rsidR="000D6C56" w:rsidRPr="00CD7DF1">
              <w:rPr>
                <w:rFonts w:cs="Times New Roman"/>
                <w:sz w:val="20"/>
                <w:szCs w:val="20"/>
              </w:rPr>
              <w:t>o</w:t>
            </w:r>
            <w:r w:rsidRPr="00CD7DF1">
              <w:rPr>
                <w:rFonts w:cs="Times New Roman"/>
                <w:sz w:val="20"/>
                <w:szCs w:val="20"/>
              </w:rPr>
              <w:t>unt (</w:t>
            </w:r>
            <w:r>
              <w:rPr>
                <w:rFonts w:cs="Times New Roman"/>
                <w:sz w:val="20"/>
                <w:szCs w:val="20"/>
              </w:rPr>
              <w:t>V</w:t>
            </w:r>
            <w:r w:rsidRPr="00CD7DF1">
              <w:rPr>
                <w:rFonts w:cs="Times New Roman"/>
                <w:sz w:val="20"/>
                <w:szCs w:val="20"/>
              </w:rPr>
              <w:t>i</w:t>
            </w:r>
            <w:r>
              <w:rPr>
                <w:rFonts w:cs="Times New Roman"/>
                <w:sz w:val="20"/>
                <w:szCs w:val="20"/>
              </w:rPr>
              <w:t>lle</w:t>
            </w:r>
            <w:r w:rsidRPr="00CD7DF1">
              <w:rPr>
                <w:rFonts w:cs="Times New Roman"/>
                <w:sz w:val="20"/>
                <w:szCs w:val="20"/>
              </w:rPr>
              <w:t>)</w:t>
            </w:r>
            <w:r w:rsidR="000D6C56" w:rsidRPr="00CD7DF1">
              <w:rPr>
                <w:rFonts w:cs="Times New Roman"/>
                <w:sz w:val="20"/>
                <w:szCs w:val="20"/>
              </w:rPr>
              <w:t xml:space="preserve"> </w:t>
            </w:r>
            <w:r w:rsidR="000D6C56" w:rsidRPr="00CD7DF1">
              <w:rPr>
                <w:rFonts w:cs="Times New Roman"/>
                <w:i/>
                <w:iCs/>
                <w:sz w:val="20"/>
                <w:szCs w:val="20"/>
              </w:rPr>
              <w:t xml:space="preserve">c. </w:t>
            </w:r>
            <w:proofErr w:type="spellStart"/>
            <w:r w:rsidR="000D6C56" w:rsidRPr="00CD7DF1">
              <w:rPr>
                <w:rFonts w:cs="Times New Roman"/>
                <w:iCs/>
                <w:sz w:val="20"/>
                <w:szCs w:val="20"/>
              </w:rPr>
              <w:t>R</w:t>
            </w:r>
            <w:r>
              <w:rPr>
                <w:rFonts w:cs="Times New Roman"/>
                <w:iCs/>
                <w:sz w:val="20"/>
                <w:szCs w:val="20"/>
              </w:rPr>
              <w:t>ossy</w:t>
            </w:r>
            <w:proofErr w:type="spellEnd"/>
            <w:r w:rsidR="000D6C56" w:rsidRPr="00CD7DF1">
              <w:rPr>
                <w:rFonts w:cs="Times New Roman"/>
                <w:iCs/>
                <w:sz w:val="20"/>
                <w:szCs w:val="20"/>
              </w:rPr>
              <w:t>,</w:t>
            </w:r>
          </w:p>
          <w:p w:rsidR="000D6C56" w:rsidRPr="00CD7DF1" w:rsidRDefault="000D6C56" w:rsidP="000D6C56">
            <w:pPr>
              <w:rPr>
                <w:rFonts w:cs="Times New Roman"/>
                <w:sz w:val="20"/>
                <w:szCs w:val="20"/>
              </w:rPr>
            </w:pPr>
            <w:r w:rsidRPr="00CD7DF1">
              <w:rPr>
                <w:rFonts w:cs="Times New Roman"/>
                <w:sz w:val="20"/>
                <w:szCs w:val="20"/>
              </w:rPr>
              <w:t xml:space="preserve">2012 CSC </w:t>
            </w:r>
            <w:r w:rsidR="00CD7DF1">
              <w:rPr>
                <w:rFonts w:cs="Times New Roman"/>
                <w:sz w:val="20"/>
                <w:szCs w:val="20"/>
              </w:rPr>
              <w:t>30</w:t>
            </w:r>
            <w:r w:rsidRPr="00CD7DF1">
              <w:rPr>
                <w:rFonts w:cs="Times New Roman"/>
                <w:sz w:val="20"/>
                <w:szCs w:val="20"/>
              </w:rPr>
              <w:t xml:space="preserve">, [2012] 2 R.C.S. </w:t>
            </w:r>
            <w:r w:rsidR="00CD7DF1">
              <w:rPr>
                <w:rFonts w:cs="Times New Roman"/>
                <w:sz w:val="20"/>
                <w:szCs w:val="20"/>
              </w:rPr>
              <w:t>13</w:t>
            </w:r>
            <w:r w:rsidRPr="00CD7DF1">
              <w:rPr>
                <w:rFonts w:cs="Times New Roman"/>
                <w:sz w:val="20"/>
                <w:szCs w:val="20"/>
              </w:rPr>
              <w:t>6</w:t>
            </w:r>
          </w:p>
          <w:p w:rsidR="000D6C56" w:rsidRPr="00CD7DF1" w:rsidRDefault="000D6C56" w:rsidP="003B3977">
            <w:pPr>
              <w:keepNext/>
              <w:keepLines/>
              <w:rPr>
                <w:rFonts w:cs="Times New Roman"/>
                <w:bCs/>
                <w:sz w:val="20"/>
                <w:szCs w:val="20"/>
              </w:rPr>
            </w:pPr>
          </w:p>
          <w:p w:rsidR="00DD0B49" w:rsidRPr="00DD0B49" w:rsidRDefault="00F008AC" w:rsidP="003B3977">
            <w:pPr>
              <w:rPr>
                <w:rFonts w:cs="Times New Roman"/>
                <w:sz w:val="20"/>
                <w:szCs w:val="20"/>
              </w:rPr>
            </w:pPr>
            <w:r w:rsidRPr="00F008AC">
              <w:rPr>
                <w:rFonts w:cs="Times New Roman"/>
                <w:sz w:val="20"/>
                <w:szCs w:val="20"/>
              </w:rPr>
              <w:pict>
                <v:rect id="_x0000_i1089"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091FA6" w:rsidRPr="002E0C7E" w:rsidRDefault="00F008AC"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7224F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DECEMBER - DÉCEMBRE</w:t>
            </w:r>
          </w:p>
        </w:tc>
      </w:tr>
      <w:tr w:rsidR="00091FA6" w:rsidRPr="002E0C7E" w:rsidTr="007224F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r>
      <w:tr w:rsidR="00091FA6" w:rsidRPr="002E0C7E" w:rsidTr="007224F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r>
      <w:tr w:rsidR="00091FA6" w:rsidRPr="002E0C7E" w:rsidTr="007224FE">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7224FE">
            <w:pPr>
              <w:widowControl w:val="0"/>
              <w:jc w:val="center"/>
              <w:rPr>
                <w:rFonts w:ascii="Arial" w:hAnsi="Arial"/>
                <w:b/>
                <w:sz w:val="14"/>
              </w:rPr>
            </w:pPr>
            <w:r w:rsidRPr="000C583B">
              <w:rPr>
                <w:rFonts w:ascii="Arial" w:hAnsi="Arial"/>
                <w:b/>
                <w:sz w:val="14"/>
              </w:rPr>
              <w:t>H</w:t>
            </w:r>
          </w:p>
          <w:p w:rsidR="00091FA6" w:rsidRPr="002E0C7E" w:rsidRDefault="00091FA6" w:rsidP="007224F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7224FE">
            <w:pPr>
              <w:widowControl w:val="0"/>
              <w:jc w:val="center"/>
              <w:rPr>
                <w:rFonts w:ascii="Arial" w:hAnsi="Arial"/>
                <w:b/>
                <w:sz w:val="14"/>
              </w:rPr>
            </w:pPr>
            <w:r w:rsidRPr="000C583B">
              <w:rPr>
                <w:rFonts w:ascii="Arial" w:hAnsi="Arial"/>
                <w:b/>
                <w:sz w:val="14"/>
              </w:rPr>
              <w:t>M</w:t>
            </w:r>
          </w:p>
          <w:p w:rsidR="00091FA6" w:rsidRPr="002E0C7E" w:rsidRDefault="00091FA6" w:rsidP="007224F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M</w:t>
            </w:r>
          </w:p>
          <w:p w:rsidR="00091FA6" w:rsidRPr="002E0C7E" w:rsidRDefault="00091FA6" w:rsidP="007224FE">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M</w:t>
            </w:r>
          </w:p>
          <w:p w:rsidR="00091FA6" w:rsidRPr="002E0C7E" w:rsidRDefault="00091FA6" w:rsidP="007224FE">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r>
      <w:tr w:rsidR="00091FA6" w:rsidRPr="002E0C7E" w:rsidTr="007224F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7224FE">
            <w:pPr>
              <w:widowControl w:val="0"/>
              <w:jc w:val="center"/>
              <w:rPr>
                <w:rFonts w:ascii="Arial" w:hAnsi="Arial"/>
                <w:b/>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7224FE">
            <w:pPr>
              <w:widowControl w:val="0"/>
              <w:jc w:val="center"/>
              <w:rPr>
                <w:rFonts w:ascii="Arial" w:hAnsi="Arial"/>
                <w:sz w:val="14"/>
              </w:rPr>
            </w:pPr>
            <w:r>
              <w:rPr>
                <w:rFonts w:ascii="Arial" w:hAnsi="Arial"/>
                <w:b/>
                <w:sz w:val="14"/>
              </w:rPr>
              <w:t>H</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224F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224FE">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Pr>
                <w:rFonts w:ascii="Arial" w:hAnsi="Arial"/>
                <w:sz w:val="14"/>
              </w:rPr>
              <w:t>23</w:t>
            </w:r>
          </w:p>
          <w:p w:rsidR="00091FA6" w:rsidRPr="002E0C7E" w:rsidRDefault="00091FA6" w:rsidP="007224FE">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Pr>
                <w:rFonts w:ascii="Arial" w:hAnsi="Arial"/>
                <w:sz w:val="14"/>
              </w:rPr>
              <w:t>24</w:t>
            </w:r>
          </w:p>
          <w:p w:rsidR="00091FA6" w:rsidRPr="002E0C7E" w:rsidRDefault="00091FA6" w:rsidP="007224FE">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H</w:t>
            </w: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7224F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MARCH - MARS</w:t>
            </w:r>
          </w:p>
        </w:tc>
      </w:tr>
      <w:tr w:rsidR="00091FA6" w:rsidRPr="002E0C7E" w:rsidTr="007224FE">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r>
      <w:tr w:rsidR="00091FA6" w:rsidRPr="002E0C7E" w:rsidTr="007224F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7224FE">
            <w:pPr>
              <w:widowControl w:val="0"/>
              <w:jc w:val="center"/>
              <w:rPr>
                <w:rFonts w:ascii="Arial" w:hAnsi="Arial"/>
                <w:b/>
                <w:sz w:val="14"/>
              </w:rPr>
            </w:pPr>
            <w:r>
              <w:rPr>
                <w:rFonts w:ascii="Arial" w:hAnsi="Arial"/>
                <w:b/>
                <w:sz w:val="14"/>
              </w:rPr>
              <w:t>H</w:t>
            </w:r>
          </w:p>
          <w:p w:rsidR="00091FA6" w:rsidRPr="002E0C7E" w:rsidRDefault="00091FA6" w:rsidP="007224FE">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r>
      <w:tr w:rsidR="00091FA6" w:rsidRPr="002E0C7E" w:rsidTr="007224F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r>
      <w:tr w:rsidR="00091FA6" w:rsidRPr="002E0C7E" w:rsidTr="007224FE">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7224FE">
            <w:pPr>
              <w:widowControl w:val="0"/>
              <w:jc w:val="center"/>
              <w:rPr>
                <w:rFonts w:ascii="Arial" w:hAnsi="Arial"/>
                <w:b/>
                <w:sz w:val="14"/>
              </w:rPr>
            </w:pPr>
            <w:r>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7224FE">
            <w:pPr>
              <w:widowControl w:val="0"/>
              <w:jc w:val="center"/>
              <w:rPr>
                <w:rFonts w:ascii="Arial" w:hAnsi="Arial"/>
                <w:b/>
                <w:sz w:val="14"/>
              </w:rPr>
            </w:pPr>
            <w:r>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7224F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7224FE">
            <w:pPr>
              <w:widowControl w:val="0"/>
              <w:jc w:val="center"/>
              <w:rPr>
                <w:rFonts w:ascii="Arial" w:hAnsi="Arial"/>
                <w:b/>
                <w:sz w:val="14"/>
              </w:rPr>
            </w:pPr>
            <w:r>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7224FE">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Pr>
                <w:rFonts w:ascii="Arial" w:hAnsi="Arial"/>
                <w:sz w:val="14"/>
              </w:rPr>
              <w:t>24</w:t>
            </w:r>
          </w:p>
          <w:p w:rsidR="00091FA6" w:rsidRPr="002E0C7E" w:rsidRDefault="00091FA6" w:rsidP="007224FE">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7224FE">
            <w:pPr>
              <w:widowControl w:val="0"/>
              <w:jc w:val="center"/>
              <w:rPr>
                <w:rFonts w:ascii="Arial" w:hAnsi="Arial"/>
                <w:b/>
                <w:sz w:val="14"/>
              </w:rPr>
            </w:pPr>
            <w:r w:rsidRPr="00261B35">
              <w:rPr>
                <w:rFonts w:ascii="Arial" w:hAnsi="Arial"/>
                <w:b/>
                <w:sz w:val="14"/>
              </w:rPr>
              <w:t>H</w:t>
            </w:r>
          </w:p>
          <w:p w:rsidR="00091FA6" w:rsidRPr="002E0C7E" w:rsidRDefault="00091FA6" w:rsidP="007224FE">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7224F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224FE">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224FE">
            <w:pPr>
              <w:widowControl w:val="0"/>
              <w:jc w:val="center"/>
              <w:rPr>
                <w:rFonts w:ascii="Arial" w:hAnsi="Arial"/>
                <w:sz w:val="14"/>
              </w:rPr>
            </w:pPr>
            <w:r w:rsidRPr="002E0C7E">
              <w:rPr>
                <w:rFonts w:ascii="Arial" w:hAnsi="Arial"/>
                <w:b/>
                <w:sz w:val="14"/>
              </w:rPr>
              <w:t>JUNE - JUIN</w:t>
            </w:r>
          </w:p>
        </w:tc>
      </w:tr>
      <w:tr w:rsidR="00091FA6" w:rsidRPr="002E0C7E" w:rsidTr="007224FE">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M</w:t>
            </w:r>
          </w:p>
          <w:p w:rsidR="00091FA6" w:rsidRPr="002E0C7E" w:rsidRDefault="00091FA6" w:rsidP="007224F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W</w:t>
            </w:r>
          </w:p>
          <w:p w:rsidR="00091FA6" w:rsidRPr="002E0C7E" w:rsidRDefault="00091FA6" w:rsidP="007224F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T</w:t>
            </w:r>
          </w:p>
          <w:p w:rsidR="00091FA6" w:rsidRPr="002E0C7E" w:rsidRDefault="00091FA6" w:rsidP="007224F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F</w:t>
            </w:r>
          </w:p>
          <w:p w:rsidR="00091FA6" w:rsidRPr="002E0C7E" w:rsidRDefault="00091FA6" w:rsidP="007224F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sidRPr="002E0C7E">
              <w:rPr>
                <w:rFonts w:ascii="Arial" w:hAnsi="Arial"/>
                <w:sz w:val="14"/>
              </w:rPr>
              <w:t>s</w:t>
            </w:r>
          </w:p>
          <w:p w:rsidR="00091FA6" w:rsidRPr="002E0C7E" w:rsidRDefault="00091FA6" w:rsidP="007224FE">
            <w:pPr>
              <w:widowControl w:val="0"/>
              <w:jc w:val="center"/>
              <w:rPr>
                <w:rFonts w:ascii="Arial" w:hAnsi="Arial"/>
                <w:sz w:val="14"/>
              </w:rPr>
            </w:pPr>
            <w:r w:rsidRPr="002E0C7E">
              <w:rPr>
                <w:rFonts w:ascii="Arial" w:hAnsi="Arial"/>
                <w:sz w:val="14"/>
              </w:rPr>
              <w:t>s</w:t>
            </w:r>
          </w:p>
        </w:tc>
      </w:tr>
      <w:tr w:rsidR="00091FA6" w:rsidRPr="002E0C7E" w:rsidTr="007224FE">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7224FE">
            <w:pPr>
              <w:widowControl w:val="0"/>
              <w:jc w:val="center"/>
              <w:rPr>
                <w:rFonts w:ascii="Arial" w:hAnsi="Arial"/>
                <w:b/>
                <w:sz w:val="14"/>
              </w:rPr>
            </w:pPr>
            <w:r w:rsidRPr="002453E3">
              <w:rPr>
                <w:rFonts w:ascii="Arial" w:hAnsi="Arial"/>
                <w:b/>
                <w:sz w:val="14"/>
              </w:rPr>
              <w:t>H</w:t>
            </w:r>
          </w:p>
          <w:p w:rsidR="00091FA6" w:rsidRPr="002E0C7E" w:rsidRDefault="00091FA6" w:rsidP="007224F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b/>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w:t>
            </w:r>
          </w:p>
        </w:tc>
      </w:tr>
      <w:tr w:rsidR="00091FA6" w:rsidRPr="002E0C7E" w:rsidTr="007224F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7224FE">
            <w:pPr>
              <w:widowControl w:val="0"/>
              <w:jc w:val="center"/>
              <w:rPr>
                <w:rFonts w:ascii="Arial" w:hAnsi="Arial"/>
                <w:b/>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8</w:t>
            </w:r>
          </w:p>
        </w:tc>
      </w:tr>
      <w:tr w:rsidR="00091FA6" w:rsidRPr="002E0C7E" w:rsidTr="007224FE">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7224FE">
            <w:pPr>
              <w:widowControl w:val="0"/>
              <w:jc w:val="center"/>
              <w:rPr>
                <w:rFonts w:ascii="Arial" w:hAnsi="Arial"/>
                <w:b/>
                <w:sz w:val="14"/>
              </w:rPr>
            </w:pPr>
            <w:r w:rsidRPr="00DB5777">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7224FE">
            <w:pPr>
              <w:widowControl w:val="0"/>
              <w:jc w:val="center"/>
              <w:rPr>
                <w:rFonts w:ascii="Arial" w:hAnsi="Arial"/>
                <w:b/>
                <w:sz w:val="14"/>
              </w:rPr>
            </w:pPr>
            <w:r w:rsidRPr="002453E3">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7224FE">
            <w:pPr>
              <w:widowControl w:val="0"/>
              <w:jc w:val="center"/>
              <w:rPr>
                <w:rFonts w:ascii="Arial" w:hAnsi="Arial"/>
                <w:b/>
                <w:sz w:val="14"/>
              </w:rPr>
            </w:pPr>
            <w:r w:rsidRPr="006A1E8D">
              <w:rPr>
                <w:rFonts w:ascii="Arial" w:hAnsi="Arial"/>
                <w:b/>
                <w:sz w:val="14"/>
              </w:rPr>
              <w:t>M</w:t>
            </w: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224F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7224FE">
            <w:pPr>
              <w:widowControl w:val="0"/>
              <w:jc w:val="center"/>
              <w:rPr>
                <w:rFonts w:ascii="Arial" w:hAnsi="Arial"/>
                <w:b/>
                <w:sz w:val="14"/>
              </w:rPr>
            </w:pPr>
            <w:r>
              <w:rPr>
                <w:rFonts w:ascii="Arial" w:hAnsi="Arial"/>
                <w:b/>
                <w:sz w:val="14"/>
              </w:rPr>
              <w:t>H</w:t>
            </w: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224FE">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r>
              <w:rPr>
                <w:rFonts w:ascii="Arial" w:hAnsi="Arial"/>
                <w:sz w:val="14"/>
              </w:rPr>
              <w:t>23</w:t>
            </w:r>
          </w:p>
          <w:p w:rsidR="00091FA6" w:rsidRPr="002E0C7E" w:rsidRDefault="00091FA6" w:rsidP="007224FE">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224FE">
            <w:pPr>
              <w:widowControl w:val="0"/>
              <w:jc w:val="center"/>
              <w:rPr>
                <w:rFonts w:ascii="Arial" w:hAnsi="Arial"/>
                <w:sz w:val="14"/>
              </w:rPr>
            </w:pPr>
          </w:p>
          <w:p w:rsidR="00091FA6" w:rsidRPr="002E0C7E" w:rsidRDefault="00091FA6" w:rsidP="007224F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7224FE">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7224FE">
            <w:pPr>
              <w:widowControl w:val="0"/>
              <w:rPr>
                <w:rFonts w:ascii="Arial" w:hAnsi="Arial"/>
                <w:sz w:val="16"/>
              </w:rPr>
            </w:pPr>
            <w:r w:rsidRPr="002E0C7E">
              <w:rPr>
                <w:rFonts w:ascii="Arial" w:hAnsi="Arial"/>
                <w:sz w:val="16"/>
              </w:rPr>
              <w:t>Sittings of the court:</w:t>
            </w:r>
          </w:p>
          <w:p w:rsidR="00091FA6" w:rsidRPr="002E0C7E" w:rsidRDefault="00091FA6" w:rsidP="007224FE">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7224FE">
            <w:pPr>
              <w:widowControl w:val="0"/>
              <w:rPr>
                <w:rFonts w:ascii="Arial" w:hAnsi="Arial"/>
                <w:sz w:val="16"/>
              </w:rPr>
            </w:pPr>
          </w:p>
          <w:p w:rsidR="00091FA6" w:rsidRPr="002E0C7E" w:rsidRDefault="00091FA6" w:rsidP="007224F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091FA6" w:rsidRPr="00B058C3"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091FA6" w:rsidRPr="00B058C3"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224F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224F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7224FE">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224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70" w:rsidRDefault="002D6870" w:rsidP="00A87207">
      <w:r>
        <w:separator/>
      </w:r>
    </w:p>
  </w:endnote>
  <w:endnote w:type="continuationSeparator" w:id="0">
    <w:p w:rsidR="002D6870" w:rsidRDefault="002D687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EB2B90">
    <w:pPr>
      <w:tabs>
        <w:tab w:val="center" w:pos="4680"/>
      </w:tabs>
    </w:pPr>
    <w:r>
      <w:pict>
        <v:rect id="_x0000_i1049" style="width:480.95pt;height:1pt" o:hralign="center" o:hrstd="t" o:hrnoshade="t" o:hr="t" fillcolor="black [3213]" stroked="f"/>
      </w:pict>
    </w:r>
  </w:p>
  <w:p w:rsidR="002D6870" w:rsidRPr="0031432F" w:rsidRDefault="002D6870" w:rsidP="00EB2B90">
    <w:pPr>
      <w:tabs>
        <w:tab w:val="center" w:pos="4680"/>
      </w:tabs>
    </w:pPr>
    <w:r>
      <w:tab/>
      <w:t xml:space="preserve">- </w:t>
    </w:r>
    <w:fldSimple w:instr=" PAGE   \* MERGEFORMAT ">
      <w:r w:rsidR="00007E48">
        <w:rPr>
          <w:noProof/>
        </w:rPr>
        <w:t>181</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870" w:rsidRDefault="002D68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870" w:rsidRDefault="002D6870">
    <w:pPr>
      <w:widowControl w:val="0"/>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08AC">
      <w:rPr>
        <w:lang w:val="fr-CA"/>
      </w:rPr>
      <w:pict>
        <v:rect id="_x0000_i1051" style="width:480.95pt;height:1pt" o:hralign="center" o:hrstd="t" o:hrnoshade="t" o:hr="t" fillcolor="black [3213]" stroked="f"/>
      </w:pict>
    </w:r>
  </w:p>
  <w:p w:rsidR="002D6870" w:rsidRDefault="002D6870" w:rsidP="00697C62">
    <w:pPr>
      <w:tabs>
        <w:tab w:val="center" w:pos="4680"/>
      </w:tabs>
    </w:pPr>
    <w:r>
      <w:tab/>
      <w:t xml:space="preserve">- </w:t>
    </w:r>
    <w:r w:rsidR="00F008AC" w:rsidRPr="00B74FED">
      <w:rPr>
        <w:szCs w:val="24"/>
      </w:rPr>
      <w:fldChar w:fldCharType="begin"/>
    </w:r>
    <w:r w:rsidRPr="00B74FED">
      <w:rPr>
        <w:szCs w:val="24"/>
      </w:rPr>
      <w:instrText xml:space="preserve"> PAGE   \* MERGEFORMAT </w:instrText>
    </w:r>
    <w:r w:rsidR="00F008AC" w:rsidRPr="00B74FED">
      <w:rPr>
        <w:szCs w:val="24"/>
      </w:rPr>
      <w:fldChar w:fldCharType="separate"/>
    </w:r>
    <w:r>
      <w:rPr>
        <w:noProof/>
        <w:szCs w:val="24"/>
      </w:rPr>
      <w:t>190</w:t>
    </w:r>
    <w:r w:rsidR="00F008AC" w:rsidRPr="00B74FED">
      <w:rPr>
        <w:szCs w:val="24"/>
      </w:rPr>
      <w:fldChar w:fldCharType="end"/>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802863">
    <w:pPr>
      <w:widowControl w:val="0"/>
      <w:tabs>
        <w:tab w:val="left" w:pos="-1440"/>
        <w:tab w:val="left" w:pos="-720"/>
      </w:tabs>
    </w:pPr>
    <w:r w:rsidRPr="00F008AC">
      <w:rPr>
        <w:lang w:val="fr-CA"/>
      </w:rPr>
      <w:pict>
        <v:rect id="_x0000_i1052" style="width:480.95pt;height:1pt" o:hralign="center" o:hrstd="t" o:hrnoshade="t" o:hr="t" fillcolor="black [3213]" stroked="f"/>
      </w:pict>
    </w:r>
  </w:p>
  <w:p w:rsidR="002D6870" w:rsidRPr="00180897" w:rsidRDefault="002D6870" w:rsidP="00697C62">
    <w:pPr>
      <w:tabs>
        <w:tab w:val="center" w:pos="4680"/>
      </w:tabs>
    </w:pPr>
    <w:r>
      <w:tab/>
      <w:t xml:space="preserve">- </w:t>
    </w:r>
    <w:r w:rsidR="00F008AC" w:rsidRPr="00B74FED">
      <w:rPr>
        <w:szCs w:val="24"/>
      </w:rPr>
      <w:fldChar w:fldCharType="begin"/>
    </w:r>
    <w:r w:rsidRPr="00B74FED">
      <w:rPr>
        <w:szCs w:val="24"/>
      </w:rPr>
      <w:instrText xml:space="preserve"> PAGE   \* MERGEFORMAT </w:instrText>
    </w:r>
    <w:r w:rsidR="00F008AC" w:rsidRPr="00B74FED">
      <w:rPr>
        <w:szCs w:val="24"/>
      </w:rPr>
      <w:fldChar w:fldCharType="separate"/>
    </w:r>
    <w:r w:rsidR="00007E48">
      <w:rPr>
        <w:noProof/>
        <w:szCs w:val="24"/>
      </w:rPr>
      <w:t>185</w:t>
    </w:r>
    <w:r w:rsidR="00F008AC" w:rsidRPr="00B74FED">
      <w:rPr>
        <w:szCs w:val="24"/>
      </w:rPr>
      <w:fldChar w:fldCharType="end"/>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870" w:rsidRDefault="002D687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732DB7">
    <w:r>
      <w:pict>
        <v:rect id="_x0000_i1054" style="width:480.95pt;height:1pt" o:hralign="center" o:hrstd="t" o:hrnoshade="t" o:hr="t" fillcolor="black" stroked="f"/>
      </w:pict>
    </w:r>
  </w:p>
  <w:p w:rsidR="002D6870" w:rsidRDefault="002D6870">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pPr>
      <w:pStyle w:val="Footer"/>
    </w:pPr>
    <w:r>
      <w:pict>
        <v:rect id="_x0000_i1055" style="width:480.95pt;height:1pt" o:hralign="center" o:hrstd="t" o:hrnoshade="t" o:hr="t" fillcolor="black [3213]" stroked="f"/>
      </w:pict>
    </w:r>
  </w:p>
  <w:p w:rsidR="002D6870" w:rsidRPr="003C2C0F" w:rsidRDefault="002D6870" w:rsidP="00697C62">
    <w:pPr>
      <w:tabs>
        <w:tab w:val="center" w:pos="4680"/>
      </w:tabs>
    </w:pPr>
    <w:r>
      <w:tab/>
      <w:t xml:space="preserve">- </w:t>
    </w:r>
    <w:fldSimple w:instr=" PAGE   \* MERGEFORMAT ">
      <w:r w:rsidR="00007E48">
        <w:rPr>
          <w:noProof/>
        </w:rPr>
        <w:t>186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870" w:rsidRDefault="002D6870">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870" w:rsidRDefault="00F008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8" style="width:480.95pt;height:1pt" o:hralign="center" o:hrstd="t" o:hrnoshade="t" o:hr="t" fillcolor="black [3213]" stroked="f"/>
      </w:pict>
    </w:r>
  </w:p>
  <w:p w:rsidR="002D6870" w:rsidRDefault="002D6870" w:rsidP="00782AE4">
    <w:pPr>
      <w:tabs>
        <w:tab w:val="center" w:pos="4680"/>
      </w:tabs>
    </w:pPr>
    <w:r>
      <w:tab/>
      <w:t xml:space="preserve">- </w:t>
    </w:r>
    <w:r w:rsidR="00F008AC" w:rsidRPr="001775C1">
      <w:rPr>
        <w:szCs w:val="24"/>
      </w:rPr>
      <w:fldChar w:fldCharType="begin"/>
    </w:r>
    <w:r w:rsidRPr="001775C1">
      <w:rPr>
        <w:szCs w:val="24"/>
      </w:rPr>
      <w:instrText xml:space="preserve"> PAGE   \* MERGEFORMAT </w:instrText>
    </w:r>
    <w:r w:rsidR="00F008AC" w:rsidRPr="001775C1">
      <w:rPr>
        <w:szCs w:val="24"/>
      </w:rPr>
      <w:fldChar w:fldCharType="separate"/>
    </w:r>
    <w:r w:rsidR="00007E48">
      <w:rPr>
        <w:noProof/>
        <w:szCs w:val="24"/>
      </w:rPr>
      <w:t>189</w:t>
    </w:r>
    <w:r w:rsidR="00F008AC"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782AE4">
    <w:pPr>
      <w:tabs>
        <w:tab w:val="center" w:pos="4680"/>
      </w:tabs>
    </w:pPr>
    <w:r>
      <w:pict>
        <v:rect id="_x0000_i1059" style="width:480.95pt;height:1pt" o:hralign="center" o:hrstd="t" o:hrnoshade="t" o:hr="t" fillcolor="black [3213]" stroked="f"/>
      </w:pict>
    </w:r>
  </w:p>
  <w:p w:rsidR="002D6870" w:rsidRDefault="002D6870" w:rsidP="00782AE4">
    <w:pPr>
      <w:tabs>
        <w:tab w:val="center" w:pos="4680"/>
      </w:tabs>
    </w:pPr>
    <w:r>
      <w:tab/>
      <w:t xml:space="preserve">- </w:t>
    </w:r>
    <w:r w:rsidR="00F008AC" w:rsidRPr="001775C1">
      <w:rPr>
        <w:szCs w:val="24"/>
      </w:rPr>
      <w:fldChar w:fldCharType="begin"/>
    </w:r>
    <w:r w:rsidRPr="001775C1">
      <w:rPr>
        <w:szCs w:val="24"/>
      </w:rPr>
      <w:instrText xml:space="preserve"> PAGE   \* MERGEFORMAT </w:instrText>
    </w:r>
    <w:r w:rsidR="00F008AC" w:rsidRPr="001775C1">
      <w:rPr>
        <w:szCs w:val="24"/>
      </w:rPr>
      <w:fldChar w:fldCharType="separate"/>
    </w:r>
    <w:r w:rsidR="00007E48">
      <w:rPr>
        <w:noProof/>
        <w:szCs w:val="24"/>
      </w:rPr>
      <w:t>187</w:t>
    </w:r>
    <w:r w:rsidR="00F008AC"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2D6870" w:rsidRDefault="002D68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2D6870" w:rsidRDefault="002D6870">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22323B">
    <w:r>
      <w:pict>
        <v:rect id="_x0000_i1062" style="width:480.95pt;height:1pt" o:hralign="center" o:hrstd="t" o:hrnoshade="t" o:hr="t" fillcolor="black [3213]" stroked="f"/>
      </w:pict>
    </w:r>
  </w:p>
  <w:p w:rsidR="002D6870" w:rsidRDefault="002D6870">
    <w:pPr>
      <w:tabs>
        <w:tab w:val="center" w:pos="4740"/>
      </w:tabs>
      <w:spacing w:line="0" w:lineRule="atLeast"/>
    </w:pPr>
    <w:r>
      <w:tab/>
      <w:t xml:space="preserve">- </w:t>
    </w:r>
    <w:fldSimple w:instr=" PAGE   \* MERGEFORMAT ">
      <w:r w:rsidR="00360B83">
        <w:rPr>
          <w:noProof/>
        </w:rPr>
        <w:t>201</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22323B">
    <w:r>
      <w:pict>
        <v:rect id="_x0000_i1063" style="width:480.95pt;height:1pt" o:hralign="center" o:hrstd="t" o:hrnoshade="t" o:hr="t" fillcolor="black [3213]" stroked="f"/>
      </w:pict>
    </w:r>
  </w:p>
  <w:p w:rsidR="002D6870" w:rsidRDefault="002D6870" w:rsidP="0022323B">
    <w:pPr>
      <w:tabs>
        <w:tab w:val="center" w:pos="4740"/>
      </w:tabs>
      <w:spacing w:line="0" w:lineRule="atLeast"/>
    </w:pPr>
    <w:r>
      <w:tab/>
      <w:t xml:space="preserve">- </w:t>
    </w:r>
    <w:fldSimple w:instr=" PAGE   \* MERGEFORMAT ">
      <w:r w:rsidR="00007E48">
        <w:rPr>
          <w:noProof/>
        </w:rPr>
        <w:t>200</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22323B">
    <w:r>
      <w:pict>
        <v:rect id="_x0000_i1086" style="width:480.95pt;height:1pt" o:hralign="center" o:hrstd="t" o:hrnoshade="t" o:hr="t" fillcolor="black [3213]" stroked="f"/>
      </w:pict>
    </w:r>
  </w:p>
  <w:p w:rsidR="002D6870" w:rsidRDefault="002D6870">
    <w:pPr>
      <w:tabs>
        <w:tab w:val="center" w:pos="4740"/>
      </w:tabs>
      <w:spacing w:line="0" w:lineRule="atLeast"/>
    </w:pPr>
    <w:r>
      <w:tab/>
      <w:t xml:space="preserve">- </w:t>
    </w:r>
    <w:fldSimple w:instr=" PAGE   \* MERGEFORMAT ">
      <w:r w:rsidR="00007E48">
        <w:rPr>
          <w:noProof/>
        </w:rPr>
        <w:t>222</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22323B">
    <w:r>
      <w:pict>
        <v:rect id="_x0000_i1087" style="width:480.95pt;height:1pt" o:hralign="center" o:hrstd="t" o:hrnoshade="t" o:hr="t" fillcolor="black [3213]" stroked="f"/>
      </w:pict>
    </w:r>
  </w:p>
  <w:p w:rsidR="002D6870" w:rsidRDefault="002D6870" w:rsidP="0022323B">
    <w:pPr>
      <w:tabs>
        <w:tab w:val="center" w:pos="4740"/>
      </w:tabs>
      <w:spacing w:line="0" w:lineRule="atLeast"/>
    </w:pPr>
    <w:r>
      <w:tab/>
      <w:t xml:space="preserve">- </w:t>
    </w:r>
    <w:fldSimple w:instr=" PAGE   \* MERGEFORMAT ">
      <w:r w:rsidR="00007E48">
        <w:rPr>
          <w:noProof/>
        </w:rPr>
        <w:t>201</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 w:rsidRPr="00F008AC">
      <w:rPr>
        <w:lang w:val="fr-CA"/>
      </w:rPr>
      <w:pict>
        <v:rect id="_x0000_i1090" style="width:480.95pt;height:1pt" o:hralign="center" o:hrstd="t" o:hrnoshade="t" o:hr="t" fillcolor="black [3213]" stroked="f"/>
      </w:pict>
    </w:r>
  </w:p>
  <w:p w:rsidR="002D6870" w:rsidRDefault="002D6870" w:rsidP="006B6926">
    <w:pPr>
      <w:tabs>
        <w:tab w:val="center" w:pos="4680"/>
      </w:tabs>
    </w:pPr>
    <w:r>
      <w:tab/>
      <w:t xml:space="preserve">- </w:t>
    </w:r>
    <w:fldSimple w:instr="PAGE ">
      <w:r>
        <w:rPr>
          <w:noProof/>
        </w:rPr>
        <w:t>540</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6B6926">
    <w:pPr>
      <w:tabs>
        <w:tab w:val="center" w:pos="4680"/>
      </w:tabs>
      <w:rPr>
        <w:lang w:val="fr-CA"/>
      </w:rPr>
    </w:pPr>
    <w:r w:rsidRPr="00F008AC">
      <w:rPr>
        <w:lang w:val="fr-CA"/>
      </w:rPr>
      <w:pict>
        <v:rect id="_x0000_i1091" style="width:480.95pt;height:1pt" o:hralign="center" o:hrstd="t" o:hrnoshade="t" o:hr="t" fillcolor="black [3213]" stroked="f"/>
      </w:pict>
    </w:r>
  </w:p>
  <w:p w:rsidR="002D6870" w:rsidRDefault="002D6870" w:rsidP="006B6926">
    <w:pPr>
      <w:tabs>
        <w:tab w:val="center" w:pos="4680"/>
      </w:tabs>
    </w:pPr>
    <w:r>
      <w:tab/>
      <w:t xml:space="preserve">- </w:t>
    </w:r>
    <w:fldSimple w:instr="PAGE ">
      <w:r w:rsidR="00007E48">
        <w:rPr>
          <w:noProof/>
        </w:rPr>
        <w:t>223</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Pr="00924065" w:rsidRDefault="002D687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A87207">
    <w:pPr>
      <w:pStyle w:val="Footer"/>
    </w:pPr>
    <w:r>
      <w:pict>
        <v:rect id="_x0000_i1040" style="width:480.95pt;height:1pt" o:hralign="center" o:hrstd="t" o:hrnoshade="t" o:hr="t" fillcolor="black [3213]" stroked="f"/>
      </w:pict>
    </w:r>
  </w:p>
  <w:p w:rsidR="002D6870" w:rsidRPr="00B7374B" w:rsidRDefault="002D6870" w:rsidP="00B7374B">
    <w:pPr>
      <w:tabs>
        <w:tab w:val="center" w:pos="4680"/>
      </w:tabs>
      <w:rPr>
        <w:szCs w:val="24"/>
      </w:rPr>
    </w:pPr>
    <w:r w:rsidRPr="00954D22">
      <w:rPr>
        <w:szCs w:val="24"/>
      </w:rPr>
      <w:tab/>
      <w:t xml:space="preserve">- </w:t>
    </w:r>
    <w:r w:rsidR="00F008AC" w:rsidRPr="00954D22">
      <w:rPr>
        <w:szCs w:val="24"/>
      </w:rPr>
      <w:fldChar w:fldCharType="begin"/>
    </w:r>
    <w:r w:rsidRPr="00954D22">
      <w:rPr>
        <w:szCs w:val="24"/>
      </w:rPr>
      <w:instrText xml:space="preserve"> PAGE   \* MERGEFORMAT </w:instrText>
    </w:r>
    <w:r w:rsidR="00F008AC" w:rsidRPr="00954D22">
      <w:rPr>
        <w:szCs w:val="24"/>
      </w:rPr>
      <w:fldChar w:fldCharType="separate"/>
    </w:r>
    <w:r w:rsidR="00007E48">
      <w:rPr>
        <w:noProof/>
        <w:szCs w:val="24"/>
      </w:rPr>
      <w:t>179</w:t>
    </w:r>
    <w:r w:rsidR="00F008A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755F22">
    <w:pPr>
      <w:tabs>
        <w:tab w:val="left" w:pos="-1440"/>
        <w:tab w:val="left" w:pos="-720"/>
      </w:tabs>
    </w:pPr>
    <w:r>
      <w:pict>
        <v:rect id="_x0000_i1041" style="width:480.95pt;height:1pt" o:hralign="center" o:hrstd="t" o:hrnoshade="t" o:hr="t" fillcolor="black [3213]" stroked="f"/>
      </w:pict>
    </w:r>
  </w:p>
  <w:p w:rsidR="002D6870" w:rsidRPr="00954D22" w:rsidRDefault="002D6870" w:rsidP="00B7374B">
    <w:pPr>
      <w:tabs>
        <w:tab w:val="center" w:pos="4680"/>
      </w:tabs>
      <w:rPr>
        <w:szCs w:val="24"/>
      </w:rPr>
    </w:pPr>
    <w:r w:rsidRPr="00954D22">
      <w:rPr>
        <w:szCs w:val="24"/>
      </w:rPr>
      <w:tab/>
      <w:t xml:space="preserve">- </w:t>
    </w:r>
    <w:r w:rsidR="00F008AC">
      <w:rPr>
        <w:szCs w:val="24"/>
      </w:rPr>
      <w:fldChar w:fldCharType="begin"/>
    </w:r>
    <w:r>
      <w:rPr>
        <w:szCs w:val="24"/>
      </w:rPr>
      <w:instrText xml:space="preserve"> PAGE   \* MERGEFORMAT </w:instrText>
    </w:r>
    <w:r w:rsidR="00F008AC">
      <w:rPr>
        <w:szCs w:val="24"/>
      </w:rPr>
      <w:fldChar w:fldCharType="separate"/>
    </w:r>
    <w:r w:rsidR="00007E48">
      <w:rPr>
        <w:noProof/>
        <w:szCs w:val="24"/>
      </w:rPr>
      <w:t>178</w:t>
    </w:r>
    <w:r w:rsidR="00F008AC">
      <w:rPr>
        <w:szCs w:val="24"/>
      </w:rPr>
      <w:fldChar w:fldCharType="end"/>
    </w:r>
    <w:r w:rsidRPr="00954D22">
      <w:rPr>
        <w:szCs w:val="24"/>
      </w:rPr>
      <w:t xml:space="preserve"> -</w:t>
    </w:r>
  </w:p>
  <w:p w:rsidR="002D6870" w:rsidRDefault="002D68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A87207">
    <w:pPr>
      <w:pStyle w:val="Footer"/>
    </w:pPr>
    <w:r>
      <w:pict>
        <v:rect id="_x0000_i1043" style="width:480.95pt;height:1pt" o:hralign="center" o:hrstd="t" o:hrnoshade="t" o:hr="t" fillcolor="black [3213]" stroked="f"/>
      </w:pict>
    </w:r>
  </w:p>
  <w:p w:rsidR="002D6870" w:rsidRPr="00B7374B" w:rsidRDefault="002D6870" w:rsidP="00B7374B">
    <w:pPr>
      <w:tabs>
        <w:tab w:val="center" w:pos="4680"/>
      </w:tabs>
      <w:rPr>
        <w:szCs w:val="24"/>
      </w:rPr>
    </w:pPr>
    <w:r w:rsidRPr="00954D22">
      <w:rPr>
        <w:szCs w:val="24"/>
      </w:rPr>
      <w:tab/>
      <w:t xml:space="preserve">- </w:t>
    </w:r>
    <w:r w:rsidR="00F008AC" w:rsidRPr="00954D22">
      <w:rPr>
        <w:szCs w:val="24"/>
      </w:rPr>
      <w:fldChar w:fldCharType="begin"/>
    </w:r>
    <w:r w:rsidRPr="00954D22">
      <w:rPr>
        <w:szCs w:val="24"/>
      </w:rPr>
      <w:instrText xml:space="preserve"> PAGE   \* MERGEFORMAT </w:instrText>
    </w:r>
    <w:r w:rsidR="00F008AC" w:rsidRPr="00954D22">
      <w:rPr>
        <w:szCs w:val="24"/>
      </w:rPr>
      <w:fldChar w:fldCharType="separate"/>
    </w:r>
    <w:r>
      <w:rPr>
        <w:noProof/>
        <w:szCs w:val="24"/>
      </w:rPr>
      <w:t>181</w:t>
    </w:r>
    <w:r w:rsidR="00F008A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2D6870" w:rsidRPr="00954D22" w:rsidRDefault="002D6870" w:rsidP="00B7374B">
    <w:pPr>
      <w:tabs>
        <w:tab w:val="center" w:pos="4680"/>
      </w:tabs>
      <w:rPr>
        <w:szCs w:val="24"/>
      </w:rPr>
    </w:pPr>
    <w:r w:rsidRPr="00954D22">
      <w:rPr>
        <w:szCs w:val="24"/>
      </w:rPr>
      <w:tab/>
      <w:t xml:space="preserve">- </w:t>
    </w:r>
    <w:r w:rsidR="00F008AC" w:rsidRPr="00954D22">
      <w:rPr>
        <w:szCs w:val="24"/>
      </w:rPr>
      <w:fldChar w:fldCharType="begin"/>
    </w:r>
    <w:r w:rsidRPr="00954D22">
      <w:rPr>
        <w:szCs w:val="24"/>
      </w:rPr>
      <w:instrText xml:space="preserve"> PAGE   \* MERGEFORMAT </w:instrText>
    </w:r>
    <w:r w:rsidR="00F008AC" w:rsidRPr="00954D22">
      <w:rPr>
        <w:szCs w:val="24"/>
      </w:rPr>
      <w:fldChar w:fldCharType="separate"/>
    </w:r>
    <w:r w:rsidR="00007E48">
      <w:rPr>
        <w:noProof/>
        <w:szCs w:val="24"/>
      </w:rPr>
      <w:t>180</w:t>
    </w:r>
    <w:r w:rsidR="00F008A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870" w:rsidRDefault="002D687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F008AC" w:rsidP="00755F22">
    <w:pPr>
      <w:tabs>
        <w:tab w:val="left" w:pos="-1440"/>
        <w:tab w:val="left" w:pos="-720"/>
      </w:tabs>
    </w:pPr>
    <w:r>
      <w:pict>
        <v:rect id="_x0000_i1048" style="width:480.95pt;height:1pt" o:hralign="center" o:hrstd="t" o:hrnoshade="t" o:hr="t" fillcolor="black [3213]" stroked="f"/>
      </w:pict>
    </w:r>
  </w:p>
  <w:p w:rsidR="002D6870" w:rsidRDefault="002D6870" w:rsidP="00EB2B90">
    <w:pPr>
      <w:tabs>
        <w:tab w:val="center" w:pos="4680"/>
      </w:tabs>
    </w:pPr>
    <w:r>
      <w:tab/>
      <w:t xml:space="preserve">- </w:t>
    </w:r>
    <w:fldSimple w:instr=" PAGE   \* MERGEFORMAT ">
      <w:r w:rsidR="00007E48">
        <w:rPr>
          <w:noProof/>
        </w:rPr>
        <w:t>184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70" w:rsidRDefault="002D6870" w:rsidP="00A87207">
      <w:r>
        <w:separator/>
      </w:r>
    </w:p>
  </w:footnote>
  <w:footnote w:type="continuationSeparator" w:id="0">
    <w:p w:rsidR="002D6870" w:rsidRDefault="002D687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D6870" w:rsidRPr="00483800">
      <w:tc>
        <w:tcPr>
          <w:tcW w:w="4200" w:type="dxa"/>
          <w:tcMar>
            <w:left w:w="0" w:type="dxa"/>
            <w:right w:w="0" w:type="dxa"/>
          </w:tcMar>
        </w:tcPr>
        <w:p w:rsidR="002D6870" w:rsidRDefault="002D687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D6870" w:rsidRDefault="002D687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D6870" w:rsidRDefault="002D687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870" w:rsidRPr="009256DC" w:rsidRDefault="002D687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D6870" w:rsidRPr="009256DC" w:rsidRDefault="002D68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D6870" w:rsidRPr="009256DC" w:rsidRDefault="002D68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D6870" w:rsidRPr="00483800" w:rsidTr="00245129">
      <w:tc>
        <w:tcPr>
          <w:tcW w:w="4200" w:type="dxa"/>
          <w:tcMar>
            <w:left w:w="0" w:type="dxa"/>
            <w:right w:w="0" w:type="dxa"/>
          </w:tcMar>
        </w:tcPr>
        <w:p w:rsidR="002D6870" w:rsidRPr="00802863" w:rsidRDefault="002D687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D6870" w:rsidRPr="00802863" w:rsidRDefault="002D6870" w:rsidP="00802863">
          <w:pPr>
            <w:keepNext/>
            <w:keepLines/>
            <w:widowControl w:val="0"/>
            <w:tabs>
              <w:tab w:val="left" w:pos="-1440"/>
              <w:tab w:val="left" w:pos="-720"/>
            </w:tabs>
            <w:jc w:val="center"/>
            <w:rPr>
              <w:sz w:val="20"/>
              <w:szCs w:val="20"/>
            </w:rPr>
          </w:pPr>
        </w:p>
        <w:p w:rsidR="002D6870" w:rsidRPr="00802863" w:rsidRDefault="002D6870" w:rsidP="00802863">
          <w:pPr>
            <w:keepNext/>
            <w:keepLines/>
            <w:widowControl w:val="0"/>
            <w:tabs>
              <w:tab w:val="left" w:pos="-1440"/>
              <w:tab w:val="left" w:pos="-720"/>
            </w:tabs>
            <w:jc w:val="center"/>
            <w:rPr>
              <w:sz w:val="20"/>
              <w:szCs w:val="20"/>
            </w:rPr>
          </w:pPr>
        </w:p>
        <w:p w:rsidR="002D6870" w:rsidRPr="00802863" w:rsidRDefault="002D687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D6870" w:rsidRPr="00802863" w:rsidRDefault="002D687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D6870" w:rsidRPr="009256DC" w:rsidRDefault="002D687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D6870" w:rsidRPr="00483800">
      <w:tc>
        <w:tcPr>
          <w:tcW w:w="420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D6870" w:rsidRPr="003C2C0F" w:rsidRDefault="002D6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D6870" w:rsidRPr="003C2C0F"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D6870" w:rsidRPr="003C2C0F"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D6870" w:rsidRPr="00483800" w:rsidTr="00245129">
      <w:tc>
        <w:tcPr>
          <w:tcW w:w="4200" w:type="dxa"/>
          <w:tcMar>
            <w:left w:w="0" w:type="dxa"/>
            <w:right w:w="0" w:type="dxa"/>
          </w:tcMar>
        </w:tcPr>
        <w:p w:rsidR="002D6870" w:rsidRPr="00FF6EEC" w:rsidRDefault="002D6870" w:rsidP="00FF6EEC">
          <w:pPr>
            <w:rPr>
              <w:sz w:val="20"/>
              <w:szCs w:val="20"/>
            </w:rPr>
          </w:pPr>
          <w:r w:rsidRPr="00FF6EEC">
            <w:rPr>
              <w:sz w:val="20"/>
              <w:szCs w:val="20"/>
            </w:rPr>
            <w:t>PRONOUNCEMENTS OF APPEALS RESERVED</w:t>
          </w:r>
        </w:p>
      </w:tc>
      <w:tc>
        <w:tcPr>
          <w:tcW w:w="1200" w:type="dxa"/>
          <w:tcMar>
            <w:left w:w="0" w:type="dxa"/>
            <w:right w:w="0" w:type="dxa"/>
          </w:tcMar>
        </w:tcPr>
        <w:p w:rsidR="002D6870" w:rsidRPr="00FF6EEC" w:rsidRDefault="002D6870" w:rsidP="00FF6EEC">
          <w:pPr>
            <w:jc w:val="center"/>
            <w:rPr>
              <w:sz w:val="20"/>
              <w:szCs w:val="20"/>
            </w:rPr>
          </w:pPr>
        </w:p>
        <w:p w:rsidR="002D6870" w:rsidRPr="00FF6EEC" w:rsidRDefault="002D6870" w:rsidP="00FF6EEC">
          <w:pPr>
            <w:jc w:val="center"/>
            <w:rPr>
              <w:sz w:val="20"/>
              <w:szCs w:val="20"/>
            </w:rPr>
          </w:pPr>
        </w:p>
        <w:p w:rsidR="002D6870" w:rsidRPr="00FF6EEC" w:rsidRDefault="002D6870" w:rsidP="00FF6EEC">
          <w:pPr>
            <w:jc w:val="center"/>
            <w:rPr>
              <w:sz w:val="20"/>
              <w:szCs w:val="20"/>
            </w:rPr>
          </w:pPr>
        </w:p>
      </w:tc>
      <w:tc>
        <w:tcPr>
          <w:tcW w:w="4080" w:type="dxa"/>
          <w:tcMar>
            <w:left w:w="0" w:type="dxa"/>
            <w:right w:w="0" w:type="dxa"/>
          </w:tcMar>
        </w:tcPr>
        <w:p w:rsidR="002D6870" w:rsidRPr="00FF6EEC" w:rsidRDefault="002D6870" w:rsidP="00FF6EEC">
          <w:pPr>
            <w:rPr>
              <w:sz w:val="20"/>
              <w:szCs w:val="20"/>
              <w:lang w:val="fr-CA"/>
            </w:rPr>
          </w:pPr>
          <w:r w:rsidRPr="00FF6EEC">
            <w:rPr>
              <w:sz w:val="20"/>
              <w:szCs w:val="20"/>
              <w:lang w:val="fr-CA"/>
            </w:rPr>
            <w:t>JUGEMENTS RENDUS SUR LES APPELS EN DÉLIBÉRÉ</w:t>
          </w:r>
        </w:p>
      </w:tc>
    </w:tr>
  </w:tbl>
  <w:p w:rsidR="002D6870" w:rsidRPr="003C2C0F" w:rsidRDefault="002D687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D6870">
      <w:tc>
        <w:tcPr>
          <w:tcW w:w="423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D6870" w:rsidRDefault="002D6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D6870" w:rsidRPr="00782AE4" w:rsidTr="00245129">
      <w:tc>
        <w:tcPr>
          <w:tcW w:w="4230" w:type="dxa"/>
          <w:tcMar>
            <w:left w:w="0" w:type="dxa"/>
            <w:right w:w="0" w:type="dxa"/>
          </w:tcMar>
        </w:tcPr>
        <w:p w:rsidR="002D6870" w:rsidRPr="00782AE4" w:rsidRDefault="002D6870" w:rsidP="00102926">
          <w:pPr>
            <w:keepNext/>
            <w:keepLines/>
            <w:tabs>
              <w:tab w:val="left" w:pos="-1440"/>
              <w:tab w:val="left" w:pos="-720"/>
            </w:tabs>
            <w:rPr>
              <w:sz w:val="20"/>
              <w:szCs w:val="20"/>
            </w:rPr>
          </w:pPr>
          <w:r w:rsidRPr="00782AE4">
            <w:rPr>
              <w:sz w:val="20"/>
              <w:szCs w:val="20"/>
            </w:rPr>
            <w:t xml:space="preserve">HEADNOTES OF RECENT </w:t>
          </w:r>
        </w:p>
        <w:p w:rsidR="002D6870" w:rsidRPr="00782AE4"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D6870" w:rsidRDefault="002D6870" w:rsidP="00102926">
          <w:pPr>
            <w:keepNext/>
            <w:keepLines/>
            <w:tabs>
              <w:tab w:val="left" w:pos="-1440"/>
              <w:tab w:val="left" w:pos="-720"/>
            </w:tabs>
            <w:jc w:val="center"/>
            <w:rPr>
              <w:sz w:val="20"/>
              <w:szCs w:val="20"/>
            </w:rPr>
          </w:pPr>
        </w:p>
        <w:p w:rsidR="002D6870" w:rsidRDefault="002D6870" w:rsidP="00102926">
          <w:pPr>
            <w:keepNext/>
            <w:keepLines/>
            <w:tabs>
              <w:tab w:val="left" w:pos="-1440"/>
              <w:tab w:val="left" w:pos="-720"/>
            </w:tabs>
            <w:jc w:val="center"/>
            <w:rPr>
              <w:sz w:val="20"/>
              <w:szCs w:val="20"/>
            </w:rPr>
          </w:pPr>
        </w:p>
        <w:p w:rsidR="002D6870" w:rsidRPr="00782AE4" w:rsidRDefault="002D6870" w:rsidP="00102926">
          <w:pPr>
            <w:keepNext/>
            <w:keepLines/>
            <w:tabs>
              <w:tab w:val="left" w:pos="-1440"/>
              <w:tab w:val="left" w:pos="-720"/>
            </w:tabs>
            <w:jc w:val="center"/>
            <w:rPr>
              <w:sz w:val="20"/>
              <w:szCs w:val="20"/>
            </w:rPr>
          </w:pPr>
        </w:p>
      </w:tc>
      <w:tc>
        <w:tcPr>
          <w:tcW w:w="4080" w:type="dxa"/>
          <w:tcMar>
            <w:left w:w="0" w:type="dxa"/>
            <w:right w:w="0" w:type="dxa"/>
          </w:tcMar>
        </w:tcPr>
        <w:p w:rsidR="002D6870" w:rsidRPr="00102926"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D6870" w:rsidRPr="00782AE4" w:rsidRDefault="002D6870" w:rsidP="00102926">
          <w:pPr>
            <w:keepLines/>
            <w:tabs>
              <w:tab w:val="left" w:pos="-1440"/>
              <w:tab w:val="left" w:pos="-720"/>
            </w:tabs>
            <w:rPr>
              <w:sz w:val="20"/>
              <w:szCs w:val="20"/>
            </w:rPr>
          </w:pPr>
          <w:r w:rsidRPr="00102926">
            <w:rPr>
              <w:sz w:val="20"/>
              <w:szCs w:val="20"/>
              <w:lang w:val="fr-CA"/>
            </w:rPr>
            <w:t>RÉCENTS</w:t>
          </w:r>
        </w:p>
      </w:tc>
    </w:tr>
  </w:tbl>
  <w:p w:rsidR="002D6870" w:rsidRDefault="002D687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D6870">
      <w:tc>
        <w:tcPr>
          <w:tcW w:w="4200" w:type="dxa"/>
          <w:tcMar>
            <w:left w:w="0" w:type="dxa"/>
            <w:right w:w="0" w:type="dxa"/>
          </w:tcMar>
        </w:tcPr>
        <w:p w:rsidR="002D6870" w:rsidRDefault="002D68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2D6870" w:rsidRDefault="002D68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2D6870" w:rsidRDefault="002D68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2D6870" w:rsidRDefault="002D687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2D6870" w:rsidRDefault="002D68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2D6870" w:rsidRDefault="002D68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D6870" w:rsidRPr="00C50A5C" w:rsidTr="00245129">
      <w:tc>
        <w:tcPr>
          <w:tcW w:w="4200" w:type="dxa"/>
          <w:tcMar>
            <w:left w:w="0" w:type="dxa"/>
            <w:right w:w="0" w:type="dxa"/>
          </w:tcMar>
        </w:tcPr>
        <w:p w:rsidR="002D6870" w:rsidRPr="00C50A5C" w:rsidRDefault="002D68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2D6870" w:rsidRPr="00C50A5C" w:rsidRDefault="002D68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2D6870" w:rsidRPr="00C50A5C" w:rsidRDefault="002D68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2D6870" w:rsidRPr="00C50A5C" w:rsidRDefault="002D6870"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2D6870" w:rsidRDefault="002D687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D6870" w:rsidRPr="005F263E" w:rsidTr="00245129">
      <w:tc>
        <w:tcPr>
          <w:tcW w:w="4200" w:type="dxa"/>
          <w:tcMar>
            <w:left w:w="0" w:type="dxa"/>
            <w:right w:w="0" w:type="dxa"/>
          </w:tcMar>
        </w:tcPr>
        <w:p w:rsidR="002D6870" w:rsidRPr="005F263E" w:rsidRDefault="002D687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2D6870" w:rsidRPr="005F263E" w:rsidRDefault="002D6870" w:rsidP="00245129">
          <w:pPr>
            <w:keepNext/>
            <w:keepLines/>
            <w:tabs>
              <w:tab w:val="left" w:pos="-1440"/>
              <w:tab w:val="left" w:pos="-720"/>
            </w:tabs>
            <w:jc w:val="center"/>
            <w:rPr>
              <w:sz w:val="20"/>
              <w:szCs w:val="20"/>
            </w:rPr>
          </w:pPr>
        </w:p>
        <w:p w:rsidR="002D6870" w:rsidRPr="005F263E" w:rsidRDefault="002D6870" w:rsidP="00245129">
          <w:pPr>
            <w:keepNext/>
            <w:keepLines/>
            <w:tabs>
              <w:tab w:val="left" w:pos="-1440"/>
              <w:tab w:val="left" w:pos="-720"/>
            </w:tabs>
            <w:jc w:val="center"/>
            <w:rPr>
              <w:sz w:val="20"/>
              <w:szCs w:val="20"/>
            </w:rPr>
          </w:pPr>
        </w:p>
      </w:tc>
      <w:tc>
        <w:tcPr>
          <w:tcW w:w="4080" w:type="dxa"/>
          <w:tcMar>
            <w:left w:w="0" w:type="dxa"/>
            <w:right w:w="0" w:type="dxa"/>
          </w:tcMar>
        </w:tcPr>
        <w:p w:rsidR="002D6870" w:rsidRPr="005F263E" w:rsidRDefault="002D6870" w:rsidP="00245129">
          <w:pPr>
            <w:keepLines/>
            <w:tabs>
              <w:tab w:val="left" w:pos="-1440"/>
              <w:tab w:val="left" w:pos="-720"/>
            </w:tabs>
            <w:rPr>
              <w:sz w:val="20"/>
              <w:szCs w:val="20"/>
            </w:rPr>
          </w:pPr>
          <w:r w:rsidRPr="005F263E">
            <w:rPr>
              <w:sz w:val="20"/>
              <w:szCs w:val="20"/>
            </w:rPr>
            <w:t>RÉSUMÉS DES AFFAIRES</w:t>
          </w:r>
        </w:p>
      </w:tc>
    </w:tr>
  </w:tbl>
  <w:p w:rsidR="002D6870" w:rsidRDefault="002D6870" w:rsidP="005F263E"/>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D6870" w:rsidRPr="00483800" w:rsidTr="00245129">
      <w:tc>
        <w:tcPr>
          <w:tcW w:w="4320" w:type="dxa"/>
        </w:tcPr>
        <w:p w:rsidR="002D6870" w:rsidRPr="006B6926" w:rsidRDefault="002D6870" w:rsidP="006B6926">
          <w:pPr>
            <w:keepNext/>
            <w:keepLines/>
            <w:rPr>
              <w:bCs/>
              <w:sz w:val="20"/>
              <w:szCs w:val="20"/>
              <w:lang w:val="en-GB"/>
            </w:rPr>
          </w:pPr>
          <w:r w:rsidRPr="006B6926">
            <w:rPr>
              <w:bCs/>
              <w:sz w:val="20"/>
              <w:szCs w:val="20"/>
              <w:lang w:val="en-GB"/>
            </w:rPr>
            <w:t>SUPREME COURT REPORTS</w:t>
          </w:r>
        </w:p>
      </w:tc>
      <w:tc>
        <w:tcPr>
          <w:tcW w:w="840" w:type="dxa"/>
        </w:tcPr>
        <w:p w:rsidR="002D6870" w:rsidRDefault="002D6870" w:rsidP="006B6926">
          <w:pPr>
            <w:jc w:val="center"/>
            <w:rPr>
              <w:bCs/>
              <w:sz w:val="20"/>
              <w:szCs w:val="20"/>
              <w:lang w:val="en-GB"/>
            </w:rPr>
          </w:pPr>
        </w:p>
        <w:p w:rsidR="002D6870" w:rsidRPr="006B6926" w:rsidRDefault="002D6870" w:rsidP="006B6926">
          <w:pPr>
            <w:jc w:val="center"/>
            <w:rPr>
              <w:bCs/>
              <w:sz w:val="20"/>
              <w:szCs w:val="20"/>
              <w:lang w:val="en-GB"/>
            </w:rPr>
          </w:pPr>
        </w:p>
      </w:tc>
      <w:tc>
        <w:tcPr>
          <w:tcW w:w="4320" w:type="dxa"/>
        </w:tcPr>
        <w:p w:rsidR="002D6870" w:rsidRPr="006B6926" w:rsidRDefault="002D6870" w:rsidP="006B6926">
          <w:pPr>
            <w:keepNext/>
            <w:keepLines/>
            <w:rPr>
              <w:bCs/>
              <w:sz w:val="20"/>
              <w:szCs w:val="20"/>
              <w:lang w:val="fr-CA"/>
            </w:rPr>
          </w:pPr>
          <w:r w:rsidRPr="006B6926">
            <w:rPr>
              <w:bCs/>
              <w:sz w:val="20"/>
              <w:szCs w:val="20"/>
              <w:lang w:val="fr-CA"/>
            </w:rPr>
            <w:t>RECUEIL DES ARRÊTS DE LA COUR SUPRÊME</w:t>
          </w:r>
        </w:p>
      </w:tc>
    </w:tr>
  </w:tbl>
  <w:p w:rsidR="002D6870" w:rsidRPr="000924F7" w:rsidRDefault="002D6870">
    <w:pPr>
      <w:pStyle w:val="Header"/>
      <w:rPr>
        <w:lang w:val="fr-CA"/>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2D6870" w:rsidRPr="0044776A" w:rsidTr="00245129">
      <w:tc>
        <w:tcPr>
          <w:tcW w:w="4290" w:type="dxa"/>
          <w:tcMar>
            <w:left w:w="0" w:type="dxa"/>
            <w:right w:w="0" w:type="dxa"/>
          </w:tcMar>
        </w:tcPr>
        <w:p w:rsidR="002D6870" w:rsidRPr="0044776A" w:rsidRDefault="002D687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D6870" w:rsidRPr="0044776A" w:rsidRDefault="002D6870" w:rsidP="002E2327">
          <w:pPr>
            <w:keepNext/>
            <w:keepLines/>
            <w:tabs>
              <w:tab w:val="left" w:pos="-1440"/>
              <w:tab w:val="left" w:pos="-720"/>
            </w:tabs>
            <w:jc w:val="center"/>
            <w:rPr>
              <w:sz w:val="20"/>
              <w:szCs w:val="20"/>
            </w:rPr>
          </w:pPr>
        </w:p>
        <w:p w:rsidR="002D6870" w:rsidRPr="0044776A" w:rsidRDefault="002D6870" w:rsidP="002E2327">
          <w:pPr>
            <w:keepNext/>
            <w:keepLines/>
            <w:tabs>
              <w:tab w:val="left" w:pos="-1440"/>
              <w:tab w:val="left" w:pos="-720"/>
            </w:tabs>
            <w:jc w:val="center"/>
            <w:rPr>
              <w:sz w:val="20"/>
              <w:szCs w:val="20"/>
            </w:rPr>
          </w:pPr>
        </w:p>
        <w:p w:rsidR="002D6870" w:rsidRPr="0044776A" w:rsidRDefault="002D6870" w:rsidP="002E2327">
          <w:pPr>
            <w:keepNext/>
            <w:keepLines/>
            <w:tabs>
              <w:tab w:val="left" w:pos="-1440"/>
              <w:tab w:val="left" w:pos="-720"/>
            </w:tabs>
            <w:jc w:val="center"/>
            <w:rPr>
              <w:sz w:val="20"/>
              <w:szCs w:val="20"/>
            </w:rPr>
          </w:pPr>
        </w:p>
      </w:tc>
      <w:tc>
        <w:tcPr>
          <w:tcW w:w="4320" w:type="dxa"/>
          <w:tcMar>
            <w:left w:w="0" w:type="dxa"/>
            <w:right w:w="0" w:type="dxa"/>
          </w:tcMar>
        </w:tcPr>
        <w:p w:rsidR="002D6870" w:rsidRPr="0044776A" w:rsidRDefault="002D6870" w:rsidP="002E2327">
          <w:pPr>
            <w:keepLines/>
            <w:rPr>
              <w:sz w:val="20"/>
              <w:szCs w:val="20"/>
              <w:lang w:val="fr-CA"/>
            </w:rPr>
          </w:pPr>
          <w:r w:rsidRPr="0044776A">
            <w:rPr>
              <w:sz w:val="20"/>
              <w:szCs w:val="20"/>
              <w:lang w:val="fr-CA"/>
            </w:rPr>
            <w:t>DEMANDES D'AUTORISATION D'APPEL DÉPOSÉES</w:t>
          </w:r>
        </w:p>
      </w:tc>
    </w:tr>
  </w:tbl>
  <w:p w:rsidR="002D6870" w:rsidRDefault="002D68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D6870" w:rsidRPr="00483800" w:rsidTr="00245129">
      <w:tc>
        <w:tcPr>
          <w:tcW w:w="4200" w:type="dxa"/>
          <w:tcMar>
            <w:left w:w="0" w:type="dxa"/>
            <w:right w:w="0" w:type="dxa"/>
          </w:tcMar>
        </w:tcPr>
        <w:p w:rsidR="002D6870" w:rsidRPr="0044776A" w:rsidRDefault="002D6870" w:rsidP="0044776A">
          <w:pPr>
            <w:keepNext/>
            <w:keepLines/>
            <w:widowControl w:val="0"/>
            <w:rPr>
              <w:sz w:val="20"/>
              <w:szCs w:val="20"/>
            </w:rPr>
          </w:pPr>
          <w:r>
            <w:rPr>
              <w:sz w:val="20"/>
              <w:szCs w:val="20"/>
            </w:rPr>
            <w:t>APPLICATIONS FOR LEAVE</w:t>
          </w:r>
        </w:p>
        <w:p w:rsidR="002D6870" w:rsidRPr="0044776A" w:rsidRDefault="002D687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D6870" w:rsidRPr="0044776A" w:rsidRDefault="002D6870" w:rsidP="0044776A">
          <w:pPr>
            <w:keepNext/>
            <w:keepLines/>
            <w:widowControl w:val="0"/>
            <w:jc w:val="center"/>
            <w:rPr>
              <w:sz w:val="20"/>
              <w:szCs w:val="20"/>
            </w:rPr>
          </w:pPr>
        </w:p>
        <w:p w:rsidR="002D6870" w:rsidRPr="0044776A" w:rsidRDefault="002D6870" w:rsidP="0044776A">
          <w:pPr>
            <w:keepNext/>
            <w:keepLines/>
            <w:widowControl w:val="0"/>
            <w:jc w:val="center"/>
            <w:rPr>
              <w:sz w:val="20"/>
              <w:szCs w:val="20"/>
            </w:rPr>
          </w:pPr>
        </w:p>
        <w:p w:rsidR="002D6870" w:rsidRPr="0044776A" w:rsidRDefault="002D6870" w:rsidP="0044776A">
          <w:pPr>
            <w:keepNext/>
            <w:keepLines/>
            <w:widowControl w:val="0"/>
            <w:jc w:val="center"/>
            <w:rPr>
              <w:sz w:val="20"/>
              <w:szCs w:val="20"/>
            </w:rPr>
          </w:pPr>
        </w:p>
      </w:tc>
      <w:tc>
        <w:tcPr>
          <w:tcW w:w="4080" w:type="dxa"/>
          <w:tcMar>
            <w:left w:w="0" w:type="dxa"/>
            <w:right w:w="0" w:type="dxa"/>
          </w:tcMar>
        </w:tcPr>
        <w:p w:rsidR="002D6870" w:rsidRPr="0044776A" w:rsidRDefault="002D6870" w:rsidP="0044776A">
          <w:pPr>
            <w:keepLines/>
            <w:widowControl w:val="0"/>
            <w:rPr>
              <w:sz w:val="20"/>
              <w:szCs w:val="20"/>
              <w:lang w:val="fr-CA"/>
            </w:rPr>
          </w:pPr>
          <w:r w:rsidRPr="0044776A">
            <w:rPr>
              <w:sz w:val="20"/>
              <w:szCs w:val="20"/>
              <w:lang w:val="fr-CA"/>
            </w:rPr>
            <w:t>DEMANDES SOUMISES À LA COUR DEPUIS LA DERNIÈRE PARUTION</w:t>
          </w:r>
        </w:p>
        <w:p w:rsidR="002D6870" w:rsidRPr="0044776A" w:rsidRDefault="002D6870" w:rsidP="0044776A">
          <w:pPr>
            <w:widowControl w:val="0"/>
            <w:rPr>
              <w:sz w:val="20"/>
              <w:szCs w:val="20"/>
              <w:lang w:val="fr-CA"/>
            </w:rPr>
          </w:pPr>
        </w:p>
      </w:tc>
    </w:tr>
  </w:tbl>
  <w:p w:rsidR="002D6870" w:rsidRPr="002E2327" w:rsidRDefault="002D687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70" w:rsidRDefault="002D687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D6870">
      <w:tc>
        <w:tcPr>
          <w:tcW w:w="4230" w:type="dxa"/>
          <w:tcMar>
            <w:left w:w="0" w:type="dxa"/>
            <w:right w:w="0" w:type="dxa"/>
          </w:tcMar>
        </w:tcPr>
        <w:p w:rsidR="002D6870" w:rsidRDefault="002D6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D6870" w:rsidRDefault="002D6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870" w:rsidRDefault="002D6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D6870">
      <w:trPr>
        <w:gridAfter w:val="2"/>
        <w:wAfter w:w="5250" w:type="dxa"/>
      </w:trPr>
      <w:tc>
        <w:tcPr>
          <w:tcW w:w="4230" w:type="dxa"/>
          <w:tcMar>
            <w:left w:w="0" w:type="dxa"/>
            <w:right w:w="0" w:type="dxa"/>
          </w:tcMar>
        </w:tcPr>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D6870" w:rsidRDefault="002D6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D6870" w:rsidRPr="00755F22" w:rsidTr="00245129">
      <w:tc>
        <w:tcPr>
          <w:tcW w:w="4230" w:type="dxa"/>
          <w:tcMar>
            <w:left w:w="0" w:type="dxa"/>
            <w:right w:w="0" w:type="dxa"/>
          </w:tcMar>
        </w:tcPr>
        <w:p w:rsidR="002D6870" w:rsidRPr="00755F22" w:rsidRDefault="002D6870" w:rsidP="00831CA9">
          <w:pPr>
            <w:keepNext/>
            <w:keepLines/>
            <w:rPr>
              <w:sz w:val="20"/>
              <w:szCs w:val="20"/>
            </w:rPr>
          </w:pPr>
          <w:r w:rsidRPr="00755F22">
            <w:rPr>
              <w:sz w:val="20"/>
              <w:szCs w:val="20"/>
            </w:rPr>
            <w:t>MOTIONS</w:t>
          </w:r>
        </w:p>
      </w:tc>
      <w:tc>
        <w:tcPr>
          <w:tcW w:w="1170" w:type="dxa"/>
          <w:tcMar>
            <w:left w:w="0" w:type="dxa"/>
            <w:right w:w="0" w:type="dxa"/>
          </w:tcMar>
        </w:tcPr>
        <w:p w:rsidR="002D6870" w:rsidRPr="00755F22" w:rsidRDefault="002D6870" w:rsidP="00831CA9">
          <w:pPr>
            <w:keepLines/>
            <w:jc w:val="center"/>
            <w:rPr>
              <w:sz w:val="20"/>
              <w:szCs w:val="20"/>
            </w:rPr>
          </w:pPr>
        </w:p>
        <w:p w:rsidR="002D6870" w:rsidRPr="00755F22" w:rsidRDefault="002D6870" w:rsidP="00831CA9">
          <w:pPr>
            <w:keepLines/>
            <w:tabs>
              <w:tab w:val="left" w:pos="-1440"/>
              <w:tab w:val="left" w:pos="-720"/>
            </w:tabs>
            <w:jc w:val="center"/>
            <w:rPr>
              <w:sz w:val="20"/>
              <w:szCs w:val="20"/>
            </w:rPr>
          </w:pPr>
        </w:p>
      </w:tc>
      <w:tc>
        <w:tcPr>
          <w:tcW w:w="4080" w:type="dxa"/>
          <w:tcMar>
            <w:left w:w="0" w:type="dxa"/>
            <w:right w:w="0" w:type="dxa"/>
          </w:tcMar>
        </w:tcPr>
        <w:p w:rsidR="002D6870" w:rsidRPr="00BA6468" w:rsidRDefault="002D6870" w:rsidP="00BA6468">
          <w:pPr>
            <w:keepLines/>
            <w:rPr>
              <w:sz w:val="20"/>
              <w:szCs w:val="20"/>
              <w:lang w:val="fr-CA"/>
            </w:rPr>
          </w:pPr>
          <w:r w:rsidRPr="00BA6468">
            <w:rPr>
              <w:sz w:val="20"/>
              <w:szCs w:val="20"/>
              <w:lang w:val="fr-CA"/>
            </w:rPr>
            <w:t>REQUÊTES</w:t>
          </w:r>
        </w:p>
      </w:tc>
    </w:tr>
  </w:tbl>
  <w:p w:rsidR="002D6870" w:rsidRDefault="002D6870"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123"/>
  </w:hdrShapeDefaults>
  <w:footnotePr>
    <w:footnote w:id="-1"/>
    <w:footnote w:id="0"/>
  </w:footnotePr>
  <w:endnotePr>
    <w:endnote w:id="-1"/>
    <w:endnote w:id="0"/>
  </w:endnotePr>
  <w:compat/>
  <w:rsids>
    <w:rsidRoot w:val="00C07396"/>
    <w:rsid w:val="00007E48"/>
    <w:rsid w:val="00010443"/>
    <w:rsid w:val="000137F5"/>
    <w:rsid w:val="0003223B"/>
    <w:rsid w:val="000327B2"/>
    <w:rsid w:val="00032ACC"/>
    <w:rsid w:val="00062304"/>
    <w:rsid w:val="00066AF5"/>
    <w:rsid w:val="00091FA6"/>
    <w:rsid w:val="00096BD9"/>
    <w:rsid w:val="000A6105"/>
    <w:rsid w:val="000B3C9A"/>
    <w:rsid w:val="000B40A2"/>
    <w:rsid w:val="000B4624"/>
    <w:rsid w:val="000C0ACD"/>
    <w:rsid w:val="000D6C56"/>
    <w:rsid w:val="00102926"/>
    <w:rsid w:val="0010587F"/>
    <w:rsid w:val="00111C6B"/>
    <w:rsid w:val="0012102B"/>
    <w:rsid w:val="0013369E"/>
    <w:rsid w:val="00162EFE"/>
    <w:rsid w:val="00164E6D"/>
    <w:rsid w:val="001B157C"/>
    <w:rsid w:val="001B5C23"/>
    <w:rsid w:val="001D0D5F"/>
    <w:rsid w:val="001D3202"/>
    <w:rsid w:val="001D4F09"/>
    <w:rsid w:val="001D6B8C"/>
    <w:rsid w:val="001E535D"/>
    <w:rsid w:val="001F1F83"/>
    <w:rsid w:val="002021A9"/>
    <w:rsid w:val="002131F6"/>
    <w:rsid w:val="002139A7"/>
    <w:rsid w:val="00215F7C"/>
    <w:rsid w:val="0022323B"/>
    <w:rsid w:val="0022580F"/>
    <w:rsid w:val="002410B8"/>
    <w:rsid w:val="00242AEE"/>
    <w:rsid w:val="00245129"/>
    <w:rsid w:val="00245879"/>
    <w:rsid w:val="00267FD5"/>
    <w:rsid w:val="00274D34"/>
    <w:rsid w:val="00284766"/>
    <w:rsid w:val="002868D0"/>
    <w:rsid w:val="00292ED2"/>
    <w:rsid w:val="00294A58"/>
    <w:rsid w:val="002A27D1"/>
    <w:rsid w:val="002A4AFA"/>
    <w:rsid w:val="002B516C"/>
    <w:rsid w:val="002D6870"/>
    <w:rsid w:val="002D72EB"/>
    <w:rsid w:val="002E2327"/>
    <w:rsid w:val="002E3583"/>
    <w:rsid w:val="002E5576"/>
    <w:rsid w:val="00331B52"/>
    <w:rsid w:val="003320D5"/>
    <w:rsid w:val="003359D3"/>
    <w:rsid w:val="00355967"/>
    <w:rsid w:val="00360B83"/>
    <w:rsid w:val="00365CB7"/>
    <w:rsid w:val="00382C47"/>
    <w:rsid w:val="00384384"/>
    <w:rsid w:val="003866AE"/>
    <w:rsid w:val="003943F8"/>
    <w:rsid w:val="003B3977"/>
    <w:rsid w:val="00410AAE"/>
    <w:rsid w:val="00421D07"/>
    <w:rsid w:val="00432989"/>
    <w:rsid w:val="00440E24"/>
    <w:rsid w:val="004438DE"/>
    <w:rsid w:val="0044776A"/>
    <w:rsid w:val="00460AFC"/>
    <w:rsid w:val="00465162"/>
    <w:rsid w:val="0047471F"/>
    <w:rsid w:val="00475AE1"/>
    <w:rsid w:val="00483800"/>
    <w:rsid w:val="0048430A"/>
    <w:rsid w:val="004B195E"/>
    <w:rsid w:val="004B66B4"/>
    <w:rsid w:val="004B7F60"/>
    <w:rsid w:val="004C1AAC"/>
    <w:rsid w:val="004E1E0A"/>
    <w:rsid w:val="004F090E"/>
    <w:rsid w:val="004F3FE4"/>
    <w:rsid w:val="0051187D"/>
    <w:rsid w:val="00527CC7"/>
    <w:rsid w:val="00571CA4"/>
    <w:rsid w:val="00574B4A"/>
    <w:rsid w:val="00582136"/>
    <w:rsid w:val="005A4934"/>
    <w:rsid w:val="005B6335"/>
    <w:rsid w:val="005C6840"/>
    <w:rsid w:val="005E3A8A"/>
    <w:rsid w:val="005F263E"/>
    <w:rsid w:val="005F6A1D"/>
    <w:rsid w:val="00600252"/>
    <w:rsid w:val="0060133C"/>
    <w:rsid w:val="00612860"/>
    <w:rsid w:val="00612A40"/>
    <w:rsid w:val="0062101E"/>
    <w:rsid w:val="0062714A"/>
    <w:rsid w:val="00675479"/>
    <w:rsid w:val="00680709"/>
    <w:rsid w:val="006808F2"/>
    <w:rsid w:val="006875AC"/>
    <w:rsid w:val="00693A70"/>
    <w:rsid w:val="00696BF9"/>
    <w:rsid w:val="00697C62"/>
    <w:rsid w:val="006A2F1E"/>
    <w:rsid w:val="006A329B"/>
    <w:rsid w:val="006A56D1"/>
    <w:rsid w:val="006A7EB8"/>
    <w:rsid w:val="006B6926"/>
    <w:rsid w:val="006C3F47"/>
    <w:rsid w:val="006C3F73"/>
    <w:rsid w:val="006C5F7A"/>
    <w:rsid w:val="006D7D71"/>
    <w:rsid w:val="006E06AF"/>
    <w:rsid w:val="006F19EF"/>
    <w:rsid w:val="006F350F"/>
    <w:rsid w:val="007224FE"/>
    <w:rsid w:val="00732DB7"/>
    <w:rsid w:val="00735F0F"/>
    <w:rsid w:val="0074238B"/>
    <w:rsid w:val="00745EF7"/>
    <w:rsid w:val="007510C5"/>
    <w:rsid w:val="00755F22"/>
    <w:rsid w:val="00766E4A"/>
    <w:rsid w:val="0077742B"/>
    <w:rsid w:val="007820CE"/>
    <w:rsid w:val="00782AE4"/>
    <w:rsid w:val="007907CB"/>
    <w:rsid w:val="0079724F"/>
    <w:rsid w:val="007A3EAE"/>
    <w:rsid w:val="007B0522"/>
    <w:rsid w:val="007C04FC"/>
    <w:rsid w:val="007D3E0F"/>
    <w:rsid w:val="007E4282"/>
    <w:rsid w:val="007E7F15"/>
    <w:rsid w:val="007F387B"/>
    <w:rsid w:val="0080071B"/>
    <w:rsid w:val="00802863"/>
    <w:rsid w:val="00815B3C"/>
    <w:rsid w:val="0082783A"/>
    <w:rsid w:val="00831CA9"/>
    <w:rsid w:val="00835214"/>
    <w:rsid w:val="00850E1F"/>
    <w:rsid w:val="0085476B"/>
    <w:rsid w:val="00882A4C"/>
    <w:rsid w:val="00890FEB"/>
    <w:rsid w:val="008D292F"/>
    <w:rsid w:val="008E01B3"/>
    <w:rsid w:val="008E03DC"/>
    <w:rsid w:val="00911D91"/>
    <w:rsid w:val="00924065"/>
    <w:rsid w:val="00930D68"/>
    <w:rsid w:val="00932DB4"/>
    <w:rsid w:val="00935DC5"/>
    <w:rsid w:val="00941A4B"/>
    <w:rsid w:val="00946242"/>
    <w:rsid w:val="0095096B"/>
    <w:rsid w:val="00954614"/>
    <w:rsid w:val="0096140F"/>
    <w:rsid w:val="00967CEA"/>
    <w:rsid w:val="00970CD3"/>
    <w:rsid w:val="00972346"/>
    <w:rsid w:val="009723FA"/>
    <w:rsid w:val="00984546"/>
    <w:rsid w:val="009954A4"/>
    <w:rsid w:val="00996510"/>
    <w:rsid w:val="009B247A"/>
    <w:rsid w:val="009D1F15"/>
    <w:rsid w:val="009D555E"/>
    <w:rsid w:val="009F3024"/>
    <w:rsid w:val="00A0355E"/>
    <w:rsid w:val="00A11F9A"/>
    <w:rsid w:val="00A143EC"/>
    <w:rsid w:val="00A15EC9"/>
    <w:rsid w:val="00A172F9"/>
    <w:rsid w:val="00A2215D"/>
    <w:rsid w:val="00A375D1"/>
    <w:rsid w:val="00A51D10"/>
    <w:rsid w:val="00A52A83"/>
    <w:rsid w:val="00A6552C"/>
    <w:rsid w:val="00A87207"/>
    <w:rsid w:val="00A935AA"/>
    <w:rsid w:val="00AB2201"/>
    <w:rsid w:val="00AB4F4C"/>
    <w:rsid w:val="00AB61EA"/>
    <w:rsid w:val="00AD3259"/>
    <w:rsid w:val="00AD467F"/>
    <w:rsid w:val="00AF1715"/>
    <w:rsid w:val="00AF3904"/>
    <w:rsid w:val="00B010C0"/>
    <w:rsid w:val="00B0188E"/>
    <w:rsid w:val="00B45050"/>
    <w:rsid w:val="00B4740D"/>
    <w:rsid w:val="00B61629"/>
    <w:rsid w:val="00B72A9F"/>
    <w:rsid w:val="00B7374B"/>
    <w:rsid w:val="00B77B85"/>
    <w:rsid w:val="00B90DC0"/>
    <w:rsid w:val="00BA116A"/>
    <w:rsid w:val="00BA51C8"/>
    <w:rsid w:val="00BA5582"/>
    <w:rsid w:val="00BA6468"/>
    <w:rsid w:val="00BA6996"/>
    <w:rsid w:val="00BB1D44"/>
    <w:rsid w:val="00BD06DA"/>
    <w:rsid w:val="00BD4217"/>
    <w:rsid w:val="00BF25F3"/>
    <w:rsid w:val="00C01CC1"/>
    <w:rsid w:val="00C04EA6"/>
    <w:rsid w:val="00C07396"/>
    <w:rsid w:val="00C1697B"/>
    <w:rsid w:val="00C21CB5"/>
    <w:rsid w:val="00C340E4"/>
    <w:rsid w:val="00C50A5C"/>
    <w:rsid w:val="00C50FDF"/>
    <w:rsid w:val="00C545D2"/>
    <w:rsid w:val="00C61321"/>
    <w:rsid w:val="00C63381"/>
    <w:rsid w:val="00C653EB"/>
    <w:rsid w:val="00C667BE"/>
    <w:rsid w:val="00C73D06"/>
    <w:rsid w:val="00C73E1B"/>
    <w:rsid w:val="00C759B4"/>
    <w:rsid w:val="00C77713"/>
    <w:rsid w:val="00C85BB7"/>
    <w:rsid w:val="00CA2CE2"/>
    <w:rsid w:val="00CB168C"/>
    <w:rsid w:val="00CB43D5"/>
    <w:rsid w:val="00CC4D84"/>
    <w:rsid w:val="00CD1B80"/>
    <w:rsid w:val="00CD7DF1"/>
    <w:rsid w:val="00CE198A"/>
    <w:rsid w:val="00D06571"/>
    <w:rsid w:val="00D11601"/>
    <w:rsid w:val="00D6313C"/>
    <w:rsid w:val="00D64901"/>
    <w:rsid w:val="00D76BDF"/>
    <w:rsid w:val="00D862C1"/>
    <w:rsid w:val="00D93B50"/>
    <w:rsid w:val="00D94670"/>
    <w:rsid w:val="00DA46F6"/>
    <w:rsid w:val="00DD0B49"/>
    <w:rsid w:val="00E03758"/>
    <w:rsid w:val="00E06DFA"/>
    <w:rsid w:val="00E12979"/>
    <w:rsid w:val="00E20A0A"/>
    <w:rsid w:val="00E356C7"/>
    <w:rsid w:val="00E45FE4"/>
    <w:rsid w:val="00E6427E"/>
    <w:rsid w:val="00E64FA7"/>
    <w:rsid w:val="00E770CB"/>
    <w:rsid w:val="00E8339B"/>
    <w:rsid w:val="00E903A1"/>
    <w:rsid w:val="00E940EB"/>
    <w:rsid w:val="00E9703F"/>
    <w:rsid w:val="00EB2B90"/>
    <w:rsid w:val="00EC47BC"/>
    <w:rsid w:val="00EC704F"/>
    <w:rsid w:val="00ED7E83"/>
    <w:rsid w:val="00EF4B63"/>
    <w:rsid w:val="00F0068D"/>
    <w:rsid w:val="00F008AC"/>
    <w:rsid w:val="00F0576D"/>
    <w:rsid w:val="00F14E6D"/>
    <w:rsid w:val="00F15EA8"/>
    <w:rsid w:val="00F16C8D"/>
    <w:rsid w:val="00F26C61"/>
    <w:rsid w:val="00F33CCE"/>
    <w:rsid w:val="00F40249"/>
    <w:rsid w:val="00F526C8"/>
    <w:rsid w:val="00F74E3B"/>
    <w:rsid w:val="00F761A3"/>
    <w:rsid w:val="00F82097"/>
    <w:rsid w:val="00F9272D"/>
    <w:rsid w:val="00F9518C"/>
    <w:rsid w:val="00F967DA"/>
    <w:rsid w:val="00FA010C"/>
    <w:rsid w:val="00FA1B98"/>
    <w:rsid w:val="00FA316E"/>
    <w:rsid w:val="00FA38EB"/>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character" w:customStyle="1" w:styleId="SCCBanSummaryChar">
    <w:name w:val="SCC.BanSummary Char"/>
    <w:basedOn w:val="DefaultParagraphFont"/>
    <w:link w:val="SCCBanSummary"/>
    <w:uiPriority w:val="99"/>
    <w:locked/>
    <w:rsid w:val="000A6105"/>
    <w:rPr>
      <w:rFonts w:cs="Times New Roman"/>
      <w:smallCaps/>
    </w:rPr>
  </w:style>
  <w:style w:type="paragraph" w:customStyle="1" w:styleId="SCCBanSummary">
    <w:name w:val="SCC.BanSummary"/>
    <w:basedOn w:val="Normal"/>
    <w:next w:val="Normal"/>
    <w:link w:val="SCCBanSummaryChar"/>
    <w:uiPriority w:val="99"/>
    <w:rsid w:val="000A6105"/>
    <w:pPr>
      <w:jc w:val="both"/>
    </w:pPr>
    <w:rPr>
      <w:rFonts w:cs="Times New Roman"/>
      <w:smallCaps/>
      <w:lang w:val="en-US"/>
    </w:rPr>
  </w:style>
  <w:style w:type="paragraph" w:customStyle="1" w:styleId="SCCLsocParty">
    <w:name w:val="SCC.Lsoc.Party"/>
    <w:basedOn w:val="Normal"/>
    <w:next w:val="Normal"/>
    <w:link w:val="SCCLsocPartyChar"/>
    <w:rsid w:val="00AD467F"/>
    <w:pPr>
      <w:jc w:val="center"/>
    </w:pPr>
    <w:rPr>
      <w:rFonts w:eastAsia="Calibri" w:cs="Times New Roman"/>
      <w:lang w:val="fr-CA"/>
    </w:rPr>
  </w:style>
  <w:style w:type="character" w:customStyle="1" w:styleId="SCCLsocPartyChar">
    <w:name w:val="SCC.Lsoc.Party Char"/>
    <w:basedOn w:val="DefaultParagraphFont"/>
    <w:link w:val="SCCLsocParty"/>
    <w:rsid w:val="00AD467F"/>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E970-7048-4693-A2F9-0D58B178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19991</Words>
  <Characters>113955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2013-02-01T18:50:00Z</dcterms:created>
  <dcterms:modified xsi:type="dcterms:W3CDTF">2013-02-01T19:15:00Z</dcterms:modified>
</cp:coreProperties>
</file>