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C4248C"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C4248C"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C4248C"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C4248C"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C4248C" w:rsidTr="002E5576">
        <w:tc>
          <w:tcPr>
            <w:tcW w:w="4518" w:type="dxa"/>
          </w:tcPr>
          <w:p w:rsidR="00BF25F3" w:rsidRPr="002E2327" w:rsidRDefault="00B74DD2"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74DD2"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C4248C"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C4248C"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83659D" w:rsidP="00F0068D">
      <w:pPr>
        <w:pBdr>
          <w:bottom w:val="single" w:sz="6" w:space="1" w:color="auto"/>
        </w:pBdr>
        <w:tabs>
          <w:tab w:val="center" w:pos="4680"/>
          <w:tab w:val="right" w:pos="9360"/>
        </w:tabs>
        <w:rPr>
          <w:lang w:val="fr-CA"/>
        </w:rPr>
      </w:pPr>
      <w:r>
        <w:rPr>
          <w:lang w:val="fr-CA"/>
        </w:rPr>
        <w:t>April 5</w:t>
      </w:r>
      <w:r w:rsidR="00440E24" w:rsidRPr="00675479">
        <w:rPr>
          <w:lang w:val="fr-CA"/>
        </w:rPr>
        <w:t>, 201</w:t>
      </w:r>
      <w:r w:rsidR="00F761A3">
        <w:rPr>
          <w:lang w:val="fr-CA"/>
        </w:rPr>
        <w:t>3</w:t>
      </w:r>
      <w:r w:rsidR="00F0068D" w:rsidRPr="00675479">
        <w:rPr>
          <w:lang w:val="fr-CA"/>
        </w:rPr>
        <w:tab/>
      </w:r>
      <w:r w:rsidR="00351ED8">
        <w:rPr>
          <w:lang w:val="fr-CA"/>
        </w:rPr>
        <w:t>583</w:t>
      </w:r>
      <w:r w:rsidR="00F0068D" w:rsidRPr="00675479">
        <w:rPr>
          <w:lang w:val="fr-CA"/>
        </w:rPr>
        <w:t xml:space="preserve"> - </w:t>
      </w:r>
      <w:r w:rsidR="00FA154D">
        <w:rPr>
          <w:lang w:val="fr-CA"/>
        </w:rPr>
        <w:t>640</w:t>
      </w:r>
      <w:r w:rsidR="00440E24" w:rsidRPr="00675479">
        <w:rPr>
          <w:lang w:val="fr-CA"/>
        </w:rPr>
        <w:tab/>
      </w:r>
      <w:r w:rsidR="00440E24" w:rsidRPr="002E2327">
        <w:rPr>
          <w:lang w:val="fr-CA"/>
        </w:rPr>
        <w:t>Le</w:t>
      </w:r>
      <w:r w:rsidR="00C73D06">
        <w:rPr>
          <w:lang w:val="fr-CA"/>
        </w:rPr>
        <w:t xml:space="preserve"> </w:t>
      </w:r>
      <w:r>
        <w:rPr>
          <w:lang w:val="fr-CA"/>
        </w:rPr>
        <w:t>5</w:t>
      </w:r>
      <w:r w:rsidR="00C73D06">
        <w:rPr>
          <w:lang w:val="fr-CA"/>
        </w:rPr>
        <w:t xml:space="preserve"> </w:t>
      </w:r>
      <w:r w:rsidR="00440E24" w:rsidRPr="002E2327">
        <w:rPr>
          <w:lang w:val="fr-CA"/>
        </w:rPr>
        <w:t>av</w:t>
      </w:r>
      <w:r w:rsidR="00C73D06">
        <w:rPr>
          <w:lang w:val="fr-CA"/>
        </w:rPr>
        <w:t>r</w:t>
      </w:r>
      <w:r>
        <w:rPr>
          <w:lang w:val="fr-CA"/>
        </w:rPr>
        <w:t>il</w:t>
      </w:r>
      <w:r w:rsidR="00440E24" w:rsidRPr="002E2327">
        <w:rPr>
          <w:lang w:val="fr-CA"/>
        </w:rPr>
        <w:t xml:space="preserve"> 201</w:t>
      </w:r>
      <w:r w:rsidR="00F761A3">
        <w:rPr>
          <w:lang w:val="fr-CA"/>
        </w:rPr>
        <w:t>3</w:t>
      </w:r>
    </w:p>
    <w:p w:rsidR="00440E24" w:rsidRPr="00675479" w:rsidRDefault="00440E24" w:rsidP="00440E24">
      <w:pPr>
        <w:pBdr>
          <w:bottom w:val="single" w:sz="6" w:space="1" w:color="auto"/>
        </w:pBdr>
        <w:tabs>
          <w:tab w:val="right" w:pos="9360"/>
        </w:tabs>
        <w:rPr>
          <w:lang w:val="fr-CA"/>
        </w:rPr>
      </w:pPr>
    </w:p>
    <w:p w:rsidR="00440E24" w:rsidRPr="0083659D" w:rsidRDefault="00440E24" w:rsidP="00440E24">
      <w:pPr>
        <w:pBdr>
          <w:bottom w:val="single" w:sz="6" w:space="1" w:color="auto"/>
        </w:pBdr>
        <w:tabs>
          <w:tab w:val="right" w:pos="9360"/>
        </w:tabs>
        <w:rPr>
          <w:sz w:val="18"/>
          <w:szCs w:val="18"/>
          <w:lang w:val="fr-CA"/>
        </w:rPr>
      </w:pPr>
      <w:r w:rsidRPr="0083659D">
        <w:rPr>
          <w:sz w:val="18"/>
          <w:szCs w:val="18"/>
          <w:lang w:val="fr-CA"/>
        </w:rPr>
        <w:t>© Supreme Court of Canada (201</w:t>
      </w:r>
      <w:r w:rsidR="00F761A3" w:rsidRPr="0083659D">
        <w:rPr>
          <w:sz w:val="18"/>
          <w:szCs w:val="18"/>
          <w:lang w:val="fr-CA"/>
        </w:rPr>
        <w:t>3</w:t>
      </w:r>
      <w:r w:rsidRPr="0083659D">
        <w:rPr>
          <w:sz w:val="18"/>
          <w:szCs w:val="18"/>
          <w:lang w:val="fr-CA"/>
        </w:rPr>
        <w:t>)</w:t>
      </w:r>
      <w:r w:rsidRPr="0083659D">
        <w:rPr>
          <w:sz w:val="18"/>
          <w:szCs w:val="18"/>
          <w:lang w:val="fr-CA"/>
        </w:rPr>
        <w:tab/>
        <w:t>© Cour suprême du Canada (201</w:t>
      </w:r>
      <w:r w:rsidR="00F761A3" w:rsidRPr="0083659D">
        <w:rPr>
          <w:sz w:val="18"/>
          <w:szCs w:val="18"/>
          <w:lang w:val="fr-CA"/>
        </w:rPr>
        <w:t>3</w:t>
      </w:r>
      <w:r w:rsidRPr="0083659D">
        <w:rPr>
          <w:sz w:val="18"/>
          <w:szCs w:val="18"/>
          <w:lang w:val="fr-CA"/>
        </w:rPr>
        <w:t>)</w:t>
      </w:r>
    </w:p>
    <w:p w:rsidR="00440E24"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C4248C" w:rsidRPr="00675479" w:rsidRDefault="00C4248C" w:rsidP="00440E24">
      <w:pPr>
        <w:pBdr>
          <w:bottom w:val="single" w:sz="6" w:space="1" w:color="auto"/>
        </w:pBdr>
        <w:tabs>
          <w:tab w:val="right" w:pos="9360"/>
        </w:tabs>
        <w:rPr>
          <w:sz w:val="18"/>
          <w:szCs w:val="18"/>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Agenda </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Summaries of the cases</w:t>
            </w:r>
          </w:p>
          <w:p w:rsidR="00A87207" w:rsidRPr="002E2327" w:rsidRDefault="00A87207" w:rsidP="00946E80">
            <w:pPr>
              <w:tabs>
                <w:tab w:val="right" w:pos="9360"/>
              </w:tabs>
              <w:rPr>
                <w:rFonts w:cs="Times New Roman"/>
                <w:sz w:val="20"/>
                <w:szCs w:val="20"/>
              </w:rPr>
            </w:pPr>
          </w:p>
        </w:tc>
        <w:tc>
          <w:tcPr>
            <w:tcW w:w="1980" w:type="dxa"/>
          </w:tcPr>
          <w:p w:rsidR="0095096B" w:rsidRPr="002E2327" w:rsidRDefault="00226423" w:rsidP="0095096B">
            <w:pPr>
              <w:jc w:val="center"/>
              <w:rPr>
                <w:rFonts w:cs="Times New Roman"/>
                <w:sz w:val="20"/>
                <w:szCs w:val="20"/>
              </w:rPr>
            </w:pPr>
            <w:r>
              <w:rPr>
                <w:rFonts w:cs="Times New Roman"/>
                <w:sz w:val="20"/>
                <w:szCs w:val="20"/>
              </w:rPr>
              <w:t xml:space="preserve">583 </w:t>
            </w:r>
            <w:r w:rsidR="00B74DD2" w:rsidRPr="002E2327">
              <w:rPr>
                <w:rFonts w:cs="Times New Roman"/>
                <w:sz w:val="20"/>
                <w:szCs w:val="20"/>
              </w:rPr>
              <w:fldChar w:fldCharType="begin"/>
            </w:r>
            <w:r w:rsidR="0095096B" w:rsidRPr="002E2327">
              <w:rPr>
                <w:rFonts w:cs="Times New Roman"/>
                <w:sz w:val="20"/>
                <w:szCs w:val="20"/>
              </w:rPr>
              <w:instrText xml:space="preserve"> SEQ CHAPTER \h \r 1</w:instrText>
            </w:r>
            <w:r w:rsidR="00B74DD2" w:rsidRPr="002E2327">
              <w:rPr>
                <w:rFonts w:cs="Times New Roman"/>
                <w:sz w:val="20"/>
                <w:szCs w:val="20"/>
              </w:rPr>
              <w:fldChar w:fldCharType="end"/>
            </w:r>
            <w:r w:rsidR="0095096B" w:rsidRPr="002E2327">
              <w:rPr>
                <w:rFonts w:cs="Times New Roman"/>
                <w:sz w:val="20"/>
                <w:szCs w:val="20"/>
              </w:rPr>
              <w:t>-</w:t>
            </w:r>
            <w:r w:rsidR="00097984">
              <w:rPr>
                <w:rFonts w:cs="Times New Roman"/>
                <w:sz w:val="20"/>
                <w:szCs w:val="20"/>
              </w:rPr>
              <w:t xml:space="preserve"> 584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2338B" w:rsidP="0095096B">
            <w:pPr>
              <w:jc w:val="center"/>
              <w:rPr>
                <w:rFonts w:cs="Times New Roman"/>
                <w:sz w:val="20"/>
                <w:szCs w:val="20"/>
              </w:rPr>
            </w:pPr>
            <w:r>
              <w:rPr>
                <w:rFonts w:cs="Times New Roman"/>
                <w:sz w:val="20"/>
                <w:szCs w:val="20"/>
              </w:rPr>
              <w:t>585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A154D" w:rsidP="0095096B">
            <w:pPr>
              <w:jc w:val="center"/>
              <w:rPr>
                <w:rFonts w:cs="Times New Roman"/>
                <w:sz w:val="20"/>
                <w:szCs w:val="20"/>
              </w:rPr>
            </w:pPr>
            <w:r>
              <w:rPr>
                <w:rFonts w:cs="Times New Roman"/>
                <w:sz w:val="20"/>
                <w:szCs w:val="20"/>
              </w:rPr>
              <w:t xml:space="preserve">586 </w:t>
            </w:r>
            <w:r w:rsidR="0095096B" w:rsidRPr="002E2327">
              <w:rPr>
                <w:rFonts w:cs="Times New Roman"/>
                <w:sz w:val="20"/>
                <w:szCs w:val="20"/>
              </w:rPr>
              <w:t>-</w:t>
            </w:r>
            <w:r>
              <w:rPr>
                <w:rFonts w:cs="Times New Roman"/>
                <w:sz w:val="20"/>
                <w:szCs w:val="20"/>
              </w:rPr>
              <w:t xml:space="preserve"> 600</w:t>
            </w:r>
          </w:p>
          <w:p w:rsidR="0095096B" w:rsidRPr="002E2327" w:rsidRDefault="0095096B" w:rsidP="0095096B">
            <w:pPr>
              <w:jc w:val="center"/>
              <w:rPr>
                <w:rFonts w:cs="Times New Roman"/>
                <w:sz w:val="20"/>
                <w:szCs w:val="20"/>
              </w:rPr>
            </w:pPr>
          </w:p>
          <w:p w:rsidR="00073319" w:rsidRDefault="00073319" w:rsidP="0095096B">
            <w:pPr>
              <w:jc w:val="center"/>
              <w:rPr>
                <w:rFonts w:cs="Times New Roman"/>
                <w:sz w:val="20"/>
                <w:szCs w:val="20"/>
              </w:rPr>
            </w:pPr>
          </w:p>
          <w:p w:rsidR="0095096B" w:rsidRPr="002E2327" w:rsidRDefault="00FA154D" w:rsidP="0095096B">
            <w:pPr>
              <w:jc w:val="center"/>
              <w:rPr>
                <w:rFonts w:cs="Times New Roman"/>
                <w:sz w:val="20"/>
                <w:szCs w:val="20"/>
              </w:rPr>
            </w:pPr>
            <w:r>
              <w:rPr>
                <w:rFonts w:cs="Times New Roman"/>
                <w:sz w:val="20"/>
                <w:szCs w:val="20"/>
              </w:rPr>
              <w:t xml:space="preserve">601 </w:t>
            </w:r>
            <w:r w:rsidR="0095096B" w:rsidRPr="002E2327">
              <w:rPr>
                <w:rFonts w:cs="Times New Roman"/>
                <w:sz w:val="20"/>
                <w:szCs w:val="20"/>
              </w:rPr>
              <w:t>-</w:t>
            </w:r>
            <w:r>
              <w:rPr>
                <w:rFonts w:cs="Times New Roman"/>
                <w:sz w:val="20"/>
                <w:szCs w:val="20"/>
              </w:rPr>
              <w:t xml:space="preserve"> 602</w:t>
            </w:r>
          </w:p>
          <w:p w:rsidR="0095096B" w:rsidRPr="002E2327" w:rsidRDefault="0095096B" w:rsidP="0095096B">
            <w:pPr>
              <w:jc w:val="center"/>
              <w:rPr>
                <w:rFonts w:cs="Times New Roman"/>
                <w:sz w:val="20"/>
                <w:szCs w:val="20"/>
              </w:rPr>
            </w:pPr>
          </w:p>
          <w:p w:rsidR="0095096B" w:rsidRPr="002E2327" w:rsidRDefault="00FA154D" w:rsidP="0095096B">
            <w:pPr>
              <w:jc w:val="center"/>
              <w:rPr>
                <w:rFonts w:cs="Times New Roman"/>
                <w:sz w:val="20"/>
                <w:szCs w:val="20"/>
              </w:rPr>
            </w:pPr>
            <w:r>
              <w:rPr>
                <w:rFonts w:cs="Times New Roman"/>
                <w:sz w:val="20"/>
                <w:szCs w:val="20"/>
              </w:rPr>
              <w:t xml:space="preserve">603 </w:t>
            </w:r>
            <w:r w:rsidR="0095096B" w:rsidRPr="002E2327">
              <w:rPr>
                <w:rFonts w:cs="Times New Roman"/>
                <w:sz w:val="20"/>
                <w:szCs w:val="20"/>
              </w:rPr>
              <w:t>-</w:t>
            </w:r>
            <w:r>
              <w:rPr>
                <w:rFonts w:cs="Times New Roman"/>
                <w:sz w:val="20"/>
                <w:szCs w:val="20"/>
              </w:rPr>
              <w:t xml:space="preserve"> 604</w:t>
            </w:r>
          </w:p>
          <w:p w:rsidR="0095096B" w:rsidRPr="002E2327" w:rsidRDefault="0095096B" w:rsidP="0095096B">
            <w:pPr>
              <w:jc w:val="center"/>
              <w:rPr>
                <w:rFonts w:cs="Times New Roman"/>
                <w:sz w:val="20"/>
                <w:szCs w:val="20"/>
              </w:rPr>
            </w:pPr>
          </w:p>
          <w:p w:rsidR="00946E80" w:rsidRDefault="00946E80" w:rsidP="0095096B">
            <w:pPr>
              <w:jc w:val="center"/>
              <w:rPr>
                <w:rFonts w:cs="Times New Roman"/>
                <w:sz w:val="20"/>
                <w:szCs w:val="20"/>
              </w:rPr>
            </w:pPr>
          </w:p>
          <w:p w:rsidR="0095096B" w:rsidRPr="002E2327" w:rsidRDefault="00FA154D" w:rsidP="0095096B">
            <w:pPr>
              <w:jc w:val="center"/>
              <w:rPr>
                <w:rFonts w:cs="Times New Roman"/>
                <w:sz w:val="20"/>
                <w:szCs w:val="20"/>
              </w:rPr>
            </w:pPr>
            <w:r>
              <w:rPr>
                <w:rFonts w:cs="Times New Roman"/>
                <w:sz w:val="20"/>
                <w:szCs w:val="20"/>
              </w:rPr>
              <w:t>605</w:t>
            </w:r>
          </w:p>
          <w:p w:rsidR="0095096B" w:rsidRPr="002E2327" w:rsidRDefault="0095096B" w:rsidP="0095096B">
            <w:pPr>
              <w:jc w:val="center"/>
              <w:rPr>
                <w:rFonts w:cs="Times New Roman"/>
                <w:sz w:val="20"/>
                <w:szCs w:val="20"/>
              </w:rPr>
            </w:pPr>
          </w:p>
          <w:p w:rsidR="00946E80" w:rsidRDefault="00946E80" w:rsidP="0095096B">
            <w:pPr>
              <w:jc w:val="center"/>
              <w:rPr>
                <w:rFonts w:cs="Times New Roman"/>
                <w:sz w:val="20"/>
                <w:szCs w:val="20"/>
              </w:rPr>
            </w:pPr>
          </w:p>
          <w:p w:rsidR="0095096B" w:rsidRPr="002E2327" w:rsidRDefault="00FA154D" w:rsidP="0095096B">
            <w:pPr>
              <w:jc w:val="center"/>
              <w:rPr>
                <w:rFonts w:cs="Times New Roman"/>
                <w:sz w:val="20"/>
                <w:szCs w:val="20"/>
              </w:rPr>
            </w:pPr>
            <w:r>
              <w:rPr>
                <w:rFonts w:cs="Times New Roman"/>
                <w:sz w:val="20"/>
                <w:szCs w:val="20"/>
              </w:rPr>
              <w:t xml:space="preserve">606 </w:t>
            </w:r>
            <w:r w:rsidR="0095096B" w:rsidRPr="002E2327">
              <w:rPr>
                <w:rFonts w:cs="Times New Roman"/>
                <w:sz w:val="20"/>
                <w:szCs w:val="20"/>
              </w:rPr>
              <w:t>-</w:t>
            </w:r>
            <w:r>
              <w:rPr>
                <w:rFonts w:cs="Times New Roman"/>
                <w:sz w:val="20"/>
                <w:szCs w:val="20"/>
              </w:rPr>
              <w:t xml:space="preserve"> 615</w:t>
            </w:r>
          </w:p>
          <w:p w:rsidR="0095096B" w:rsidRPr="002E2327" w:rsidRDefault="0095096B" w:rsidP="0095096B">
            <w:pPr>
              <w:jc w:val="center"/>
              <w:rPr>
                <w:rFonts w:cs="Times New Roman"/>
                <w:sz w:val="20"/>
                <w:szCs w:val="20"/>
              </w:rPr>
            </w:pPr>
          </w:p>
          <w:p w:rsidR="0095096B" w:rsidRPr="002E2327" w:rsidRDefault="00FA154D" w:rsidP="0095096B">
            <w:pPr>
              <w:jc w:val="center"/>
              <w:rPr>
                <w:rFonts w:cs="Times New Roman"/>
                <w:sz w:val="20"/>
                <w:szCs w:val="20"/>
              </w:rPr>
            </w:pPr>
            <w:r>
              <w:rPr>
                <w:rFonts w:cs="Times New Roman"/>
                <w:sz w:val="20"/>
                <w:szCs w:val="20"/>
              </w:rPr>
              <w:t>616</w:t>
            </w:r>
          </w:p>
          <w:p w:rsidR="0095096B" w:rsidRPr="002E2327" w:rsidRDefault="0095096B" w:rsidP="0095096B">
            <w:pPr>
              <w:jc w:val="center"/>
              <w:rPr>
                <w:rFonts w:cs="Times New Roman"/>
                <w:sz w:val="20"/>
                <w:szCs w:val="20"/>
              </w:rPr>
            </w:pPr>
          </w:p>
          <w:p w:rsidR="00A87207" w:rsidRPr="002E2327" w:rsidRDefault="00FA154D" w:rsidP="00FA154D">
            <w:pPr>
              <w:jc w:val="center"/>
              <w:rPr>
                <w:rFonts w:cs="Times New Roman"/>
                <w:sz w:val="20"/>
                <w:szCs w:val="20"/>
              </w:rPr>
            </w:pPr>
            <w:r>
              <w:rPr>
                <w:rFonts w:cs="Times New Roman"/>
                <w:sz w:val="20"/>
                <w:szCs w:val="20"/>
              </w:rPr>
              <w:t>617 - 640</w:t>
            </w:r>
          </w:p>
        </w:tc>
        <w:tc>
          <w:tcPr>
            <w:tcW w:w="3888" w:type="dxa"/>
          </w:tcPr>
          <w:p w:rsidR="0095096B" w:rsidRPr="002E2327" w:rsidRDefault="00B74DD2"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Calendrier </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Résumés des affaires</w:t>
            </w:r>
          </w:p>
          <w:p w:rsidR="00A87207" w:rsidRPr="002E2327" w:rsidRDefault="00A87207" w:rsidP="00946E80">
            <w:pPr>
              <w:tabs>
                <w:tab w:val="right" w:pos="9360"/>
              </w:tabs>
              <w:rPr>
                <w:rFonts w:cs="Times New Roman"/>
                <w:sz w:val="20"/>
                <w:szCs w:val="20"/>
                <w:lang w:val="fr-CA"/>
              </w:rPr>
            </w:pPr>
          </w:p>
        </w:tc>
      </w:tr>
    </w:tbl>
    <w:p w:rsidR="0095096B" w:rsidRDefault="0095096B" w:rsidP="0095096B">
      <w:pPr>
        <w:tabs>
          <w:tab w:val="right" w:pos="9360"/>
        </w:tabs>
      </w:pPr>
    </w:p>
    <w:p w:rsidR="007F71A7" w:rsidRDefault="007F71A7" w:rsidP="0095096B">
      <w:pPr>
        <w:tabs>
          <w:tab w:val="right" w:pos="9360"/>
        </w:tabs>
      </w:pPr>
    </w:p>
    <w:p w:rsidR="007F71A7" w:rsidRDefault="007F71A7" w:rsidP="0095096B">
      <w:pPr>
        <w:tabs>
          <w:tab w:val="right" w:pos="9360"/>
        </w:tabs>
      </w:pPr>
    </w:p>
    <w:p w:rsidR="007F71A7" w:rsidRDefault="007F71A7" w:rsidP="0095096B">
      <w:pPr>
        <w:tabs>
          <w:tab w:val="right" w:pos="9360"/>
        </w:tabs>
      </w:pPr>
    </w:p>
    <w:p w:rsidR="007F71A7" w:rsidRPr="002E2327" w:rsidRDefault="007F71A7" w:rsidP="0095096B">
      <w:pPr>
        <w:tabs>
          <w:tab w:val="right" w:pos="9360"/>
        </w:tabs>
      </w:pPr>
    </w:p>
    <w:tbl>
      <w:tblPr>
        <w:tblStyle w:val="TableGrid"/>
        <w:tblW w:w="0" w:type="auto"/>
        <w:tblLook w:val="04A0"/>
      </w:tblPr>
      <w:tblGrid>
        <w:gridCol w:w="9576"/>
      </w:tblGrid>
      <w:tr w:rsidR="0079724F" w:rsidRPr="00C4248C"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Default="00A87207" w:rsidP="0095096B">
      <w:pPr>
        <w:tabs>
          <w:tab w:val="right" w:pos="9360"/>
        </w:tabs>
        <w:rPr>
          <w:lang w:val="fr-CA"/>
        </w:rPr>
      </w:pPr>
    </w:p>
    <w:p w:rsidR="00E17F59" w:rsidRDefault="00E17F59" w:rsidP="0095096B">
      <w:pPr>
        <w:tabs>
          <w:tab w:val="right" w:pos="9360"/>
        </w:tabs>
        <w:rPr>
          <w:lang w:val="fr-CA"/>
        </w:rPr>
      </w:pPr>
    </w:p>
    <w:p w:rsidR="00E17F59" w:rsidRDefault="00E17F59" w:rsidP="0095096B">
      <w:pPr>
        <w:tabs>
          <w:tab w:val="right" w:pos="9360"/>
        </w:tabs>
        <w:rPr>
          <w:lang w:val="fr-CA"/>
        </w:rPr>
      </w:pPr>
    </w:p>
    <w:p w:rsidR="00E17F59" w:rsidRPr="00675479" w:rsidRDefault="00E17F59" w:rsidP="0095096B">
      <w:pPr>
        <w:tabs>
          <w:tab w:val="right" w:pos="9360"/>
        </w:tabs>
        <w:rPr>
          <w:lang w:val="fr-CA"/>
        </w:rPr>
        <w:sectPr w:rsidR="00E17F59"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A935AA" w:rsidRDefault="00226423" w:rsidP="003B3977">
            <w:pPr>
              <w:rPr>
                <w:b/>
                <w:sz w:val="20"/>
                <w:szCs w:val="20"/>
              </w:rPr>
            </w:pPr>
            <w:r>
              <w:rPr>
                <w:b/>
                <w:sz w:val="20"/>
                <w:szCs w:val="20"/>
              </w:rPr>
              <w:t>Sa</w:t>
            </w:r>
            <w:r w:rsidRPr="00DC14C3">
              <w:rPr>
                <w:b/>
                <w:sz w:val="20"/>
                <w:szCs w:val="20"/>
                <w:lang w:val="en-US"/>
              </w:rPr>
              <w:t xml:space="preserve">ïd </w:t>
            </w:r>
            <w:r w:rsidRPr="00226423">
              <w:rPr>
                <w:b/>
                <w:sz w:val="20"/>
                <w:szCs w:val="20"/>
              </w:rPr>
              <w:t>Boukendour</w:t>
            </w:r>
          </w:p>
          <w:p w:rsidR="00242AEE" w:rsidRPr="00A935AA" w:rsidRDefault="00242AEE" w:rsidP="003B3977">
            <w:pPr>
              <w:tabs>
                <w:tab w:val="left" w:pos="-1440"/>
                <w:tab w:val="left" w:pos="-720"/>
              </w:tabs>
              <w:rPr>
                <w:sz w:val="20"/>
                <w:szCs w:val="20"/>
              </w:rPr>
            </w:pPr>
            <w:r w:rsidRPr="00A935AA">
              <w:rPr>
                <w:sz w:val="20"/>
                <w:szCs w:val="20"/>
              </w:rPr>
              <w:tab/>
            </w:r>
            <w:r w:rsidR="00DC14C3">
              <w:rPr>
                <w:sz w:val="20"/>
                <w:szCs w:val="20"/>
              </w:rPr>
              <w:t>Saïd Boukendour</w:t>
            </w:r>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r>
            <w:r w:rsidR="00DC14C3">
              <w:rPr>
                <w:sz w:val="20"/>
                <w:szCs w:val="20"/>
              </w:rPr>
              <w:t>c</w:t>
            </w:r>
            <w:r w:rsidRPr="00A935AA">
              <w:rPr>
                <w:sz w:val="20"/>
                <w:szCs w:val="20"/>
              </w:rPr>
              <w:t>. (3</w:t>
            </w:r>
            <w:r w:rsidR="00DC14C3">
              <w:rPr>
                <w:sz w:val="20"/>
                <w:szCs w:val="20"/>
              </w:rPr>
              <w:t>5282</w:t>
            </w:r>
            <w:r w:rsidRPr="00A935AA">
              <w:rPr>
                <w:sz w:val="20"/>
                <w:szCs w:val="20"/>
              </w:rPr>
              <w:t>)</w:t>
            </w:r>
          </w:p>
          <w:p w:rsidR="00242AEE" w:rsidRPr="00A935AA" w:rsidRDefault="00242AEE" w:rsidP="003B3977">
            <w:pPr>
              <w:tabs>
                <w:tab w:val="left" w:pos="-1440"/>
                <w:tab w:val="left" w:pos="-720"/>
              </w:tabs>
              <w:rPr>
                <w:sz w:val="20"/>
                <w:szCs w:val="20"/>
              </w:rPr>
            </w:pPr>
          </w:p>
          <w:p w:rsidR="00242AEE" w:rsidRPr="00DC14C3" w:rsidRDefault="00DC14C3" w:rsidP="003B3977">
            <w:pPr>
              <w:tabs>
                <w:tab w:val="left" w:pos="-1440"/>
                <w:tab w:val="left" w:pos="-720"/>
              </w:tabs>
              <w:rPr>
                <w:b/>
                <w:sz w:val="20"/>
                <w:szCs w:val="20"/>
                <w:lang w:val="fr-CA"/>
              </w:rPr>
            </w:pPr>
            <w:r w:rsidRPr="00EF21DE">
              <w:rPr>
                <w:b/>
                <w:sz w:val="20"/>
                <w:szCs w:val="20"/>
                <w:lang w:val="fr-CA"/>
              </w:rPr>
              <w:t>André</w:t>
            </w:r>
            <w:r w:rsidR="00EF21DE" w:rsidRPr="00EF21DE">
              <w:rPr>
                <w:b/>
                <w:sz w:val="20"/>
                <w:szCs w:val="20"/>
                <w:lang w:val="fr-CA"/>
              </w:rPr>
              <w:t>e</w:t>
            </w:r>
            <w:r w:rsidRPr="00EF21DE">
              <w:rPr>
                <w:b/>
                <w:sz w:val="20"/>
                <w:szCs w:val="20"/>
                <w:lang w:val="fr-CA"/>
              </w:rPr>
              <w:t xml:space="preserve"> Gosselin</w:t>
            </w:r>
            <w:r w:rsidR="00242AEE" w:rsidRPr="00DC14C3">
              <w:rPr>
                <w:b/>
                <w:sz w:val="20"/>
                <w:szCs w:val="20"/>
                <w:lang w:val="fr-CA"/>
              </w:rPr>
              <w:t xml:space="preserve"> (</w:t>
            </w:r>
            <w:r w:rsidRPr="00DC14C3">
              <w:rPr>
                <w:b/>
                <w:sz w:val="20"/>
                <w:szCs w:val="20"/>
                <w:lang w:val="fr-CA"/>
              </w:rPr>
              <w:t>Qc</w:t>
            </w:r>
            <w:r w:rsidR="00242AEE" w:rsidRPr="00DC14C3">
              <w:rPr>
                <w:b/>
                <w:sz w:val="20"/>
                <w:szCs w:val="20"/>
                <w:lang w:val="fr-CA"/>
              </w:rPr>
              <w:t>)</w:t>
            </w:r>
          </w:p>
          <w:p w:rsidR="00DC14C3" w:rsidRDefault="00242AEE" w:rsidP="003B3977">
            <w:pPr>
              <w:tabs>
                <w:tab w:val="left" w:pos="-1440"/>
                <w:tab w:val="left" w:pos="-720"/>
              </w:tabs>
              <w:rPr>
                <w:sz w:val="20"/>
                <w:szCs w:val="20"/>
                <w:lang w:val="fr-CA"/>
              </w:rPr>
            </w:pPr>
            <w:r w:rsidRPr="00DC14C3">
              <w:rPr>
                <w:sz w:val="20"/>
                <w:szCs w:val="20"/>
                <w:lang w:val="fr-CA"/>
              </w:rPr>
              <w:tab/>
            </w:r>
            <w:r w:rsidR="00DC14C3" w:rsidRPr="00DC14C3">
              <w:rPr>
                <w:sz w:val="20"/>
                <w:szCs w:val="20"/>
                <w:lang w:val="fr-CA"/>
              </w:rPr>
              <w:t>Étienne Chauvin</w:t>
            </w:r>
          </w:p>
          <w:p w:rsidR="00242AEE" w:rsidRPr="00DC14C3" w:rsidRDefault="00242AEE" w:rsidP="003B3977">
            <w:pPr>
              <w:tabs>
                <w:tab w:val="left" w:pos="-1440"/>
                <w:tab w:val="left" w:pos="-720"/>
              </w:tabs>
              <w:rPr>
                <w:sz w:val="20"/>
                <w:szCs w:val="20"/>
                <w:lang w:val="fr-CA"/>
              </w:rPr>
            </w:pPr>
            <w:r w:rsidRPr="00DC14C3">
              <w:rPr>
                <w:sz w:val="20"/>
                <w:szCs w:val="20"/>
                <w:lang w:val="fr-CA"/>
              </w:rPr>
              <w:tab/>
            </w:r>
            <w:r w:rsidR="00DC14C3">
              <w:rPr>
                <w:sz w:val="20"/>
                <w:szCs w:val="20"/>
                <w:lang w:val="fr-CA"/>
              </w:rPr>
              <w:t>d</w:t>
            </w:r>
            <w:r w:rsidR="00DC14C3" w:rsidRPr="00DC14C3">
              <w:rPr>
                <w:sz w:val="20"/>
                <w:szCs w:val="20"/>
                <w:lang w:val="fr-CA"/>
              </w:rPr>
              <w:t>e Grandpré Chait s.e.n.c.r.l.</w:t>
            </w:r>
          </w:p>
          <w:p w:rsidR="00242AEE" w:rsidRPr="00DC14C3" w:rsidRDefault="00242AEE" w:rsidP="003B3977">
            <w:pPr>
              <w:tabs>
                <w:tab w:val="left" w:pos="-1440"/>
                <w:tab w:val="left" w:pos="-720"/>
              </w:tabs>
              <w:rPr>
                <w:sz w:val="20"/>
                <w:szCs w:val="20"/>
                <w:lang w:val="fr-CA"/>
              </w:rPr>
            </w:pPr>
          </w:p>
          <w:p w:rsidR="00DC14C3" w:rsidRPr="00A935AA" w:rsidRDefault="00DC14C3" w:rsidP="00DC14C3">
            <w:pPr>
              <w:rPr>
                <w:sz w:val="20"/>
                <w:szCs w:val="20"/>
                <w:lang w:val="fr-CA"/>
              </w:rPr>
            </w:pPr>
            <w:r w:rsidRPr="00A935AA">
              <w:rPr>
                <w:sz w:val="20"/>
                <w:szCs w:val="20"/>
                <w:lang w:val="fr-CA"/>
              </w:rPr>
              <w:t xml:space="preserve">DATE DE PRODUCTION : </w:t>
            </w:r>
            <w:r>
              <w:rPr>
                <w:sz w:val="20"/>
                <w:szCs w:val="20"/>
                <w:lang w:val="fr-CA"/>
              </w:rPr>
              <w:t>26</w:t>
            </w:r>
            <w:r w:rsidRPr="00A935AA">
              <w:rPr>
                <w:sz w:val="20"/>
                <w:szCs w:val="20"/>
                <w:lang w:val="fr-CA"/>
              </w:rPr>
              <w:t>.</w:t>
            </w:r>
            <w:r>
              <w:rPr>
                <w:sz w:val="20"/>
                <w:szCs w:val="20"/>
                <w:lang w:val="fr-CA"/>
              </w:rPr>
              <w:t>02</w:t>
            </w:r>
            <w:r w:rsidRPr="00A935AA">
              <w:rPr>
                <w:sz w:val="20"/>
                <w:szCs w:val="20"/>
                <w:lang w:val="fr-CA"/>
              </w:rPr>
              <w:t>.201</w:t>
            </w:r>
            <w:r>
              <w:rPr>
                <w:sz w:val="20"/>
                <w:szCs w:val="20"/>
                <w:lang w:val="fr-CA"/>
              </w:rPr>
              <w:t>3</w:t>
            </w:r>
          </w:p>
          <w:p w:rsidR="00242AEE" w:rsidRPr="00A935AA" w:rsidRDefault="00B74DD2" w:rsidP="003B3977">
            <w:pPr>
              <w:rPr>
                <w:sz w:val="20"/>
                <w:szCs w:val="20"/>
              </w:rPr>
            </w:pPr>
            <w:r w:rsidRPr="00B74DD2">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A33A9D" w:rsidP="003B3977">
            <w:pPr>
              <w:keepNext/>
              <w:keepLines/>
              <w:tabs>
                <w:tab w:val="left" w:pos="-1440"/>
                <w:tab w:val="left" w:pos="-720"/>
              </w:tabs>
              <w:rPr>
                <w:b/>
                <w:sz w:val="20"/>
                <w:szCs w:val="20"/>
              </w:rPr>
            </w:pPr>
            <w:r>
              <w:rPr>
                <w:b/>
                <w:sz w:val="20"/>
                <w:szCs w:val="20"/>
              </w:rPr>
              <w:t>Moham</w:t>
            </w:r>
            <w:r w:rsidR="00DC14C3" w:rsidRPr="00DC14C3">
              <w:rPr>
                <w:b/>
                <w:sz w:val="20"/>
                <w:szCs w:val="20"/>
              </w:rPr>
              <w:t>ed</w:t>
            </w:r>
            <w:r w:rsidR="00DC14C3">
              <w:rPr>
                <w:b/>
                <w:sz w:val="20"/>
                <w:szCs w:val="20"/>
              </w:rPr>
              <w:t xml:space="preserve"> Ahmed</w:t>
            </w:r>
          </w:p>
          <w:p w:rsidR="00242AEE" w:rsidRPr="00A935AA" w:rsidRDefault="00242AEE" w:rsidP="003B3977">
            <w:pPr>
              <w:keepNext/>
              <w:keepLines/>
              <w:tabs>
                <w:tab w:val="left" w:pos="-1440"/>
                <w:tab w:val="left" w:pos="-720"/>
              </w:tabs>
              <w:rPr>
                <w:sz w:val="20"/>
                <w:szCs w:val="20"/>
              </w:rPr>
            </w:pPr>
            <w:r w:rsidRPr="00A935AA">
              <w:rPr>
                <w:sz w:val="20"/>
                <w:szCs w:val="20"/>
              </w:rPr>
              <w:tab/>
            </w:r>
            <w:r w:rsidR="00DC14C3" w:rsidRPr="00DC14C3">
              <w:rPr>
                <w:sz w:val="20"/>
                <w:szCs w:val="20"/>
              </w:rPr>
              <w:t>Mohammed Ahmed</w:t>
            </w:r>
          </w:p>
          <w:p w:rsidR="00242AEE" w:rsidRPr="00A935AA" w:rsidRDefault="00242AEE" w:rsidP="003B3977">
            <w:pPr>
              <w:keepNext/>
              <w:keepLines/>
              <w:tabs>
                <w:tab w:val="left" w:pos="-1440"/>
                <w:tab w:val="left" w:pos="-720"/>
              </w:tabs>
              <w:rPr>
                <w:sz w:val="20"/>
                <w:szCs w:val="20"/>
              </w:rPr>
            </w:pPr>
          </w:p>
          <w:p w:rsidR="00242AEE" w:rsidRPr="00DC14C3" w:rsidRDefault="00242AEE" w:rsidP="003B3977">
            <w:pPr>
              <w:keepNext/>
              <w:keepLines/>
              <w:tabs>
                <w:tab w:val="left" w:pos="-1440"/>
                <w:tab w:val="left" w:pos="-720"/>
              </w:tabs>
              <w:rPr>
                <w:sz w:val="20"/>
                <w:szCs w:val="20"/>
                <w:lang w:val="en-US"/>
              </w:rPr>
            </w:pPr>
            <w:r w:rsidRPr="00A935AA">
              <w:rPr>
                <w:sz w:val="20"/>
                <w:szCs w:val="20"/>
              </w:rPr>
              <w:tab/>
            </w:r>
            <w:r w:rsidR="00DC14C3" w:rsidRPr="00DC14C3">
              <w:rPr>
                <w:sz w:val="20"/>
                <w:szCs w:val="20"/>
                <w:lang w:val="en-US"/>
              </w:rPr>
              <w:t>v. (35283</w:t>
            </w:r>
            <w:r w:rsidRPr="00DC14C3">
              <w:rPr>
                <w:sz w:val="20"/>
                <w:szCs w:val="20"/>
                <w:lang w:val="en-US"/>
              </w:rPr>
              <w:t>)</w:t>
            </w:r>
          </w:p>
          <w:p w:rsidR="00242AEE" w:rsidRPr="00DC14C3" w:rsidRDefault="00242AEE" w:rsidP="003B3977">
            <w:pPr>
              <w:keepNext/>
              <w:keepLines/>
              <w:tabs>
                <w:tab w:val="left" w:pos="-1440"/>
                <w:tab w:val="left" w:pos="-720"/>
              </w:tabs>
              <w:rPr>
                <w:sz w:val="20"/>
                <w:szCs w:val="20"/>
                <w:lang w:val="en-US"/>
              </w:rPr>
            </w:pPr>
          </w:p>
          <w:p w:rsidR="00242AEE" w:rsidRPr="00DC14C3" w:rsidRDefault="00DC14C3" w:rsidP="003B3977">
            <w:pPr>
              <w:keepNext/>
              <w:keepLines/>
              <w:tabs>
                <w:tab w:val="left" w:pos="-1440"/>
                <w:tab w:val="left" w:pos="-720"/>
              </w:tabs>
              <w:rPr>
                <w:b/>
                <w:sz w:val="20"/>
                <w:szCs w:val="20"/>
                <w:lang w:val="en-US"/>
              </w:rPr>
            </w:pPr>
            <w:r w:rsidRPr="00DC14C3">
              <w:rPr>
                <w:b/>
                <w:sz w:val="20"/>
                <w:szCs w:val="20"/>
                <w:lang w:val="en-US"/>
              </w:rPr>
              <w:t xml:space="preserve">City of Vancouver </w:t>
            </w:r>
            <w:r>
              <w:rPr>
                <w:b/>
                <w:sz w:val="20"/>
                <w:szCs w:val="20"/>
                <w:lang w:val="en-US"/>
              </w:rPr>
              <w:t>et al.</w:t>
            </w:r>
            <w:r w:rsidR="00A33A9D">
              <w:rPr>
                <w:b/>
                <w:sz w:val="20"/>
                <w:szCs w:val="20"/>
                <w:lang w:val="en-US"/>
              </w:rPr>
              <w:t xml:space="preserve"> </w:t>
            </w:r>
            <w:r w:rsidR="00242AEE" w:rsidRPr="00DC14C3">
              <w:rPr>
                <w:b/>
                <w:sz w:val="20"/>
                <w:szCs w:val="20"/>
                <w:lang w:val="en-US"/>
              </w:rPr>
              <w:t>(</w:t>
            </w:r>
            <w:r w:rsidRPr="00DC14C3">
              <w:rPr>
                <w:b/>
                <w:sz w:val="20"/>
                <w:szCs w:val="20"/>
                <w:lang w:val="en-US"/>
              </w:rPr>
              <w:t>B.C.</w:t>
            </w:r>
            <w:r w:rsidR="00242AEE" w:rsidRPr="00DC14C3">
              <w:rPr>
                <w:b/>
                <w:sz w:val="20"/>
                <w:szCs w:val="20"/>
                <w:lang w:val="en-US"/>
              </w:rPr>
              <w:t>)</w:t>
            </w:r>
          </w:p>
          <w:p w:rsidR="00242AEE" w:rsidRPr="00DC14C3" w:rsidRDefault="00242AEE" w:rsidP="003B3977">
            <w:pPr>
              <w:keepNext/>
              <w:keepLines/>
              <w:tabs>
                <w:tab w:val="left" w:pos="-1440"/>
                <w:tab w:val="left" w:pos="-720"/>
              </w:tabs>
              <w:rPr>
                <w:sz w:val="20"/>
                <w:szCs w:val="20"/>
                <w:lang w:val="en-US"/>
              </w:rPr>
            </w:pPr>
            <w:r w:rsidRPr="00DC14C3">
              <w:rPr>
                <w:sz w:val="20"/>
                <w:szCs w:val="20"/>
                <w:lang w:val="en-US"/>
              </w:rPr>
              <w:tab/>
            </w:r>
            <w:r w:rsidR="00DC14C3" w:rsidRPr="00DC14C3">
              <w:rPr>
                <w:sz w:val="20"/>
                <w:szCs w:val="20"/>
                <w:lang w:val="en-US"/>
              </w:rPr>
              <w:t>Brent Jordan</w:t>
            </w:r>
          </w:p>
          <w:p w:rsidR="00242AEE" w:rsidRPr="00DC14C3" w:rsidRDefault="00242AEE" w:rsidP="003B3977">
            <w:pPr>
              <w:keepNext/>
              <w:keepLines/>
              <w:tabs>
                <w:tab w:val="left" w:pos="-1440"/>
                <w:tab w:val="left" w:pos="-720"/>
              </w:tabs>
              <w:rPr>
                <w:sz w:val="20"/>
                <w:szCs w:val="20"/>
                <w:lang w:val="en-US"/>
              </w:rPr>
            </w:pPr>
            <w:r w:rsidRPr="00DC14C3">
              <w:rPr>
                <w:sz w:val="20"/>
                <w:szCs w:val="20"/>
                <w:lang w:val="en-US"/>
              </w:rPr>
              <w:tab/>
            </w:r>
            <w:r w:rsidR="00DC14C3" w:rsidRPr="00DC14C3">
              <w:rPr>
                <w:sz w:val="20"/>
                <w:szCs w:val="20"/>
                <w:lang w:val="en-US"/>
              </w:rPr>
              <w:t>City of Vancouver</w:t>
            </w:r>
          </w:p>
          <w:p w:rsidR="00242AEE" w:rsidRPr="00DC14C3" w:rsidRDefault="00242AEE" w:rsidP="003B3977">
            <w:pPr>
              <w:keepNext/>
              <w:keepLines/>
              <w:tabs>
                <w:tab w:val="left" w:pos="-1440"/>
                <w:tab w:val="left" w:pos="-720"/>
              </w:tabs>
              <w:rPr>
                <w:sz w:val="20"/>
                <w:szCs w:val="20"/>
                <w:lang w:val="en-US"/>
              </w:rPr>
            </w:pPr>
          </w:p>
          <w:p w:rsidR="00242AEE" w:rsidRPr="00A935AA" w:rsidRDefault="00242AEE" w:rsidP="00DC14C3">
            <w:pPr>
              <w:rPr>
                <w:sz w:val="20"/>
                <w:szCs w:val="20"/>
              </w:rPr>
            </w:pPr>
            <w:r w:rsidRPr="00A935AA">
              <w:rPr>
                <w:sz w:val="20"/>
                <w:szCs w:val="20"/>
              </w:rPr>
              <w:t xml:space="preserve">FILING DATE: </w:t>
            </w:r>
            <w:r w:rsidR="00DC14C3">
              <w:rPr>
                <w:sz w:val="20"/>
                <w:szCs w:val="20"/>
              </w:rPr>
              <w:t>07</w:t>
            </w:r>
            <w:r w:rsidRPr="00A935AA">
              <w:rPr>
                <w:sz w:val="20"/>
                <w:szCs w:val="20"/>
              </w:rPr>
              <w:t>.0</w:t>
            </w:r>
            <w:r w:rsidR="00DC14C3">
              <w:rPr>
                <w:sz w:val="20"/>
                <w:szCs w:val="20"/>
              </w:rPr>
              <w:t>3</w:t>
            </w:r>
            <w:r w:rsidRPr="00A935AA">
              <w:rPr>
                <w:sz w:val="20"/>
                <w:szCs w:val="20"/>
              </w:rPr>
              <w:t>.201</w:t>
            </w:r>
            <w:r w:rsidR="00DC14C3">
              <w:rPr>
                <w:sz w:val="20"/>
                <w:szCs w:val="20"/>
              </w:rPr>
              <w:t>3</w:t>
            </w:r>
            <w:r w:rsidR="00B74DD2" w:rsidRPr="00B74DD2">
              <w:rPr>
                <w:sz w:val="20"/>
                <w:szCs w:val="20"/>
                <w:lang w:val="fr-CA"/>
              </w:rPr>
              <w:pict>
                <v:rect id="_x0000_i1026" style="width:108pt;height:1pt" o:hrpct="0" o:hralign="center" o:hrstd="t" o:hrnoshade="t" o:hr="t" fillcolor="black [3213]" stroked="f"/>
              </w:pict>
            </w:r>
          </w:p>
        </w:tc>
      </w:tr>
      <w:tr w:rsidR="00242AEE" w:rsidRPr="00A935AA" w:rsidTr="003B3977">
        <w:tc>
          <w:tcPr>
            <w:tcW w:w="4320" w:type="dxa"/>
            <w:shd w:val="clear" w:color="auto" w:fill="auto"/>
          </w:tcPr>
          <w:p w:rsidR="00E163E5" w:rsidRPr="00A935AA" w:rsidRDefault="00E163E5" w:rsidP="00E163E5">
            <w:pPr>
              <w:rPr>
                <w:b/>
                <w:sz w:val="20"/>
                <w:szCs w:val="20"/>
              </w:rPr>
            </w:pPr>
            <w:r>
              <w:rPr>
                <w:b/>
                <w:sz w:val="20"/>
                <w:szCs w:val="20"/>
              </w:rPr>
              <w:t xml:space="preserve">Brian </w:t>
            </w:r>
            <w:r w:rsidRPr="00A106D8">
              <w:rPr>
                <w:b/>
                <w:sz w:val="20"/>
                <w:szCs w:val="20"/>
              </w:rPr>
              <w:t>Yaworski</w:t>
            </w:r>
          </w:p>
          <w:p w:rsidR="00E163E5" w:rsidRDefault="00E163E5" w:rsidP="00E163E5">
            <w:pPr>
              <w:tabs>
                <w:tab w:val="left" w:pos="-1440"/>
                <w:tab w:val="left" w:pos="-720"/>
              </w:tabs>
              <w:rPr>
                <w:sz w:val="20"/>
                <w:szCs w:val="20"/>
              </w:rPr>
            </w:pPr>
            <w:r w:rsidRPr="00A935AA">
              <w:rPr>
                <w:sz w:val="20"/>
                <w:szCs w:val="20"/>
              </w:rPr>
              <w:tab/>
            </w:r>
            <w:r>
              <w:rPr>
                <w:sz w:val="20"/>
                <w:szCs w:val="20"/>
              </w:rPr>
              <w:t>Christian J. Popowich</w:t>
            </w:r>
          </w:p>
          <w:p w:rsidR="00E163E5" w:rsidRPr="00A935AA" w:rsidRDefault="00E163E5" w:rsidP="00E163E5">
            <w:pPr>
              <w:tabs>
                <w:tab w:val="left" w:pos="-1440"/>
                <w:tab w:val="left" w:pos="-720"/>
              </w:tabs>
              <w:rPr>
                <w:sz w:val="20"/>
                <w:szCs w:val="20"/>
              </w:rPr>
            </w:pPr>
            <w:r>
              <w:rPr>
                <w:sz w:val="20"/>
                <w:szCs w:val="20"/>
              </w:rPr>
              <w:tab/>
              <w:t>Code Hunter LLP</w:t>
            </w:r>
          </w:p>
          <w:p w:rsidR="00E163E5" w:rsidRPr="00A935AA" w:rsidRDefault="00E163E5" w:rsidP="00E163E5">
            <w:pPr>
              <w:tabs>
                <w:tab w:val="left" w:pos="-1440"/>
                <w:tab w:val="left" w:pos="-720"/>
              </w:tabs>
              <w:rPr>
                <w:sz w:val="20"/>
                <w:szCs w:val="20"/>
              </w:rPr>
            </w:pPr>
          </w:p>
          <w:p w:rsidR="00E163E5" w:rsidRPr="00A106D8" w:rsidRDefault="00E163E5" w:rsidP="00E163E5">
            <w:pPr>
              <w:tabs>
                <w:tab w:val="left" w:pos="-1440"/>
                <w:tab w:val="left" w:pos="-720"/>
              </w:tabs>
              <w:rPr>
                <w:sz w:val="20"/>
                <w:szCs w:val="20"/>
                <w:lang w:val="en-US"/>
              </w:rPr>
            </w:pPr>
            <w:r w:rsidRPr="00A935AA">
              <w:rPr>
                <w:sz w:val="20"/>
                <w:szCs w:val="20"/>
              </w:rPr>
              <w:tab/>
            </w:r>
            <w:r w:rsidRPr="00A106D8">
              <w:rPr>
                <w:sz w:val="20"/>
                <w:szCs w:val="20"/>
                <w:lang w:val="en-US"/>
              </w:rPr>
              <w:t>v. (35265)</w:t>
            </w:r>
          </w:p>
          <w:p w:rsidR="00E163E5" w:rsidRPr="00A106D8" w:rsidRDefault="00E163E5" w:rsidP="00E163E5">
            <w:pPr>
              <w:tabs>
                <w:tab w:val="left" w:pos="-1440"/>
                <w:tab w:val="left" w:pos="-720"/>
              </w:tabs>
              <w:rPr>
                <w:sz w:val="20"/>
                <w:szCs w:val="20"/>
                <w:lang w:val="en-US"/>
              </w:rPr>
            </w:pPr>
          </w:p>
          <w:p w:rsidR="00E163E5" w:rsidRPr="00A106D8" w:rsidRDefault="00E163E5" w:rsidP="00E163E5">
            <w:pPr>
              <w:tabs>
                <w:tab w:val="left" w:pos="-1440"/>
                <w:tab w:val="left" w:pos="-720"/>
              </w:tabs>
              <w:rPr>
                <w:b/>
                <w:sz w:val="20"/>
                <w:szCs w:val="20"/>
                <w:lang w:val="en-US"/>
              </w:rPr>
            </w:pPr>
            <w:r w:rsidRPr="00A106D8">
              <w:rPr>
                <w:b/>
                <w:sz w:val="20"/>
                <w:szCs w:val="20"/>
                <w:lang w:val="en-US"/>
              </w:rPr>
              <w:t>Gowling Lafleur Henderson (Alta.)</w:t>
            </w:r>
          </w:p>
          <w:p w:rsidR="00E163E5" w:rsidRPr="00A106D8" w:rsidRDefault="00E163E5" w:rsidP="00E163E5">
            <w:pPr>
              <w:tabs>
                <w:tab w:val="left" w:pos="-1440"/>
                <w:tab w:val="left" w:pos="-720"/>
              </w:tabs>
              <w:rPr>
                <w:sz w:val="20"/>
                <w:szCs w:val="20"/>
                <w:lang w:val="en-US"/>
              </w:rPr>
            </w:pPr>
            <w:r w:rsidRPr="00A106D8">
              <w:rPr>
                <w:sz w:val="20"/>
                <w:szCs w:val="20"/>
                <w:lang w:val="en-US"/>
              </w:rPr>
              <w:tab/>
              <w:t xml:space="preserve">Perry R. </w:t>
            </w:r>
            <w:r>
              <w:rPr>
                <w:sz w:val="20"/>
                <w:szCs w:val="20"/>
                <w:lang w:val="en-US"/>
              </w:rPr>
              <w:t>Mack, Q.C.</w:t>
            </w:r>
          </w:p>
          <w:p w:rsidR="00E163E5" w:rsidRPr="00A106D8" w:rsidRDefault="00E163E5" w:rsidP="00E163E5">
            <w:pPr>
              <w:tabs>
                <w:tab w:val="left" w:pos="-1440"/>
                <w:tab w:val="left" w:pos="-720"/>
              </w:tabs>
              <w:rPr>
                <w:sz w:val="20"/>
                <w:szCs w:val="20"/>
                <w:lang w:val="en-US"/>
              </w:rPr>
            </w:pPr>
            <w:r w:rsidRPr="00A106D8">
              <w:rPr>
                <w:sz w:val="20"/>
                <w:szCs w:val="20"/>
                <w:lang w:val="en-US"/>
              </w:rPr>
              <w:tab/>
            </w:r>
            <w:r>
              <w:rPr>
                <w:sz w:val="20"/>
                <w:szCs w:val="20"/>
                <w:lang w:val="en-US"/>
              </w:rPr>
              <w:t>Mack Meagher LLP</w:t>
            </w:r>
          </w:p>
          <w:p w:rsidR="00E163E5" w:rsidRPr="00A106D8" w:rsidRDefault="00E163E5" w:rsidP="00E163E5">
            <w:pPr>
              <w:tabs>
                <w:tab w:val="left" w:pos="-1440"/>
                <w:tab w:val="left" w:pos="-720"/>
              </w:tabs>
              <w:rPr>
                <w:sz w:val="20"/>
                <w:szCs w:val="20"/>
                <w:lang w:val="en-US"/>
              </w:rPr>
            </w:pPr>
          </w:p>
          <w:p w:rsidR="00E163E5" w:rsidRPr="00A935AA" w:rsidRDefault="00E163E5" w:rsidP="00E163E5">
            <w:pPr>
              <w:rPr>
                <w:sz w:val="20"/>
                <w:szCs w:val="20"/>
              </w:rPr>
            </w:pPr>
            <w:r w:rsidRPr="00A935AA">
              <w:rPr>
                <w:sz w:val="20"/>
                <w:szCs w:val="20"/>
              </w:rPr>
              <w:t xml:space="preserve">FILING DATE: </w:t>
            </w:r>
            <w:r>
              <w:rPr>
                <w:sz w:val="20"/>
                <w:szCs w:val="20"/>
              </w:rPr>
              <w:t>15</w:t>
            </w:r>
            <w:r w:rsidRPr="00A935AA">
              <w:rPr>
                <w:sz w:val="20"/>
                <w:szCs w:val="20"/>
              </w:rPr>
              <w:t>.0</w:t>
            </w:r>
            <w:r>
              <w:rPr>
                <w:sz w:val="20"/>
                <w:szCs w:val="20"/>
              </w:rPr>
              <w:t>3</w:t>
            </w:r>
            <w:r w:rsidRPr="00A935AA">
              <w:rPr>
                <w:sz w:val="20"/>
                <w:szCs w:val="20"/>
              </w:rPr>
              <w:t>.201</w:t>
            </w:r>
            <w:r>
              <w:rPr>
                <w:sz w:val="20"/>
                <w:szCs w:val="20"/>
              </w:rPr>
              <w:t>3</w:t>
            </w:r>
          </w:p>
          <w:p w:rsidR="00242AEE" w:rsidRPr="00A935AA" w:rsidRDefault="00B74DD2" w:rsidP="003B3977">
            <w:pPr>
              <w:rPr>
                <w:sz w:val="20"/>
                <w:szCs w:val="20"/>
              </w:rPr>
            </w:pPr>
            <w:r w:rsidRPr="00B74DD2">
              <w:rPr>
                <w:sz w:val="20"/>
                <w:szCs w:val="20"/>
                <w:lang w:val="fr-CA"/>
              </w:rPr>
              <w:pict>
                <v:rect id="_x0000_i1027"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DC14C3" w:rsidRDefault="00DC14C3" w:rsidP="003B3977">
            <w:pPr>
              <w:keepNext/>
              <w:keepLines/>
              <w:tabs>
                <w:tab w:val="left" w:pos="-1440"/>
                <w:tab w:val="left" w:pos="-720"/>
              </w:tabs>
              <w:rPr>
                <w:b/>
                <w:sz w:val="20"/>
                <w:szCs w:val="20"/>
                <w:lang w:val="en-US"/>
              </w:rPr>
            </w:pPr>
            <w:r w:rsidRPr="00DC14C3">
              <w:rPr>
                <w:b/>
                <w:sz w:val="20"/>
                <w:szCs w:val="20"/>
                <w:lang w:val="en-US"/>
              </w:rPr>
              <w:t xml:space="preserve">Ali Tahmourpour </w:t>
            </w:r>
          </w:p>
          <w:p w:rsidR="00242AEE" w:rsidRPr="00DC14C3" w:rsidRDefault="00242AEE" w:rsidP="003B3977">
            <w:pPr>
              <w:keepNext/>
              <w:keepLines/>
              <w:tabs>
                <w:tab w:val="left" w:pos="-1440"/>
                <w:tab w:val="left" w:pos="-720"/>
              </w:tabs>
              <w:rPr>
                <w:sz w:val="20"/>
                <w:szCs w:val="20"/>
                <w:lang w:val="en-US"/>
              </w:rPr>
            </w:pPr>
            <w:r w:rsidRPr="00DC14C3">
              <w:rPr>
                <w:sz w:val="20"/>
                <w:szCs w:val="20"/>
                <w:lang w:val="en-US"/>
              </w:rPr>
              <w:tab/>
            </w:r>
            <w:r w:rsidR="00DC14C3">
              <w:rPr>
                <w:sz w:val="20"/>
                <w:szCs w:val="20"/>
                <w:lang w:val="en-US"/>
              </w:rPr>
              <w:t>Kenneth M. Alexander</w:t>
            </w:r>
          </w:p>
          <w:p w:rsidR="00242AEE" w:rsidRPr="00A935AA" w:rsidRDefault="00242AEE" w:rsidP="003B3977">
            <w:pPr>
              <w:keepNext/>
              <w:keepLines/>
              <w:tabs>
                <w:tab w:val="left" w:pos="-1440"/>
                <w:tab w:val="left" w:pos="-720"/>
              </w:tabs>
              <w:rPr>
                <w:sz w:val="20"/>
                <w:szCs w:val="20"/>
              </w:rPr>
            </w:pPr>
            <w:r w:rsidRPr="00DC14C3">
              <w:rPr>
                <w:sz w:val="20"/>
                <w:szCs w:val="20"/>
                <w:lang w:val="en-US"/>
              </w:rPr>
              <w:tab/>
            </w:r>
            <w:r w:rsidR="00DC14C3">
              <w:rPr>
                <w:sz w:val="20"/>
                <w:szCs w:val="20"/>
              </w:rPr>
              <w:t>Davenport Law Group</w:t>
            </w:r>
          </w:p>
          <w:p w:rsidR="00242AEE" w:rsidRPr="00A935AA" w:rsidRDefault="00242AEE" w:rsidP="003B3977">
            <w:pPr>
              <w:keepNext/>
              <w:keepLines/>
              <w:tabs>
                <w:tab w:val="left" w:pos="-1440"/>
                <w:tab w:val="left" w:pos="-720"/>
              </w:tabs>
              <w:rPr>
                <w:sz w:val="20"/>
                <w:szCs w:val="20"/>
              </w:rPr>
            </w:pPr>
          </w:p>
          <w:p w:rsidR="00242AEE" w:rsidRPr="00A935AA" w:rsidRDefault="00242AEE" w:rsidP="003B3977">
            <w:pPr>
              <w:keepNext/>
              <w:keepLines/>
              <w:tabs>
                <w:tab w:val="left" w:pos="-1440"/>
                <w:tab w:val="left" w:pos="-720"/>
              </w:tabs>
              <w:rPr>
                <w:sz w:val="20"/>
                <w:szCs w:val="20"/>
              </w:rPr>
            </w:pPr>
            <w:r w:rsidRPr="00A935AA">
              <w:rPr>
                <w:sz w:val="20"/>
                <w:szCs w:val="20"/>
              </w:rPr>
              <w:tab/>
              <w:t>v. (3</w:t>
            </w:r>
            <w:r w:rsidR="00DC14C3">
              <w:rPr>
                <w:sz w:val="20"/>
                <w:szCs w:val="20"/>
              </w:rPr>
              <w:t>5255</w:t>
            </w:r>
            <w:r w:rsidRPr="00A935AA">
              <w:rPr>
                <w:sz w:val="20"/>
                <w:szCs w:val="20"/>
              </w:rPr>
              <w:t>)</w:t>
            </w:r>
          </w:p>
          <w:p w:rsidR="00242AEE" w:rsidRPr="00A935AA" w:rsidRDefault="00242AEE" w:rsidP="003B3977">
            <w:pPr>
              <w:keepNext/>
              <w:keepLines/>
              <w:tabs>
                <w:tab w:val="left" w:pos="-1440"/>
                <w:tab w:val="left" w:pos="-720"/>
              </w:tabs>
              <w:rPr>
                <w:sz w:val="20"/>
                <w:szCs w:val="20"/>
              </w:rPr>
            </w:pPr>
          </w:p>
          <w:p w:rsidR="00242AEE" w:rsidRPr="00A935AA" w:rsidRDefault="00242AEE" w:rsidP="003B3977">
            <w:pPr>
              <w:keepNext/>
              <w:keepLines/>
              <w:tabs>
                <w:tab w:val="left" w:pos="-1440"/>
                <w:tab w:val="left" w:pos="-720"/>
              </w:tabs>
              <w:rPr>
                <w:b/>
                <w:sz w:val="20"/>
                <w:szCs w:val="20"/>
              </w:rPr>
            </w:pPr>
            <w:r w:rsidRPr="00A935AA">
              <w:rPr>
                <w:b/>
                <w:sz w:val="20"/>
                <w:szCs w:val="20"/>
              </w:rPr>
              <w:t>Attorney General of Canada (</w:t>
            </w:r>
            <w:r w:rsidR="00DC14C3">
              <w:rPr>
                <w:b/>
                <w:sz w:val="20"/>
                <w:szCs w:val="20"/>
              </w:rPr>
              <w:t>F.C.</w:t>
            </w:r>
            <w:r w:rsidRPr="00A935AA">
              <w:rPr>
                <w:b/>
                <w:sz w:val="20"/>
                <w:szCs w:val="20"/>
              </w:rPr>
              <w:t>)</w:t>
            </w:r>
          </w:p>
          <w:p w:rsidR="00242AEE" w:rsidRPr="00A935AA" w:rsidRDefault="00242AEE" w:rsidP="003B3977">
            <w:pPr>
              <w:keepNext/>
              <w:keepLines/>
              <w:tabs>
                <w:tab w:val="left" w:pos="-1440"/>
                <w:tab w:val="left" w:pos="-720"/>
              </w:tabs>
              <w:rPr>
                <w:sz w:val="20"/>
                <w:szCs w:val="20"/>
              </w:rPr>
            </w:pPr>
            <w:r w:rsidRPr="00A935AA">
              <w:rPr>
                <w:sz w:val="20"/>
                <w:szCs w:val="20"/>
              </w:rPr>
              <w:tab/>
            </w:r>
            <w:r w:rsidR="00DC14C3">
              <w:rPr>
                <w:sz w:val="20"/>
                <w:szCs w:val="20"/>
              </w:rPr>
              <w:t>Kathryn Hucal</w:t>
            </w:r>
          </w:p>
          <w:p w:rsidR="00242AEE" w:rsidRPr="00A935AA" w:rsidRDefault="00242AEE" w:rsidP="003B3977">
            <w:pPr>
              <w:keepNext/>
              <w:keepLines/>
              <w:tabs>
                <w:tab w:val="left" w:pos="-1440"/>
                <w:tab w:val="left" w:pos="-720"/>
              </w:tabs>
              <w:rPr>
                <w:sz w:val="20"/>
                <w:szCs w:val="20"/>
              </w:rPr>
            </w:pPr>
            <w:r w:rsidRPr="00A935AA">
              <w:rPr>
                <w:sz w:val="20"/>
                <w:szCs w:val="20"/>
              </w:rPr>
              <w:tab/>
              <w:t>A.G. of Canada</w:t>
            </w:r>
          </w:p>
          <w:p w:rsidR="00242AEE" w:rsidRPr="00A935AA" w:rsidRDefault="00242AEE" w:rsidP="003B3977">
            <w:pPr>
              <w:keepNext/>
              <w:keepLines/>
              <w:tabs>
                <w:tab w:val="left" w:pos="-1440"/>
                <w:tab w:val="left" w:pos="-720"/>
              </w:tabs>
              <w:rPr>
                <w:sz w:val="20"/>
                <w:szCs w:val="20"/>
              </w:rPr>
            </w:pPr>
          </w:p>
          <w:p w:rsidR="00242AEE" w:rsidRPr="00A935AA" w:rsidRDefault="00242AEE" w:rsidP="00DC14C3">
            <w:pPr>
              <w:rPr>
                <w:sz w:val="20"/>
                <w:szCs w:val="20"/>
              </w:rPr>
            </w:pPr>
            <w:r w:rsidRPr="00A935AA">
              <w:rPr>
                <w:sz w:val="20"/>
                <w:szCs w:val="20"/>
              </w:rPr>
              <w:t xml:space="preserve">FILING DATE: </w:t>
            </w:r>
            <w:r w:rsidR="00DC14C3">
              <w:rPr>
                <w:sz w:val="20"/>
                <w:szCs w:val="20"/>
              </w:rPr>
              <w:t>11</w:t>
            </w:r>
            <w:r w:rsidRPr="00A935AA">
              <w:rPr>
                <w:sz w:val="20"/>
                <w:szCs w:val="20"/>
              </w:rPr>
              <w:t>.0</w:t>
            </w:r>
            <w:r w:rsidR="00DC14C3">
              <w:rPr>
                <w:sz w:val="20"/>
                <w:szCs w:val="20"/>
              </w:rPr>
              <w:t>3</w:t>
            </w:r>
            <w:r w:rsidRPr="00A935AA">
              <w:rPr>
                <w:sz w:val="20"/>
                <w:szCs w:val="20"/>
              </w:rPr>
              <w:t>.201</w:t>
            </w:r>
            <w:r w:rsidR="00DC14C3">
              <w:rPr>
                <w:sz w:val="20"/>
                <w:szCs w:val="20"/>
              </w:rPr>
              <w:t>3</w:t>
            </w:r>
            <w:r w:rsidR="00B74DD2" w:rsidRPr="00B74DD2">
              <w:rPr>
                <w:sz w:val="20"/>
                <w:szCs w:val="20"/>
                <w:lang w:val="fr-CA"/>
              </w:rPr>
              <w:pict>
                <v:rect id="_x0000_i1028" style="width:108pt;height:1pt" o:hrpct="0" o:hralign="center" o:hrstd="t" o:hrnoshade="t" o:hr="t" fillcolor="black [3213]" stroked="f"/>
              </w:pict>
            </w:r>
          </w:p>
        </w:tc>
      </w:tr>
      <w:tr w:rsidR="00242AEE" w:rsidRPr="00A935AA" w:rsidTr="003B3977">
        <w:tc>
          <w:tcPr>
            <w:tcW w:w="4320" w:type="dxa"/>
            <w:shd w:val="clear" w:color="auto" w:fill="auto"/>
          </w:tcPr>
          <w:p w:rsidR="00094C23" w:rsidRPr="00DC14C3" w:rsidRDefault="00094C23" w:rsidP="00094C23">
            <w:pPr>
              <w:keepNext/>
              <w:keepLines/>
              <w:tabs>
                <w:tab w:val="left" w:pos="-1440"/>
                <w:tab w:val="left" w:pos="-720"/>
              </w:tabs>
              <w:rPr>
                <w:b/>
                <w:sz w:val="20"/>
                <w:szCs w:val="20"/>
                <w:lang w:val="en-US"/>
              </w:rPr>
            </w:pPr>
            <w:r>
              <w:rPr>
                <w:b/>
                <w:sz w:val="20"/>
                <w:szCs w:val="20"/>
                <w:lang w:val="en-US"/>
              </w:rPr>
              <w:t xml:space="preserve">Robert </w:t>
            </w:r>
            <w:r w:rsidRPr="00094C23">
              <w:rPr>
                <w:b/>
                <w:sz w:val="20"/>
                <w:szCs w:val="20"/>
                <w:lang w:val="en-US"/>
              </w:rPr>
              <w:t>Burgiss</w:t>
            </w:r>
          </w:p>
          <w:p w:rsidR="00094C23" w:rsidRDefault="00094C23" w:rsidP="00F62CB5">
            <w:pPr>
              <w:keepNext/>
              <w:keepLines/>
              <w:tabs>
                <w:tab w:val="left" w:pos="-1440"/>
                <w:tab w:val="left" w:pos="-720"/>
              </w:tabs>
              <w:rPr>
                <w:sz w:val="20"/>
                <w:szCs w:val="20"/>
              </w:rPr>
            </w:pPr>
            <w:r w:rsidRPr="00DC14C3">
              <w:rPr>
                <w:sz w:val="20"/>
                <w:szCs w:val="20"/>
                <w:lang w:val="en-US"/>
              </w:rPr>
              <w:tab/>
            </w:r>
            <w:r w:rsidR="00F62CB5" w:rsidRPr="00F62CB5">
              <w:rPr>
                <w:sz w:val="20"/>
                <w:szCs w:val="20"/>
                <w:lang w:val="en-US"/>
              </w:rPr>
              <w:t>Robert Burgiss</w:t>
            </w:r>
          </w:p>
          <w:p w:rsidR="00F62CB5" w:rsidRPr="00A935AA" w:rsidRDefault="00F62CB5" w:rsidP="00F62CB5">
            <w:pPr>
              <w:keepNext/>
              <w:keepLines/>
              <w:tabs>
                <w:tab w:val="left" w:pos="-1440"/>
                <w:tab w:val="left" w:pos="-720"/>
              </w:tabs>
              <w:rPr>
                <w:sz w:val="20"/>
                <w:szCs w:val="20"/>
              </w:rPr>
            </w:pPr>
          </w:p>
          <w:p w:rsidR="00094C23" w:rsidRPr="00A935AA" w:rsidRDefault="00094C23" w:rsidP="00094C23">
            <w:pPr>
              <w:keepNext/>
              <w:keepLines/>
              <w:tabs>
                <w:tab w:val="left" w:pos="-1440"/>
                <w:tab w:val="left" w:pos="-720"/>
              </w:tabs>
              <w:rPr>
                <w:sz w:val="20"/>
                <w:szCs w:val="20"/>
              </w:rPr>
            </w:pPr>
            <w:r w:rsidRPr="00A935AA">
              <w:rPr>
                <w:sz w:val="20"/>
                <w:szCs w:val="20"/>
              </w:rPr>
              <w:tab/>
              <w:t>v. (3</w:t>
            </w:r>
            <w:r>
              <w:rPr>
                <w:sz w:val="20"/>
                <w:szCs w:val="20"/>
              </w:rPr>
              <w:t>52</w:t>
            </w:r>
            <w:r w:rsidR="00F62CB5">
              <w:rPr>
                <w:sz w:val="20"/>
                <w:szCs w:val="20"/>
              </w:rPr>
              <w:t>60</w:t>
            </w:r>
            <w:r w:rsidRPr="00A935AA">
              <w:rPr>
                <w:sz w:val="20"/>
                <w:szCs w:val="20"/>
              </w:rPr>
              <w:t>)</w:t>
            </w:r>
          </w:p>
          <w:p w:rsidR="00094C23" w:rsidRPr="00A935AA" w:rsidRDefault="00094C23" w:rsidP="00094C23">
            <w:pPr>
              <w:keepNext/>
              <w:keepLines/>
              <w:tabs>
                <w:tab w:val="left" w:pos="-1440"/>
                <w:tab w:val="left" w:pos="-720"/>
              </w:tabs>
              <w:rPr>
                <w:sz w:val="20"/>
                <w:szCs w:val="20"/>
              </w:rPr>
            </w:pPr>
          </w:p>
          <w:p w:rsidR="00094C23" w:rsidRPr="00A935AA" w:rsidRDefault="00094C23" w:rsidP="00094C23">
            <w:pPr>
              <w:keepNext/>
              <w:keepLines/>
              <w:tabs>
                <w:tab w:val="left" w:pos="-1440"/>
                <w:tab w:val="left" w:pos="-720"/>
              </w:tabs>
              <w:rPr>
                <w:b/>
                <w:sz w:val="20"/>
                <w:szCs w:val="20"/>
              </w:rPr>
            </w:pPr>
            <w:r w:rsidRPr="00A935AA">
              <w:rPr>
                <w:b/>
                <w:sz w:val="20"/>
                <w:szCs w:val="20"/>
              </w:rPr>
              <w:t>Attorney General of Canada (</w:t>
            </w:r>
            <w:r w:rsidR="00F62CB5">
              <w:rPr>
                <w:b/>
                <w:sz w:val="20"/>
                <w:szCs w:val="20"/>
              </w:rPr>
              <w:t>Ont</w:t>
            </w:r>
            <w:r>
              <w:rPr>
                <w:b/>
                <w:sz w:val="20"/>
                <w:szCs w:val="20"/>
              </w:rPr>
              <w:t>.</w:t>
            </w:r>
            <w:r w:rsidRPr="00A935AA">
              <w:rPr>
                <w:b/>
                <w:sz w:val="20"/>
                <w:szCs w:val="20"/>
              </w:rPr>
              <w:t>)</w:t>
            </w:r>
          </w:p>
          <w:p w:rsidR="00094C23" w:rsidRPr="00A935AA" w:rsidRDefault="00094C23" w:rsidP="00094C23">
            <w:pPr>
              <w:keepNext/>
              <w:keepLines/>
              <w:tabs>
                <w:tab w:val="left" w:pos="-1440"/>
                <w:tab w:val="left" w:pos="-720"/>
              </w:tabs>
              <w:rPr>
                <w:sz w:val="20"/>
                <w:szCs w:val="20"/>
              </w:rPr>
            </w:pPr>
            <w:r w:rsidRPr="00A935AA">
              <w:rPr>
                <w:sz w:val="20"/>
                <w:szCs w:val="20"/>
              </w:rPr>
              <w:tab/>
            </w:r>
            <w:r w:rsidR="00F62CB5">
              <w:rPr>
                <w:sz w:val="20"/>
                <w:szCs w:val="20"/>
              </w:rPr>
              <w:t>Michael J. Sims</w:t>
            </w:r>
          </w:p>
          <w:p w:rsidR="00094C23" w:rsidRPr="00A935AA" w:rsidRDefault="00094C23" w:rsidP="00094C23">
            <w:pPr>
              <w:keepNext/>
              <w:keepLines/>
              <w:tabs>
                <w:tab w:val="left" w:pos="-1440"/>
                <w:tab w:val="left" w:pos="-720"/>
              </w:tabs>
              <w:rPr>
                <w:sz w:val="20"/>
                <w:szCs w:val="20"/>
              </w:rPr>
            </w:pPr>
            <w:r w:rsidRPr="00A935AA">
              <w:rPr>
                <w:sz w:val="20"/>
                <w:szCs w:val="20"/>
              </w:rPr>
              <w:tab/>
              <w:t>A.G. of Canada</w:t>
            </w:r>
          </w:p>
          <w:p w:rsidR="00094C23" w:rsidRPr="00A935AA" w:rsidRDefault="00094C23" w:rsidP="00094C23">
            <w:pPr>
              <w:keepNext/>
              <w:keepLines/>
              <w:tabs>
                <w:tab w:val="left" w:pos="-1440"/>
                <w:tab w:val="left" w:pos="-720"/>
              </w:tabs>
              <w:rPr>
                <w:sz w:val="20"/>
                <w:szCs w:val="20"/>
              </w:rPr>
            </w:pPr>
          </w:p>
          <w:p w:rsidR="00242AEE" w:rsidRPr="00A935AA" w:rsidRDefault="00094C23" w:rsidP="00094C23">
            <w:pPr>
              <w:rPr>
                <w:sz w:val="20"/>
                <w:szCs w:val="20"/>
              </w:rPr>
            </w:pPr>
            <w:r w:rsidRPr="00A935AA">
              <w:rPr>
                <w:sz w:val="20"/>
                <w:szCs w:val="20"/>
              </w:rPr>
              <w:t xml:space="preserve">FILING DATE: </w:t>
            </w:r>
            <w:r>
              <w:rPr>
                <w:sz w:val="20"/>
                <w:szCs w:val="20"/>
              </w:rPr>
              <w:t>11</w:t>
            </w:r>
            <w:r w:rsidRPr="00A935AA">
              <w:rPr>
                <w:sz w:val="20"/>
                <w:szCs w:val="20"/>
              </w:rPr>
              <w:t>.0</w:t>
            </w:r>
            <w:r>
              <w:rPr>
                <w:sz w:val="20"/>
                <w:szCs w:val="20"/>
              </w:rPr>
              <w:t>3</w:t>
            </w:r>
            <w:r w:rsidRPr="00A935AA">
              <w:rPr>
                <w:sz w:val="20"/>
                <w:szCs w:val="20"/>
              </w:rPr>
              <w:t>.201</w:t>
            </w:r>
            <w:r>
              <w:rPr>
                <w:sz w:val="20"/>
                <w:szCs w:val="20"/>
              </w:rPr>
              <w:t>3</w:t>
            </w:r>
            <w:r w:rsidR="00B74DD2" w:rsidRPr="00B74DD2">
              <w:rPr>
                <w:sz w:val="20"/>
                <w:szCs w:val="20"/>
                <w:lang w:val="fr-CA"/>
              </w:rPr>
              <w:pict>
                <v:rect id="_x0000_i1029"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A935AA" w:rsidRDefault="00A935AA" w:rsidP="00242AEE">
            <w:pPr>
              <w:jc w:val="center"/>
              <w:rPr>
                <w:sz w:val="20"/>
                <w:szCs w:val="20"/>
              </w:rPr>
            </w:pPr>
          </w:p>
          <w:p w:rsidR="00A935AA" w:rsidRPr="00A935AA" w:rsidRDefault="00A935AA" w:rsidP="00242AEE">
            <w:pPr>
              <w:jc w:val="center"/>
              <w:rPr>
                <w:sz w:val="20"/>
                <w:szCs w:val="20"/>
              </w:rPr>
            </w:pPr>
          </w:p>
        </w:tc>
        <w:tc>
          <w:tcPr>
            <w:tcW w:w="4320" w:type="dxa"/>
            <w:shd w:val="clear" w:color="auto" w:fill="auto"/>
          </w:tcPr>
          <w:p w:rsidR="006C0B09" w:rsidRPr="00A935AA" w:rsidRDefault="006C0B09" w:rsidP="006C0B09">
            <w:pPr>
              <w:rPr>
                <w:b/>
                <w:sz w:val="20"/>
                <w:szCs w:val="20"/>
              </w:rPr>
            </w:pPr>
            <w:r w:rsidRPr="00CB4878">
              <w:rPr>
                <w:b/>
                <w:sz w:val="20"/>
                <w:szCs w:val="20"/>
              </w:rPr>
              <w:t>Government of Yukon</w:t>
            </w:r>
            <w:r w:rsidRPr="00DC14C3">
              <w:rPr>
                <w:b/>
                <w:sz w:val="20"/>
                <w:szCs w:val="20"/>
              </w:rPr>
              <w:t xml:space="preserve"> </w:t>
            </w:r>
          </w:p>
          <w:p w:rsidR="006C0B09" w:rsidRPr="00A935AA" w:rsidRDefault="006C0B09" w:rsidP="006C0B09">
            <w:pPr>
              <w:tabs>
                <w:tab w:val="left" w:pos="-1440"/>
                <w:tab w:val="left" w:pos="-720"/>
              </w:tabs>
              <w:rPr>
                <w:sz w:val="20"/>
                <w:szCs w:val="20"/>
              </w:rPr>
            </w:pPr>
            <w:r w:rsidRPr="00A935AA">
              <w:rPr>
                <w:sz w:val="20"/>
                <w:szCs w:val="20"/>
              </w:rPr>
              <w:tab/>
            </w:r>
            <w:r>
              <w:rPr>
                <w:sz w:val="20"/>
                <w:szCs w:val="20"/>
              </w:rPr>
              <w:t>Penelope Gawn</w:t>
            </w:r>
          </w:p>
          <w:p w:rsidR="006C0B09" w:rsidRPr="00A935AA" w:rsidRDefault="006C0B09" w:rsidP="006C0B09">
            <w:pPr>
              <w:tabs>
                <w:tab w:val="left" w:pos="-1440"/>
                <w:tab w:val="left" w:pos="-720"/>
              </w:tabs>
              <w:rPr>
                <w:sz w:val="20"/>
                <w:szCs w:val="20"/>
              </w:rPr>
            </w:pPr>
            <w:r w:rsidRPr="00A935AA">
              <w:rPr>
                <w:sz w:val="20"/>
                <w:szCs w:val="20"/>
              </w:rPr>
              <w:tab/>
            </w:r>
            <w:r>
              <w:rPr>
                <w:sz w:val="20"/>
                <w:szCs w:val="20"/>
              </w:rPr>
              <w:t>A.G. of the Yukon Territory</w:t>
            </w:r>
          </w:p>
          <w:p w:rsidR="006C0B09" w:rsidRPr="00A935AA" w:rsidRDefault="006C0B09" w:rsidP="006C0B09">
            <w:pPr>
              <w:tabs>
                <w:tab w:val="left" w:pos="-1440"/>
                <w:tab w:val="left" w:pos="-720"/>
              </w:tabs>
              <w:rPr>
                <w:sz w:val="20"/>
                <w:szCs w:val="20"/>
              </w:rPr>
            </w:pPr>
          </w:p>
          <w:p w:rsidR="006C0B09" w:rsidRPr="00A935AA" w:rsidRDefault="006C0B09" w:rsidP="006C0B09">
            <w:pPr>
              <w:tabs>
                <w:tab w:val="left" w:pos="-1440"/>
                <w:tab w:val="left" w:pos="-720"/>
              </w:tabs>
              <w:rPr>
                <w:sz w:val="20"/>
                <w:szCs w:val="20"/>
              </w:rPr>
            </w:pPr>
            <w:r w:rsidRPr="00A935AA">
              <w:rPr>
                <w:sz w:val="20"/>
                <w:szCs w:val="20"/>
              </w:rPr>
              <w:tab/>
              <w:t>v. (3</w:t>
            </w:r>
            <w:r>
              <w:rPr>
                <w:sz w:val="20"/>
                <w:szCs w:val="20"/>
              </w:rPr>
              <w:t>5236</w:t>
            </w:r>
            <w:r w:rsidRPr="00A935AA">
              <w:rPr>
                <w:sz w:val="20"/>
                <w:szCs w:val="20"/>
              </w:rPr>
              <w:t>)</w:t>
            </w:r>
          </w:p>
          <w:p w:rsidR="006C0B09" w:rsidRPr="00A935AA" w:rsidRDefault="006C0B09" w:rsidP="006C0B09">
            <w:pPr>
              <w:tabs>
                <w:tab w:val="left" w:pos="-1440"/>
                <w:tab w:val="left" w:pos="-720"/>
              </w:tabs>
              <w:rPr>
                <w:sz w:val="20"/>
                <w:szCs w:val="20"/>
              </w:rPr>
            </w:pPr>
          </w:p>
          <w:p w:rsidR="006C0B09" w:rsidRPr="00A935AA" w:rsidRDefault="006C0B09" w:rsidP="006C0B09">
            <w:pPr>
              <w:tabs>
                <w:tab w:val="left" w:pos="-1440"/>
                <w:tab w:val="left" w:pos="-720"/>
              </w:tabs>
              <w:rPr>
                <w:b/>
                <w:sz w:val="20"/>
                <w:szCs w:val="20"/>
              </w:rPr>
            </w:pPr>
            <w:r w:rsidRPr="00CB4878">
              <w:rPr>
                <w:b/>
                <w:sz w:val="20"/>
                <w:szCs w:val="20"/>
              </w:rPr>
              <w:t>Ross River Dena Council</w:t>
            </w:r>
            <w:r>
              <w:rPr>
                <w:b/>
                <w:sz w:val="20"/>
                <w:szCs w:val="20"/>
              </w:rPr>
              <w:t xml:space="preserve"> </w:t>
            </w:r>
            <w:r w:rsidRPr="00A935AA">
              <w:rPr>
                <w:b/>
                <w:sz w:val="20"/>
                <w:szCs w:val="20"/>
              </w:rPr>
              <w:t>(</w:t>
            </w:r>
            <w:r>
              <w:rPr>
                <w:b/>
                <w:sz w:val="20"/>
                <w:szCs w:val="20"/>
              </w:rPr>
              <w:t>Y.T.</w:t>
            </w:r>
            <w:r w:rsidRPr="00A935AA">
              <w:rPr>
                <w:b/>
                <w:sz w:val="20"/>
                <w:szCs w:val="20"/>
              </w:rPr>
              <w:t>)</w:t>
            </w:r>
          </w:p>
          <w:p w:rsidR="006C0B09" w:rsidRPr="00A935AA" w:rsidRDefault="006C0B09" w:rsidP="006C0B09">
            <w:pPr>
              <w:tabs>
                <w:tab w:val="left" w:pos="-1440"/>
                <w:tab w:val="left" w:pos="-720"/>
              </w:tabs>
              <w:rPr>
                <w:sz w:val="20"/>
                <w:szCs w:val="20"/>
              </w:rPr>
            </w:pPr>
            <w:r w:rsidRPr="00A935AA">
              <w:rPr>
                <w:sz w:val="20"/>
                <w:szCs w:val="20"/>
              </w:rPr>
              <w:tab/>
            </w:r>
            <w:r>
              <w:rPr>
                <w:sz w:val="20"/>
                <w:szCs w:val="20"/>
              </w:rPr>
              <w:t>Stephen L. Walsh</w:t>
            </w:r>
          </w:p>
          <w:p w:rsidR="006C0B09" w:rsidRPr="00A935AA" w:rsidRDefault="006C0B09" w:rsidP="006C0B09">
            <w:pPr>
              <w:tabs>
                <w:tab w:val="left" w:pos="-1440"/>
                <w:tab w:val="left" w:pos="-720"/>
              </w:tabs>
              <w:rPr>
                <w:sz w:val="20"/>
                <w:szCs w:val="20"/>
              </w:rPr>
            </w:pPr>
          </w:p>
          <w:p w:rsidR="00F62CB5" w:rsidRPr="00EF21DE" w:rsidRDefault="006C0B09" w:rsidP="006C0B09">
            <w:pPr>
              <w:rPr>
                <w:sz w:val="20"/>
                <w:szCs w:val="20"/>
                <w:lang w:val="en-US"/>
              </w:rPr>
            </w:pPr>
            <w:r w:rsidRPr="00EF21DE">
              <w:rPr>
                <w:sz w:val="20"/>
                <w:szCs w:val="20"/>
                <w:lang w:val="en-US"/>
              </w:rPr>
              <w:t>FILING DATE: 25.02.2013</w:t>
            </w:r>
          </w:p>
          <w:p w:rsidR="00242AEE" w:rsidRPr="00A935AA" w:rsidRDefault="00B74DD2" w:rsidP="003B3977">
            <w:pPr>
              <w:keepNext/>
              <w:keepLines/>
              <w:tabs>
                <w:tab w:val="left" w:pos="-1440"/>
                <w:tab w:val="left" w:pos="-720"/>
              </w:tabs>
              <w:rPr>
                <w:sz w:val="20"/>
                <w:szCs w:val="20"/>
              </w:rPr>
            </w:pPr>
            <w:r w:rsidRPr="00B74DD2">
              <w:rPr>
                <w:sz w:val="20"/>
                <w:szCs w:val="20"/>
                <w:lang w:val="fr-CA"/>
              </w:rPr>
              <w:pict>
                <v:rect id="_x0000_i1030" style="width:108pt;height:1pt" o:hrpct="0" o:hralign="center" o:hrstd="t" o:hrnoshade="t" o:hr="t" fillcolor="black [3213]" stroked="f"/>
              </w:pict>
            </w:r>
          </w:p>
        </w:tc>
      </w:tr>
      <w:tr w:rsidR="00242AEE" w:rsidRPr="00A935AA" w:rsidTr="003B3977">
        <w:trPr>
          <w:cantSplit/>
        </w:trPr>
        <w:tc>
          <w:tcPr>
            <w:tcW w:w="4320" w:type="dxa"/>
            <w:shd w:val="clear" w:color="auto" w:fill="auto"/>
          </w:tcPr>
          <w:p w:rsidR="00242AEE" w:rsidRPr="00EF21DE" w:rsidRDefault="00F62CB5" w:rsidP="003B3977">
            <w:pPr>
              <w:rPr>
                <w:b/>
                <w:sz w:val="20"/>
                <w:szCs w:val="20"/>
                <w:lang w:val="fr-CA"/>
              </w:rPr>
            </w:pPr>
            <w:r w:rsidRPr="00F62CB5">
              <w:rPr>
                <w:b/>
                <w:sz w:val="20"/>
                <w:szCs w:val="20"/>
                <w:lang w:val="fr-CA"/>
              </w:rPr>
              <w:t>Balwinder Aujla et al.</w:t>
            </w:r>
          </w:p>
          <w:p w:rsidR="00242AEE" w:rsidRPr="00EF21DE" w:rsidRDefault="00242AEE" w:rsidP="003B3977">
            <w:pPr>
              <w:tabs>
                <w:tab w:val="left" w:pos="-1440"/>
                <w:tab w:val="left" w:pos="-720"/>
              </w:tabs>
              <w:rPr>
                <w:sz w:val="20"/>
                <w:szCs w:val="20"/>
                <w:lang w:val="fr-CA"/>
              </w:rPr>
            </w:pPr>
            <w:r w:rsidRPr="00EF21DE">
              <w:rPr>
                <w:sz w:val="20"/>
                <w:szCs w:val="20"/>
                <w:lang w:val="fr-CA"/>
              </w:rPr>
              <w:tab/>
            </w:r>
            <w:r w:rsidR="00F62CB5" w:rsidRPr="00EF21DE">
              <w:rPr>
                <w:sz w:val="20"/>
                <w:szCs w:val="20"/>
                <w:lang w:val="fr-CA"/>
              </w:rPr>
              <w:t>Brian G. Doherty</w:t>
            </w:r>
          </w:p>
          <w:p w:rsidR="00242AEE" w:rsidRPr="00A935AA" w:rsidRDefault="00242AEE" w:rsidP="003B3977">
            <w:pPr>
              <w:tabs>
                <w:tab w:val="left" w:pos="-1440"/>
                <w:tab w:val="left" w:pos="-720"/>
              </w:tabs>
              <w:rPr>
                <w:sz w:val="20"/>
                <w:szCs w:val="20"/>
              </w:rPr>
            </w:pPr>
            <w:r w:rsidRPr="00EF21DE">
              <w:rPr>
                <w:sz w:val="20"/>
                <w:szCs w:val="20"/>
                <w:lang w:val="fr-CA"/>
              </w:rPr>
              <w:tab/>
            </w:r>
            <w:r w:rsidR="00F62CB5">
              <w:rPr>
                <w:sz w:val="20"/>
                <w:szCs w:val="20"/>
              </w:rPr>
              <w:t>Doherty Schuldhaus LLP</w:t>
            </w:r>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w:t>
            </w:r>
            <w:r w:rsidR="00F62CB5">
              <w:rPr>
                <w:sz w:val="20"/>
                <w:szCs w:val="20"/>
              </w:rPr>
              <w:t>5261</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F62CB5" w:rsidP="003B3977">
            <w:pPr>
              <w:tabs>
                <w:tab w:val="left" w:pos="-1440"/>
                <w:tab w:val="left" w:pos="-720"/>
              </w:tabs>
              <w:rPr>
                <w:b/>
                <w:sz w:val="20"/>
                <w:szCs w:val="20"/>
              </w:rPr>
            </w:pPr>
            <w:r w:rsidRPr="00F62CB5">
              <w:rPr>
                <w:b/>
                <w:sz w:val="20"/>
                <w:szCs w:val="20"/>
              </w:rPr>
              <w:t>581257 Alberta Ltd.</w:t>
            </w:r>
            <w:r w:rsidR="00242AEE" w:rsidRPr="00A935AA">
              <w:rPr>
                <w:b/>
                <w:sz w:val="20"/>
                <w:szCs w:val="20"/>
              </w:rPr>
              <w:t xml:space="preserve"> (</w:t>
            </w:r>
            <w:r>
              <w:rPr>
                <w:b/>
                <w:sz w:val="20"/>
                <w:szCs w:val="20"/>
              </w:rPr>
              <w:t>Alta.</w:t>
            </w:r>
            <w:r w:rsidR="00242AEE" w:rsidRPr="00A935AA">
              <w:rPr>
                <w:b/>
                <w:sz w:val="20"/>
                <w:szCs w:val="20"/>
              </w:rPr>
              <w:t>)</w:t>
            </w:r>
          </w:p>
          <w:p w:rsidR="00242AEE" w:rsidRPr="00A935AA" w:rsidRDefault="00242AEE" w:rsidP="003B3977">
            <w:pPr>
              <w:tabs>
                <w:tab w:val="left" w:pos="-1440"/>
                <w:tab w:val="left" w:pos="-720"/>
              </w:tabs>
              <w:rPr>
                <w:sz w:val="20"/>
                <w:szCs w:val="20"/>
              </w:rPr>
            </w:pPr>
            <w:r w:rsidRPr="00A935AA">
              <w:rPr>
                <w:sz w:val="20"/>
                <w:szCs w:val="20"/>
              </w:rPr>
              <w:tab/>
            </w:r>
            <w:r w:rsidR="00F62CB5">
              <w:rPr>
                <w:sz w:val="20"/>
                <w:szCs w:val="20"/>
              </w:rPr>
              <w:t>Shawn Beaver</w:t>
            </w:r>
          </w:p>
          <w:p w:rsidR="00242AEE" w:rsidRPr="00A935AA" w:rsidRDefault="00242AEE" w:rsidP="003B3977">
            <w:pPr>
              <w:tabs>
                <w:tab w:val="left" w:pos="-1440"/>
                <w:tab w:val="left" w:pos="-720"/>
              </w:tabs>
              <w:rPr>
                <w:sz w:val="20"/>
                <w:szCs w:val="20"/>
              </w:rPr>
            </w:pPr>
            <w:r w:rsidRPr="00A935AA">
              <w:rPr>
                <w:sz w:val="20"/>
                <w:szCs w:val="20"/>
              </w:rPr>
              <w:tab/>
            </w:r>
            <w:r w:rsidR="00F62CB5">
              <w:rPr>
                <w:sz w:val="20"/>
                <w:szCs w:val="20"/>
              </w:rPr>
              <w:t>Beaver, Leebody, Frank &amp; Simic</w:t>
            </w:r>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 xml:space="preserve">FILING DATE: </w:t>
            </w:r>
            <w:r w:rsidR="00F62CB5">
              <w:rPr>
                <w:sz w:val="20"/>
                <w:szCs w:val="20"/>
              </w:rPr>
              <w:t>12</w:t>
            </w:r>
            <w:r w:rsidRPr="00A935AA">
              <w:rPr>
                <w:sz w:val="20"/>
                <w:szCs w:val="20"/>
              </w:rPr>
              <w:t>.0</w:t>
            </w:r>
            <w:r w:rsidR="00F62CB5">
              <w:rPr>
                <w:sz w:val="20"/>
                <w:szCs w:val="20"/>
              </w:rPr>
              <w:t>3</w:t>
            </w:r>
            <w:r w:rsidRPr="00A935AA">
              <w:rPr>
                <w:sz w:val="20"/>
                <w:szCs w:val="20"/>
              </w:rPr>
              <w:t>.201</w:t>
            </w:r>
            <w:r w:rsidR="00F62CB5">
              <w:rPr>
                <w:sz w:val="20"/>
                <w:szCs w:val="20"/>
              </w:rPr>
              <w:t>3</w:t>
            </w:r>
          </w:p>
          <w:p w:rsidR="00242AEE" w:rsidRPr="00A935AA" w:rsidRDefault="00B74DD2" w:rsidP="003B3977">
            <w:pPr>
              <w:rPr>
                <w:sz w:val="20"/>
                <w:szCs w:val="20"/>
              </w:rPr>
            </w:pPr>
            <w:r w:rsidRPr="00B74DD2">
              <w:rPr>
                <w:sz w:val="20"/>
                <w:szCs w:val="20"/>
                <w:lang w:val="fr-CA"/>
              </w:rPr>
              <w:pict>
                <v:rect id="_x0000_i1031"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EF21DE" w:rsidRDefault="00A07871" w:rsidP="003B3977">
            <w:pPr>
              <w:keepNext/>
              <w:keepLines/>
              <w:tabs>
                <w:tab w:val="left" w:pos="-1440"/>
                <w:tab w:val="left" w:pos="-720"/>
              </w:tabs>
              <w:rPr>
                <w:b/>
                <w:sz w:val="20"/>
                <w:szCs w:val="20"/>
                <w:lang w:val="en-US"/>
              </w:rPr>
            </w:pPr>
            <w:r w:rsidRPr="00EF21DE">
              <w:rPr>
                <w:b/>
                <w:sz w:val="20"/>
                <w:szCs w:val="20"/>
                <w:lang w:val="en-US"/>
              </w:rPr>
              <w:t>Walid El Dali</w:t>
            </w:r>
          </w:p>
          <w:p w:rsidR="00242AEE" w:rsidRPr="002362CE" w:rsidRDefault="00242AEE" w:rsidP="003B3977">
            <w:pPr>
              <w:keepNext/>
              <w:keepLines/>
              <w:tabs>
                <w:tab w:val="left" w:pos="-1440"/>
                <w:tab w:val="left" w:pos="-720"/>
              </w:tabs>
              <w:rPr>
                <w:sz w:val="20"/>
                <w:szCs w:val="20"/>
                <w:lang w:val="en-US"/>
              </w:rPr>
            </w:pPr>
            <w:r w:rsidRPr="00EF21DE">
              <w:rPr>
                <w:sz w:val="20"/>
                <w:szCs w:val="20"/>
                <w:lang w:val="en-US"/>
              </w:rPr>
              <w:tab/>
            </w:r>
            <w:r w:rsidR="002362CE" w:rsidRPr="002362CE">
              <w:rPr>
                <w:sz w:val="20"/>
                <w:szCs w:val="20"/>
                <w:lang w:val="en-US"/>
              </w:rPr>
              <w:t>Joseph Y. Obagi</w:t>
            </w:r>
          </w:p>
          <w:p w:rsidR="00242AEE" w:rsidRPr="002362CE" w:rsidRDefault="00242AEE" w:rsidP="003B3977">
            <w:pPr>
              <w:keepNext/>
              <w:keepLines/>
              <w:tabs>
                <w:tab w:val="left" w:pos="-1440"/>
                <w:tab w:val="left" w:pos="-720"/>
              </w:tabs>
              <w:rPr>
                <w:sz w:val="20"/>
                <w:szCs w:val="20"/>
                <w:lang w:val="en-US"/>
              </w:rPr>
            </w:pPr>
            <w:r w:rsidRPr="002362CE">
              <w:rPr>
                <w:sz w:val="20"/>
                <w:szCs w:val="20"/>
                <w:lang w:val="en-US"/>
              </w:rPr>
              <w:tab/>
            </w:r>
            <w:r w:rsidR="002362CE" w:rsidRPr="002362CE">
              <w:rPr>
                <w:sz w:val="20"/>
                <w:szCs w:val="20"/>
                <w:lang w:val="en-US"/>
              </w:rPr>
              <w:t>Connolly Obagi LLP</w:t>
            </w:r>
          </w:p>
          <w:p w:rsidR="00242AEE" w:rsidRPr="002362CE" w:rsidRDefault="00242AEE" w:rsidP="003B3977">
            <w:pPr>
              <w:keepNext/>
              <w:keepLines/>
              <w:tabs>
                <w:tab w:val="left" w:pos="-1440"/>
                <w:tab w:val="left" w:pos="-720"/>
              </w:tabs>
              <w:rPr>
                <w:sz w:val="20"/>
                <w:szCs w:val="20"/>
                <w:lang w:val="en-US"/>
              </w:rPr>
            </w:pPr>
          </w:p>
          <w:p w:rsidR="00242AEE" w:rsidRPr="00EF21DE" w:rsidRDefault="00242AEE" w:rsidP="003B3977">
            <w:pPr>
              <w:keepNext/>
              <w:keepLines/>
              <w:tabs>
                <w:tab w:val="left" w:pos="-1440"/>
                <w:tab w:val="left" w:pos="-720"/>
              </w:tabs>
              <w:rPr>
                <w:sz w:val="20"/>
                <w:szCs w:val="20"/>
                <w:lang w:val="en-US"/>
              </w:rPr>
            </w:pPr>
            <w:r w:rsidRPr="002362CE">
              <w:rPr>
                <w:sz w:val="20"/>
                <w:szCs w:val="20"/>
                <w:lang w:val="en-US"/>
              </w:rPr>
              <w:tab/>
            </w:r>
            <w:r w:rsidR="002362CE" w:rsidRPr="00EF21DE">
              <w:rPr>
                <w:sz w:val="20"/>
                <w:szCs w:val="20"/>
                <w:lang w:val="en-US"/>
              </w:rPr>
              <w:t>v</w:t>
            </w:r>
            <w:r w:rsidRPr="00EF21DE">
              <w:rPr>
                <w:sz w:val="20"/>
                <w:szCs w:val="20"/>
                <w:lang w:val="en-US"/>
              </w:rPr>
              <w:t>. (3</w:t>
            </w:r>
            <w:r w:rsidR="002362CE" w:rsidRPr="00EF21DE">
              <w:rPr>
                <w:sz w:val="20"/>
                <w:szCs w:val="20"/>
                <w:lang w:val="en-US"/>
              </w:rPr>
              <w:t>5264</w:t>
            </w:r>
            <w:r w:rsidRPr="00EF21DE">
              <w:rPr>
                <w:sz w:val="20"/>
                <w:szCs w:val="20"/>
                <w:lang w:val="en-US"/>
              </w:rPr>
              <w:t>)</w:t>
            </w:r>
          </w:p>
          <w:p w:rsidR="00242AEE" w:rsidRPr="00EF21DE" w:rsidRDefault="00242AEE" w:rsidP="003B3977">
            <w:pPr>
              <w:keepNext/>
              <w:keepLines/>
              <w:tabs>
                <w:tab w:val="left" w:pos="-1440"/>
                <w:tab w:val="left" w:pos="-720"/>
              </w:tabs>
              <w:rPr>
                <w:sz w:val="20"/>
                <w:szCs w:val="20"/>
                <w:lang w:val="en-US"/>
              </w:rPr>
            </w:pPr>
          </w:p>
          <w:p w:rsidR="00242AEE" w:rsidRPr="002362CE" w:rsidRDefault="002362CE" w:rsidP="003B3977">
            <w:pPr>
              <w:keepNext/>
              <w:keepLines/>
              <w:tabs>
                <w:tab w:val="left" w:pos="-1440"/>
                <w:tab w:val="left" w:pos="-720"/>
              </w:tabs>
              <w:rPr>
                <w:b/>
                <w:sz w:val="20"/>
                <w:szCs w:val="20"/>
                <w:lang w:val="fr-CA"/>
              </w:rPr>
            </w:pPr>
            <w:r w:rsidRPr="00EF21DE">
              <w:rPr>
                <w:b/>
                <w:sz w:val="20"/>
                <w:szCs w:val="20"/>
                <w:lang w:val="en-US"/>
              </w:rPr>
              <w:t xml:space="preserve">Sothinathan Panjalingam et al. </w:t>
            </w:r>
            <w:r w:rsidR="00242AEE" w:rsidRPr="002362CE">
              <w:rPr>
                <w:b/>
                <w:sz w:val="20"/>
                <w:szCs w:val="20"/>
                <w:lang w:val="fr-CA"/>
              </w:rPr>
              <w:t>(</w:t>
            </w:r>
            <w:r w:rsidRPr="002362CE">
              <w:rPr>
                <w:b/>
                <w:sz w:val="20"/>
                <w:szCs w:val="20"/>
                <w:lang w:val="fr-CA"/>
              </w:rPr>
              <w:t>Ont.</w:t>
            </w:r>
            <w:r w:rsidR="00242AEE" w:rsidRPr="002362CE">
              <w:rPr>
                <w:b/>
                <w:sz w:val="20"/>
                <w:szCs w:val="20"/>
                <w:lang w:val="fr-CA"/>
              </w:rPr>
              <w:t>)</w:t>
            </w:r>
          </w:p>
          <w:p w:rsidR="00242AEE" w:rsidRPr="00EF21DE" w:rsidRDefault="00242AEE" w:rsidP="003B3977">
            <w:pPr>
              <w:keepNext/>
              <w:keepLines/>
              <w:tabs>
                <w:tab w:val="left" w:pos="-1440"/>
                <w:tab w:val="left" w:pos="-720"/>
              </w:tabs>
              <w:rPr>
                <w:sz w:val="20"/>
                <w:szCs w:val="20"/>
                <w:lang w:val="fr-CA"/>
              </w:rPr>
            </w:pPr>
            <w:r w:rsidRPr="002362CE">
              <w:rPr>
                <w:sz w:val="20"/>
                <w:szCs w:val="20"/>
                <w:lang w:val="fr-CA"/>
              </w:rPr>
              <w:tab/>
            </w:r>
            <w:r w:rsidR="002362CE" w:rsidRPr="00EF21DE">
              <w:rPr>
                <w:sz w:val="20"/>
                <w:szCs w:val="20"/>
                <w:lang w:val="fr-CA"/>
              </w:rPr>
              <w:t>Peter Cronyn</w:t>
            </w:r>
          </w:p>
          <w:p w:rsidR="00242AEE" w:rsidRPr="00EF21DE" w:rsidRDefault="00242AEE" w:rsidP="003B3977">
            <w:pPr>
              <w:keepNext/>
              <w:keepLines/>
              <w:tabs>
                <w:tab w:val="left" w:pos="-1440"/>
                <w:tab w:val="left" w:pos="-720"/>
              </w:tabs>
              <w:rPr>
                <w:sz w:val="20"/>
                <w:szCs w:val="20"/>
                <w:lang w:val="fr-CA"/>
              </w:rPr>
            </w:pPr>
            <w:r w:rsidRPr="00EF21DE">
              <w:rPr>
                <w:sz w:val="20"/>
                <w:szCs w:val="20"/>
                <w:lang w:val="fr-CA"/>
              </w:rPr>
              <w:tab/>
            </w:r>
            <w:r w:rsidR="002362CE" w:rsidRPr="00EF21DE">
              <w:rPr>
                <w:sz w:val="20"/>
                <w:szCs w:val="20"/>
                <w:lang w:val="fr-CA"/>
              </w:rPr>
              <w:t>Nelligan O’Brien Payne LLP</w:t>
            </w:r>
          </w:p>
          <w:p w:rsidR="00242AEE" w:rsidRPr="00EF21DE" w:rsidRDefault="00242AEE" w:rsidP="003B3977">
            <w:pPr>
              <w:keepNext/>
              <w:keepLines/>
              <w:tabs>
                <w:tab w:val="left" w:pos="-1440"/>
                <w:tab w:val="left" w:pos="-720"/>
              </w:tabs>
              <w:rPr>
                <w:sz w:val="20"/>
                <w:szCs w:val="20"/>
                <w:lang w:val="fr-CA"/>
              </w:rPr>
            </w:pPr>
          </w:p>
          <w:p w:rsidR="002362CE" w:rsidRPr="00A935AA" w:rsidRDefault="002362CE" w:rsidP="002362CE">
            <w:pPr>
              <w:rPr>
                <w:sz w:val="20"/>
                <w:szCs w:val="20"/>
              </w:rPr>
            </w:pPr>
            <w:r w:rsidRPr="00A935AA">
              <w:rPr>
                <w:sz w:val="20"/>
                <w:szCs w:val="20"/>
              </w:rPr>
              <w:t xml:space="preserve">FILING DATE: </w:t>
            </w:r>
            <w:r>
              <w:rPr>
                <w:sz w:val="20"/>
                <w:szCs w:val="20"/>
              </w:rPr>
              <w:t>13</w:t>
            </w:r>
            <w:r w:rsidRPr="00A935AA">
              <w:rPr>
                <w:sz w:val="20"/>
                <w:szCs w:val="20"/>
              </w:rPr>
              <w:t>.0</w:t>
            </w:r>
            <w:r>
              <w:rPr>
                <w:sz w:val="20"/>
                <w:szCs w:val="20"/>
              </w:rPr>
              <w:t>3</w:t>
            </w:r>
            <w:r w:rsidRPr="00A935AA">
              <w:rPr>
                <w:sz w:val="20"/>
                <w:szCs w:val="20"/>
              </w:rPr>
              <w:t>.201</w:t>
            </w:r>
            <w:r>
              <w:rPr>
                <w:sz w:val="20"/>
                <w:szCs w:val="20"/>
              </w:rPr>
              <w:t>3</w:t>
            </w:r>
          </w:p>
          <w:p w:rsidR="00242AEE" w:rsidRPr="00A935AA" w:rsidRDefault="00B74DD2" w:rsidP="003B3977">
            <w:pPr>
              <w:rPr>
                <w:sz w:val="20"/>
                <w:szCs w:val="20"/>
              </w:rPr>
            </w:pPr>
            <w:r w:rsidRPr="00B74DD2">
              <w:rPr>
                <w:sz w:val="20"/>
                <w:szCs w:val="20"/>
                <w:lang w:val="fr-CA"/>
              </w:rPr>
              <w:pict>
                <v:rect id="_x0000_i1032" style="width:108pt;height:1pt" o:hrpct="0" o:hralign="center" o:hrstd="t" o:hrnoshade="t" o:hr="t" fillcolor="black [3213]" stroked="f"/>
              </w:pict>
            </w:r>
          </w:p>
        </w:tc>
      </w:tr>
      <w:tr w:rsidR="00242AEE" w:rsidRPr="00A935AA" w:rsidTr="003B3977">
        <w:trPr>
          <w:cantSplit/>
        </w:trPr>
        <w:tc>
          <w:tcPr>
            <w:tcW w:w="4320" w:type="dxa"/>
            <w:shd w:val="clear" w:color="auto" w:fill="auto"/>
          </w:tcPr>
          <w:p w:rsidR="00E163E5" w:rsidRPr="00A935AA" w:rsidRDefault="00E163E5" w:rsidP="00E163E5">
            <w:pPr>
              <w:rPr>
                <w:b/>
                <w:sz w:val="20"/>
                <w:szCs w:val="20"/>
              </w:rPr>
            </w:pPr>
            <w:r w:rsidRPr="00DC14C3">
              <w:rPr>
                <w:b/>
                <w:sz w:val="20"/>
                <w:szCs w:val="20"/>
              </w:rPr>
              <w:lastRenderedPageBreak/>
              <w:t xml:space="preserve">Kruger Products Limited / Produits Kruger Limitée </w:t>
            </w:r>
          </w:p>
          <w:p w:rsidR="00E163E5" w:rsidRPr="00A935AA" w:rsidRDefault="00E163E5" w:rsidP="00E163E5">
            <w:pPr>
              <w:tabs>
                <w:tab w:val="left" w:pos="-1440"/>
                <w:tab w:val="left" w:pos="-720"/>
              </w:tabs>
              <w:rPr>
                <w:sz w:val="20"/>
                <w:szCs w:val="20"/>
              </w:rPr>
            </w:pPr>
            <w:r w:rsidRPr="00A935AA">
              <w:rPr>
                <w:sz w:val="20"/>
                <w:szCs w:val="20"/>
              </w:rPr>
              <w:tab/>
            </w:r>
            <w:r>
              <w:rPr>
                <w:sz w:val="20"/>
                <w:szCs w:val="20"/>
              </w:rPr>
              <w:t>Mark M. Skorah, Q.C.</w:t>
            </w:r>
          </w:p>
          <w:p w:rsidR="00E163E5" w:rsidRPr="00A935AA" w:rsidRDefault="00E163E5" w:rsidP="00E163E5">
            <w:pPr>
              <w:tabs>
                <w:tab w:val="left" w:pos="-1440"/>
                <w:tab w:val="left" w:pos="-720"/>
              </w:tabs>
              <w:rPr>
                <w:sz w:val="20"/>
                <w:szCs w:val="20"/>
              </w:rPr>
            </w:pPr>
            <w:r w:rsidRPr="00A935AA">
              <w:rPr>
                <w:sz w:val="20"/>
                <w:szCs w:val="20"/>
              </w:rPr>
              <w:tab/>
            </w:r>
            <w:r>
              <w:rPr>
                <w:sz w:val="20"/>
                <w:szCs w:val="20"/>
              </w:rPr>
              <w:t>Guild Yule LLP</w:t>
            </w:r>
          </w:p>
          <w:p w:rsidR="00E163E5" w:rsidRPr="00A935AA" w:rsidRDefault="00E163E5" w:rsidP="00E163E5">
            <w:pPr>
              <w:tabs>
                <w:tab w:val="left" w:pos="-1440"/>
                <w:tab w:val="left" w:pos="-720"/>
              </w:tabs>
              <w:rPr>
                <w:sz w:val="20"/>
                <w:szCs w:val="20"/>
              </w:rPr>
            </w:pPr>
          </w:p>
          <w:p w:rsidR="00E163E5" w:rsidRPr="00A935AA" w:rsidRDefault="00E163E5" w:rsidP="00E163E5">
            <w:pPr>
              <w:tabs>
                <w:tab w:val="left" w:pos="-1440"/>
                <w:tab w:val="left" w:pos="-720"/>
              </w:tabs>
              <w:rPr>
                <w:sz w:val="20"/>
                <w:szCs w:val="20"/>
              </w:rPr>
            </w:pPr>
            <w:r w:rsidRPr="00A935AA">
              <w:rPr>
                <w:sz w:val="20"/>
                <w:szCs w:val="20"/>
              </w:rPr>
              <w:tab/>
              <w:t>v. (3</w:t>
            </w:r>
            <w:r>
              <w:rPr>
                <w:sz w:val="20"/>
                <w:szCs w:val="20"/>
              </w:rPr>
              <w:t>5253</w:t>
            </w:r>
            <w:r w:rsidRPr="00A935AA">
              <w:rPr>
                <w:sz w:val="20"/>
                <w:szCs w:val="20"/>
              </w:rPr>
              <w:t>)</w:t>
            </w:r>
          </w:p>
          <w:p w:rsidR="00E163E5" w:rsidRPr="00A935AA" w:rsidRDefault="00E163E5" w:rsidP="00E163E5">
            <w:pPr>
              <w:tabs>
                <w:tab w:val="left" w:pos="-1440"/>
                <w:tab w:val="left" w:pos="-720"/>
              </w:tabs>
              <w:rPr>
                <w:sz w:val="20"/>
                <w:szCs w:val="20"/>
              </w:rPr>
            </w:pPr>
          </w:p>
          <w:p w:rsidR="00E163E5" w:rsidRPr="00A935AA" w:rsidRDefault="00E163E5" w:rsidP="00E163E5">
            <w:pPr>
              <w:tabs>
                <w:tab w:val="left" w:pos="-1440"/>
                <w:tab w:val="left" w:pos="-720"/>
              </w:tabs>
              <w:rPr>
                <w:b/>
                <w:sz w:val="20"/>
                <w:szCs w:val="20"/>
              </w:rPr>
            </w:pPr>
            <w:r w:rsidRPr="00DC14C3">
              <w:rPr>
                <w:b/>
                <w:sz w:val="20"/>
                <w:szCs w:val="20"/>
              </w:rPr>
              <w:t xml:space="preserve">First Choice Logistics Inc. </w:t>
            </w:r>
            <w:r>
              <w:rPr>
                <w:b/>
                <w:sz w:val="20"/>
                <w:szCs w:val="20"/>
              </w:rPr>
              <w:t>et al.</w:t>
            </w:r>
            <w:r w:rsidR="00A33A9D">
              <w:rPr>
                <w:b/>
                <w:sz w:val="20"/>
                <w:szCs w:val="20"/>
              </w:rPr>
              <w:t xml:space="preserve"> </w:t>
            </w:r>
            <w:r w:rsidRPr="00A935AA">
              <w:rPr>
                <w:b/>
                <w:sz w:val="20"/>
                <w:szCs w:val="20"/>
              </w:rPr>
              <w:t>(N.S.)</w:t>
            </w:r>
          </w:p>
          <w:p w:rsidR="00E163E5" w:rsidRPr="00A935AA" w:rsidRDefault="00E163E5" w:rsidP="00E163E5">
            <w:pPr>
              <w:tabs>
                <w:tab w:val="left" w:pos="-1440"/>
                <w:tab w:val="left" w:pos="-720"/>
              </w:tabs>
              <w:rPr>
                <w:sz w:val="20"/>
                <w:szCs w:val="20"/>
              </w:rPr>
            </w:pPr>
            <w:r w:rsidRPr="00A935AA">
              <w:rPr>
                <w:sz w:val="20"/>
                <w:szCs w:val="20"/>
              </w:rPr>
              <w:tab/>
            </w:r>
            <w:r>
              <w:rPr>
                <w:sz w:val="20"/>
                <w:szCs w:val="20"/>
              </w:rPr>
              <w:t>W. Gary Wharton</w:t>
            </w:r>
          </w:p>
          <w:p w:rsidR="00E163E5" w:rsidRPr="00A935AA" w:rsidRDefault="00E163E5" w:rsidP="00E163E5">
            <w:pPr>
              <w:tabs>
                <w:tab w:val="left" w:pos="-1440"/>
                <w:tab w:val="left" w:pos="-720"/>
              </w:tabs>
              <w:rPr>
                <w:sz w:val="20"/>
                <w:szCs w:val="20"/>
              </w:rPr>
            </w:pPr>
            <w:r w:rsidRPr="00A935AA">
              <w:rPr>
                <w:sz w:val="20"/>
                <w:szCs w:val="20"/>
              </w:rPr>
              <w:tab/>
            </w:r>
            <w:r>
              <w:rPr>
                <w:sz w:val="20"/>
                <w:szCs w:val="20"/>
              </w:rPr>
              <w:t>Bernard &amp; Partners</w:t>
            </w:r>
          </w:p>
          <w:p w:rsidR="00E163E5" w:rsidRPr="00A935AA" w:rsidRDefault="00E163E5" w:rsidP="00E163E5">
            <w:pPr>
              <w:tabs>
                <w:tab w:val="left" w:pos="-1440"/>
                <w:tab w:val="left" w:pos="-720"/>
              </w:tabs>
              <w:rPr>
                <w:sz w:val="20"/>
                <w:szCs w:val="20"/>
              </w:rPr>
            </w:pPr>
          </w:p>
          <w:p w:rsidR="00E163E5" w:rsidRPr="00A935AA" w:rsidRDefault="00E163E5" w:rsidP="00E163E5">
            <w:pPr>
              <w:rPr>
                <w:sz w:val="20"/>
                <w:szCs w:val="20"/>
              </w:rPr>
            </w:pPr>
            <w:r w:rsidRPr="00A935AA">
              <w:rPr>
                <w:sz w:val="20"/>
                <w:szCs w:val="20"/>
              </w:rPr>
              <w:t xml:space="preserve">FILING DATE: </w:t>
            </w:r>
            <w:r>
              <w:rPr>
                <w:sz w:val="20"/>
                <w:szCs w:val="20"/>
              </w:rPr>
              <w:t>08.03.2013</w:t>
            </w:r>
          </w:p>
          <w:p w:rsidR="00242AEE" w:rsidRPr="00A935AA" w:rsidRDefault="00B74DD2" w:rsidP="003B3977">
            <w:pPr>
              <w:rPr>
                <w:sz w:val="20"/>
                <w:szCs w:val="20"/>
              </w:rPr>
            </w:pPr>
            <w:r w:rsidRPr="00B74DD2">
              <w:rPr>
                <w:sz w:val="20"/>
                <w:szCs w:val="20"/>
                <w:lang w:val="fr-CA"/>
              </w:rPr>
              <w:pict>
                <v:rect id="_x0000_i1033"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Default="00242AEE" w:rsidP="00242AEE">
            <w:pPr>
              <w:jc w:val="center"/>
              <w:rPr>
                <w:sz w:val="20"/>
                <w:szCs w:val="20"/>
              </w:rPr>
            </w:pPr>
          </w:p>
          <w:p w:rsidR="00E163E5" w:rsidRPr="00A935AA" w:rsidRDefault="00E163E5" w:rsidP="00242AEE">
            <w:pPr>
              <w:jc w:val="center"/>
              <w:rPr>
                <w:sz w:val="20"/>
                <w:szCs w:val="20"/>
              </w:rPr>
            </w:pPr>
          </w:p>
        </w:tc>
        <w:tc>
          <w:tcPr>
            <w:tcW w:w="4320" w:type="dxa"/>
            <w:shd w:val="clear" w:color="auto" w:fill="auto"/>
          </w:tcPr>
          <w:p w:rsidR="00D535D8" w:rsidRDefault="00D535D8" w:rsidP="003B3977">
            <w:pPr>
              <w:keepNext/>
              <w:keepLines/>
              <w:tabs>
                <w:tab w:val="left" w:pos="-1440"/>
                <w:tab w:val="left" w:pos="-720"/>
              </w:tabs>
              <w:rPr>
                <w:b/>
                <w:sz w:val="20"/>
                <w:szCs w:val="20"/>
              </w:rPr>
            </w:pPr>
            <w:r>
              <w:rPr>
                <w:b/>
                <w:sz w:val="20"/>
                <w:szCs w:val="20"/>
              </w:rPr>
              <w:t xml:space="preserve">Robert </w:t>
            </w:r>
            <w:r w:rsidRPr="00D535D8">
              <w:rPr>
                <w:b/>
                <w:sz w:val="20"/>
                <w:szCs w:val="20"/>
              </w:rPr>
              <w:t>L'Hirondelle</w:t>
            </w:r>
          </w:p>
          <w:p w:rsidR="00242AEE" w:rsidRPr="00A935AA" w:rsidRDefault="00242AEE" w:rsidP="003B3977">
            <w:pPr>
              <w:keepNext/>
              <w:keepLines/>
              <w:tabs>
                <w:tab w:val="left" w:pos="-1440"/>
                <w:tab w:val="left" w:pos="-720"/>
              </w:tabs>
              <w:rPr>
                <w:sz w:val="20"/>
                <w:szCs w:val="20"/>
              </w:rPr>
            </w:pPr>
            <w:r w:rsidRPr="00A935AA">
              <w:rPr>
                <w:sz w:val="20"/>
                <w:szCs w:val="20"/>
              </w:rPr>
              <w:tab/>
            </w:r>
            <w:r w:rsidR="00D535D8">
              <w:rPr>
                <w:sz w:val="20"/>
                <w:szCs w:val="20"/>
              </w:rPr>
              <w:t>Garry Appelt</w:t>
            </w:r>
          </w:p>
          <w:p w:rsidR="00242AEE" w:rsidRPr="00A935AA" w:rsidRDefault="00242AEE" w:rsidP="003B3977">
            <w:pPr>
              <w:keepNext/>
              <w:keepLines/>
              <w:tabs>
                <w:tab w:val="left" w:pos="-1440"/>
                <w:tab w:val="left" w:pos="-720"/>
              </w:tabs>
              <w:rPr>
                <w:sz w:val="20"/>
                <w:szCs w:val="20"/>
              </w:rPr>
            </w:pPr>
            <w:r w:rsidRPr="00A935AA">
              <w:rPr>
                <w:sz w:val="20"/>
                <w:szCs w:val="20"/>
              </w:rPr>
              <w:tab/>
            </w:r>
            <w:r w:rsidR="00D535D8">
              <w:rPr>
                <w:sz w:val="20"/>
                <w:szCs w:val="20"/>
              </w:rPr>
              <w:t>Witten LLP</w:t>
            </w:r>
          </w:p>
          <w:p w:rsidR="00242AEE" w:rsidRPr="00A935AA" w:rsidRDefault="00242AEE" w:rsidP="003B3977">
            <w:pPr>
              <w:keepNext/>
              <w:keepLines/>
              <w:tabs>
                <w:tab w:val="left" w:pos="-1440"/>
                <w:tab w:val="left" w:pos="-720"/>
              </w:tabs>
              <w:rPr>
                <w:sz w:val="20"/>
                <w:szCs w:val="20"/>
              </w:rPr>
            </w:pPr>
          </w:p>
          <w:p w:rsidR="00242AEE" w:rsidRPr="00A935AA" w:rsidRDefault="00242AEE" w:rsidP="003B3977">
            <w:pPr>
              <w:keepNext/>
              <w:keepLines/>
              <w:tabs>
                <w:tab w:val="left" w:pos="-1440"/>
                <w:tab w:val="left" w:pos="-720"/>
              </w:tabs>
              <w:rPr>
                <w:sz w:val="20"/>
                <w:szCs w:val="20"/>
              </w:rPr>
            </w:pPr>
            <w:r w:rsidRPr="00A935AA">
              <w:rPr>
                <w:sz w:val="20"/>
                <w:szCs w:val="20"/>
              </w:rPr>
              <w:tab/>
              <w:t>v. (3</w:t>
            </w:r>
            <w:r w:rsidR="00D535D8">
              <w:rPr>
                <w:sz w:val="20"/>
                <w:szCs w:val="20"/>
              </w:rPr>
              <w:t>5273</w:t>
            </w:r>
            <w:r w:rsidRPr="00A935AA">
              <w:rPr>
                <w:sz w:val="20"/>
                <w:szCs w:val="20"/>
              </w:rPr>
              <w:t>)</w:t>
            </w:r>
          </w:p>
          <w:p w:rsidR="00242AEE" w:rsidRPr="00A935AA" w:rsidRDefault="00242AEE" w:rsidP="003B3977">
            <w:pPr>
              <w:keepNext/>
              <w:keepLines/>
              <w:tabs>
                <w:tab w:val="left" w:pos="-1440"/>
                <w:tab w:val="left" w:pos="-720"/>
              </w:tabs>
              <w:rPr>
                <w:sz w:val="20"/>
                <w:szCs w:val="20"/>
              </w:rPr>
            </w:pPr>
          </w:p>
          <w:p w:rsidR="00242AEE" w:rsidRPr="00A935AA" w:rsidRDefault="00D535D8" w:rsidP="003B3977">
            <w:pPr>
              <w:keepNext/>
              <w:keepLines/>
              <w:tabs>
                <w:tab w:val="left" w:pos="-1440"/>
                <w:tab w:val="left" w:pos="-720"/>
              </w:tabs>
              <w:rPr>
                <w:b/>
                <w:sz w:val="20"/>
                <w:szCs w:val="20"/>
              </w:rPr>
            </w:pPr>
            <w:r w:rsidRPr="00D535D8">
              <w:rPr>
                <w:b/>
                <w:sz w:val="20"/>
                <w:szCs w:val="20"/>
              </w:rPr>
              <w:t xml:space="preserve">Minister of Sustainable Resources Development (Alberta) </w:t>
            </w:r>
            <w:r w:rsidR="00242AEE" w:rsidRPr="00A935AA">
              <w:rPr>
                <w:b/>
                <w:sz w:val="20"/>
                <w:szCs w:val="20"/>
              </w:rPr>
              <w:t>(</w:t>
            </w:r>
            <w:r>
              <w:rPr>
                <w:b/>
                <w:sz w:val="20"/>
                <w:szCs w:val="20"/>
              </w:rPr>
              <w:t>Alta</w:t>
            </w:r>
            <w:r w:rsidR="00242AEE" w:rsidRPr="00A935AA">
              <w:rPr>
                <w:b/>
                <w:sz w:val="20"/>
                <w:szCs w:val="20"/>
              </w:rPr>
              <w:t>.)</w:t>
            </w:r>
          </w:p>
          <w:p w:rsidR="00242AEE" w:rsidRPr="00A935AA" w:rsidRDefault="00242AEE" w:rsidP="003B3977">
            <w:pPr>
              <w:keepNext/>
              <w:keepLines/>
              <w:tabs>
                <w:tab w:val="left" w:pos="-1440"/>
                <w:tab w:val="left" w:pos="-720"/>
              </w:tabs>
              <w:rPr>
                <w:sz w:val="20"/>
                <w:szCs w:val="20"/>
              </w:rPr>
            </w:pPr>
            <w:r w:rsidRPr="00A935AA">
              <w:rPr>
                <w:sz w:val="20"/>
                <w:szCs w:val="20"/>
              </w:rPr>
              <w:tab/>
            </w:r>
            <w:r w:rsidR="00D535D8">
              <w:rPr>
                <w:sz w:val="20"/>
                <w:szCs w:val="20"/>
              </w:rPr>
              <w:t>Thomas G. Rothwell</w:t>
            </w:r>
          </w:p>
          <w:p w:rsidR="00242AEE" w:rsidRPr="00A935AA" w:rsidRDefault="00242AEE" w:rsidP="003B3977">
            <w:pPr>
              <w:keepNext/>
              <w:keepLines/>
              <w:tabs>
                <w:tab w:val="left" w:pos="-1440"/>
                <w:tab w:val="left" w:pos="-720"/>
              </w:tabs>
              <w:rPr>
                <w:sz w:val="20"/>
                <w:szCs w:val="20"/>
              </w:rPr>
            </w:pPr>
            <w:r w:rsidRPr="00A935AA">
              <w:rPr>
                <w:sz w:val="20"/>
                <w:szCs w:val="20"/>
              </w:rPr>
              <w:tab/>
            </w:r>
            <w:r w:rsidR="00D535D8" w:rsidRPr="00A935AA">
              <w:rPr>
                <w:sz w:val="20"/>
                <w:szCs w:val="20"/>
              </w:rPr>
              <w:t xml:space="preserve">A.G. of </w:t>
            </w:r>
            <w:r w:rsidR="00D535D8">
              <w:rPr>
                <w:sz w:val="20"/>
                <w:szCs w:val="20"/>
              </w:rPr>
              <w:t>Alberta</w:t>
            </w:r>
          </w:p>
          <w:p w:rsidR="00242AEE" w:rsidRPr="00A935AA" w:rsidRDefault="00242AEE" w:rsidP="003B3977">
            <w:pPr>
              <w:keepNext/>
              <w:keepLines/>
              <w:tabs>
                <w:tab w:val="left" w:pos="-1440"/>
                <w:tab w:val="left" w:pos="-720"/>
              </w:tabs>
              <w:rPr>
                <w:sz w:val="20"/>
                <w:szCs w:val="20"/>
              </w:rPr>
            </w:pPr>
          </w:p>
          <w:p w:rsidR="00242AEE" w:rsidRPr="00A935AA" w:rsidRDefault="00242AEE" w:rsidP="00D535D8">
            <w:pPr>
              <w:rPr>
                <w:sz w:val="20"/>
                <w:szCs w:val="20"/>
              </w:rPr>
            </w:pPr>
            <w:r w:rsidRPr="00A935AA">
              <w:rPr>
                <w:sz w:val="20"/>
                <w:szCs w:val="20"/>
              </w:rPr>
              <w:t xml:space="preserve">FILING DATE: </w:t>
            </w:r>
            <w:r w:rsidR="00D535D8">
              <w:rPr>
                <w:sz w:val="20"/>
                <w:szCs w:val="20"/>
              </w:rPr>
              <w:t>1</w:t>
            </w:r>
            <w:r w:rsidRPr="00A935AA">
              <w:rPr>
                <w:sz w:val="20"/>
                <w:szCs w:val="20"/>
              </w:rPr>
              <w:t>8.0</w:t>
            </w:r>
            <w:r w:rsidR="00D535D8">
              <w:rPr>
                <w:sz w:val="20"/>
                <w:szCs w:val="20"/>
              </w:rPr>
              <w:t>3</w:t>
            </w:r>
            <w:r w:rsidRPr="00A935AA">
              <w:rPr>
                <w:sz w:val="20"/>
                <w:szCs w:val="20"/>
              </w:rPr>
              <w:t>.201</w:t>
            </w:r>
            <w:r w:rsidR="00D535D8">
              <w:rPr>
                <w:sz w:val="20"/>
                <w:szCs w:val="20"/>
              </w:rPr>
              <w:t>3</w:t>
            </w:r>
            <w:r w:rsidR="00B74DD2" w:rsidRPr="00B74DD2">
              <w:rPr>
                <w:sz w:val="20"/>
                <w:szCs w:val="20"/>
                <w:lang w:val="fr-CA"/>
              </w:rPr>
              <w:pict>
                <v:rect id="_x0000_i1034" style="width:108pt;height:1pt" o:hrpct="0" o:hralign="center" o:hrstd="t" o:hrnoshade="t" o:hr="t" fillcolor="black [3213]" stroked="f"/>
              </w:pict>
            </w:r>
          </w:p>
        </w:tc>
      </w:tr>
      <w:tr w:rsidR="00242AEE" w:rsidRPr="00A935AA" w:rsidTr="003B3977">
        <w:trPr>
          <w:cantSplit/>
        </w:trPr>
        <w:tc>
          <w:tcPr>
            <w:tcW w:w="4320" w:type="dxa"/>
            <w:shd w:val="clear" w:color="auto" w:fill="auto"/>
          </w:tcPr>
          <w:p w:rsidR="00242AEE" w:rsidRPr="00CB4878" w:rsidRDefault="00CB4878" w:rsidP="003B3977">
            <w:pPr>
              <w:rPr>
                <w:b/>
                <w:sz w:val="20"/>
                <w:szCs w:val="20"/>
                <w:lang w:val="fr-CA"/>
              </w:rPr>
            </w:pPr>
            <w:r w:rsidRPr="00CB4878">
              <w:rPr>
                <w:b/>
                <w:sz w:val="20"/>
                <w:szCs w:val="20"/>
                <w:lang w:val="fr-CA"/>
              </w:rPr>
              <w:t>Albert Beauchamp</w:t>
            </w:r>
          </w:p>
          <w:p w:rsidR="00242AEE" w:rsidRPr="00CB4878" w:rsidRDefault="00242AEE" w:rsidP="003B3977">
            <w:pPr>
              <w:tabs>
                <w:tab w:val="left" w:pos="-1440"/>
                <w:tab w:val="left" w:pos="-720"/>
              </w:tabs>
              <w:rPr>
                <w:sz w:val="20"/>
                <w:szCs w:val="20"/>
                <w:lang w:val="fr-CA"/>
              </w:rPr>
            </w:pPr>
            <w:r w:rsidRPr="00CB4878">
              <w:rPr>
                <w:sz w:val="20"/>
                <w:szCs w:val="20"/>
                <w:lang w:val="fr-CA"/>
              </w:rPr>
              <w:tab/>
            </w:r>
            <w:r w:rsidR="00CB4878">
              <w:rPr>
                <w:sz w:val="20"/>
                <w:szCs w:val="20"/>
                <w:lang w:val="fr-CA"/>
              </w:rPr>
              <w:t xml:space="preserve">Albert </w:t>
            </w:r>
            <w:r w:rsidR="00CB4878" w:rsidRPr="00CB4878">
              <w:rPr>
                <w:sz w:val="20"/>
                <w:szCs w:val="20"/>
                <w:lang w:val="fr-CA"/>
              </w:rPr>
              <w:t>Beauchamp</w:t>
            </w:r>
          </w:p>
          <w:p w:rsidR="00242AEE" w:rsidRPr="00EF21DE" w:rsidRDefault="00242AEE" w:rsidP="003B3977">
            <w:pPr>
              <w:tabs>
                <w:tab w:val="left" w:pos="-1440"/>
                <w:tab w:val="left" w:pos="-720"/>
              </w:tabs>
              <w:rPr>
                <w:sz w:val="20"/>
                <w:szCs w:val="20"/>
                <w:lang w:val="fr-CA"/>
              </w:rPr>
            </w:pPr>
          </w:p>
          <w:p w:rsidR="00242AEE" w:rsidRPr="00EF21DE" w:rsidRDefault="00242AEE" w:rsidP="003B3977">
            <w:pPr>
              <w:tabs>
                <w:tab w:val="left" w:pos="-1440"/>
                <w:tab w:val="left" w:pos="-720"/>
              </w:tabs>
              <w:rPr>
                <w:sz w:val="20"/>
                <w:szCs w:val="20"/>
                <w:lang w:val="fr-CA"/>
              </w:rPr>
            </w:pPr>
            <w:r w:rsidRPr="00EF21DE">
              <w:rPr>
                <w:sz w:val="20"/>
                <w:szCs w:val="20"/>
                <w:lang w:val="fr-CA"/>
              </w:rPr>
              <w:tab/>
            </w:r>
            <w:r w:rsidR="00CB4878" w:rsidRPr="00EF21DE">
              <w:rPr>
                <w:sz w:val="20"/>
                <w:szCs w:val="20"/>
                <w:lang w:val="fr-CA"/>
              </w:rPr>
              <w:t>c</w:t>
            </w:r>
            <w:r w:rsidRPr="00EF21DE">
              <w:rPr>
                <w:sz w:val="20"/>
                <w:szCs w:val="20"/>
                <w:lang w:val="fr-CA"/>
              </w:rPr>
              <w:t>. (3</w:t>
            </w:r>
            <w:r w:rsidR="00CB4878" w:rsidRPr="00EF21DE">
              <w:rPr>
                <w:sz w:val="20"/>
                <w:szCs w:val="20"/>
                <w:lang w:val="fr-CA"/>
              </w:rPr>
              <w:t>5267</w:t>
            </w:r>
            <w:r w:rsidRPr="00EF21DE">
              <w:rPr>
                <w:sz w:val="20"/>
                <w:szCs w:val="20"/>
                <w:lang w:val="fr-CA"/>
              </w:rPr>
              <w:t>)</w:t>
            </w:r>
          </w:p>
          <w:p w:rsidR="00242AEE" w:rsidRPr="00EF21DE" w:rsidRDefault="00242AEE" w:rsidP="003B3977">
            <w:pPr>
              <w:tabs>
                <w:tab w:val="left" w:pos="-1440"/>
                <w:tab w:val="left" w:pos="-720"/>
              </w:tabs>
              <w:rPr>
                <w:sz w:val="20"/>
                <w:szCs w:val="20"/>
                <w:lang w:val="fr-CA"/>
              </w:rPr>
            </w:pPr>
          </w:p>
          <w:p w:rsidR="00242AEE" w:rsidRPr="00CB4878" w:rsidRDefault="00CB4878" w:rsidP="003B3977">
            <w:pPr>
              <w:tabs>
                <w:tab w:val="left" w:pos="-1440"/>
                <w:tab w:val="left" w:pos="-720"/>
              </w:tabs>
              <w:rPr>
                <w:b/>
                <w:sz w:val="20"/>
                <w:szCs w:val="20"/>
                <w:lang w:val="fr-CA"/>
              </w:rPr>
            </w:pPr>
            <w:r w:rsidRPr="00CB4878">
              <w:rPr>
                <w:b/>
                <w:sz w:val="20"/>
                <w:szCs w:val="20"/>
                <w:lang w:val="fr-CA"/>
              </w:rPr>
              <w:t xml:space="preserve">Gouvernement du Québec et autres </w:t>
            </w:r>
            <w:r w:rsidR="00242AEE" w:rsidRPr="00CB4878">
              <w:rPr>
                <w:b/>
                <w:sz w:val="20"/>
                <w:szCs w:val="20"/>
                <w:lang w:val="fr-CA"/>
              </w:rPr>
              <w:t>(</w:t>
            </w:r>
            <w:r w:rsidRPr="00CB4878">
              <w:rPr>
                <w:b/>
                <w:sz w:val="20"/>
                <w:szCs w:val="20"/>
                <w:lang w:val="fr-CA"/>
              </w:rPr>
              <w:t>Qc</w:t>
            </w:r>
            <w:r w:rsidR="00242AEE" w:rsidRPr="00CB4878">
              <w:rPr>
                <w:b/>
                <w:sz w:val="20"/>
                <w:szCs w:val="20"/>
                <w:lang w:val="fr-CA"/>
              </w:rPr>
              <w:t>)</w:t>
            </w:r>
          </w:p>
          <w:p w:rsidR="00242AEE" w:rsidRPr="00CB4878" w:rsidRDefault="00242AEE" w:rsidP="003B3977">
            <w:pPr>
              <w:tabs>
                <w:tab w:val="left" w:pos="-1440"/>
                <w:tab w:val="left" w:pos="-720"/>
              </w:tabs>
              <w:rPr>
                <w:sz w:val="20"/>
                <w:szCs w:val="20"/>
                <w:lang w:val="fr-CA"/>
              </w:rPr>
            </w:pPr>
            <w:r w:rsidRPr="00CB4878">
              <w:rPr>
                <w:sz w:val="20"/>
                <w:szCs w:val="20"/>
                <w:lang w:val="fr-CA"/>
              </w:rPr>
              <w:tab/>
            </w:r>
            <w:r w:rsidR="00CB4878" w:rsidRPr="00CB4878">
              <w:rPr>
                <w:sz w:val="20"/>
                <w:szCs w:val="20"/>
                <w:lang w:val="fr-CA"/>
              </w:rPr>
              <w:t xml:space="preserve">Benoit Boucher </w:t>
            </w:r>
          </w:p>
          <w:p w:rsidR="00242AEE" w:rsidRPr="00F90C95" w:rsidRDefault="00242AEE" w:rsidP="003B3977">
            <w:pPr>
              <w:tabs>
                <w:tab w:val="left" w:pos="-1440"/>
                <w:tab w:val="left" w:pos="-720"/>
              </w:tabs>
              <w:rPr>
                <w:sz w:val="20"/>
                <w:szCs w:val="20"/>
                <w:lang w:val="fr-CA"/>
              </w:rPr>
            </w:pPr>
            <w:r w:rsidRPr="00CB4878">
              <w:rPr>
                <w:sz w:val="20"/>
                <w:szCs w:val="20"/>
                <w:lang w:val="fr-CA"/>
              </w:rPr>
              <w:tab/>
            </w:r>
            <w:r w:rsidR="00F90C95">
              <w:rPr>
                <w:sz w:val="20"/>
                <w:szCs w:val="20"/>
                <w:lang w:val="fr-CA"/>
              </w:rPr>
              <w:t>Bernard, Roy &amp; Associés</w:t>
            </w:r>
          </w:p>
          <w:p w:rsidR="00242AEE" w:rsidRPr="00CB4878" w:rsidRDefault="00242AEE" w:rsidP="003B3977">
            <w:pPr>
              <w:tabs>
                <w:tab w:val="left" w:pos="-1440"/>
                <w:tab w:val="left" w:pos="-720"/>
              </w:tabs>
              <w:rPr>
                <w:sz w:val="20"/>
                <w:szCs w:val="20"/>
                <w:lang w:val="fr-CA"/>
              </w:rPr>
            </w:pPr>
          </w:p>
          <w:p w:rsidR="00CB4878" w:rsidRPr="00A935AA" w:rsidRDefault="00CB4878" w:rsidP="00CB4878">
            <w:pPr>
              <w:rPr>
                <w:sz w:val="20"/>
                <w:szCs w:val="20"/>
                <w:lang w:val="fr-CA"/>
              </w:rPr>
            </w:pPr>
            <w:r w:rsidRPr="00A935AA">
              <w:rPr>
                <w:sz w:val="20"/>
                <w:szCs w:val="20"/>
                <w:lang w:val="fr-CA"/>
              </w:rPr>
              <w:t xml:space="preserve">DATE DE PRODUCTION : </w:t>
            </w:r>
            <w:r>
              <w:rPr>
                <w:sz w:val="20"/>
                <w:szCs w:val="20"/>
                <w:lang w:val="fr-CA"/>
              </w:rPr>
              <w:t>07</w:t>
            </w:r>
            <w:r w:rsidRPr="00A935AA">
              <w:rPr>
                <w:sz w:val="20"/>
                <w:szCs w:val="20"/>
                <w:lang w:val="fr-CA"/>
              </w:rPr>
              <w:t>.</w:t>
            </w:r>
            <w:r>
              <w:rPr>
                <w:sz w:val="20"/>
                <w:szCs w:val="20"/>
                <w:lang w:val="fr-CA"/>
              </w:rPr>
              <w:t>02</w:t>
            </w:r>
            <w:r w:rsidRPr="00A935AA">
              <w:rPr>
                <w:sz w:val="20"/>
                <w:szCs w:val="20"/>
                <w:lang w:val="fr-CA"/>
              </w:rPr>
              <w:t>.201</w:t>
            </w:r>
            <w:r>
              <w:rPr>
                <w:sz w:val="20"/>
                <w:szCs w:val="20"/>
                <w:lang w:val="fr-CA"/>
              </w:rPr>
              <w:t>3</w:t>
            </w:r>
          </w:p>
          <w:p w:rsidR="00242AEE" w:rsidRPr="00A935AA" w:rsidRDefault="00B74DD2" w:rsidP="003B3977">
            <w:pPr>
              <w:rPr>
                <w:sz w:val="20"/>
                <w:szCs w:val="20"/>
              </w:rPr>
            </w:pPr>
            <w:r w:rsidRPr="00B74DD2">
              <w:rPr>
                <w:sz w:val="20"/>
                <w:szCs w:val="20"/>
                <w:lang w:val="fr-CA"/>
              </w:rPr>
              <w:pict>
                <v:rect id="_x0000_i103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EF21DE" w:rsidRDefault="00CB4878" w:rsidP="003B3977">
            <w:pPr>
              <w:keepNext/>
              <w:keepLines/>
              <w:tabs>
                <w:tab w:val="left" w:pos="-1440"/>
                <w:tab w:val="left" w:pos="-720"/>
              </w:tabs>
              <w:rPr>
                <w:b/>
                <w:sz w:val="20"/>
                <w:szCs w:val="20"/>
                <w:lang w:val="en-US"/>
              </w:rPr>
            </w:pPr>
            <w:r w:rsidRPr="00EF21DE">
              <w:rPr>
                <w:b/>
                <w:sz w:val="20"/>
                <w:szCs w:val="20"/>
                <w:lang w:val="en-US"/>
              </w:rPr>
              <w:t xml:space="preserve">V.L. et al. </w:t>
            </w:r>
          </w:p>
          <w:p w:rsidR="00CB4878" w:rsidRPr="00A935AA" w:rsidRDefault="00242AEE" w:rsidP="00CB4878">
            <w:pPr>
              <w:keepNext/>
              <w:keepLines/>
              <w:tabs>
                <w:tab w:val="left" w:pos="-1440"/>
                <w:tab w:val="left" w:pos="-720"/>
              </w:tabs>
              <w:rPr>
                <w:sz w:val="20"/>
                <w:szCs w:val="20"/>
              </w:rPr>
            </w:pPr>
            <w:r w:rsidRPr="00EF21DE">
              <w:rPr>
                <w:sz w:val="20"/>
                <w:szCs w:val="20"/>
                <w:lang w:val="en-US"/>
              </w:rPr>
              <w:tab/>
            </w:r>
            <w:r w:rsidR="00CB4878" w:rsidRPr="00CB4878">
              <w:rPr>
                <w:sz w:val="20"/>
                <w:szCs w:val="20"/>
                <w:lang w:val="en-US"/>
              </w:rPr>
              <w:t xml:space="preserve">V.L. </w:t>
            </w:r>
          </w:p>
          <w:p w:rsidR="00242AEE" w:rsidRPr="00A935AA" w:rsidRDefault="00242AEE" w:rsidP="003B3977">
            <w:pPr>
              <w:keepNext/>
              <w:keepLines/>
              <w:tabs>
                <w:tab w:val="left" w:pos="-1440"/>
                <w:tab w:val="left" w:pos="-720"/>
              </w:tabs>
              <w:rPr>
                <w:sz w:val="20"/>
                <w:szCs w:val="20"/>
              </w:rPr>
            </w:pPr>
          </w:p>
          <w:p w:rsidR="00242AEE" w:rsidRPr="00A935AA" w:rsidRDefault="00242AEE" w:rsidP="003B3977">
            <w:pPr>
              <w:keepNext/>
              <w:keepLines/>
              <w:tabs>
                <w:tab w:val="left" w:pos="-1440"/>
                <w:tab w:val="left" w:pos="-720"/>
              </w:tabs>
              <w:rPr>
                <w:sz w:val="20"/>
                <w:szCs w:val="20"/>
              </w:rPr>
            </w:pPr>
            <w:r w:rsidRPr="00A935AA">
              <w:rPr>
                <w:sz w:val="20"/>
                <w:szCs w:val="20"/>
              </w:rPr>
              <w:tab/>
              <w:t>v. (3</w:t>
            </w:r>
            <w:r w:rsidR="00CB4878">
              <w:rPr>
                <w:sz w:val="20"/>
                <w:szCs w:val="20"/>
              </w:rPr>
              <w:t>5278</w:t>
            </w:r>
            <w:r w:rsidRPr="00A935AA">
              <w:rPr>
                <w:sz w:val="20"/>
                <w:szCs w:val="20"/>
              </w:rPr>
              <w:t>)</w:t>
            </w:r>
          </w:p>
          <w:p w:rsidR="00242AEE" w:rsidRPr="00A935AA" w:rsidRDefault="00242AEE" w:rsidP="003B3977">
            <w:pPr>
              <w:keepNext/>
              <w:keepLines/>
              <w:tabs>
                <w:tab w:val="left" w:pos="-1440"/>
                <w:tab w:val="left" w:pos="-720"/>
              </w:tabs>
              <w:rPr>
                <w:sz w:val="20"/>
                <w:szCs w:val="20"/>
              </w:rPr>
            </w:pPr>
          </w:p>
          <w:p w:rsidR="00242AEE" w:rsidRPr="00A935AA" w:rsidRDefault="00CB4878" w:rsidP="003B3977">
            <w:pPr>
              <w:keepNext/>
              <w:keepLines/>
              <w:tabs>
                <w:tab w:val="left" w:pos="-1440"/>
                <w:tab w:val="left" w:pos="-720"/>
              </w:tabs>
              <w:rPr>
                <w:b/>
                <w:sz w:val="20"/>
                <w:szCs w:val="20"/>
              </w:rPr>
            </w:pPr>
            <w:r w:rsidRPr="00CB4878">
              <w:rPr>
                <w:b/>
                <w:sz w:val="20"/>
                <w:szCs w:val="20"/>
              </w:rPr>
              <w:t>Children's Aid Society of Toronto</w:t>
            </w:r>
            <w:r>
              <w:rPr>
                <w:b/>
                <w:sz w:val="20"/>
                <w:szCs w:val="20"/>
              </w:rPr>
              <w:t xml:space="preserve"> et al. </w:t>
            </w:r>
            <w:r w:rsidR="00242AEE" w:rsidRPr="00A935AA">
              <w:rPr>
                <w:b/>
                <w:sz w:val="20"/>
                <w:szCs w:val="20"/>
              </w:rPr>
              <w:t>(</w:t>
            </w:r>
            <w:r>
              <w:rPr>
                <w:b/>
                <w:sz w:val="20"/>
                <w:szCs w:val="20"/>
              </w:rPr>
              <w:t>Ont</w:t>
            </w:r>
            <w:r w:rsidR="00242AEE" w:rsidRPr="00A935AA">
              <w:rPr>
                <w:b/>
                <w:sz w:val="20"/>
                <w:szCs w:val="20"/>
              </w:rPr>
              <w:t>.)</w:t>
            </w:r>
          </w:p>
          <w:p w:rsidR="00242AEE" w:rsidRPr="00A935AA" w:rsidRDefault="00242AEE" w:rsidP="003B3977">
            <w:pPr>
              <w:keepNext/>
              <w:keepLines/>
              <w:tabs>
                <w:tab w:val="left" w:pos="-1440"/>
                <w:tab w:val="left" w:pos="-720"/>
              </w:tabs>
              <w:rPr>
                <w:sz w:val="20"/>
                <w:szCs w:val="20"/>
              </w:rPr>
            </w:pPr>
            <w:r w:rsidRPr="00A935AA">
              <w:rPr>
                <w:sz w:val="20"/>
                <w:szCs w:val="20"/>
              </w:rPr>
              <w:tab/>
            </w:r>
            <w:r w:rsidR="00CB4878">
              <w:rPr>
                <w:sz w:val="20"/>
                <w:szCs w:val="20"/>
              </w:rPr>
              <w:t>Sherri Smolkin</w:t>
            </w:r>
          </w:p>
          <w:p w:rsidR="00242AEE" w:rsidRPr="00A935AA" w:rsidRDefault="00242AEE" w:rsidP="003B3977">
            <w:pPr>
              <w:keepNext/>
              <w:keepLines/>
              <w:tabs>
                <w:tab w:val="left" w:pos="-1440"/>
                <w:tab w:val="left" w:pos="-720"/>
              </w:tabs>
              <w:rPr>
                <w:sz w:val="20"/>
                <w:szCs w:val="20"/>
              </w:rPr>
            </w:pPr>
            <w:r w:rsidRPr="00A935AA">
              <w:rPr>
                <w:sz w:val="20"/>
                <w:szCs w:val="20"/>
              </w:rPr>
              <w:tab/>
            </w:r>
            <w:r w:rsidR="00CB4878" w:rsidRPr="00CB4878">
              <w:rPr>
                <w:sz w:val="20"/>
                <w:szCs w:val="20"/>
              </w:rPr>
              <w:t>Children's Aid Society of Toronto</w:t>
            </w:r>
          </w:p>
          <w:p w:rsidR="00242AEE" w:rsidRPr="00A935AA" w:rsidRDefault="00242AEE" w:rsidP="003B3977">
            <w:pPr>
              <w:keepNext/>
              <w:keepLines/>
              <w:tabs>
                <w:tab w:val="left" w:pos="-1440"/>
                <w:tab w:val="left" w:pos="-720"/>
              </w:tabs>
              <w:rPr>
                <w:sz w:val="20"/>
                <w:szCs w:val="20"/>
              </w:rPr>
            </w:pPr>
          </w:p>
          <w:p w:rsidR="00242AEE" w:rsidRPr="00A935AA" w:rsidRDefault="00CB4878" w:rsidP="003B3977">
            <w:pPr>
              <w:rPr>
                <w:sz w:val="20"/>
                <w:szCs w:val="20"/>
              </w:rPr>
            </w:pPr>
            <w:r>
              <w:rPr>
                <w:sz w:val="20"/>
                <w:szCs w:val="20"/>
              </w:rPr>
              <w:t>FILING DATE: 14.02.2013</w:t>
            </w:r>
          </w:p>
          <w:p w:rsidR="00242AEE" w:rsidRPr="00A935AA" w:rsidRDefault="00B74DD2" w:rsidP="003B3977">
            <w:pPr>
              <w:rPr>
                <w:sz w:val="20"/>
                <w:szCs w:val="20"/>
              </w:rPr>
            </w:pPr>
            <w:r w:rsidRPr="00B74DD2">
              <w:rPr>
                <w:sz w:val="20"/>
                <w:szCs w:val="20"/>
                <w:lang w:val="fr-CA"/>
              </w:rPr>
              <w:pict>
                <v:rect id="_x0000_i1036" style="width:108pt;height:1pt" o:hrpct="0" o:hralign="center" o:hrstd="t" o:hrnoshade="t" o:hr="t" fillcolor="black [3213]" stroked="f"/>
              </w:pict>
            </w:r>
          </w:p>
        </w:tc>
      </w:tr>
      <w:tr w:rsidR="00CB4878" w:rsidRPr="00A935AA" w:rsidTr="003B3977">
        <w:trPr>
          <w:cantSplit/>
        </w:trPr>
        <w:tc>
          <w:tcPr>
            <w:tcW w:w="4320" w:type="dxa"/>
            <w:shd w:val="clear" w:color="auto" w:fill="auto"/>
          </w:tcPr>
          <w:p w:rsidR="006C0B09" w:rsidRPr="00F62CB5" w:rsidRDefault="006C0B09" w:rsidP="006C0B09">
            <w:pPr>
              <w:keepNext/>
              <w:keepLines/>
              <w:tabs>
                <w:tab w:val="left" w:pos="-1440"/>
                <w:tab w:val="left" w:pos="-720"/>
              </w:tabs>
              <w:rPr>
                <w:b/>
                <w:sz w:val="20"/>
                <w:szCs w:val="20"/>
                <w:lang w:val="fr-CA"/>
              </w:rPr>
            </w:pPr>
            <w:r w:rsidRPr="00F62CB5">
              <w:rPr>
                <w:b/>
                <w:sz w:val="20"/>
                <w:szCs w:val="20"/>
                <w:lang w:val="fr-CA"/>
              </w:rPr>
              <w:t>H.C.</w:t>
            </w:r>
            <w:r>
              <w:rPr>
                <w:b/>
                <w:sz w:val="20"/>
                <w:szCs w:val="20"/>
                <w:lang w:val="fr-CA"/>
              </w:rPr>
              <w:t xml:space="preserve"> et autres</w:t>
            </w:r>
          </w:p>
          <w:p w:rsidR="006C0B09" w:rsidRPr="00EF21DE" w:rsidRDefault="006C0B09" w:rsidP="006C0B09">
            <w:pPr>
              <w:keepNext/>
              <w:keepLines/>
              <w:tabs>
                <w:tab w:val="left" w:pos="-1440"/>
                <w:tab w:val="left" w:pos="-720"/>
              </w:tabs>
              <w:rPr>
                <w:sz w:val="20"/>
                <w:szCs w:val="20"/>
                <w:lang w:val="fr-CA"/>
              </w:rPr>
            </w:pPr>
            <w:r w:rsidRPr="00F62CB5">
              <w:rPr>
                <w:sz w:val="20"/>
                <w:szCs w:val="20"/>
                <w:lang w:val="fr-CA"/>
              </w:rPr>
              <w:tab/>
            </w:r>
            <w:r w:rsidRPr="00EF21DE">
              <w:rPr>
                <w:sz w:val="20"/>
                <w:szCs w:val="20"/>
                <w:lang w:val="fr-CA"/>
              </w:rPr>
              <w:t>Anne-France Goldwater</w:t>
            </w:r>
          </w:p>
          <w:p w:rsidR="006C0B09" w:rsidRPr="00EF21DE" w:rsidRDefault="006C0B09" w:rsidP="006C0B09">
            <w:pPr>
              <w:keepNext/>
              <w:keepLines/>
              <w:tabs>
                <w:tab w:val="left" w:pos="-1440"/>
                <w:tab w:val="left" w:pos="-720"/>
              </w:tabs>
              <w:rPr>
                <w:sz w:val="20"/>
                <w:szCs w:val="20"/>
                <w:lang w:val="fr-CA"/>
              </w:rPr>
            </w:pPr>
            <w:r w:rsidRPr="00EF21DE">
              <w:rPr>
                <w:sz w:val="20"/>
                <w:szCs w:val="20"/>
                <w:lang w:val="fr-CA"/>
              </w:rPr>
              <w:tab/>
              <w:t>Goldwater, Dubé</w:t>
            </w:r>
          </w:p>
          <w:p w:rsidR="006C0B09" w:rsidRPr="00EF21DE" w:rsidRDefault="006C0B09" w:rsidP="006C0B09">
            <w:pPr>
              <w:keepNext/>
              <w:keepLines/>
              <w:tabs>
                <w:tab w:val="left" w:pos="-1440"/>
                <w:tab w:val="left" w:pos="-720"/>
              </w:tabs>
              <w:rPr>
                <w:sz w:val="20"/>
                <w:szCs w:val="20"/>
                <w:lang w:val="fr-CA"/>
              </w:rPr>
            </w:pPr>
          </w:p>
          <w:p w:rsidR="006C0B09" w:rsidRPr="00EF21DE" w:rsidRDefault="006C0B09" w:rsidP="006C0B09">
            <w:pPr>
              <w:keepNext/>
              <w:keepLines/>
              <w:tabs>
                <w:tab w:val="left" w:pos="-1440"/>
                <w:tab w:val="left" w:pos="-720"/>
              </w:tabs>
              <w:rPr>
                <w:sz w:val="20"/>
                <w:szCs w:val="20"/>
                <w:lang w:val="fr-CA"/>
              </w:rPr>
            </w:pPr>
            <w:r w:rsidRPr="00EF21DE">
              <w:rPr>
                <w:sz w:val="20"/>
                <w:szCs w:val="20"/>
                <w:lang w:val="fr-CA"/>
              </w:rPr>
              <w:tab/>
              <w:t>c. (35259)</w:t>
            </w:r>
          </w:p>
          <w:p w:rsidR="006C0B09" w:rsidRPr="00EF21DE" w:rsidRDefault="006C0B09" w:rsidP="006C0B09">
            <w:pPr>
              <w:keepNext/>
              <w:keepLines/>
              <w:tabs>
                <w:tab w:val="left" w:pos="-1440"/>
                <w:tab w:val="left" w:pos="-720"/>
              </w:tabs>
              <w:rPr>
                <w:sz w:val="20"/>
                <w:szCs w:val="20"/>
                <w:lang w:val="fr-CA"/>
              </w:rPr>
            </w:pPr>
          </w:p>
          <w:p w:rsidR="006C0B09" w:rsidRPr="00F62CB5" w:rsidRDefault="006C0B09" w:rsidP="006C0B09">
            <w:pPr>
              <w:keepNext/>
              <w:keepLines/>
              <w:tabs>
                <w:tab w:val="left" w:pos="-1440"/>
                <w:tab w:val="left" w:pos="-720"/>
              </w:tabs>
              <w:rPr>
                <w:b/>
                <w:sz w:val="20"/>
                <w:szCs w:val="20"/>
                <w:lang w:val="fr-CA"/>
              </w:rPr>
            </w:pPr>
            <w:r w:rsidRPr="00F62CB5">
              <w:rPr>
                <w:b/>
                <w:sz w:val="20"/>
                <w:szCs w:val="20"/>
                <w:lang w:val="fr-CA"/>
              </w:rPr>
              <w:t>P.N. et autres (Qc)</w:t>
            </w:r>
          </w:p>
          <w:p w:rsidR="006C0B09" w:rsidRPr="00F62CB5" w:rsidRDefault="006C0B09" w:rsidP="006C0B09">
            <w:pPr>
              <w:keepNext/>
              <w:keepLines/>
              <w:tabs>
                <w:tab w:val="left" w:pos="-1440"/>
                <w:tab w:val="left" w:pos="-720"/>
              </w:tabs>
              <w:rPr>
                <w:sz w:val="20"/>
                <w:szCs w:val="20"/>
                <w:lang w:val="fr-CA"/>
              </w:rPr>
            </w:pPr>
            <w:r w:rsidRPr="00F62CB5">
              <w:rPr>
                <w:sz w:val="20"/>
                <w:szCs w:val="20"/>
                <w:lang w:val="fr-CA"/>
              </w:rPr>
              <w:tab/>
              <w:t>Justin Roberge</w:t>
            </w:r>
          </w:p>
          <w:p w:rsidR="006C0B09" w:rsidRPr="00F62CB5" w:rsidRDefault="006C0B09" w:rsidP="006C0B09">
            <w:pPr>
              <w:keepNext/>
              <w:keepLines/>
              <w:tabs>
                <w:tab w:val="left" w:pos="-1440"/>
                <w:tab w:val="left" w:pos="-720"/>
              </w:tabs>
              <w:rPr>
                <w:sz w:val="20"/>
                <w:szCs w:val="20"/>
                <w:lang w:val="fr-CA"/>
              </w:rPr>
            </w:pPr>
            <w:r w:rsidRPr="00F62CB5">
              <w:rPr>
                <w:sz w:val="20"/>
                <w:szCs w:val="20"/>
                <w:lang w:val="fr-CA"/>
              </w:rPr>
              <w:tab/>
              <w:t>Caron Roberge Inc.</w:t>
            </w:r>
          </w:p>
          <w:p w:rsidR="006C0B09" w:rsidRPr="00F62CB5" w:rsidRDefault="006C0B09" w:rsidP="006C0B09">
            <w:pPr>
              <w:keepNext/>
              <w:keepLines/>
              <w:tabs>
                <w:tab w:val="left" w:pos="-1440"/>
                <w:tab w:val="left" w:pos="-720"/>
              </w:tabs>
              <w:rPr>
                <w:sz w:val="20"/>
                <w:szCs w:val="20"/>
                <w:lang w:val="fr-CA"/>
              </w:rPr>
            </w:pPr>
          </w:p>
          <w:p w:rsidR="006C0B09" w:rsidRPr="00A935AA" w:rsidRDefault="006C0B09" w:rsidP="006C0B09">
            <w:pPr>
              <w:rPr>
                <w:sz w:val="20"/>
                <w:szCs w:val="20"/>
                <w:lang w:val="fr-CA"/>
              </w:rPr>
            </w:pPr>
            <w:r w:rsidRPr="00A935AA">
              <w:rPr>
                <w:sz w:val="20"/>
                <w:szCs w:val="20"/>
                <w:lang w:val="fr-CA"/>
              </w:rPr>
              <w:t xml:space="preserve">DATE DE PRODUCTION : </w:t>
            </w:r>
            <w:r>
              <w:rPr>
                <w:sz w:val="20"/>
                <w:szCs w:val="20"/>
                <w:lang w:val="fr-CA"/>
              </w:rPr>
              <w:t>12</w:t>
            </w:r>
            <w:r w:rsidRPr="00A935AA">
              <w:rPr>
                <w:sz w:val="20"/>
                <w:szCs w:val="20"/>
                <w:lang w:val="fr-CA"/>
              </w:rPr>
              <w:t>.</w:t>
            </w:r>
            <w:r>
              <w:rPr>
                <w:sz w:val="20"/>
                <w:szCs w:val="20"/>
                <w:lang w:val="fr-CA"/>
              </w:rPr>
              <w:t>03</w:t>
            </w:r>
            <w:r w:rsidRPr="00A935AA">
              <w:rPr>
                <w:sz w:val="20"/>
                <w:szCs w:val="20"/>
                <w:lang w:val="fr-CA"/>
              </w:rPr>
              <w:t>.201</w:t>
            </w:r>
            <w:r>
              <w:rPr>
                <w:sz w:val="20"/>
                <w:szCs w:val="20"/>
                <w:lang w:val="fr-CA"/>
              </w:rPr>
              <w:t>3</w:t>
            </w:r>
          </w:p>
          <w:p w:rsidR="00CB4878" w:rsidRPr="00A935AA" w:rsidRDefault="00B74DD2" w:rsidP="00BD0B21">
            <w:pPr>
              <w:rPr>
                <w:sz w:val="20"/>
                <w:szCs w:val="20"/>
              </w:rPr>
            </w:pPr>
            <w:r w:rsidRPr="00B74DD2">
              <w:rPr>
                <w:sz w:val="20"/>
                <w:szCs w:val="20"/>
                <w:lang w:val="fr-CA"/>
              </w:rPr>
              <w:pict>
                <v:rect id="_x0000_i1037" style="width:108pt;height:1pt" o:hrpct="0" o:hralign="center" o:hrstd="t" o:hrnoshade="t" o:hr="t" fillcolor="black [3213]" stroked="f"/>
              </w:pict>
            </w:r>
          </w:p>
        </w:tc>
        <w:tc>
          <w:tcPr>
            <w:tcW w:w="1181" w:type="dxa"/>
            <w:shd w:val="clear" w:color="auto" w:fill="auto"/>
          </w:tcPr>
          <w:p w:rsidR="00CB4878" w:rsidRPr="00A935AA" w:rsidRDefault="00CB4878" w:rsidP="00BD0B21">
            <w:pPr>
              <w:jc w:val="center"/>
              <w:rPr>
                <w:sz w:val="20"/>
                <w:szCs w:val="20"/>
              </w:rPr>
            </w:pPr>
          </w:p>
          <w:p w:rsidR="00CB4878" w:rsidRPr="00A935AA" w:rsidRDefault="00CB4878" w:rsidP="00BD0B21">
            <w:pPr>
              <w:jc w:val="center"/>
              <w:rPr>
                <w:sz w:val="20"/>
                <w:szCs w:val="20"/>
              </w:rPr>
            </w:pPr>
          </w:p>
          <w:p w:rsidR="00CB4878" w:rsidRPr="00A935AA" w:rsidRDefault="00CB4878" w:rsidP="00BD0B21">
            <w:pPr>
              <w:jc w:val="center"/>
              <w:rPr>
                <w:sz w:val="20"/>
                <w:szCs w:val="20"/>
              </w:rPr>
            </w:pPr>
          </w:p>
          <w:p w:rsidR="00CB4878" w:rsidRPr="00A935AA" w:rsidRDefault="00CB4878" w:rsidP="00BD0B21">
            <w:pPr>
              <w:jc w:val="center"/>
              <w:rPr>
                <w:sz w:val="20"/>
                <w:szCs w:val="20"/>
              </w:rPr>
            </w:pPr>
          </w:p>
          <w:p w:rsidR="00CB4878" w:rsidRPr="00A935AA" w:rsidRDefault="00CB4878" w:rsidP="00BD0B21">
            <w:pPr>
              <w:jc w:val="center"/>
              <w:rPr>
                <w:sz w:val="20"/>
                <w:szCs w:val="20"/>
              </w:rPr>
            </w:pPr>
          </w:p>
          <w:p w:rsidR="00CB4878" w:rsidRPr="00A935AA" w:rsidRDefault="00CB4878" w:rsidP="00BD0B21">
            <w:pPr>
              <w:jc w:val="center"/>
              <w:rPr>
                <w:sz w:val="20"/>
                <w:szCs w:val="20"/>
              </w:rPr>
            </w:pPr>
          </w:p>
          <w:p w:rsidR="00CB4878" w:rsidRPr="00A935AA" w:rsidRDefault="00CB4878" w:rsidP="00BD0B21">
            <w:pPr>
              <w:jc w:val="center"/>
              <w:rPr>
                <w:sz w:val="20"/>
                <w:szCs w:val="20"/>
              </w:rPr>
            </w:pPr>
          </w:p>
          <w:p w:rsidR="00CB4878" w:rsidRPr="00A935AA" w:rsidRDefault="00CB4878" w:rsidP="00BD0B21">
            <w:pPr>
              <w:jc w:val="center"/>
              <w:rPr>
                <w:sz w:val="20"/>
                <w:szCs w:val="20"/>
              </w:rPr>
            </w:pPr>
          </w:p>
          <w:p w:rsidR="00CB4878" w:rsidRPr="00A935AA" w:rsidRDefault="00CB4878" w:rsidP="00BD0B21">
            <w:pPr>
              <w:jc w:val="center"/>
              <w:rPr>
                <w:sz w:val="20"/>
                <w:szCs w:val="20"/>
              </w:rPr>
            </w:pPr>
          </w:p>
          <w:p w:rsidR="00CB4878" w:rsidRPr="00A935AA" w:rsidRDefault="00CB4878" w:rsidP="00BD0B21">
            <w:pPr>
              <w:jc w:val="center"/>
              <w:rPr>
                <w:sz w:val="20"/>
                <w:szCs w:val="20"/>
              </w:rPr>
            </w:pPr>
          </w:p>
          <w:p w:rsidR="00CB4878" w:rsidRPr="00A935AA" w:rsidRDefault="00CB4878" w:rsidP="00BD0B21">
            <w:pPr>
              <w:jc w:val="center"/>
              <w:rPr>
                <w:sz w:val="20"/>
                <w:szCs w:val="20"/>
              </w:rPr>
            </w:pPr>
          </w:p>
          <w:p w:rsidR="00CB4878" w:rsidRPr="00A935AA" w:rsidRDefault="00CB4878" w:rsidP="00BD0B21">
            <w:pPr>
              <w:jc w:val="center"/>
              <w:rPr>
                <w:sz w:val="20"/>
                <w:szCs w:val="20"/>
              </w:rPr>
            </w:pPr>
          </w:p>
          <w:p w:rsidR="00CB4878" w:rsidRDefault="00CB4878" w:rsidP="00BD0B21">
            <w:pPr>
              <w:jc w:val="center"/>
              <w:rPr>
                <w:sz w:val="20"/>
                <w:szCs w:val="20"/>
              </w:rPr>
            </w:pPr>
          </w:p>
          <w:p w:rsidR="00CB4878" w:rsidRPr="00A935AA" w:rsidRDefault="00CB4878" w:rsidP="00BD0B21">
            <w:pPr>
              <w:jc w:val="center"/>
              <w:rPr>
                <w:sz w:val="20"/>
                <w:szCs w:val="20"/>
              </w:rPr>
            </w:pPr>
          </w:p>
        </w:tc>
        <w:tc>
          <w:tcPr>
            <w:tcW w:w="4320" w:type="dxa"/>
            <w:shd w:val="clear" w:color="auto" w:fill="auto"/>
          </w:tcPr>
          <w:p w:rsidR="00CB4878" w:rsidRPr="00EF21DE" w:rsidRDefault="00BD0B21" w:rsidP="00BD0B21">
            <w:pPr>
              <w:keepNext/>
              <w:keepLines/>
              <w:tabs>
                <w:tab w:val="left" w:pos="-1440"/>
                <w:tab w:val="left" w:pos="-720"/>
              </w:tabs>
              <w:rPr>
                <w:b/>
                <w:sz w:val="20"/>
                <w:szCs w:val="20"/>
                <w:lang w:val="fr-CA"/>
              </w:rPr>
            </w:pPr>
            <w:r w:rsidRPr="00EF21DE">
              <w:rPr>
                <w:b/>
                <w:sz w:val="20"/>
                <w:szCs w:val="20"/>
                <w:lang w:val="fr-CA"/>
              </w:rPr>
              <w:t>Hélène Plasse</w:t>
            </w:r>
          </w:p>
          <w:p w:rsidR="00CB4878" w:rsidRPr="00EF21DE" w:rsidRDefault="00CB4878" w:rsidP="00BD0B21">
            <w:pPr>
              <w:keepNext/>
              <w:keepLines/>
              <w:tabs>
                <w:tab w:val="left" w:pos="-1440"/>
                <w:tab w:val="left" w:pos="-720"/>
              </w:tabs>
              <w:rPr>
                <w:sz w:val="20"/>
                <w:szCs w:val="20"/>
                <w:lang w:val="fr-CA"/>
              </w:rPr>
            </w:pPr>
            <w:r w:rsidRPr="00EF21DE">
              <w:rPr>
                <w:sz w:val="20"/>
                <w:szCs w:val="20"/>
                <w:lang w:val="fr-CA"/>
              </w:rPr>
              <w:tab/>
            </w:r>
            <w:r w:rsidR="00BD0B21" w:rsidRPr="00EF21DE">
              <w:rPr>
                <w:sz w:val="20"/>
                <w:szCs w:val="20"/>
                <w:lang w:val="fr-CA"/>
              </w:rPr>
              <w:t>Hélène Plasse</w:t>
            </w:r>
          </w:p>
          <w:p w:rsidR="00CB4878" w:rsidRPr="00EF21DE" w:rsidRDefault="00CB4878" w:rsidP="00BD0B21">
            <w:pPr>
              <w:keepNext/>
              <w:keepLines/>
              <w:tabs>
                <w:tab w:val="left" w:pos="-1440"/>
                <w:tab w:val="left" w:pos="-720"/>
              </w:tabs>
              <w:rPr>
                <w:sz w:val="20"/>
                <w:szCs w:val="20"/>
                <w:lang w:val="fr-CA"/>
              </w:rPr>
            </w:pPr>
          </w:p>
          <w:p w:rsidR="00CB4878" w:rsidRPr="006C0B09" w:rsidRDefault="00CB4878" w:rsidP="00BD0B21">
            <w:pPr>
              <w:keepNext/>
              <w:keepLines/>
              <w:tabs>
                <w:tab w:val="left" w:pos="-1440"/>
                <w:tab w:val="left" w:pos="-720"/>
              </w:tabs>
              <w:rPr>
                <w:sz w:val="20"/>
                <w:szCs w:val="20"/>
                <w:lang w:val="fr-CA"/>
              </w:rPr>
            </w:pPr>
            <w:r w:rsidRPr="00EF21DE">
              <w:rPr>
                <w:sz w:val="20"/>
                <w:szCs w:val="20"/>
                <w:lang w:val="fr-CA"/>
              </w:rPr>
              <w:tab/>
            </w:r>
            <w:r w:rsidR="006C0B09" w:rsidRPr="006C0B09">
              <w:rPr>
                <w:sz w:val="20"/>
                <w:szCs w:val="20"/>
                <w:lang w:val="fr-CA"/>
              </w:rPr>
              <w:t>c</w:t>
            </w:r>
            <w:r w:rsidRPr="006C0B09">
              <w:rPr>
                <w:sz w:val="20"/>
                <w:szCs w:val="20"/>
                <w:lang w:val="fr-CA"/>
              </w:rPr>
              <w:t>. (35</w:t>
            </w:r>
            <w:r w:rsidR="006C0B09" w:rsidRPr="006C0B09">
              <w:rPr>
                <w:sz w:val="20"/>
                <w:szCs w:val="20"/>
                <w:lang w:val="fr-CA"/>
              </w:rPr>
              <w:t>285</w:t>
            </w:r>
            <w:r w:rsidRPr="006C0B09">
              <w:rPr>
                <w:sz w:val="20"/>
                <w:szCs w:val="20"/>
                <w:lang w:val="fr-CA"/>
              </w:rPr>
              <w:t>)</w:t>
            </w:r>
          </w:p>
          <w:p w:rsidR="00CB4878" w:rsidRPr="006C0B09" w:rsidRDefault="00CB4878" w:rsidP="00BD0B21">
            <w:pPr>
              <w:keepNext/>
              <w:keepLines/>
              <w:tabs>
                <w:tab w:val="left" w:pos="-1440"/>
                <w:tab w:val="left" w:pos="-720"/>
              </w:tabs>
              <w:rPr>
                <w:sz w:val="20"/>
                <w:szCs w:val="20"/>
                <w:lang w:val="fr-CA"/>
              </w:rPr>
            </w:pPr>
          </w:p>
          <w:p w:rsidR="00CB4878" w:rsidRPr="006C0B09" w:rsidRDefault="006C0B09" w:rsidP="00BD0B21">
            <w:pPr>
              <w:keepNext/>
              <w:keepLines/>
              <w:tabs>
                <w:tab w:val="left" w:pos="-1440"/>
                <w:tab w:val="left" w:pos="-720"/>
              </w:tabs>
              <w:rPr>
                <w:b/>
                <w:sz w:val="20"/>
                <w:szCs w:val="20"/>
                <w:lang w:val="fr-CA"/>
              </w:rPr>
            </w:pPr>
            <w:r w:rsidRPr="006C0B09">
              <w:rPr>
                <w:b/>
                <w:sz w:val="20"/>
                <w:szCs w:val="20"/>
                <w:lang w:val="fr-CA"/>
              </w:rPr>
              <w:t>Sa Majesté la Reine</w:t>
            </w:r>
            <w:r w:rsidR="00CB4878" w:rsidRPr="006C0B09">
              <w:rPr>
                <w:b/>
                <w:sz w:val="20"/>
                <w:szCs w:val="20"/>
                <w:lang w:val="fr-CA"/>
              </w:rPr>
              <w:t xml:space="preserve"> (</w:t>
            </w:r>
            <w:r>
              <w:rPr>
                <w:b/>
                <w:sz w:val="20"/>
                <w:szCs w:val="20"/>
                <w:lang w:val="fr-CA"/>
              </w:rPr>
              <w:t>Qc</w:t>
            </w:r>
            <w:r w:rsidR="00CB4878" w:rsidRPr="006C0B09">
              <w:rPr>
                <w:b/>
                <w:sz w:val="20"/>
                <w:szCs w:val="20"/>
                <w:lang w:val="fr-CA"/>
              </w:rPr>
              <w:t>)</w:t>
            </w:r>
          </w:p>
          <w:p w:rsidR="00CB4878" w:rsidRPr="006C0B09" w:rsidRDefault="00CB4878" w:rsidP="00BD0B21">
            <w:pPr>
              <w:keepNext/>
              <w:keepLines/>
              <w:tabs>
                <w:tab w:val="left" w:pos="-1440"/>
                <w:tab w:val="left" w:pos="-720"/>
              </w:tabs>
              <w:rPr>
                <w:sz w:val="20"/>
                <w:szCs w:val="20"/>
                <w:lang w:val="fr-CA"/>
              </w:rPr>
            </w:pPr>
            <w:r w:rsidRPr="006C0B09">
              <w:rPr>
                <w:sz w:val="20"/>
                <w:szCs w:val="20"/>
                <w:lang w:val="fr-CA"/>
              </w:rPr>
              <w:tab/>
            </w:r>
            <w:r w:rsidR="006C0B09" w:rsidRPr="006C0B09">
              <w:rPr>
                <w:sz w:val="20"/>
                <w:szCs w:val="20"/>
                <w:lang w:val="fr-CA"/>
              </w:rPr>
              <w:t>Nicolas Rochon</w:t>
            </w:r>
          </w:p>
          <w:p w:rsidR="00CB4878" w:rsidRPr="006C0B09" w:rsidRDefault="00CB4878" w:rsidP="006C0B09">
            <w:pPr>
              <w:keepNext/>
              <w:keepLines/>
              <w:tabs>
                <w:tab w:val="left" w:pos="-1440"/>
                <w:tab w:val="left" w:pos="-720"/>
              </w:tabs>
              <w:ind w:left="720" w:hanging="720"/>
              <w:rPr>
                <w:sz w:val="20"/>
                <w:szCs w:val="20"/>
                <w:lang w:val="fr-CA"/>
              </w:rPr>
            </w:pPr>
            <w:r w:rsidRPr="006C0B09">
              <w:rPr>
                <w:sz w:val="20"/>
                <w:szCs w:val="20"/>
                <w:lang w:val="fr-CA"/>
              </w:rPr>
              <w:tab/>
            </w:r>
            <w:r w:rsidR="006C0B09" w:rsidRPr="006C0B09">
              <w:rPr>
                <w:sz w:val="20"/>
                <w:szCs w:val="20"/>
                <w:lang w:val="fr-CA"/>
              </w:rPr>
              <w:t>Poursuites criminelles et pénales du Québec</w:t>
            </w:r>
          </w:p>
          <w:p w:rsidR="00CB4878" w:rsidRPr="006C0B09" w:rsidRDefault="00CB4878" w:rsidP="00BD0B21">
            <w:pPr>
              <w:keepNext/>
              <w:keepLines/>
              <w:tabs>
                <w:tab w:val="left" w:pos="-1440"/>
                <w:tab w:val="left" w:pos="-720"/>
              </w:tabs>
              <w:rPr>
                <w:sz w:val="20"/>
                <w:szCs w:val="20"/>
                <w:lang w:val="fr-CA"/>
              </w:rPr>
            </w:pPr>
          </w:p>
          <w:p w:rsidR="006C0B09" w:rsidRPr="00A935AA" w:rsidRDefault="006C0B09" w:rsidP="006C0B09">
            <w:pPr>
              <w:rPr>
                <w:sz w:val="20"/>
                <w:szCs w:val="20"/>
                <w:lang w:val="fr-CA"/>
              </w:rPr>
            </w:pPr>
            <w:r w:rsidRPr="00A935AA">
              <w:rPr>
                <w:sz w:val="20"/>
                <w:szCs w:val="20"/>
                <w:lang w:val="fr-CA"/>
              </w:rPr>
              <w:t xml:space="preserve">DATE DE PRODUCTION : </w:t>
            </w:r>
            <w:r>
              <w:rPr>
                <w:sz w:val="20"/>
                <w:szCs w:val="20"/>
                <w:lang w:val="fr-CA"/>
              </w:rPr>
              <w:t>26</w:t>
            </w:r>
            <w:r w:rsidRPr="00A935AA">
              <w:rPr>
                <w:sz w:val="20"/>
                <w:szCs w:val="20"/>
                <w:lang w:val="fr-CA"/>
              </w:rPr>
              <w:t>.</w:t>
            </w:r>
            <w:r>
              <w:rPr>
                <w:sz w:val="20"/>
                <w:szCs w:val="20"/>
                <w:lang w:val="fr-CA"/>
              </w:rPr>
              <w:t>02</w:t>
            </w:r>
            <w:r w:rsidRPr="00A935AA">
              <w:rPr>
                <w:sz w:val="20"/>
                <w:szCs w:val="20"/>
                <w:lang w:val="fr-CA"/>
              </w:rPr>
              <w:t>.201</w:t>
            </w:r>
            <w:r>
              <w:rPr>
                <w:sz w:val="20"/>
                <w:szCs w:val="20"/>
                <w:lang w:val="fr-CA"/>
              </w:rPr>
              <w:t>3</w:t>
            </w:r>
          </w:p>
          <w:p w:rsidR="00CB4878" w:rsidRPr="00A935AA" w:rsidRDefault="00B74DD2" w:rsidP="00BD0B21">
            <w:pPr>
              <w:rPr>
                <w:sz w:val="20"/>
                <w:szCs w:val="20"/>
              </w:rPr>
            </w:pPr>
            <w:r w:rsidRPr="00B74DD2">
              <w:rPr>
                <w:sz w:val="20"/>
                <w:szCs w:val="20"/>
                <w:lang w:val="fr-CA"/>
              </w:rPr>
              <w:pict>
                <v:rect id="_x0000_i1038" style="width:108pt;height:1pt" o:hrpct="0" o:hralign="center" o:hrstd="t" o:hrnoshade="t" o:hr="t" fillcolor="black [3213]" stroked="f"/>
              </w:pict>
            </w: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351ED8">
          <w:headerReference w:type="default" r:id="rId16"/>
          <w:footerReference w:type="default" r:id="rId17"/>
          <w:headerReference w:type="first" r:id="rId18"/>
          <w:footerReference w:type="first" r:id="rId19"/>
          <w:pgSz w:w="12240" w:h="15840"/>
          <w:pgMar w:top="720" w:right="965" w:bottom="1080" w:left="1656" w:header="706" w:footer="706" w:gutter="0"/>
          <w:pgNumType w:start="583"/>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C4248C"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A01E8B" w:rsidP="004B7F60">
      <w:pPr>
        <w:widowControl w:val="0"/>
        <w:rPr>
          <w:b/>
          <w:sz w:val="20"/>
          <w:szCs w:val="20"/>
        </w:rPr>
      </w:pPr>
      <w:r>
        <w:rPr>
          <w:b/>
          <w:sz w:val="20"/>
          <w:szCs w:val="20"/>
        </w:rPr>
        <w:t>APRIL 2</w:t>
      </w:r>
      <w:r w:rsidR="004B7F60" w:rsidRPr="00C50A5C">
        <w:rPr>
          <w:b/>
          <w:sz w:val="20"/>
          <w:szCs w:val="20"/>
        </w:rPr>
        <w:t>, 201</w:t>
      </w:r>
      <w:r w:rsidR="00F761A3">
        <w:rPr>
          <w:b/>
          <w:sz w:val="20"/>
          <w:szCs w:val="20"/>
        </w:rPr>
        <w:t>3</w:t>
      </w:r>
      <w:r w:rsidR="004B7F60" w:rsidRPr="00C50A5C">
        <w:rPr>
          <w:b/>
          <w:sz w:val="20"/>
          <w:szCs w:val="20"/>
        </w:rPr>
        <w:t xml:space="preserve"> / LE </w:t>
      </w:r>
      <w:r>
        <w:rPr>
          <w:b/>
          <w:sz w:val="20"/>
          <w:szCs w:val="20"/>
        </w:rPr>
        <w:t>2</w:t>
      </w:r>
      <w:r w:rsidR="004B7F60">
        <w:rPr>
          <w:b/>
          <w:sz w:val="20"/>
          <w:szCs w:val="20"/>
        </w:rPr>
        <w:t xml:space="preserve"> </w:t>
      </w:r>
      <w:r>
        <w:rPr>
          <w:b/>
          <w:sz w:val="20"/>
          <w:szCs w:val="20"/>
        </w:rPr>
        <w:t xml:space="preserve">AVRIL </w:t>
      </w:r>
      <w:r w:rsidR="004B7F60" w:rsidRPr="00C50A5C">
        <w:rPr>
          <w:b/>
          <w:sz w:val="20"/>
          <w:szCs w:val="20"/>
        </w:rPr>
        <w:t>201</w:t>
      </w:r>
      <w:r w:rsidR="00F761A3">
        <w:rPr>
          <w:b/>
          <w:sz w:val="20"/>
          <w:szCs w:val="20"/>
        </w:rPr>
        <w:t>3</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sidR="0062714A">
        <w:rPr>
          <w:b/>
          <w:sz w:val="20"/>
          <w:szCs w:val="20"/>
        </w:rPr>
        <w:t>Abella</w:t>
      </w:r>
      <w:r w:rsidRPr="00C50A5C">
        <w:rPr>
          <w:b/>
          <w:sz w:val="20"/>
          <w:szCs w:val="20"/>
        </w:rPr>
        <w:t xml:space="preserve"> and </w:t>
      </w:r>
      <w:r w:rsidR="0062714A">
        <w:rPr>
          <w:b/>
          <w:sz w:val="20"/>
          <w:szCs w:val="20"/>
        </w:rPr>
        <w:t>Cr</w:t>
      </w:r>
      <w:r>
        <w:rPr>
          <w:b/>
          <w:sz w:val="20"/>
          <w:szCs w:val="20"/>
        </w:rPr>
        <w:t>o</w:t>
      </w:r>
      <w:r w:rsidR="0062714A">
        <w:rPr>
          <w:b/>
          <w:sz w:val="20"/>
          <w:szCs w:val="20"/>
        </w:rPr>
        <w:t>mwe</w:t>
      </w:r>
      <w:r>
        <w:rPr>
          <w:b/>
          <w:sz w:val="20"/>
          <w:szCs w:val="20"/>
        </w:rPr>
        <w:t>l</w:t>
      </w:r>
      <w:r w:rsidR="0062714A">
        <w:rPr>
          <w:b/>
          <w:sz w:val="20"/>
          <w:szCs w:val="20"/>
        </w:rPr>
        <w:t>l</w:t>
      </w:r>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sidR="0062714A">
        <w:rPr>
          <w:b/>
          <w:sz w:val="20"/>
          <w:szCs w:val="20"/>
          <w:lang w:val="fr-CA"/>
        </w:rPr>
        <w:t>Ab</w:t>
      </w:r>
      <w:r>
        <w:rPr>
          <w:b/>
          <w:sz w:val="20"/>
          <w:szCs w:val="20"/>
          <w:lang w:val="fr-CA"/>
        </w:rPr>
        <w:t>e</w:t>
      </w:r>
      <w:r w:rsidR="0062714A">
        <w:rPr>
          <w:b/>
          <w:sz w:val="20"/>
          <w:szCs w:val="20"/>
          <w:lang w:val="fr-CA"/>
        </w:rPr>
        <w:t>lla</w:t>
      </w:r>
      <w:r w:rsidRPr="00C50A5C">
        <w:rPr>
          <w:b/>
          <w:sz w:val="20"/>
          <w:szCs w:val="20"/>
          <w:lang w:val="fr-CA"/>
        </w:rPr>
        <w:t xml:space="preserve"> et </w:t>
      </w:r>
      <w:r w:rsidR="0062714A">
        <w:rPr>
          <w:b/>
          <w:sz w:val="20"/>
          <w:szCs w:val="20"/>
          <w:lang w:val="fr-CA"/>
        </w:rPr>
        <w:t>Cr</w:t>
      </w:r>
      <w:r>
        <w:rPr>
          <w:b/>
          <w:sz w:val="20"/>
          <w:szCs w:val="20"/>
          <w:lang w:val="fr-CA"/>
        </w:rPr>
        <w:t>o</w:t>
      </w:r>
      <w:r w:rsidR="0062714A">
        <w:rPr>
          <w:b/>
          <w:sz w:val="20"/>
          <w:szCs w:val="20"/>
          <w:lang w:val="fr-CA"/>
        </w:rPr>
        <w:t>mw</w:t>
      </w:r>
      <w:r>
        <w:rPr>
          <w:b/>
          <w:sz w:val="20"/>
          <w:szCs w:val="20"/>
          <w:lang w:val="fr-CA"/>
        </w:rPr>
        <w:t>e</w:t>
      </w:r>
      <w:r w:rsidR="0062714A">
        <w:rPr>
          <w:b/>
          <w:sz w:val="20"/>
          <w:szCs w:val="20"/>
          <w:lang w:val="fr-CA"/>
        </w:rPr>
        <w:t>ll</w:t>
      </w:r>
    </w:p>
    <w:p w:rsidR="004B7F60" w:rsidRPr="00C50A5C" w:rsidRDefault="004B7F60" w:rsidP="004B7F60">
      <w:pPr>
        <w:widowControl w:val="0"/>
        <w:rPr>
          <w:sz w:val="20"/>
          <w:szCs w:val="20"/>
          <w:lang w:val="fr-CA"/>
        </w:rPr>
      </w:pPr>
    </w:p>
    <w:p w:rsidR="00A01E8B" w:rsidRPr="00A01E8B" w:rsidRDefault="00A01E8B" w:rsidP="00A01E8B">
      <w:pPr>
        <w:pStyle w:val="ListParagraph"/>
        <w:widowControl w:val="0"/>
        <w:numPr>
          <w:ilvl w:val="0"/>
          <w:numId w:val="2"/>
        </w:numPr>
        <w:ind w:hanging="720"/>
        <w:jc w:val="both"/>
        <w:rPr>
          <w:sz w:val="20"/>
          <w:szCs w:val="20"/>
        </w:rPr>
      </w:pPr>
      <w:r w:rsidRPr="00A01E8B">
        <w:rPr>
          <w:i/>
          <w:sz w:val="20"/>
          <w:szCs w:val="20"/>
        </w:rPr>
        <w:t>Romeo Jacques Cormier v. Her Majesty the Queen</w:t>
      </w:r>
      <w:r w:rsidRPr="00A01E8B">
        <w:rPr>
          <w:sz w:val="20"/>
          <w:szCs w:val="20"/>
        </w:rPr>
        <w:t xml:space="preserve"> (N.B.) (Crim.) (By Leave) (35221)</w:t>
      </w:r>
    </w:p>
    <w:p w:rsidR="00A01E8B" w:rsidRDefault="00A01E8B" w:rsidP="00A01E8B">
      <w:pPr>
        <w:widowControl w:val="0"/>
        <w:ind w:left="720" w:hanging="720"/>
        <w:jc w:val="both"/>
        <w:rPr>
          <w:sz w:val="20"/>
          <w:szCs w:val="20"/>
        </w:rPr>
      </w:pPr>
    </w:p>
    <w:p w:rsidR="00A01E8B" w:rsidRPr="00A01E8B" w:rsidRDefault="00A01E8B" w:rsidP="00A01E8B">
      <w:pPr>
        <w:pStyle w:val="ListParagraph"/>
        <w:widowControl w:val="0"/>
        <w:numPr>
          <w:ilvl w:val="0"/>
          <w:numId w:val="2"/>
        </w:numPr>
        <w:ind w:hanging="720"/>
        <w:jc w:val="both"/>
        <w:rPr>
          <w:i/>
          <w:sz w:val="20"/>
          <w:szCs w:val="20"/>
        </w:rPr>
      </w:pPr>
      <w:r w:rsidRPr="00A01E8B">
        <w:rPr>
          <w:i/>
          <w:sz w:val="20"/>
          <w:szCs w:val="20"/>
        </w:rPr>
        <w:t>Pikangikum First Nation v. Robert D. Nault et al.</w:t>
      </w:r>
      <w:r w:rsidRPr="00A01E8B">
        <w:rPr>
          <w:sz w:val="20"/>
          <w:szCs w:val="20"/>
        </w:rPr>
        <w:t xml:space="preserve"> (Ont.) (Civil) (By Leave) (35162)</w:t>
      </w:r>
    </w:p>
    <w:p w:rsidR="00A01E8B" w:rsidRDefault="00A01E8B" w:rsidP="00A01E8B">
      <w:pPr>
        <w:widowControl w:val="0"/>
        <w:ind w:left="720" w:hanging="720"/>
        <w:jc w:val="both"/>
        <w:rPr>
          <w:i/>
          <w:sz w:val="20"/>
          <w:szCs w:val="20"/>
        </w:rPr>
      </w:pPr>
    </w:p>
    <w:p w:rsidR="00A01E8B" w:rsidRPr="00A01E8B" w:rsidRDefault="00A01E8B" w:rsidP="00A01E8B">
      <w:pPr>
        <w:pStyle w:val="ListParagraph"/>
        <w:widowControl w:val="0"/>
        <w:numPr>
          <w:ilvl w:val="0"/>
          <w:numId w:val="2"/>
        </w:numPr>
        <w:ind w:hanging="720"/>
        <w:jc w:val="both"/>
        <w:rPr>
          <w:sz w:val="20"/>
          <w:szCs w:val="20"/>
        </w:rPr>
      </w:pPr>
      <w:r w:rsidRPr="00A33A9D">
        <w:rPr>
          <w:i/>
          <w:sz w:val="20"/>
          <w:szCs w:val="20"/>
          <w:lang w:val="fr-CA"/>
        </w:rPr>
        <w:t>Colleen</w:t>
      </w:r>
      <w:r w:rsidR="00064154" w:rsidRPr="00A33A9D">
        <w:rPr>
          <w:i/>
          <w:sz w:val="20"/>
          <w:szCs w:val="20"/>
          <w:lang w:val="fr-CA"/>
        </w:rPr>
        <w:t xml:space="preserve"> Louise Barnett v. Jack Ewatski</w:t>
      </w:r>
      <w:r w:rsidRPr="00A33A9D">
        <w:rPr>
          <w:i/>
          <w:sz w:val="20"/>
          <w:szCs w:val="20"/>
          <w:lang w:val="fr-CA"/>
        </w:rPr>
        <w:t xml:space="preserve"> et al. </w:t>
      </w:r>
      <w:r w:rsidRPr="00A01E8B">
        <w:rPr>
          <w:sz w:val="20"/>
          <w:szCs w:val="20"/>
        </w:rPr>
        <w:t>(Man.) (Civil) (By Leave) (35181)</w:t>
      </w:r>
    </w:p>
    <w:p w:rsidR="00A01E8B" w:rsidRDefault="00A01E8B" w:rsidP="00A01E8B">
      <w:pPr>
        <w:widowControl w:val="0"/>
        <w:ind w:left="720" w:hanging="720"/>
        <w:jc w:val="both"/>
        <w:rPr>
          <w:sz w:val="20"/>
          <w:szCs w:val="20"/>
        </w:rPr>
      </w:pPr>
    </w:p>
    <w:p w:rsidR="00A01E8B" w:rsidRPr="00A01E8B" w:rsidRDefault="00A01E8B" w:rsidP="00A01E8B">
      <w:pPr>
        <w:pStyle w:val="ListParagraph"/>
        <w:widowControl w:val="0"/>
        <w:numPr>
          <w:ilvl w:val="0"/>
          <w:numId w:val="2"/>
        </w:numPr>
        <w:ind w:hanging="720"/>
        <w:jc w:val="both"/>
        <w:rPr>
          <w:i/>
          <w:sz w:val="20"/>
          <w:szCs w:val="20"/>
        </w:rPr>
      </w:pPr>
      <w:r w:rsidRPr="00A01E8B">
        <w:rPr>
          <w:i/>
          <w:sz w:val="20"/>
          <w:szCs w:val="20"/>
          <w:lang w:val="en-US"/>
        </w:rPr>
        <w:t xml:space="preserve">Sahara Spa Inc et al. v. </w:t>
      </w:r>
      <w:r w:rsidRPr="00A01E8B">
        <w:rPr>
          <w:i/>
          <w:sz w:val="20"/>
          <w:szCs w:val="20"/>
        </w:rPr>
        <w:t xml:space="preserve">C &amp; S Construction Co. Ltd. </w:t>
      </w:r>
      <w:r w:rsidRPr="00A01E8B">
        <w:rPr>
          <w:sz w:val="20"/>
          <w:szCs w:val="20"/>
        </w:rPr>
        <w:t>(Sask.) (Civil) (By Leave) (35190)</w:t>
      </w:r>
    </w:p>
    <w:p w:rsidR="004B7F60" w:rsidRDefault="004B7F60" w:rsidP="004B7F60">
      <w:pPr>
        <w:widowControl w:val="0"/>
        <w:jc w:val="both"/>
        <w:rPr>
          <w:sz w:val="20"/>
          <w:szCs w:val="20"/>
        </w:rPr>
      </w:pPr>
    </w:p>
    <w:p w:rsidR="004B7F60" w:rsidRDefault="004B7F60" w:rsidP="004B7F60">
      <w:pPr>
        <w:widowControl w:val="0"/>
        <w:jc w:val="both"/>
        <w:rPr>
          <w:sz w:val="20"/>
          <w:szCs w:val="20"/>
        </w:rPr>
      </w:pPr>
    </w:p>
    <w:p w:rsidR="004B7F60" w:rsidRPr="00C50A5C" w:rsidRDefault="004B7F60" w:rsidP="004B7F60">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sidR="0062714A">
        <w:rPr>
          <w:b/>
          <w:sz w:val="20"/>
          <w:szCs w:val="20"/>
        </w:rPr>
        <w:t>K</w:t>
      </w:r>
      <w:r>
        <w:rPr>
          <w:b/>
          <w:sz w:val="20"/>
          <w:szCs w:val="20"/>
        </w:rPr>
        <w:t>a</w:t>
      </w:r>
      <w:r w:rsidR="0062714A">
        <w:rPr>
          <w:b/>
          <w:sz w:val="20"/>
          <w:szCs w:val="20"/>
        </w:rPr>
        <w:t>rakatsanis</w:t>
      </w:r>
      <w:r w:rsidRPr="00C50A5C">
        <w:rPr>
          <w:b/>
          <w:sz w:val="20"/>
          <w:szCs w:val="20"/>
        </w:rPr>
        <w:t xml:space="preserve"> and </w:t>
      </w:r>
      <w:r w:rsidR="0062714A">
        <w:rPr>
          <w:b/>
          <w:sz w:val="20"/>
          <w:szCs w:val="20"/>
        </w:rPr>
        <w:t>Wagn</w:t>
      </w:r>
      <w:r>
        <w:rPr>
          <w:b/>
          <w:sz w:val="20"/>
          <w:szCs w:val="20"/>
        </w:rPr>
        <w:t>e</w:t>
      </w:r>
      <w:r w:rsidR="0062714A">
        <w:rPr>
          <w:b/>
          <w:sz w:val="20"/>
          <w:szCs w:val="20"/>
        </w:rPr>
        <w:t>r</w:t>
      </w:r>
      <w:r w:rsidRPr="00C50A5C">
        <w:rPr>
          <w:b/>
          <w:sz w:val="20"/>
          <w:szCs w:val="20"/>
        </w:rPr>
        <w:t xml:space="preserve"> JJ.</w:t>
      </w:r>
    </w:p>
    <w:p w:rsidR="004B7F60" w:rsidRPr="00C50A5C" w:rsidRDefault="004B7F60" w:rsidP="004B7F60">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sidR="0062714A">
        <w:rPr>
          <w:b/>
          <w:sz w:val="20"/>
          <w:szCs w:val="20"/>
          <w:lang w:val="fr-CA"/>
        </w:rPr>
        <w:t>K</w:t>
      </w:r>
      <w:r>
        <w:rPr>
          <w:b/>
          <w:sz w:val="20"/>
          <w:szCs w:val="20"/>
          <w:lang w:val="fr-CA"/>
        </w:rPr>
        <w:t>a</w:t>
      </w:r>
      <w:r w:rsidR="0062714A">
        <w:rPr>
          <w:b/>
          <w:sz w:val="20"/>
          <w:szCs w:val="20"/>
          <w:lang w:val="fr-CA"/>
        </w:rPr>
        <w:t>rakatsanis</w:t>
      </w:r>
      <w:r w:rsidRPr="00C50A5C">
        <w:rPr>
          <w:b/>
          <w:sz w:val="20"/>
          <w:szCs w:val="20"/>
          <w:lang w:val="fr-CA"/>
        </w:rPr>
        <w:t xml:space="preserve"> et </w:t>
      </w:r>
      <w:r w:rsidR="0062714A">
        <w:rPr>
          <w:b/>
          <w:sz w:val="20"/>
          <w:szCs w:val="20"/>
          <w:lang w:val="fr-CA"/>
        </w:rPr>
        <w:t>Wagn</w:t>
      </w:r>
      <w:r w:rsidRPr="00C50A5C">
        <w:rPr>
          <w:b/>
          <w:sz w:val="20"/>
          <w:szCs w:val="20"/>
          <w:lang w:val="fr-CA"/>
        </w:rPr>
        <w:t>e</w:t>
      </w:r>
      <w:r w:rsidR="0062714A">
        <w:rPr>
          <w:b/>
          <w:sz w:val="20"/>
          <w:szCs w:val="20"/>
          <w:lang w:val="fr-CA"/>
        </w:rPr>
        <w:t>r</w:t>
      </w:r>
    </w:p>
    <w:p w:rsidR="004B7F60" w:rsidRDefault="004B7F60" w:rsidP="004B7F60">
      <w:pPr>
        <w:widowControl w:val="0"/>
        <w:jc w:val="both"/>
        <w:rPr>
          <w:sz w:val="20"/>
          <w:szCs w:val="20"/>
          <w:lang w:val="fr-CA"/>
        </w:rPr>
      </w:pPr>
    </w:p>
    <w:p w:rsidR="00A01E8B" w:rsidRPr="00A01E8B" w:rsidRDefault="00A01E8B" w:rsidP="00A01E8B">
      <w:pPr>
        <w:pStyle w:val="ListParagraph"/>
        <w:widowControl w:val="0"/>
        <w:numPr>
          <w:ilvl w:val="0"/>
          <w:numId w:val="2"/>
        </w:numPr>
        <w:ind w:hanging="720"/>
        <w:jc w:val="both"/>
        <w:rPr>
          <w:sz w:val="20"/>
          <w:szCs w:val="20"/>
          <w:lang w:val="fr-CA"/>
        </w:rPr>
      </w:pPr>
      <w:r w:rsidRPr="00A01E8B">
        <w:rPr>
          <w:i/>
          <w:sz w:val="20"/>
          <w:szCs w:val="20"/>
          <w:lang w:val="fr-CA"/>
        </w:rPr>
        <w:t>Nouredine Philip Fakhri c.</w:t>
      </w:r>
      <w:r w:rsidRPr="00A01E8B">
        <w:rPr>
          <w:sz w:val="20"/>
          <w:szCs w:val="20"/>
          <w:lang w:val="fr-CA"/>
        </w:rPr>
        <w:t xml:space="preserve"> </w:t>
      </w:r>
      <w:r w:rsidR="00064154">
        <w:rPr>
          <w:i/>
          <w:sz w:val="20"/>
          <w:szCs w:val="20"/>
          <w:lang w:val="fr-CA"/>
        </w:rPr>
        <w:t>Seaport Group LLC</w:t>
      </w:r>
      <w:r w:rsidRPr="00A01E8B">
        <w:rPr>
          <w:i/>
          <w:sz w:val="20"/>
          <w:szCs w:val="20"/>
          <w:lang w:val="fr-CA"/>
        </w:rPr>
        <w:t xml:space="preserve"> et a</w:t>
      </w:r>
      <w:r w:rsidR="00064154">
        <w:rPr>
          <w:i/>
          <w:sz w:val="20"/>
          <w:szCs w:val="20"/>
          <w:lang w:val="fr-CA"/>
        </w:rPr>
        <w:t>utre</w:t>
      </w:r>
      <w:r w:rsidRPr="00A01E8B">
        <w:rPr>
          <w:i/>
          <w:sz w:val="20"/>
          <w:szCs w:val="20"/>
          <w:lang w:val="fr-CA"/>
        </w:rPr>
        <w:t xml:space="preserve"> </w:t>
      </w:r>
      <w:r w:rsidRPr="00A01E8B">
        <w:rPr>
          <w:sz w:val="20"/>
          <w:szCs w:val="20"/>
          <w:lang w:val="fr-CA"/>
        </w:rPr>
        <w:t>(Qc) (Civile) (Autorisation) (35172)</w:t>
      </w:r>
    </w:p>
    <w:p w:rsidR="00A01E8B" w:rsidRDefault="00A01E8B" w:rsidP="00A01E8B">
      <w:pPr>
        <w:widowControl w:val="0"/>
        <w:ind w:left="720" w:hanging="720"/>
        <w:jc w:val="both"/>
        <w:rPr>
          <w:sz w:val="20"/>
          <w:szCs w:val="20"/>
          <w:lang w:val="fr-CA"/>
        </w:rPr>
      </w:pPr>
    </w:p>
    <w:p w:rsidR="00A01E8B" w:rsidRPr="00A01E8B" w:rsidRDefault="00A01E8B" w:rsidP="00A01E8B">
      <w:pPr>
        <w:pStyle w:val="ListParagraph"/>
        <w:widowControl w:val="0"/>
        <w:numPr>
          <w:ilvl w:val="0"/>
          <w:numId w:val="2"/>
        </w:numPr>
        <w:ind w:hanging="720"/>
        <w:jc w:val="both"/>
        <w:rPr>
          <w:i/>
          <w:sz w:val="20"/>
          <w:szCs w:val="20"/>
          <w:lang w:val="fr-CA"/>
        </w:rPr>
      </w:pPr>
      <w:r w:rsidRPr="00A01E8B">
        <w:rPr>
          <w:i/>
          <w:sz w:val="20"/>
          <w:szCs w:val="20"/>
          <w:lang w:val="fr-CA"/>
        </w:rPr>
        <w:t>Dragoljub Milunovic c. Mario Proulx et a</w:t>
      </w:r>
      <w:r w:rsidR="00064154">
        <w:rPr>
          <w:i/>
          <w:sz w:val="20"/>
          <w:szCs w:val="20"/>
          <w:lang w:val="fr-CA"/>
        </w:rPr>
        <w:t>utre</w:t>
      </w:r>
      <w:r w:rsidRPr="00A01E8B">
        <w:rPr>
          <w:i/>
          <w:sz w:val="20"/>
          <w:szCs w:val="20"/>
          <w:lang w:val="fr-CA"/>
        </w:rPr>
        <w:t xml:space="preserve"> </w:t>
      </w:r>
      <w:r w:rsidRPr="00064154">
        <w:rPr>
          <w:sz w:val="20"/>
          <w:szCs w:val="20"/>
          <w:lang w:val="fr-CA"/>
        </w:rPr>
        <w:t>(Qc) (Civile) (Autorisation) (35219)</w:t>
      </w:r>
    </w:p>
    <w:p w:rsidR="00A01E8B" w:rsidRPr="00A01E8B" w:rsidRDefault="00A01E8B" w:rsidP="00A01E8B">
      <w:pPr>
        <w:pStyle w:val="ListParagraph"/>
        <w:widowControl w:val="0"/>
        <w:ind w:left="0"/>
        <w:jc w:val="both"/>
        <w:rPr>
          <w:i/>
          <w:sz w:val="20"/>
          <w:szCs w:val="20"/>
          <w:lang w:val="fr-CA"/>
        </w:rPr>
      </w:pPr>
    </w:p>
    <w:p w:rsidR="00A01E8B" w:rsidRPr="00A01E8B" w:rsidRDefault="00064154" w:rsidP="00A01E8B">
      <w:pPr>
        <w:pStyle w:val="ListParagraph"/>
        <w:widowControl w:val="0"/>
        <w:numPr>
          <w:ilvl w:val="0"/>
          <w:numId w:val="2"/>
        </w:numPr>
        <w:ind w:hanging="720"/>
        <w:jc w:val="both"/>
        <w:rPr>
          <w:i/>
          <w:sz w:val="20"/>
          <w:szCs w:val="20"/>
          <w:lang w:val="fr-CA"/>
        </w:rPr>
      </w:pPr>
      <w:r>
        <w:rPr>
          <w:i/>
          <w:sz w:val="20"/>
          <w:szCs w:val="20"/>
          <w:lang w:val="fr-CA"/>
        </w:rPr>
        <w:t>Union des consommateurs</w:t>
      </w:r>
      <w:r w:rsidR="00A01E8B" w:rsidRPr="00A01E8B">
        <w:rPr>
          <w:i/>
          <w:sz w:val="20"/>
          <w:szCs w:val="20"/>
          <w:lang w:val="fr-CA"/>
        </w:rPr>
        <w:t xml:space="preserve"> et a</w:t>
      </w:r>
      <w:r>
        <w:rPr>
          <w:i/>
          <w:sz w:val="20"/>
          <w:szCs w:val="20"/>
          <w:lang w:val="fr-CA"/>
        </w:rPr>
        <w:t>utre</w:t>
      </w:r>
      <w:r w:rsidR="00A01E8B" w:rsidRPr="00A01E8B">
        <w:rPr>
          <w:i/>
          <w:sz w:val="20"/>
          <w:szCs w:val="20"/>
          <w:lang w:val="fr-CA"/>
        </w:rPr>
        <w:t xml:space="preserve"> c. Vidéotron S.E.N.C.</w:t>
      </w:r>
      <w:r w:rsidR="00A01E8B" w:rsidRPr="00A01E8B">
        <w:rPr>
          <w:sz w:val="20"/>
          <w:szCs w:val="20"/>
          <w:lang w:val="fr-CA"/>
        </w:rPr>
        <w:t xml:space="preserve"> (Qc) (Civile) (Autorisation) (35232)</w:t>
      </w:r>
    </w:p>
    <w:p w:rsidR="00A01E8B" w:rsidRPr="00A01E8B" w:rsidRDefault="00A01E8B" w:rsidP="00A01E8B">
      <w:pPr>
        <w:widowControl w:val="0"/>
        <w:jc w:val="both"/>
        <w:rPr>
          <w:i/>
          <w:sz w:val="20"/>
          <w:szCs w:val="20"/>
          <w:lang w:val="fr-CA"/>
        </w:rPr>
      </w:pPr>
    </w:p>
    <w:p w:rsidR="00A01E8B" w:rsidRPr="00A01E8B" w:rsidRDefault="00A01E8B" w:rsidP="00A01E8B">
      <w:pPr>
        <w:widowControl w:val="0"/>
        <w:jc w:val="both"/>
        <w:rPr>
          <w:i/>
          <w:sz w:val="20"/>
          <w:szCs w:val="20"/>
          <w:lang w:val="fr-CA"/>
        </w:rPr>
      </w:pPr>
    </w:p>
    <w:p w:rsidR="004B7F60" w:rsidRPr="00C50A5C" w:rsidRDefault="004B7F60" w:rsidP="004B7F60">
      <w:pPr>
        <w:widowControl w:val="0"/>
        <w:jc w:val="center"/>
        <w:rPr>
          <w:b/>
          <w:sz w:val="20"/>
          <w:szCs w:val="20"/>
        </w:rPr>
      </w:pPr>
      <w:r w:rsidRPr="00C50A5C">
        <w:rPr>
          <w:b/>
          <w:sz w:val="20"/>
          <w:szCs w:val="20"/>
        </w:rPr>
        <w:t xml:space="preserve">CORAM: </w:t>
      </w:r>
      <w:r w:rsidR="0062714A">
        <w:rPr>
          <w:b/>
          <w:sz w:val="20"/>
          <w:szCs w:val="20"/>
        </w:rPr>
        <w:t>Fi</w:t>
      </w:r>
      <w:r>
        <w:rPr>
          <w:b/>
          <w:sz w:val="20"/>
          <w:szCs w:val="20"/>
        </w:rPr>
        <w:t>sh</w:t>
      </w:r>
      <w:r w:rsidR="0062714A">
        <w:rPr>
          <w:b/>
          <w:sz w:val="20"/>
          <w:szCs w:val="20"/>
        </w:rPr>
        <w:t>,</w:t>
      </w:r>
      <w:r w:rsidRPr="00C50A5C">
        <w:rPr>
          <w:b/>
          <w:sz w:val="20"/>
          <w:szCs w:val="20"/>
        </w:rPr>
        <w:t xml:space="preserve"> </w:t>
      </w:r>
      <w:r w:rsidR="0062714A">
        <w:rPr>
          <w:b/>
          <w:sz w:val="20"/>
          <w:szCs w:val="20"/>
        </w:rPr>
        <w:t>Rot</w:t>
      </w:r>
      <w:r>
        <w:rPr>
          <w:b/>
          <w:sz w:val="20"/>
          <w:szCs w:val="20"/>
        </w:rPr>
        <w:t>h</w:t>
      </w:r>
      <w:r w:rsidR="0062714A">
        <w:rPr>
          <w:b/>
          <w:sz w:val="20"/>
          <w:szCs w:val="20"/>
        </w:rPr>
        <w:t>stein</w:t>
      </w:r>
      <w:r w:rsidRPr="00C50A5C">
        <w:rPr>
          <w:b/>
          <w:sz w:val="20"/>
          <w:szCs w:val="20"/>
        </w:rPr>
        <w:t xml:space="preserve"> and </w:t>
      </w:r>
      <w:r w:rsidR="0062714A">
        <w:rPr>
          <w:b/>
          <w:sz w:val="20"/>
          <w:szCs w:val="20"/>
        </w:rPr>
        <w:t>Mold</w:t>
      </w:r>
      <w:r>
        <w:rPr>
          <w:b/>
          <w:sz w:val="20"/>
          <w:szCs w:val="20"/>
        </w:rPr>
        <w:t>a</w:t>
      </w:r>
      <w:r w:rsidR="0062714A">
        <w:rPr>
          <w:b/>
          <w:sz w:val="20"/>
          <w:szCs w:val="20"/>
        </w:rPr>
        <w:t>ver</w:t>
      </w:r>
      <w:r w:rsidRPr="00C50A5C">
        <w:rPr>
          <w:b/>
          <w:sz w:val="20"/>
          <w:szCs w:val="20"/>
        </w:rPr>
        <w:t xml:space="preserve"> JJ.</w:t>
      </w:r>
    </w:p>
    <w:p w:rsidR="004B7F60" w:rsidRPr="00C50A5C" w:rsidRDefault="004B7F60" w:rsidP="004B7F60">
      <w:pPr>
        <w:widowControl w:val="0"/>
        <w:jc w:val="center"/>
        <w:rPr>
          <w:b/>
          <w:sz w:val="20"/>
          <w:szCs w:val="20"/>
          <w:lang w:val="fr-CA"/>
        </w:rPr>
      </w:pPr>
      <w:r w:rsidRPr="00C50A5C">
        <w:rPr>
          <w:b/>
          <w:sz w:val="20"/>
          <w:szCs w:val="20"/>
          <w:lang w:val="fr-CA"/>
        </w:rPr>
        <w:t xml:space="preserve">Les juges </w:t>
      </w:r>
      <w:r w:rsidR="0062714A">
        <w:rPr>
          <w:b/>
          <w:sz w:val="20"/>
          <w:szCs w:val="20"/>
          <w:lang w:val="fr-CA"/>
        </w:rPr>
        <w:t>Fi</w:t>
      </w:r>
      <w:r>
        <w:rPr>
          <w:b/>
          <w:sz w:val="20"/>
          <w:szCs w:val="20"/>
          <w:lang w:val="fr-CA"/>
        </w:rPr>
        <w:t>sh</w:t>
      </w:r>
      <w:r w:rsidRPr="00C50A5C">
        <w:rPr>
          <w:b/>
          <w:sz w:val="20"/>
          <w:szCs w:val="20"/>
          <w:lang w:val="fr-CA"/>
        </w:rPr>
        <w:t xml:space="preserve">, </w:t>
      </w:r>
      <w:r w:rsidR="0062714A">
        <w:rPr>
          <w:b/>
          <w:sz w:val="20"/>
          <w:szCs w:val="20"/>
          <w:lang w:val="fr-CA"/>
        </w:rPr>
        <w:t>Rot</w:t>
      </w:r>
      <w:r>
        <w:rPr>
          <w:b/>
          <w:sz w:val="20"/>
          <w:szCs w:val="20"/>
          <w:lang w:val="fr-CA"/>
        </w:rPr>
        <w:t>h</w:t>
      </w:r>
      <w:r w:rsidR="0062714A">
        <w:rPr>
          <w:b/>
          <w:sz w:val="20"/>
          <w:szCs w:val="20"/>
          <w:lang w:val="fr-CA"/>
        </w:rPr>
        <w:t>stein</w:t>
      </w:r>
      <w:r w:rsidRPr="00C50A5C">
        <w:rPr>
          <w:b/>
          <w:sz w:val="20"/>
          <w:szCs w:val="20"/>
          <w:lang w:val="fr-CA"/>
        </w:rPr>
        <w:t xml:space="preserve"> et </w:t>
      </w:r>
      <w:r w:rsidR="0062714A">
        <w:rPr>
          <w:b/>
          <w:sz w:val="20"/>
          <w:szCs w:val="20"/>
          <w:lang w:val="fr-CA"/>
        </w:rPr>
        <w:t>Moldaver</w:t>
      </w:r>
    </w:p>
    <w:p w:rsidR="004B7F60" w:rsidRPr="00A01E8B" w:rsidRDefault="004B7F60" w:rsidP="004B7F60">
      <w:pPr>
        <w:widowControl w:val="0"/>
        <w:rPr>
          <w:i/>
          <w:sz w:val="20"/>
          <w:szCs w:val="20"/>
          <w:lang w:val="fr-CA"/>
        </w:rPr>
      </w:pPr>
    </w:p>
    <w:p w:rsidR="00A01E8B" w:rsidRPr="00064154" w:rsidRDefault="00A01E8B" w:rsidP="00064154">
      <w:pPr>
        <w:pStyle w:val="ListParagraph"/>
        <w:widowControl w:val="0"/>
        <w:numPr>
          <w:ilvl w:val="0"/>
          <w:numId w:val="2"/>
        </w:numPr>
        <w:ind w:hanging="720"/>
        <w:rPr>
          <w:i/>
          <w:sz w:val="20"/>
          <w:szCs w:val="20"/>
          <w:lang w:val="en-US"/>
        </w:rPr>
      </w:pPr>
      <w:r w:rsidRPr="00064154">
        <w:rPr>
          <w:i/>
          <w:sz w:val="20"/>
          <w:szCs w:val="20"/>
          <w:lang w:val="en-US"/>
        </w:rPr>
        <w:t xml:space="preserve">Attorney General of Ontario v. Thomas John Wierzbicki </w:t>
      </w:r>
      <w:r w:rsidRPr="00064154">
        <w:rPr>
          <w:sz w:val="20"/>
          <w:szCs w:val="20"/>
          <w:lang w:val="en-US"/>
        </w:rPr>
        <w:t>(Ont.) (Crim.) (By Leave) (35165)</w:t>
      </w:r>
    </w:p>
    <w:p w:rsidR="00A01E8B" w:rsidRPr="00A01E8B" w:rsidRDefault="00A01E8B" w:rsidP="00064154">
      <w:pPr>
        <w:widowControl w:val="0"/>
        <w:ind w:left="720" w:hanging="720"/>
        <w:rPr>
          <w:i/>
          <w:sz w:val="20"/>
          <w:szCs w:val="20"/>
          <w:lang w:val="en-US"/>
        </w:rPr>
      </w:pPr>
    </w:p>
    <w:p w:rsidR="00A01E8B" w:rsidRPr="00064154" w:rsidRDefault="00A01E8B" w:rsidP="00064154">
      <w:pPr>
        <w:pStyle w:val="ListParagraph"/>
        <w:widowControl w:val="0"/>
        <w:numPr>
          <w:ilvl w:val="0"/>
          <w:numId w:val="2"/>
        </w:numPr>
        <w:ind w:hanging="720"/>
        <w:rPr>
          <w:i/>
          <w:sz w:val="20"/>
          <w:szCs w:val="20"/>
          <w:lang w:val="en-US"/>
        </w:rPr>
      </w:pPr>
      <w:r w:rsidRPr="00064154">
        <w:rPr>
          <w:i/>
          <w:sz w:val="20"/>
          <w:szCs w:val="20"/>
          <w:lang w:val="en-US"/>
        </w:rPr>
        <w:t>Kang Ming Yu v. Minister of Justice et al.</w:t>
      </w:r>
      <w:r w:rsidRPr="00064154">
        <w:rPr>
          <w:sz w:val="20"/>
          <w:szCs w:val="20"/>
          <w:lang w:val="en-US"/>
        </w:rPr>
        <w:t xml:space="preserve"> (Ont.) (Crim.) (By Leave) (35210)</w:t>
      </w:r>
    </w:p>
    <w:p w:rsidR="00A01E8B" w:rsidRPr="00A01E8B" w:rsidRDefault="00A01E8B" w:rsidP="00064154">
      <w:pPr>
        <w:widowControl w:val="0"/>
        <w:ind w:left="720" w:hanging="720"/>
        <w:rPr>
          <w:i/>
          <w:sz w:val="20"/>
          <w:szCs w:val="20"/>
          <w:lang w:val="en-US"/>
        </w:rPr>
      </w:pPr>
    </w:p>
    <w:p w:rsidR="00A01E8B" w:rsidRPr="00064154" w:rsidRDefault="00A01E8B" w:rsidP="00064154">
      <w:pPr>
        <w:pStyle w:val="ListParagraph"/>
        <w:widowControl w:val="0"/>
        <w:numPr>
          <w:ilvl w:val="0"/>
          <w:numId w:val="2"/>
        </w:numPr>
        <w:ind w:hanging="720"/>
        <w:rPr>
          <w:sz w:val="20"/>
          <w:szCs w:val="20"/>
          <w:lang w:val="en-US"/>
        </w:rPr>
      </w:pPr>
      <w:r w:rsidRPr="00064154">
        <w:rPr>
          <w:i/>
          <w:sz w:val="20"/>
          <w:szCs w:val="20"/>
          <w:lang w:val="en-US"/>
        </w:rPr>
        <w:t xml:space="preserve">Apotex Inc. v. </w:t>
      </w:r>
      <w:r w:rsidR="00064154">
        <w:rPr>
          <w:i/>
          <w:sz w:val="20"/>
          <w:szCs w:val="20"/>
          <w:lang w:val="en-US"/>
        </w:rPr>
        <w:t>Minister of Health</w:t>
      </w:r>
      <w:r w:rsidRPr="00064154">
        <w:rPr>
          <w:i/>
          <w:sz w:val="20"/>
          <w:szCs w:val="20"/>
          <w:lang w:val="en-US"/>
        </w:rPr>
        <w:t xml:space="preserve"> et al. </w:t>
      </w:r>
      <w:r w:rsidRPr="00064154">
        <w:rPr>
          <w:sz w:val="20"/>
          <w:szCs w:val="20"/>
          <w:lang w:val="en-US"/>
        </w:rPr>
        <w:t>(F.C.) (Civil) (By Leave) (35209)</w:t>
      </w:r>
    </w:p>
    <w:p w:rsidR="00A01E8B" w:rsidRDefault="00A01E8B" w:rsidP="00064154">
      <w:pPr>
        <w:widowControl w:val="0"/>
        <w:ind w:left="720" w:hanging="720"/>
        <w:rPr>
          <w:sz w:val="20"/>
          <w:szCs w:val="20"/>
          <w:lang w:val="en-US"/>
        </w:rPr>
      </w:pPr>
    </w:p>
    <w:p w:rsidR="00A01E8B" w:rsidRPr="00064154" w:rsidRDefault="00A01E8B" w:rsidP="00064154">
      <w:pPr>
        <w:pStyle w:val="ListParagraph"/>
        <w:widowControl w:val="0"/>
        <w:numPr>
          <w:ilvl w:val="0"/>
          <w:numId w:val="2"/>
        </w:numPr>
        <w:ind w:hanging="720"/>
        <w:rPr>
          <w:i/>
          <w:sz w:val="20"/>
          <w:szCs w:val="20"/>
          <w:lang w:val="en-US"/>
        </w:rPr>
      </w:pPr>
      <w:r w:rsidRPr="00064154">
        <w:rPr>
          <w:i/>
          <w:sz w:val="20"/>
          <w:szCs w:val="20"/>
          <w:lang w:val="en-US"/>
        </w:rPr>
        <w:t xml:space="preserve">Regis Jogendra v. Her Majesty the Queen in Right of Ontario </w:t>
      </w:r>
      <w:r w:rsidRPr="00064154">
        <w:rPr>
          <w:sz w:val="20"/>
          <w:szCs w:val="20"/>
          <w:lang w:val="en-US"/>
        </w:rPr>
        <w:t>(Ont.) (Civil) (By Leave) (35211)</w:t>
      </w:r>
    </w:p>
    <w:p w:rsidR="00A01E8B" w:rsidRPr="00A01E8B" w:rsidRDefault="00A01E8B" w:rsidP="004B7F60">
      <w:pPr>
        <w:widowControl w:val="0"/>
        <w:rPr>
          <w:i/>
          <w:sz w:val="20"/>
          <w:szCs w:val="20"/>
          <w:lang w:val="en-US"/>
        </w:rPr>
      </w:pPr>
    </w:p>
    <w:p w:rsidR="002E2327" w:rsidRDefault="00B74DD2" w:rsidP="002E2327">
      <w:pPr>
        <w:widowControl w:val="0"/>
        <w:rPr>
          <w:sz w:val="20"/>
          <w:szCs w:val="20"/>
        </w:rPr>
      </w:pPr>
      <w:r w:rsidRPr="00B74DD2">
        <w:rPr>
          <w:sz w:val="20"/>
          <w:szCs w:val="20"/>
        </w:rPr>
        <w:pict>
          <v:rect id="_x0000_i1041" style="width:2in;height:1pt" o:hrpct="0" o:hralign="center" o:hrstd="t" o:hrnoshade="t" o:hr="t" fillcolor="black [3213]" stroked="f"/>
        </w:pict>
      </w:r>
    </w:p>
    <w:p w:rsidR="00064154" w:rsidRDefault="00064154" w:rsidP="002E2327">
      <w:pPr>
        <w:widowControl w:val="0"/>
        <w:rPr>
          <w:sz w:val="20"/>
          <w:szCs w:val="20"/>
        </w:rPr>
      </w:pPr>
    </w:p>
    <w:p w:rsidR="00064154" w:rsidRPr="00C50A5C" w:rsidRDefault="00064154"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C4248C"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8D292F" w:rsidP="008D292F">
      <w:pPr>
        <w:rPr>
          <w:b/>
          <w:sz w:val="20"/>
          <w:szCs w:val="20"/>
        </w:rPr>
      </w:pPr>
      <w:r w:rsidRPr="00C50A5C">
        <w:rPr>
          <w:b/>
          <w:sz w:val="20"/>
          <w:szCs w:val="20"/>
        </w:rPr>
        <w:t xml:space="preserve">APRIL </w:t>
      </w:r>
      <w:r w:rsidR="004F5EAB">
        <w:rPr>
          <w:b/>
          <w:sz w:val="20"/>
          <w:szCs w:val="20"/>
        </w:rPr>
        <w:t>4</w:t>
      </w:r>
      <w:r w:rsidRPr="00C50A5C">
        <w:rPr>
          <w:b/>
          <w:sz w:val="20"/>
          <w:szCs w:val="20"/>
        </w:rPr>
        <w:t>, 201</w:t>
      </w:r>
      <w:r w:rsidR="004F5EAB">
        <w:rPr>
          <w:b/>
          <w:sz w:val="20"/>
          <w:szCs w:val="20"/>
        </w:rPr>
        <w:t>3</w:t>
      </w:r>
      <w:r w:rsidRPr="00C50A5C">
        <w:rPr>
          <w:b/>
          <w:sz w:val="20"/>
          <w:szCs w:val="20"/>
        </w:rPr>
        <w:t xml:space="preserve"> / LE </w:t>
      </w:r>
      <w:r w:rsidR="004F5EAB">
        <w:rPr>
          <w:b/>
          <w:sz w:val="20"/>
          <w:szCs w:val="20"/>
        </w:rPr>
        <w:t>4</w:t>
      </w:r>
      <w:r w:rsidRPr="00C50A5C">
        <w:rPr>
          <w:b/>
          <w:sz w:val="20"/>
          <w:szCs w:val="20"/>
        </w:rPr>
        <w:t xml:space="preserve"> AVRIL 201</w:t>
      </w:r>
      <w:r w:rsidR="004F5EAB">
        <w:rPr>
          <w:b/>
          <w:sz w:val="20"/>
          <w:szCs w:val="20"/>
        </w:rPr>
        <w:t>3</w:t>
      </w:r>
    </w:p>
    <w:p w:rsidR="004F5EAB" w:rsidRPr="007858DA" w:rsidRDefault="004F5EAB" w:rsidP="004F5EAB">
      <w:pPr>
        <w:widowControl w:val="0"/>
        <w:jc w:val="both"/>
        <w:rPr>
          <w:rFonts w:cs="Times New Roman"/>
          <w:sz w:val="20"/>
          <w:szCs w:val="20"/>
          <w:lang w:val="fr-CA"/>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54DED" w:rsidRPr="007858DA" w:rsidTr="005F7339">
        <w:trPr>
          <w:cantSplit/>
        </w:trPr>
        <w:tc>
          <w:tcPr>
            <w:tcW w:w="1458" w:type="dxa"/>
          </w:tcPr>
          <w:p w:rsidR="00154DED" w:rsidRPr="007858DA" w:rsidRDefault="00154DED" w:rsidP="005F7339">
            <w:pPr>
              <w:rPr>
                <w:rFonts w:cs="Times New Roman"/>
                <w:sz w:val="20"/>
                <w:szCs w:val="20"/>
              </w:rPr>
            </w:pPr>
            <w:r w:rsidRPr="007858DA">
              <w:rPr>
                <w:rStyle w:val="SCCFileNumberChar"/>
                <w:sz w:val="20"/>
                <w:szCs w:val="20"/>
              </w:rPr>
              <w:t>34988</w:t>
            </w:r>
          </w:p>
          <w:p w:rsidR="00154DED" w:rsidRPr="007858DA" w:rsidRDefault="00154DED" w:rsidP="005F7339">
            <w:pPr>
              <w:rPr>
                <w:rFonts w:cs="Times New Roman"/>
                <w:b/>
                <w:sz w:val="20"/>
                <w:szCs w:val="20"/>
                <w:lang w:val="fr-CA"/>
              </w:rPr>
            </w:pPr>
          </w:p>
        </w:tc>
        <w:tc>
          <w:tcPr>
            <w:tcW w:w="8118" w:type="dxa"/>
          </w:tcPr>
          <w:p w:rsidR="00154DED" w:rsidRPr="007858DA" w:rsidRDefault="00154DED" w:rsidP="005F7339">
            <w:pPr>
              <w:rPr>
                <w:rFonts w:cs="Times New Roman"/>
                <w:sz w:val="20"/>
                <w:szCs w:val="20"/>
              </w:rPr>
            </w:pPr>
            <w:r w:rsidRPr="007858DA">
              <w:rPr>
                <w:rStyle w:val="SCCLsocChar"/>
                <w:rFonts w:cs="Times New Roman"/>
                <w:sz w:val="20"/>
                <w:szCs w:val="20"/>
                <w:lang w:val="en-US"/>
              </w:rPr>
              <w:t>Her Majesty the Queen v. J.M.M.</w:t>
            </w:r>
            <w:r w:rsidRPr="007858DA">
              <w:rPr>
                <w:rFonts w:cs="Times New Roman"/>
                <w:sz w:val="20"/>
                <w:szCs w:val="20"/>
              </w:rPr>
              <w:t xml:space="preserve"> (N.S.) (Criminal) (By Leave)</w:t>
            </w:r>
          </w:p>
          <w:p w:rsidR="00154DED" w:rsidRPr="007858DA" w:rsidRDefault="00154DED" w:rsidP="005F7339">
            <w:pPr>
              <w:rPr>
                <w:rFonts w:cs="Times New Roman"/>
                <w:sz w:val="20"/>
                <w:szCs w:val="20"/>
              </w:rPr>
            </w:pPr>
          </w:p>
        </w:tc>
      </w:tr>
      <w:tr w:rsidR="00154DED" w:rsidRPr="007858DA" w:rsidTr="005F7339">
        <w:trPr>
          <w:cantSplit/>
        </w:trPr>
        <w:tc>
          <w:tcPr>
            <w:tcW w:w="1458" w:type="dxa"/>
          </w:tcPr>
          <w:p w:rsidR="00154DED" w:rsidRPr="007858DA" w:rsidRDefault="00154DED" w:rsidP="005F7339">
            <w:pPr>
              <w:rPr>
                <w:rFonts w:cs="Times New Roman"/>
                <w:sz w:val="20"/>
                <w:szCs w:val="20"/>
              </w:rPr>
            </w:pPr>
            <w:r w:rsidRPr="007858DA">
              <w:rPr>
                <w:rFonts w:cs="Times New Roman"/>
                <w:sz w:val="20"/>
                <w:szCs w:val="20"/>
              </w:rPr>
              <w:t>Coram :</w:t>
            </w:r>
          </w:p>
        </w:tc>
        <w:tc>
          <w:tcPr>
            <w:tcW w:w="8118" w:type="dxa"/>
          </w:tcPr>
          <w:p w:rsidR="00154DED" w:rsidRPr="007858DA" w:rsidRDefault="00154DED" w:rsidP="005F7339">
            <w:pPr>
              <w:rPr>
                <w:rFonts w:cs="Times New Roman"/>
                <w:sz w:val="20"/>
                <w:szCs w:val="20"/>
              </w:rPr>
            </w:pPr>
            <w:r w:rsidRPr="007858DA">
              <w:rPr>
                <w:rStyle w:val="SCCCoramChar"/>
                <w:rFonts w:cs="Times New Roman"/>
                <w:sz w:val="20"/>
                <w:szCs w:val="20"/>
                <w:lang w:val="en-US"/>
              </w:rPr>
              <w:t>LeBel, Karakatsanis and Wagner JJ.</w:t>
            </w:r>
          </w:p>
          <w:p w:rsidR="00154DED" w:rsidRPr="007858DA" w:rsidRDefault="00154DED" w:rsidP="005F7339">
            <w:pPr>
              <w:rPr>
                <w:rFonts w:cs="Times New Roman"/>
                <w:sz w:val="20"/>
                <w:szCs w:val="20"/>
                <w:u w:val="single"/>
              </w:rPr>
            </w:pPr>
          </w:p>
        </w:tc>
      </w:tr>
      <w:tr w:rsidR="00154DED" w:rsidRPr="00C4248C" w:rsidTr="005F7339">
        <w:trPr>
          <w:cantSplit/>
        </w:trPr>
        <w:tc>
          <w:tcPr>
            <w:tcW w:w="9576" w:type="dxa"/>
            <w:gridSpan w:val="2"/>
          </w:tcPr>
          <w:p w:rsidR="00154DED" w:rsidRPr="007858DA" w:rsidRDefault="00154DED" w:rsidP="005F7339">
            <w:pPr>
              <w:pStyle w:val="SCCShortJudgment"/>
              <w:rPr>
                <w:rFonts w:cs="Times New Roman"/>
                <w:szCs w:val="20"/>
              </w:rPr>
            </w:pPr>
            <w:r w:rsidRPr="007858DA">
              <w:rPr>
                <w:rFonts w:cs="Times New Roman"/>
                <w:szCs w:val="20"/>
              </w:rPr>
              <w:t>The application for leave to appeal from the judgment of the Nova Scotia Court of Appeal, Number CAC 354084, 2012 NSCA 70, dated July 6, 2012, is dismissed without costs.</w:t>
            </w:r>
          </w:p>
          <w:p w:rsidR="00154DED" w:rsidRPr="007858DA" w:rsidRDefault="00154DED" w:rsidP="005F7339">
            <w:pPr>
              <w:pStyle w:val="SCCShortJudgment"/>
              <w:ind w:firstLine="0"/>
              <w:rPr>
                <w:rFonts w:cs="Times New Roman"/>
                <w:szCs w:val="20"/>
              </w:rPr>
            </w:pPr>
          </w:p>
          <w:p w:rsidR="00154DED" w:rsidRPr="007858DA" w:rsidRDefault="00154DED" w:rsidP="00154DED">
            <w:pPr>
              <w:pStyle w:val="SCCShortJudgment"/>
              <w:rPr>
                <w:rFonts w:cs="Times New Roman"/>
                <w:szCs w:val="20"/>
                <w:lang w:val="fr-CA"/>
              </w:rPr>
            </w:pPr>
            <w:r w:rsidRPr="007858DA">
              <w:rPr>
                <w:rFonts w:cs="Times New Roman"/>
                <w:szCs w:val="20"/>
                <w:lang w:val="fr-CA"/>
              </w:rPr>
              <w:t>La demande d’autorisation d’appel de l’arrêt de la Cour d’appel de la Nouvelle-Écosse, numéro CAC 354084, 2012 NSCA 70, daté du 6 juillet 2012, est rejetée sans dépens.</w:t>
            </w:r>
          </w:p>
        </w:tc>
      </w:tr>
    </w:tbl>
    <w:p w:rsidR="004F5EAB" w:rsidRPr="007858DA" w:rsidRDefault="004F5EAB" w:rsidP="004F5EAB">
      <w:pPr>
        <w:rPr>
          <w:rFonts w:cs="Times New Roman"/>
          <w:b/>
          <w:sz w:val="20"/>
          <w:szCs w:val="20"/>
          <w:lang w:val="fr-CA"/>
        </w:rPr>
      </w:pPr>
    </w:p>
    <w:p w:rsidR="004F5EAB" w:rsidRPr="007858DA" w:rsidRDefault="004F5EAB" w:rsidP="004F5EAB">
      <w:pPr>
        <w:rPr>
          <w:rFonts w:cs="Times New Roman"/>
          <w:sz w:val="20"/>
          <w:szCs w:val="20"/>
          <w:u w:val="single"/>
        </w:rPr>
      </w:pPr>
      <w:r w:rsidRPr="007858DA">
        <w:rPr>
          <w:rFonts w:cs="Times New Roman"/>
          <w:sz w:val="20"/>
          <w:szCs w:val="20"/>
          <w:u w:val="single"/>
        </w:rPr>
        <w:t>CASE SUMMARY</w:t>
      </w:r>
    </w:p>
    <w:p w:rsidR="004F5EAB" w:rsidRPr="007858DA" w:rsidRDefault="004F5EAB" w:rsidP="004F5EAB">
      <w:pPr>
        <w:keepNext/>
        <w:rPr>
          <w:rFonts w:cs="Times New Roman"/>
          <w:sz w:val="20"/>
          <w:szCs w:val="20"/>
        </w:rPr>
      </w:pPr>
    </w:p>
    <w:tbl>
      <w:tblPr>
        <w:tblW w:w="4952" w:type="pct"/>
        <w:tblLayout w:type="fixed"/>
        <w:tblCellMar>
          <w:left w:w="0" w:type="dxa"/>
          <w:bottom w:w="99" w:type="dxa"/>
          <w:right w:w="0" w:type="dxa"/>
        </w:tblCellMar>
        <w:tblLook w:val="04A0"/>
      </w:tblPr>
      <w:tblGrid>
        <w:gridCol w:w="4554"/>
        <w:gridCol w:w="514"/>
        <w:gridCol w:w="4459"/>
      </w:tblGrid>
      <w:tr w:rsidR="004F5EAB" w:rsidRPr="007858DA" w:rsidTr="004F5EAB">
        <w:tc>
          <w:tcPr>
            <w:tcW w:w="5000" w:type="pct"/>
            <w:gridSpan w:val="3"/>
          </w:tcPr>
          <w:p w:rsidR="004F5EAB" w:rsidRPr="007858DA" w:rsidRDefault="004F5EAB" w:rsidP="004F5EAB">
            <w:pPr>
              <w:jc w:val="both"/>
              <w:rPr>
                <w:rFonts w:eastAsia="Calibri" w:cs="Times New Roman"/>
                <w:smallCaps/>
                <w:sz w:val="20"/>
                <w:szCs w:val="20"/>
              </w:rPr>
            </w:pPr>
            <w:r w:rsidRPr="007858DA">
              <w:rPr>
                <w:rFonts w:eastAsia="Calibri" w:cs="Times New Roman"/>
                <w:smallCaps/>
                <w:sz w:val="20"/>
                <w:szCs w:val="20"/>
              </w:rPr>
              <w:t xml:space="preserve">(Publication </w:t>
            </w:r>
            <w:r w:rsidR="002E496C">
              <w:rPr>
                <w:rFonts w:eastAsia="Calibri" w:cs="Times New Roman"/>
                <w:smallCaps/>
                <w:sz w:val="20"/>
                <w:szCs w:val="20"/>
              </w:rPr>
              <w:t>B</w:t>
            </w:r>
            <w:r w:rsidRPr="007858DA">
              <w:rPr>
                <w:rFonts w:eastAsia="Calibri" w:cs="Times New Roman"/>
                <w:smallCaps/>
                <w:sz w:val="20"/>
                <w:szCs w:val="20"/>
              </w:rPr>
              <w:t xml:space="preserve">an in </w:t>
            </w:r>
            <w:r w:rsidR="002E496C">
              <w:rPr>
                <w:rFonts w:eastAsia="Calibri" w:cs="Times New Roman"/>
                <w:smallCaps/>
                <w:sz w:val="20"/>
                <w:szCs w:val="20"/>
              </w:rPr>
              <w:t>C</w:t>
            </w:r>
            <w:r w:rsidRPr="007858DA">
              <w:rPr>
                <w:rFonts w:eastAsia="Calibri" w:cs="Times New Roman"/>
                <w:smallCaps/>
                <w:sz w:val="20"/>
                <w:szCs w:val="20"/>
              </w:rPr>
              <w:t xml:space="preserve">ase) (Publication </w:t>
            </w:r>
            <w:r w:rsidR="002E496C">
              <w:rPr>
                <w:rFonts w:eastAsia="Calibri" w:cs="Times New Roman"/>
                <w:smallCaps/>
                <w:sz w:val="20"/>
                <w:szCs w:val="20"/>
              </w:rPr>
              <w:t>B</w:t>
            </w:r>
            <w:r w:rsidRPr="007858DA">
              <w:rPr>
                <w:rFonts w:eastAsia="Calibri" w:cs="Times New Roman"/>
                <w:smallCaps/>
                <w:sz w:val="20"/>
                <w:szCs w:val="20"/>
              </w:rPr>
              <w:t xml:space="preserve">an on </w:t>
            </w:r>
            <w:r w:rsidR="002E496C">
              <w:rPr>
                <w:rFonts w:eastAsia="Calibri" w:cs="Times New Roman"/>
                <w:smallCaps/>
                <w:sz w:val="20"/>
                <w:szCs w:val="20"/>
              </w:rPr>
              <w:t>P</w:t>
            </w:r>
            <w:r w:rsidRPr="007858DA">
              <w:rPr>
                <w:rFonts w:eastAsia="Calibri" w:cs="Times New Roman"/>
                <w:smallCaps/>
                <w:sz w:val="20"/>
                <w:szCs w:val="20"/>
              </w:rPr>
              <w:t>arty)</w:t>
            </w:r>
          </w:p>
          <w:p w:rsidR="004F5EAB" w:rsidRPr="007858DA" w:rsidRDefault="004F5EAB" w:rsidP="004F5EAB">
            <w:pPr>
              <w:jc w:val="both"/>
              <w:rPr>
                <w:rFonts w:eastAsia="Calibri" w:cs="Times New Roman"/>
                <w:sz w:val="20"/>
                <w:szCs w:val="20"/>
              </w:rPr>
            </w:pPr>
          </w:p>
          <w:p w:rsidR="004F5EAB" w:rsidRPr="007858DA" w:rsidRDefault="004F5EAB" w:rsidP="004F5EAB">
            <w:pPr>
              <w:jc w:val="both"/>
              <w:rPr>
                <w:rFonts w:eastAsia="Calibri" w:cs="Times New Roman"/>
                <w:sz w:val="20"/>
                <w:szCs w:val="20"/>
              </w:rPr>
            </w:pPr>
            <w:r w:rsidRPr="007858DA">
              <w:rPr>
                <w:rFonts w:eastAsia="Calibri" w:cs="Times New Roman"/>
                <w:sz w:val="20"/>
                <w:szCs w:val="20"/>
              </w:rPr>
              <w:t>Criminal Law — Evidence — Burden of Proof — Adult testifying to sexual abuse that occurred between the ages of 6 and 16 — How is a trier of fact to evaluate the credibility of an adult witness testifying to events that occurred when the adult was a child — How is a trial judge to express the assessment — What is the definition of a child versus an adult in determining how to assess a witness’s credibility — How should a court of appeal review a credibility finding if the transcript does not capture the whole picture apparent to the trial judge including the witness’s demeanour, tone and other cues — Whether a “</w:t>
            </w:r>
            <w:r w:rsidRPr="007858DA">
              <w:rPr>
                <w:rFonts w:eastAsia="Calibri" w:cs="Times New Roman"/>
                <w:i/>
                <w:sz w:val="20"/>
                <w:szCs w:val="20"/>
              </w:rPr>
              <w:t>Beaudry</w:t>
            </w:r>
            <w:r w:rsidRPr="007858DA">
              <w:rPr>
                <w:rFonts w:eastAsia="Calibri" w:cs="Times New Roman"/>
                <w:sz w:val="20"/>
                <w:szCs w:val="20"/>
              </w:rPr>
              <w:t xml:space="preserve">” error can arise where a trial judge’s assessment of credibility is based on more than the content of a witness’s evidence — Whether the Court of Appeal erred in law in finding errors with respect to evidence relating to a bed and a witness’s evidence — Whether the Nova Scotia Court of Appeal erred in law in concluding that the trial judge failed to properly consider the third branch of the </w:t>
            </w:r>
            <w:r w:rsidRPr="007858DA">
              <w:rPr>
                <w:rFonts w:eastAsia="Calibri" w:cs="Times New Roman"/>
                <w:i/>
                <w:sz w:val="20"/>
                <w:szCs w:val="20"/>
              </w:rPr>
              <w:t xml:space="preserve">W. (D.) </w:t>
            </w:r>
            <w:r w:rsidRPr="007858DA">
              <w:rPr>
                <w:rFonts w:eastAsia="Calibri" w:cs="Times New Roman"/>
                <w:sz w:val="20"/>
                <w:szCs w:val="20"/>
              </w:rPr>
              <w:t>test.</w:t>
            </w:r>
          </w:p>
        </w:tc>
      </w:tr>
      <w:tr w:rsidR="004F5EAB" w:rsidRPr="007858DA" w:rsidTr="004F5EAB">
        <w:tc>
          <w:tcPr>
            <w:tcW w:w="5000" w:type="pct"/>
            <w:gridSpan w:val="3"/>
          </w:tcPr>
          <w:p w:rsidR="004F5EAB" w:rsidRPr="007858DA" w:rsidRDefault="004F5EAB" w:rsidP="004F5EAB">
            <w:pPr>
              <w:jc w:val="both"/>
              <w:rPr>
                <w:rFonts w:eastAsia="Calibri" w:cs="Times New Roman"/>
                <w:sz w:val="20"/>
                <w:szCs w:val="20"/>
              </w:rPr>
            </w:pPr>
          </w:p>
        </w:tc>
      </w:tr>
      <w:tr w:rsidR="004F5EAB" w:rsidRPr="007858DA" w:rsidTr="004F5EAB">
        <w:tc>
          <w:tcPr>
            <w:tcW w:w="5000" w:type="pct"/>
            <w:gridSpan w:val="3"/>
          </w:tcPr>
          <w:p w:rsidR="004F5EAB" w:rsidRPr="007858DA" w:rsidRDefault="004F5EAB" w:rsidP="004F5EAB">
            <w:pPr>
              <w:jc w:val="both"/>
              <w:rPr>
                <w:rFonts w:eastAsia="Calibri" w:cs="Times New Roman"/>
                <w:sz w:val="20"/>
                <w:szCs w:val="20"/>
              </w:rPr>
            </w:pPr>
            <w:r w:rsidRPr="007858DA">
              <w:rPr>
                <w:rFonts w:eastAsia="Calibri" w:cs="Times New Roman"/>
                <w:sz w:val="20"/>
                <w:szCs w:val="20"/>
              </w:rPr>
              <w:t>J testified that the respondent assaulted her, threatened to cause death or bodily harm to her father, unlawfully confined her, touched her for a sexual purpose on numerous occasions, and sexually assaulted her twice, when she was between the ages of 6 and 16. She was 26 years old at trial.  She testified that she did not tell an adult until she was 25 or 26 years old, and then she told M.  M denied that J revealed the assaults to her.  M also contradicted parts of J’s testimony. The respondent’s wife also contradicted J’s testimony.  The respondent was convicted on several counts.  The Court of Appeal set aside the convictions and ordered a new trial of those counts for which respondent had been convicted.</w:t>
            </w:r>
          </w:p>
          <w:p w:rsidR="004F5EAB" w:rsidRPr="007858DA" w:rsidRDefault="004F5EAB" w:rsidP="004F5EAB">
            <w:pPr>
              <w:jc w:val="both"/>
              <w:rPr>
                <w:rFonts w:eastAsia="Calibri" w:cs="Times New Roman"/>
                <w:sz w:val="20"/>
                <w:szCs w:val="20"/>
              </w:rPr>
            </w:pPr>
          </w:p>
        </w:tc>
      </w:tr>
      <w:tr w:rsidR="004F5EAB" w:rsidRPr="007858DA" w:rsidTr="004F5EAB">
        <w:tblPrEx>
          <w:tblCellMar>
            <w:bottom w:w="0" w:type="dxa"/>
          </w:tblCellMar>
        </w:tblPrEx>
        <w:tc>
          <w:tcPr>
            <w:tcW w:w="2390" w:type="pct"/>
          </w:tcPr>
          <w:p w:rsidR="004F5EAB" w:rsidRPr="007858DA" w:rsidRDefault="004F5EAB" w:rsidP="004F5EAB">
            <w:pPr>
              <w:jc w:val="both"/>
              <w:rPr>
                <w:rFonts w:eastAsia="Calibri" w:cs="Times New Roman"/>
                <w:sz w:val="20"/>
                <w:szCs w:val="20"/>
              </w:rPr>
            </w:pPr>
            <w:r w:rsidRPr="007858DA">
              <w:rPr>
                <w:rFonts w:eastAsia="Calibri" w:cs="Times New Roman"/>
                <w:sz w:val="20"/>
                <w:szCs w:val="20"/>
              </w:rPr>
              <w:t>April 19, 2011</w:t>
            </w:r>
          </w:p>
          <w:p w:rsidR="004F5EAB" w:rsidRPr="007858DA" w:rsidRDefault="004F5EAB" w:rsidP="004F5EAB">
            <w:pPr>
              <w:jc w:val="both"/>
              <w:rPr>
                <w:rFonts w:eastAsia="Calibri" w:cs="Times New Roman"/>
                <w:sz w:val="20"/>
                <w:szCs w:val="20"/>
              </w:rPr>
            </w:pPr>
            <w:r w:rsidRPr="007858DA">
              <w:rPr>
                <w:rFonts w:eastAsia="Calibri" w:cs="Times New Roman"/>
                <w:sz w:val="20"/>
                <w:szCs w:val="20"/>
              </w:rPr>
              <w:t>Supreme Court of Nova Scotia,</w:t>
            </w:r>
          </w:p>
          <w:p w:rsidR="004F5EAB" w:rsidRPr="007858DA" w:rsidRDefault="004F5EAB" w:rsidP="004F5EAB">
            <w:pPr>
              <w:jc w:val="both"/>
              <w:rPr>
                <w:rFonts w:eastAsia="Calibri" w:cs="Times New Roman"/>
                <w:sz w:val="20"/>
                <w:szCs w:val="20"/>
              </w:rPr>
            </w:pPr>
            <w:r w:rsidRPr="007858DA">
              <w:rPr>
                <w:rFonts w:eastAsia="Calibri" w:cs="Times New Roman"/>
                <w:sz w:val="20"/>
                <w:szCs w:val="20"/>
              </w:rPr>
              <w:t>Trial Division</w:t>
            </w:r>
          </w:p>
          <w:p w:rsidR="004F5EAB" w:rsidRPr="007858DA" w:rsidRDefault="004F5EAB" w:rsidP="004F5EAB">
            <w:pPr>
              <w:jc w:val="both"/>
              <w:rPr>
                <w:rFonts w:eastAsia="Calibri" w:cs="Times New Roman"/>
                <w:sz w:val="20"/>
                <w:szCs w:val="20"/>
              </w:rPr>
            </w:pPr>
            <w:r w:rsidRPr="007858DA">
              <w:rPr>
                <w:rFonts w:eastAsia="Calibri" w:cs="Times New Roman"/>
                <w:sz w:val="20"/>
                <w:szCs w:val="20"/>
              </w:rPr>
              <w:t>(Edwards J.)</w:t>
            </w:r>
          </w:p>
          <w:p w:rsidR="004F5EAB" w:rsidRPr="007858DA" w:rsidRDefault="004F5EAB" w:rsidP="004F5EAB">
            <w:pPr>
              <w:jc w:val="both"/>
              <w:rPr>
                <w:rFonts w:eastAsia="Calibri" w:cs="Times New Roman"/>
                <w:sz w:val="20"/>
                <w:szCs w:val="20"/>
              </w:rPr>
            </w:pPr>
            <w:r w:rsidRPr="007858DA">
              <w:rPr>
                <w:rFonts w:eastAsia="Calibri" w:cs="Times New Roman"/>
                <w:sz w:val="20"/>
                <w:szCs w:val="20"/>
              </w:rPr>
              <w:t>2011 NSSC 153</w:t>
            </w:r>
          </w:p>
          <w:p w:rsidR="004F5EAB" w:rsidRPr="007858DA" w:rsidRDefault="004F5EAB" w:rsidP="004F5EAB">
            <w:pPr>
              <w:jc w:val="both"/>
              <w:rPr>
                <w:rFonts w:eastAsia="Calibri" w:cs="Times New Roman"/>
                <w:sz w:val="20"/>
                <w:szCs w:val="20"/>
              </w:rPr>
            </w:pPr>
          </w:p>
        </w:tc>
        <w:tc>
          <w:tcPr>
            <w:tcW w:w="270" w:type="pct"/>
          </w:tcPr>
          <w:p w:rsidR="004F5EAB" w:rsidRPr="007858DA" w:rsidRDefault="004F5EAB" w:rsidP="004F5EAB">
            <w:pPr>
              <w:jc w:val="both"/>
              <w:rPr>
                <w:rFonts w:eastAsia="Calibri" w:cs="Times New Roman"/>
                <w:sz w:val="20"/>
                <w:szCs w:val="20"/>
              </w:rPr>
            </w:pPr>
          </w:p>
        </w:tc>
        <w:tc>
          <w:tcPr>
            <w:tcW w:w="2340" w:type="pct"/>
          </w:tcPr>
          <w:p w:rsidR="004F5EAB" w:rsidRPr="007858DA" w:rsidRDefault="004F5EAB" w:rsidP="004F5EAB">
            <w:pPr>
              <w:jc w:val="both"/>
              <w:rPr>
                <w:rFonts w:eastAsia="Calibri" w:cs="Times New Roman"/>
                <w:sz w:val="20"/>
                <w:szCs w:val="20"/>
              </w:rPr>
            </w:pPr>
            <w:r w:rsidRPr="007858DA">
              <w:rPr>
                <w:rFonts w:eastAsia="Calibri" w:cs="Times New Roman"/>
                <w:sz w:val="20"/>
                <w:szCs w:val="20"/>
              </w:rPr>
              <w:t>Convictions for assault, sexual assaults, uttering a threat to cause death or bodily harm, and touching for a sexual purpose; Acquittal on count of unlawful confinement</w:t>
            </w:r>
          </w:p>
        </w:tc>
      </w:tr>
      <w:tr w:rsidR="004F5EAB" w:rsidRPr="007858DA" w:rsidTr="004F5EAB">
        <w:tblPrEx>
          <w:tblCellMar>
            <w:bottom w:w="0" w:type="dxa"/>
          </w:tblCellMar>
        </w:tblPrEx>
        <w:tc>
          <w:tcPr>
            <w:tcW w:w="2390" w:type="pct"/>
          </w:tcPr>
          <w:p w:rsidR="004F5EAB" w:rsidRPr="007858DA" w:rsidRDefault="004F5EAB" w:rsidP="004F5EAB">
            <w:pPr>
              <w:jc w:val="both"/>
              <w:rPr>
                <w:rFonts w:eastAsia="Calibri" w:cs="Times New Roman"/>
                <w:sz w:val="20"/>
                <w:szCs w:val="20"/>
              </w:rPr>
            </w:pPr>
            <w:r w:rsidRPr="007858DA">
              <w:rPr>
                <w:rFonts w:eastAsia="Calibri" w:cs="Times New Roman"/>
                <w:sz w:val="20"/>
                <w:szCs w:val="20"/>
              </w:rPr>
              <w:t>July 6, 2012</w:t>
            </w:r>
          </w:p>
          <w:p w:rsidR="004F5EAB" w:rsidRPr="007858DA" w:rsidRDefault="004F5EAB" w:rsidP="004F5EAB">
            <w:pPr>
              <w:jc w:val="both"/>
              <w:rPr>
                <w:rFonts w:eastAsia="Calibri" w:cs="Times New Roman"/>
                <w:sz w:val="20"/>
                <w:szCs w:val="20"/>
              </w:rPr>
            </w:pPr>
            <w:r w:rsidRPr="007858DA">
              <w:rPr>
                <w:rFonts w:eastAsia="Calibri" w:cs="Times New Roman"/>
                <w:sz w:val="20"/>
                <w:szCs w:val="20"/>
              </w:rPr>
              <w:t>Nova Scotia Court of Appeal</w:t>
            </w:r>
          </w:p>
          <w:p w:rsidR="004F5EAB" w:rsidRPr="007858DA" w:rsidRDefault="004F5EAB" w:rsidP="004F5EAB">
            <w:pPr>
              <w:jc w:val="both"/>
              <w:rPr>
                <w:rFonts w:eastAsia="Calibri" w:cs="Times New Roman"/>
                <w:sz w:val="20"/>
                <w:szCs w:val="20"/>
              </w:rPr>
            </w:pPr>
            <w:r w:rsidRPr="007858DA">
              <w:rPr>
                <w:rFonts w:eastAsia="Calibri" w:cs="Times New Roman"/>
                <w:sz w:val="20"/>
                <w:szCs w:val="20"/>
              </w:rPr>
              <w:t>(Saunders, Oland, Beveridge JJ.A.)</w:t>
            </w:r>
          </w:p>
          <w:p w:rsidR="004F5EAB" w:rsidRPr="007858DA" w:rsidRDefault="004F5EAB" w:rsidP="004F5EAB">
            <w:pPr>
              <w:jc w:val="both"/>
              <w:rPr>
                <w:rFonts w:eastAsia="Calibri" w:cs="Times New Roman"/>
                <w:sz w:val="20"/>
                <w:szCs w:val="20"/>
              </w:rPr>
            </w:pPr>
            <w:r w:rsidRPr="007858DA">
              <w:rPr>
                <w:rFonts w:eastAsia="Calibri" w:cs="Times New Roman"/>
                <w:sz w:val="20"/>
                <w:szCs w:val="20"/>
              </w:rPr>
              <w:t xml:space="preserve">2012 NSCA 70; CAC354084 (Halifax) </w:t>
            </w:r>
          </w:p>
          <w:p w:rsidR="004F5EAB" w:rsidRPr="007858DA" w:rsidRDefault="004F5EAB" w:rsidP="004F5EAB">
            <w:pPr>
              <w:jc w:val="both"/>
              <w:rPr>
                <w:rFonts w:eastAsia="Calibri" w:cs="Times New Roman"/>
                <w:sz w:val="20"/>
                <w:szCs w:val="20"/>
              </w:rPr>
            </w:pPr>
          </w:p>
        </w:tc>
        <w:tc>
          <w:tcPr>
            <w:tcW w:w="270" w:type="pct"/>
          </w:tcPr>
          <w:p w:rsidR="004F5EAB" w:rsidRPr="007858DA" w:rsidRDefault="004F5EAB" w:rsidP="004F5EAB">
            <w:pPr>
              <w:jc w:val="both"/>
              <w:rPr>
                <w:rFonts w:eastAsia="Calibri" w:cs="Times New Roman"/>
                <w:sz w:val="20"/>
                <w:szCs w:val="20"/>
              </w:rPr>
            </w:pPr>
          </w:p>
        </w:tc>
        <w:tc>
          <w:tcPr>
            <w:tcW w:w="2340" w:type="pct"/>
          </w:tcPr>
          <w:p w:rsidR="004F5EAB" w:rsidRPr="007858DA" w:rsidRDefault="004F5EAB" w:rsidP="004F5EAB">
            <w:pPr>
              <w:jc w:val="both"/>
              <w:rPr>
                <w:rFonts w:eastAsia="Calibri" w:cs="Times New Roman"/>
                <w:sz w:val="20"/>
                <w:szCs w:val="20"/>
              </w:rPr>
            </w:pPr>
            <w:r w:rsidRPr="007858DA">
              <w:rPr>
                <w:rFonts w:eastAsia="Calibri" w:cs="Times New Roman"/>
                <w:sz w:val="20"/>
                <w:szCs w:val="20"/>
              </w:rPr>
              <w:t>Appeal allowed, convictions overturned, new trial ordered on counts for which respondent was convicted</w:t>
            </w:r>
          </w:p>
          <w:p w:rsidR="004F5EAB" w:rsidRPr="007858DA" w:rsidRDefault="004F5EAB" w:rsidP="004F5EAB">
            <w:pPr>
              <w:jc w:val="both"/>
              <w:rPr>
                <w:rFonts w:eastAsia="Calibri" w:cs="Times New Roman"/>
                <w:sz w:val="20"/>
                <w:szCs w:val="20"/>
              </w:rPr>
            </w:pPr>
          </w:p>
        </w:tc>
      </w:tr>
      <w:tr w:rsidR="004F5EAB" w:rsidRPr="007858DA" w:rsidTr="004F5EAB">
        <w:tblPrEx>
          <w:tblCellMar>
            <w:bottom w:w="0" w:type="dxa"/>
          </w:tblCellMar>
        </w:tblPrEx>
        <w:tc>
          <w:tcPr>
            <w:tcW w:w="2390" w:type="pct"/>
          </w:tcPr>
          <w:p w:rsidR="004F5EAB" w:rsidRPr="007858DA" w:rsidRDefault="004F5EAB" w:rsidP="004F5EAB">
            <w:pPr>
              <w:jc w:val="both"/>
              <w:rPr>
                <w:rFonts w:eastAsia="Calibri" w:cs="Times New Roman"/>
                <w:sz w:val="20"/>
                <w:szCs w:val="20"/>
              </w:rPr>
            </w:pPr>
            <w:r w:rsidRPr="007858DA">
              <w:rPr>
                <w:rFonts w:eastAsia="Calibri" w:cs="Times New Roman"/>
                <w:sz w:val="20"/>
                <w:szCs w:val="20"/>
              </w:rPr>
              <w:t>September 25, 2012</w:t>
            </w:r>
          </w:p>
          <w:p w:rsidR="004F5EAB" w:rsidRPr="007858DA" w:rsidRDefault="004F5EAB" w:rsidP="004F5EAB">
            <w:pPr>
              <w:jc w:val="both"/>
              <w:rPr>
                <w:rFonts w:eastAsia="Calibri" w:cs="Times New Roman"/>
                <w:sz w:val="20"/>
                <w:szCs w:val="20"/>
              </w:rPr>
            </w:pPr>
            <w:r w:rsidRPr="007858DA">
              <w:rPr>
                <w:rFonts w:eastAsia="Calibri" w:cs="Times New Roman"/>
                <w:sz w:val="20"/>
                <w:szCs w:val="20"/>
              </w:rPr>
              <w:t>Supreme Court of Canada</w:t>
            </w:r>
          </w:p>
        </w:tc>
        <w:tc>
          <w:tcPr>
            <w:tcW w:w="270" w:type="pct"/>
          </w:tcPr>
          <w:p w:rsidR="004F5EAB" w:rsidRPr="007858DA" w:rsidRDefault="004F5EAB" w:rsidP="004F5EAB">
            <w:pPr>
              <w:jc w:val="both"/>
              <w:rPr>
                <w:rFonts w:eastAsia="Calibri" w:cs="Times New Roman"/>
                <w:sz w:val="20"/>
                <w:szCs w:val="20"/>
              </w:rPr>
            </w:pPr>
          </w:p>
        </w:tc>
        <w:tc>
          <w:tcPr>
            <w:tcW w:w="2340" w:type="pct"/>
          </w:tcPr>
          <w:p w:rsidR="004F5EAB" w:rsidRPr="007858DA" w:rsidRDefault="004F5EAB" w:rsidP="004F5EAB">
            <w:pPr>
              <w:jc w:val="both"/>
              <w:rPr>
                <w:rFonts w:eastAsia="Calibri" w:cs="Times New Roman"/>
                <w:sz w:val="20"/>
                <w:szCs w:val="20"/>
              </w:rPr>
            </w:pPr>
            <w:r w:rsidRPr="007858DA">
              <w:rPr>
                <w:rFonts w:eastAsia="Calibri" w:cs="Times New Roman"/>
                <w:sz w:val="20"/>
                <w:szCs w:val="20"/>
              </w:rPr>
              <w:t>Application for leave to appeal filed</w:t>
            </w:r>
          </w:p>
          <w:p w:rsidR="004F5EAB" w:rsidRPr="007858DA" w:rsidRDefault="004F5EAB" w:rsidP="004F5EAB">
            <w:pPr>
              <w:jc w:val="both"/>
              <w:rPr>
                <w:rFonts w:eastAsia="Calibri" w:cs="Times New Roman"/>
                <w:sz w:val="20"/>
                <w:szCs w:val="20"/>
              </w:rPr>
            </w:pPr>
          </w:p>
        </w:tc>
      </w:tr>
    </w:tbl>
    <w:p w:rsidR="004F5EAB" w:rsidRPr="007858DA" w:rsidRDefault="004F5EAB" w:rsidP="004F5EAB">
      <w:pPr>
        <w:rPr>
          <w:rFonts w:cs="Times New Roman"/>
          <w:sz w:val="20"/>
          <w:szCs w:val="20"/>
        </w:rPr>
      </w:pPr>
    </w:p>
    <w:p w:rsidR="004F5EAB" w:rsidRPr="007858DA" w:rsidRDefault="00B74DD2" w:rsidP="004F5EAB">
      <w:pPr>
        <w:rPr>
          <w:rFonts w:cs="Times New Roman"/>
          <w:sz w:val="20"/>
          <w:szCs w:val="20"/>
        </w:rPr>
      </w:pPr>
      <w:r w:rsidRPr="00B74DD2">
        <w:rPr>
          <w:rFonts w:cs="Times New Roman"/>
          <w:sz w:val="20"/>
          <w:szCs w:val="20"/>
          <w:lang w:val="fr-CA"/>
        </w:rPr>
        <w:pict>
          <v:rect id="_x0000_i1044" style="width:2in;height:1pt" o:hrpct="0" o:hralign="center" o:hrstd="t" o:hrnoshade="t" o:hr="t" fillcolor="black [3213]" stroked="f"/>
        </w:pict>
      </w:r>
    </w:p>
    <w:p w:rsidR="004F5EAB" w:rsidRPr="007858DA" w:rsidRDefault="004F5EAB" w:rsidP="004F5EAB">
      <w:pPr>
        <w:rPr>
          <w:rFonts w:cs="Times New Roman"/>
          <w:sz w:val="20"/>
          <w:szCs w:val="20"/>
        </w:rPr>
      </w:pPr>
    </w:p>
    <w:p w:rsidR="004F5EAB" w:rsidRPr="007858DA" w:rsidRDefault="004F5EAB" w:rsidP="004F5EAB">
      <w:pPr>
        <w:rPr>
          <w:rFonts w:cs="Times New Roman"/>
          <w:sz w:val="20"/>
          <w:szCs w:val="20"/>
          <w:u w:val="single"/>
          <w:lang w:val="fr-CA"/>
        </w:rPr>
      </w:pPr>
      <w:r w:rsidRPr="007858DA">
        <w:rPr>
          <w:rFonts w:cs="Times New Roman"/>
          <w:sz w:val="20"/>
          <w:szCs w:val="20"/>
          <w:u w:val="single"/>
          <w:lang w:val="fr-CA"/>
        </w:rPr>
        <w:lastRenderedPageBreak/>
        <w:t>RÉSUMÉ DE L’AFFAIRE</w:t>
      </w:r>
    </w:p>
    <w:p w:rsidR="004F5EAB" w:rsidRPr="007858DA" w:rsidRDefault="004F5EAB" w:rsidP="004F5EAB">
      <w:pPr>
        <w:keepNext/>
        <w:rPr>
          <w:rFonts w:cs="Times New Roman"/>
          <w:sz w:val="20"/>
          <w:szCs w:val="20"/>
          <w:lang w:val="fr-CA"/>
        </w:rPr>
      </w:pPr>
    </w:p>
    <w:tbl>
      <w:tblPr>
        <w:tblW w:w="4952" w:type="pct"/>
        <w:tblLayout w:type="fixed"/>
        <w:tblCellMar>
          <w:left w:w="0" w:type="dxa"/>
          <w:bottom w:w="99" w:type="dxa"/>
          <w:right w:w="0" w:type="dxa"/>
        </w:tblCellMar>
        <w:tblLook w:val="00A0"/>
      </w:tblPr>
      <w:tblGrid>
        <w:gridCol w:w="4554"/>
        <w:gridCol w:w="514"/>
        <w:gridCol w:w="4459"/>
      </w:tblGrid>
      <w:tr w:rsidR="004F5EAB" w:rsidRPr="00C4248C" w:rsidTr="004F5EAB">
        <w:tc>
          <w:tcPr>
            <w:tcW w:w="5000" w:type="pct"/>
            <w:gridSpan w:val="3"/>
          </w:tcPr>
          <w:p w:rsidR="004F5EAB" w:rsidRPr="007858DA" w:rsidRDefault="004F5EAB" w:rsidP="004F5EAB">
            <w:pPr>
              <w:jc w:val="both"/>
              <w:rPr>
                <w:rFonts w:eastAsia="Calibri" w:cs="Times New Roman"/>
                <w:smallCaps/>
                <w:sz w:val="20"/>
                <w:szCs w:val="20"/>
                <w:lang w:val="fr-CA"/>
              </w:rPr>
            </w:pPr>
            <w:r w:rsidRPr="007858DA">
              <w:rPr>
                <w:rFonts w:eastAsia="Calibri" w:cs="Times New Roman"/>
                <w:smallCaps/>
                <w:sz w:val="20"/>
                <w:szCs w:val="20"/>
                <w:lang w:val="fr-CA"/>
              </w:rPr>
              <w:t>(Ordonnance de non-publication dans le dossier) (Ordonnance de non publication visant une partie)</w:t>
            </w:r>
          </w:p>
          <w:p w:rsidR="004F5EAB" w:rsidRPr="007858DA" w:rsidRDefault="004F5EAB" w:rsidP="004F5EAB">
            <w:pPr>
              <w:jc w:val="both"/>
              <w:rPr>
                <w:rFonts w:eastAsia="Calibri" w:cs="Times New Roman"/>
                <w:sz w:val="20"/>
                <w:szCs w:val="20"/>
                <w:lang w:val="fr-CA"/>
              </w:rPr>
            </w:pPr>
          </w:p>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 xml:space="preserve">Droit criminel — Preuve — Fardeau de la preuve — Adulte qui témoigne à propos d’abus sexuels qui se sont produits entre les âges de 6 et de 16 ans — Comment le juge des faits doit-il évaluer la crédibilité d’un témoin adulte qui témoigne à propos d’événements qui se sont produits lorsqu'elle était enfant? — Comment le juge des faits doit-il exprimer cette appréciation? — Quelle est la définition de l'enfant par l'opposition à l'adulte dans la détermination de la manière d'apprécier la crédibilité d'un témoin? — Comment une cour d'appel doit-elle examiner une conclusion relative à la crédibilité si la transcription ne révèle pas le portrait global qu’a pu apprécier le juge du procès, notamment le comportement, le ton de voix et d'autres signes du témoin? — Une erreur comme celle dont il est question dans l’arrêt </w:t>
            </w:r>
            <w:r w:rsidRPr="007858DA">
              <w:rPr>
                <w:rFonts w:eastAsia="Calibri" w:cs="Times New Roman"/>
                <w:i/>
                <w:sz w:val="20"/>
                <w:szCs w:val="20"/>
                <w:lang w:val="fr-CA"/>
              </w:rPr>
              <w:t>Beaudry</w:t>
            </w:r>
            <w:r w:rsidRPr="007858DA">
              <w:rPr>
                <w:rFonts w:eastAsia="Calibri" w:cs="Times New Roman"/>
                <w:sz w:val="20"/>
                <w:szCs w:val="20"/>
                <w:lang w:val="fr-CA"/>
              </w:rPr>
              <w:t xml:space="preserve"> peut-elle se produire lorsque l'appréciation de la crédibilité par le juge du procès est fondée quelque chose de plus que le contenu d’un témoignage? — La Cour d'appel a-t-elle commis une erreur de droit en concluant que la preuve à propos d’un lit et un témoignage en particulier étaient entachés d’erreurs? — La Cour d'appel de la Nouvelle-Écosse a-t-elle commis une erreur de droit en concluant que le juge du procès n’avait pas bien pris en compte le troisième volet du critère de l’arrêt </w:t>
            </w:r>
            <w:r w:rsidRPr="007858DA">
              <w:rPr>
                <w:rFonts w:eastAsia="Calibri" w:cs="Times New Roman"/>
                <w:i/>
                <w:sz w:val="20"/>
                <w:szCs w:val="20"/>
                <w:lang w:val="fr-CA"/>
              </w:rPr>
              <w:t>W. (D.)</w:t>
            </w:r>
            <w:r w:rsidRPr="007858DA">
              <w:rPr>
                <w:rFonts w:eastAsia="Calibri" w:cs="Times New Roman"/>
                <w:sz w:val="20"/>
                <w:szCs w:val="20"/>
                <w:lang w:val="fr-CA"/>
              </w:rPr>
              <w:t>?</w:t>
            </w:r>
          </w:p>
        </w:tc>
      </w:tr>
      <w:tr w:rsidR="004F5EAB" w:rsidRPr="00C4248C" w:rsidTr="004F5EAB">
        <w:tc>
          <w:tcPr>
            <w:tcW w:w="5000" w:type="pct"/>
            <w:gridSpan w:val="3"/>
          </w:tcPr>
          <w:p w:rsidR="004F5EAB" w:rsidRPr="007858DA" w:rsidRDefault="004F5EAB" w:rsidP="004F5EAB">
            <w:pPr>
              <w:jc w:val="both"/>
              <w:rPr>
                <w:rFonts w:eastAsia="Calibri" w:cs="Times New Roman"/>
                <w:sz w:val="20"/>
                <w:szCs w:val="20"/>
                <w:lang w:val="fr-CA"/>
              </w:rPr>
            </w:pPr>
          </w:p>
        </w:tc>
      </w:tr>
      <w:tr w:rsidR="004F5EAB" w:rsidRPr="00C4248C" w:rsidTr="004F5EAB">
        <w:tc>
          <w:tcPr>
            <w:tcW w:w="5000" w:type="pct"/>
            <w:gridSpan w:val="3"/>
          </w:tcPr>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Dans son témoignage, J a affirmé que l'intimé l'avait agressée, qu’il avait menacé de causer la mort de son père ou de causer des lésions corporelle à ce dernier, qu’il l’avait séquestrée, qu’il lui avait fait des attouchements sexuels à de nombreuses occasions et qu’il l’avait agressée sexuellement à deux reprises entre les âges de 6 et 16 ans. J était âgée de 26 ans au procès.  Dans son témoignage, elle a affirmé qu'elle n'en avait parlé aucun adulte avant l'âge de 25 ou 26 ans, puis qu’elle en aurait alors parlé à M.  M a nié que J lui avait révélé les agressions.  M a également contredit une partie du témoignage de J. L'épouse de l'intimé a également contredit le témoignage de J. L'intimé a été déclaré coupable sous plusieurs chefs. La Cour d'appel a annulé les déclarations de culpabilité et ordonnée un nouveau procès relativement aux chefs sous lesquels l'intimé avait été déclaré coupable.</w:t>
            </w:r>
          </w:p>
          <w:p w:rsidR="004F5EAB" w:rsidRPr="007858DA" w:rsidRDefault="004F5EAB" w:rsidP="004F5EAB">
            <w:pPr>
              <w:jc w:val="both"/>
              <w:rPr>
                <w:rFonts w:eastAsia="Calibri" w:cs="Times New Roman"/>
                <w:sz w:val="20"/>
                <w:szCs w:val="20"/>
                <w:lang w:val="fr-CA"/>
              </w:rPr>
            </w:pPr>
          </w:p>
        </w:tc>
      </w:tr>
      <w:tr w:rsidR="004F5EAB" w:rsidRPr="00C4248C" w:rsidTr="004F5EAB">
        <w:tblPrEx>
          <w:tblCellMar>
            <w:bottom w:w="0" w:type="dxa"/>
          </w:tblCellMar>
        </w:tblPrEx>
        <w:tc>
          <w:tcPr>
            <w:tcW w:w="2390" w:type="pct"/>
          </w:tcPr>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19 avril 2011</w:t>
            </w:r>
          </w:p>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Cour suprême de la Nouvelle-Écosse,</w:t>
            </w:r>
          </w:p>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 xml:space="preserve">Section de première instance </w:t>
            </w:r>
          </w:p>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(Juge Edwards)</w:t>
            </w:r>
          </w:p>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2011 NSSC 153</w:t>
            </w:r>
          </w:p>
          <w:p w:rsidR="004F5EAB" w:rsidRPr="007858DA" w:rsidRDefault="004F5EAB" w:rsidP="004F5EAB">
            <w:pPr>
              <w:jc w:val="both"/>
              <w:rPr>
                <w:rFonts w:eastAsia="Calibri" w:cs="Times New Roman"/>
                <w:sz w:val="20"/>
                <w:szCs w:val="20"/>
                <w:lang w:val="fr-CA"/>
              </w:rPr>
            </w:pPr>
          </w:p>
        </w:tc>
        <w:tc>
          <w:tcPr>
            <w:tcW w:w="270" w:type="pct"/>
          </w:tcPr>
          <w:p w:rsidR="004F5EAB" w:rsidRPr="007858DA" w:rsidRDefault="004F5EAB" w:rsidP="004F5EAB">
            <w:pPr>
              <w:jc w:val="both"/>
              <w:rPr>
                <w:rFonts w:eastAsia="Calibri" w:cs="Times New Roman"/>
                <w:sz w:val="20"/>
                <w:szCs w:val="20"/>
                <w:lang w:val="fr-CA"/>
              </w:rPr>
            </w:pPr>
          </w:p>
        </w:tc>
        <w:tc>
          <w:tcPr>
            <w:tcW w:w="2340" w:type="pct"/>
          </w:tcPr>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Déclaration de culpabilité pour voies de fait, agressions sexuelles, menaces de mort ou de lésions corporelles et contacts sexuels; acquittement sous le chef d’accusation de séquestration</w:t>
            </w:r>
          </w:p>
        </w:tc>
      </w:tr>
      <w:tr w:rsidR="004F5EAB" w:rsidRPr="00C4248C" w:rsidTr="004F5EAB">
        <w:tblPrEx>
          <w:tblCellMar>
            <w:bottom w:w="0" w:type="dxa"/>
          </w:tblCellMar>
        </w:tblPrEx>
        <w:tc>
          <w:tcPr>
            <w:tcW w:w="2390" w:type="pct"/>
          </w:tcPr>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6 juillet 2012</w:t>
            </w:r>
          </w:p>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 xml:space="preserve">Cour d'appel de la Nouvelle-Écosse </w:t>
            </w:r>
          </w:p>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(Juges Saunders, Oland et Beveridge)</w:t>
            </w:r>
          </w:p>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 xml:space="preserve">2012 NSCA 70; CAC354084 (Halifax) </w:t>
            </w:r>
          </w:p>
          <w:p w:rsidR="004F5EAB" w:rsidRPr="007858DA" w:rsidRDefault="004F5EAB" w:rsidP="004F5EAB">
            <w:pPr>
              <w:jc w:val="both"/>
              <w:rPr>
                <w:rFonts w:eastAsia="Calibri" w:cs="Times New Roman"/>
                <w:sz w:val="20"/>
                <w:szCs w:val="20"/>
                <w:lang w:val="fr-CA"/>
              </w:rPr>
            </w:pPr>
          </w:p>
        </w:tc>
        <w:tc>
          <w:tcPr>
            <w:tcW w:w="270" w:type="pct"/>
          </w:tcPr>
          <w:p w:rsidR="004F5EAB" w:rsidRPr="007858DA" w:rsidRDefault="004F5EAB" w:rsidP="004F5EAB">
            <w:pPr>
              <w:jc w:val="both"/>
              <w:rPr>
                <w:rFonts w:eastAsia="Calibri" w:cs="Times New Roman"/>
                <w:sz w:val="20"/>
                <w:szCs w:val="20"/>
                <w:lang w:val="fr-CA"/>
              </w:rPr>
            </w:pPr>
          </w:p>
        </w:tc>
        <w:tc>
          <w:tcPr>
            <w:tcW w:w="2340" w:type="pct"/>
          </w:tcPr>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Appel accueilli, déclarations de culpabilité annulées, nouveau procès ordonné relativement aux chefs sous lesquels l'intimé a été déclaré coupable</w:t>
            </w:r>
          </w:p>
          <w:p w:rsidR="004F5EAB" w:rsidRPr="007858DA" w:rsidRDefault="004F5EAB" w:rsidP="004F5EAB">
            <w:pPr>
              <w:jc w:val="both"/>
              <w:rPr>
                <w:rFonts w:eastAsia="Calibri" w:cs="Times New Roman"/>
                <w:sz w:val="20"/>
                <w:szCs w:val="20"/>
                <w:lang w:val="fr-CA"/>
              </w:rPr>
            </w:pPr>
          </w:p>
        </w:tc>
      </w:tr>
      <w:tr w:rsidR="004F5EAB" w:rsidRPr="007858DA" w:rsidTr="004F5EAB">
        <w:tblPrEx>
          <w:tblCellMar>
            <w:bottom w:w="0" w:type="dxa"/>
          </w:tblCellMar>
        </w:tblPrEx>
        <w:tc>
          <w:tcPr>
            <w:tcW w:w="2390" w:type="pct"/>
          </w:tcPr>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25 septembre 2012</w:t>
            </w:r>
          </w:p>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Cour suprême du Canada</w:t>
            </w:r>
          </w:p>
        </w:tc>
        <w:tc>
          <w:tcPr>
            <w:tcW w:w="270" w:type="pct"/>
          </w:tcPr>
          <w:p w:rsidR="004F5EAB" w:rsidRPr="007858DA" w:rsidRDefault="004F5EAB" w:rsidP="004F5EAB">
            <w:pPr>
              <w:jc w:val="both"/>
              <w:rPr>
                <w:rFonts w:eastAsia="Calibri" w:cs="Times New Roman"/>
                <w:sz w:val="20"/>
                <w:szCs w:val="20"/>
                <w:lang w:val="fr-CA"/>
              </w:rPr>
            </w:pPr>
          </w:p>
        </w:tc>
        <w:tc>
          <w:tcPr>
            <w:tcW w:w="2340" w:type="pct"/>
          </w:tcPr>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Demande d'autorisation d'appel, déposée</w:t>
            </w:r>
          </w:p>
          <w:p w:rsidR="004F5EAB" w:rsidRPr="007858DA" w:rsidRDefault="004F5EAB" w:rsidP="004F5EAB">
            <w:pPr>
              <w:jc w:val="both"/>
              <w:rPr>
                <w:rFonts w:eastAsia="Calibri" w:cs="Times New Roman"/>
                <w:sz w:val="20"/>
                <w:szCs w:val="20"/>
                <w:lang w:val="fr-CA"/>
              </w:rPr>
            </w:pPr>
          </w:p>
        </w:tc>
      </w:tr>
    </w:tbl>
    <w:p w:rsidR="004F5EAB" w:rsidRPr="007858DA" w:rsidRDefault="004F5EAB" w:rsidP="004F5EAB">
      <w:pPr>
        <w:rPr>
          <w:rFonts w:cs="Times New Roman"/>
          <w:sz w:val="20"/>
          <w:szCs w:val="20"/>
        </w:rPr>
      </w:pPr>
    </w:p>
    <w:p w:rsidR="004F5EAB" w:rsidRPr="007858DA" w:rsidRDefault="00B74DD2" w:rsidP="004F5EAB">
      <w:pPr>
        <w:rPr>
          <w:rFonts w:cs="Times New Roman"/>
          <w:sz w:val="20"/>
          <w:szCs w:val="20"/>
          <w:lang w:val="fr-CA"/>
        </w:rPr>
      </w:pPr>
      <w:r w:rsidRPr="00B74DD2">
        <w:rPr>
          <w:rFonts w:cs="Times New Roman"/>
          <w:sz w:val="20"/>
          <w:szCs w:val="20"/>
          <w:lang w:val="fr-CA"/>
        </w:rPr>
        <w:pict>
          <v:rect id="_x0000_i1045" style="width:2in;height:1pt" o:hrpct="0" o:hralign="center" o:hrstd="t" o:hrnoshade="t" o:hr="t" fillcolor="black [3213]" stroked="f"/>
        </w:pict>
      </w:r>
    </w:p>
    <w:p w:rsidR="00CD4033" w:rsidRDefault="00CD4033">
      <w:pPr>
        <w:rPr>
          <w:rFonts w:cs="Times New Roman"/>
          <w:sz w:val="20"/>
          <w:szCs w:val="20"/>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54DED" w:rsidRPr="007858DA" w:rsidTr="005F7339">
        <w:trPr>
          <w:cantSplit/>
        </w:trPr>
        <w:tc>
          <w:tcPr>
            <w:tcW w:w="1458" w:type="dxa"/>
          </w:tcPr>
          <w:p w:rsidR="00154DED" w:rsidRPr="007858DA" w:rsidRDefault="00154DED" w:rsidP="005F7339">
            <w:pPr>
              <w:rPr>
                <w:rFonts w:cs="Times New Roman"/>
                <w:sz w:val="20"/>
                <w:szCs w:val="20"/>
              </w:rPr>
            </w:pPr>
            <w:r w:rsidRPr="007858DA">
              <w:rPr>
                <w:rStyle w:val="SCCFileNumberChar"/>
                <w:sz w:val="20"/>
                <w:szCs w:val="20"/>
              </w:rPr>
              <w:t>35011</w:t>
            </w:r>
          </w:p>
          <w:p w:rsidR="00154DED" w:rsidRPr="007858DA" w:rsidRDefault="00154DED" w:rsidP="005F7339">
            <w:pPr>
              <w:rPr>
                <w:rFonts w:cs="Times New Roman"/>
                <w:b/>
                <w:sz w:val="20"/>
                <w:szCs w:val="20"/>
                <w:lang w:val="fr-CA"/>
              </w:rPr>
            </w:pPr>
          </w:p>
        </w:tc>
        <w:tc>
          <w:tcPr>
            <w:tcW w:w="8118" w:type="dxa"/>
          </w:tcPr>
          <w:p w:rsidR="00154DED" w:rsidRPr="007858DA" w:rsidRDefault="00154DED" w:rsidP="002E496C">
            <w:pPr>
              <w:jc w:val="both"/>
              <w:rPr>
                <w:rFonts w:cs="Times New Roman"/>
                <w:sz w:val="20"/>
                <w:szCs w:val="20"/>
              </w:rPr>
            </w:pPr>
            <w:r w:rsidRPr="007858DA">
              <w:rPr>
                <w:rStyle w:val="SCCLsocChar"/>
                <w:rFonts w:cs="Times New Roman"/>
                <w:sz w:val="20"/>
                <w:szCs w:val="20"/>
              </w:rPr>
              <w:t>Les souscripteurs du Lloyd's c. Alimentation Denis &amp; Mario Guillemette inc., Denis Guillemette, France Mercier, Groupe Boudreau Richard inc, en sa qualité de syndic à l'actif de Services financiers iForum inc. et Groupe Boudreau Richard inc., en sa qualité de syndic à l'actif de Valeurs mobilières iForum inc.</w:t>
            </w:r>
            <w:r w:rsidRPr="007858DA">
              <w:rPr>
                <w:rFonts w:cs="Times New Roman"/>
                <w:sz w:val="20"/>
                <w:szCs w:val="20"/>
                <w:lang w:val="fr-CA"/>
              </w:rPr>
              <w:t xml:space="preserve"> </w:t>
            </w:r>
            <w:r w:rsidRPr="007858DA">
              <w:rPr>
                <w:rFonts w:cs="Times New Roman"/>
                <w:sz w:val="20"/>
                <w:szCs w:val="20"/>
              </w:rPr>
              <w:t>(Qc) (Civile) (Autorisation)</w:t>
            </w:r>
          </w:p>
          <w:p w:rsidR="00154DED" w:rsidRPr="007858DA" w:rsidRDefault="00154DED" w:rsidP="002E496C">
            <w:pPr>
              <w:jc w:val="both"/>
              <w:rPr>
                <w:rFonts w:cs="Times New Roman"/>
                <w:sz w:val="20"/>
                <w:szCs w:val="20"/>
              </w:rPr>
            </w:pPr>
          </w:p>
        </w:tc>
      </w:tr>
      <w:tr w:rsidR="00154DED" w:rsidRPr="00C4248C" w:rsidTr="005F7339">
        <w:trPr>
          <w:cantSplit/>
        </w:trPr>
        <w:tc>
          <w:tcPr>
            <w:tcW w:w="1458" w:type="dxa"/>
          </w:tcPr>
          <w:p w:rsidR="00154DED" w:rsidRPr="007858DA" w:rsidRDefault="00154DED" w:rsidP="005F7339">
            <w:pPr>
              <w:rPr>
                <w:rFonts w:cs="Times New Roman"/>
                <w:sz w:val="20"/>
                <w:szCs w:val="20"/>
              </w:rPr>
            </w:pPr>
            <w:r w:rsidRPr="007858DA">
              <w:rPr>
                <w:rFonts w:cs="Times New Roman"/>
                <w:sz w:val="20"/>
                <w:szCs w:val="20"/>
              </w:rPr>
              <w:t>Coram :</w:t>
            </w:r>
          </w:p>
        </w:tc>
        <w:tc>
          <w:tcPr>
            <w:tcW w:w="8118" w:type="dxa"/>
          </w:tcPr>
          <w:p w:rsidR="00154DED" w:rsidRPr="007858DA" w:rsidRDefault="00154DED" w:rsidP="005F7339">
            <w:pPr>
              <w:rPr>
                <w:rFonts w:cs="Times New Roman"/>
                <w:sz w:val="20"/>
                <w:szCs w:val="20"/>
                <w:lang w:val="fr-CA"/>
              </w:rPr>
            </w:pPr>
            <w:r w:rsidRPr="007858DA">
              <w:rPr>
                <w:rStyle w:val="SCCCoramChar"/>
                <w:rFonts w:cs="Times New Roman"/>
                <w:sz w:val="20"/>
                <w:szCs w:val="20"/>
              </w:rPr>
              <w:t>Les juges LeBel, Karakatsanis et Wagner</w:t>
            </w:r>
          </w:p>
          <w:p w:rsidR="00154DED" w:rsidRPr="007858DA" w:rsidRDefault="00154DED" w:rsidP="005F7339">
            <w:pPr>
              <w:rPr>
                <w:rFonts w:cs="Times New Roman"/>
                <w:sz w:val="20"/>
                <w:szCs w:val="20"/>
                <w:u w:val="single"/>
                <w:lang w:val="fr-CA"/>
              </w:rPr>
            </w:pPr>
          </w:p>
        </w:tc>
      </w:tr>
      <w:tr w:rsidR="00154DED" w:rsidRPr="007858DA" w:rsidTr="005F7339">
        <w:trPr>
          <w:cantSplit/>
        </w:trPr>
        <w:tc>
          <w:tcPr>
            <w:tcW w:w="9576" w:type="dxa"/>
            <w:gridSpan w:val="2"/>
          </w:tcPr>
          <w:p w:rsidR="00154DED" w:rsidRPr="007858DA" w:rsidRDefault="00154DED" w:rsidP="005F7339">
            <w:pPr>
              <w:pStyle w:val="SCCShortJudgment"/>
              <w:rPr>
                <w:rFonts w:cs="Times New Roman"/>
                <w:szCs w:val="20"/>
                <w:lang w:val="fr-CA"/>
              </w:rPr>
            </w:pPr>
            <w:r w:rsidRPr="007858DA">
              <w:rPr>
                <w:rFonts w:cs="Times New Roman"/>
                <w:szCs w:val="20"/>
                <w:lang w:val="fr-CA"/>
              </w:rPr>
              <w:lastRenderedPageBreak/>
              <w:t>La demande d’autorisation d’appel de l’arrêt de la Cour d’appel du Québec (Québec), numéro 200-09-007438-119, 2012 QCCA 1376, daté du 2 août 2012, est rejetée avec dépens en faveur des intimés Alimentation Denis &amp; Mario Guillemette inc., Denis Guillemette et France Mercier.</w:t>
            </w:r>
          </w:p>
          <w:p w:rsidR="00154DED" w:rsidRPr="007858DA" w:rsidRDefault="00154DED" w:rsidP="005F7339">
            <w:pPr>
              <w:pStyle w:val="SCCShortJudgment"/>
              <w:ind w:firstLine="0"/>
              <w:rPr>
                <w:rFonts w:cs="Times New Roman"/>
                <w:szCs w:val="20"/>
                <w:lang w:val="fr-CA"/>
              </w:rPr>
            </w:pPr>
          </w:p>
          <w:p w:rsidR="00154DED" w:rsidRPr="007858DA" w:rsidRDefault="00154DED" w:rsidP="00154DED">
            <w:pPr>
              <w:pStyle w:val="SCCShortJudgment"/>
              <w:rPr>
                <w:rFonts w:cs="Times New Roman"/>
                <w:szCs w:val="20"/>
              </w:rPr>
            </w:pPr>
            <w:r w:rsidRPr="007858DA">
              <w:rPr>
                <w:rFonts w:cs="Times New Roman"/>
                <w:szCs w:val="20"/>
              </w:rPr>
              <w:t>The application for leave to appeal from the judgment of the Court of Appeal of Quebec (Québec), Number 200-09-007438-119, 2012 QCCA 1376, dated August 2, 2012, is dismissed with costs to the respondents Alimentation Denis &amp; Mario Guillemette inc., Denis Guillemette and France Mercier.</w:t>
            </w:r>
          </w:p>
        </w:tc>
      </w:tr>
    </w:tbl>
    <w:p w:rsidR="004F5EAB" w:rsidRPr="000444B5" w:rsidRDefault="004F5EAB" w:rsidP="004F5EAB">
      <w:pPr>
        <w:rPr>
          <w:rFonts w:cs="Times New Roman"/>
          <w:b/>
          <w:sz w:val="20"/>
          <w:szCs w:val="20"/>
          <w:lang w:val="en-US"/>
        </w:rPr>
      </w:pPr>
    </w:p>
    <w:p w:rsidR="004F5EAB" w:rsidRPr="007858DA" w:rsidRDefault="004F5EAB" w:rsidP="004F5EAB">
      <w:pPr>
        <w:rPr>
          <w:rFonts w:cs="Times New Roman"/>
          <w:sz w:val="20"/>
          <w:szCs w:val="20"/>
          <w:u w:val="single"/>
        </w:rPr>
      </w:pPr>
      <w:r w:rsidRPr="007858DA">
        <w:rPr>
          <w:rFonts w:cs="Times New Roman"/>
          <w:sz w:val="20"/>
          <w:szCs w:val="20"/>
          <w:u w:val="single"/>
        </w:rPr>
        <w:t>CASE SUMMARY</w:t>
      </w:r>
    </w:p>
    <w:p w:rsidR="004F5EAB" w:rsidRPr="007858DA" w:rsidRDefault="004F5EAB">
      <w:pPr>
        <w:rPr>
          <w:rFonts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F5EAB" w:rsidRPr="007858DA" w:rsidTr="004F5EAB">
        <w:tc>
          <w:tcPr>
            <w:tcW w:w="5000" w:type="pct"/>
            <w:gridSpan w:val="3"/>
          </w:tcPr>
          <w:p w:rsidR="004F5EAB" w:rsidRPr="007858DA" w:rsidRDefault="004F5EAB" w:rsidP="004F5EAB">
            <w:pPr>
              <w:jc w:val="both"/>
              <w:rPr>
                <w:rFonts w:eastAsia="Calibri" w:cs="Times New Roman"/>
                <w:sz w:val="20"/>
                <w:szCs w:val="20"/>
              </w:rPr>
            </w:pPr>
            <w:r w:rsidRPr="007858DA">
              <w:rPr>
                <w:rFonts w:eastAsia="Calibri" w:cs="Times New Roman"/>
                <w:sz w:val="20"/>
                <w:szCs w:val="20"/>
              </w:rPr>
              <w:t xml:space="preserve">Insurance — Professional liability of financial service providers — Validity of clauses creating exclusion for gross fault — Whether Quebec Court of Appeal properly found that exclusion for gross fault inoperative — Whether Quebec Court of Appeal properly found that fault in issue was committed in general context of “professional activities” as financial planner rather than in context of sale of securities — </w:t>
            </w:r>
            <w:r w:rsidRPr="007858DA">
              <w:rPr>
                <w:rFonts w:eastAsia="Calibri" w:cs="Times New Roman"/>
                <w:i/>
                <w:sz w:val="20"/>
                <w:szCs w:val="20"/>
              </w:rPr>
              <w:t>An Act respecting the distribution of financial products and services</w:t>
            </w:r>
            <w:r w:rsidRPr="007858DA">
              <w:rPr>
                <w:rFonts w:eastAsia="Calibri" w:cs="Times New Roman"/>
                <w:sz w:val="20"/>
                <w:szCs w:val="20"/>
              </w:rPr>
              <w:t xml:space="preserve">, R.S.Q., c. D-9.2, ss. 80, 85, 196 — </w:t>
            </w:r>
            <w:r w:rsidRPr="007858DA">
              <w:rPr>
                <w:rFonts w:eastAsia="Calibri" w:cs="Times New Roman"/>
                <w:i/>
                <w:sz w:val="20"/>
                <w:szCs w:val="20"/>
              </w:rPr>
              <w:t>Civil Code of Québec</w:t>
            </w:r>
            <w:r w:rsidRPr="007858DA">
              <w:rPr>
                <w:rFonts w:eastAsia="Calibri" w:cs="Times New Roman"/>
                <w:sz w:val="20"/>
                <w:szCs w:val="20"/>
              </w:rPr>
              <w:t>, R.S.Q., c. C-1991, arts. 2414, 2464.</w:t>
            </w:r>
          </w:p>
        </w:tc>
      </w:tr>
      <w:tr w:rsidR="004F5EAB" w:rsidRPr="007858DA" w:rsidTr="004F5EAB">
        <w:tc>
          <w:tcPr>
            <w:tcW w:w="5000" w:type="pct"/>
            <w:gridSpan w:val="3"/>
          </w:tcPr>
          <w:p w:rsidR="004F5EAB" w:rsidRPr="007858DA" w:rsidRDefault="004F5EAB" w:rsidP="004F5EAB">
            <w:pPr>
              <w:jc w:val="both"/>
              <w:rPr>
                <w:rFonts w:eastAsia="Calibri" w:cs="Times New Roman"/>
                <w:sz w:val="20"/>
                <w:szCs w:val="20"/>
              </w:rPr>
            </w:pPr>
          </w:p>
        </w:tc>
      </w:tr>
      <w:tr w:rsidR="004F5EAB" w:rsidRPr="007858DA" w:rsidTr="004F5EAB">
        <w:tc>
          <w:tcPr>
            <w:tcW w:w="5000" w:type="pct"/>
            <w:gridSpan w:val="3"/>
          </w:tcPr>
          <w:p w:rsidR="004F5EAB" w:rsidRPr="007858DA" w:rsidRDefault="004F5EAB" w:rsidP="004F5EAB">
            <w:pPr>
              <w:autoSpaceDE w:val="0"/>
              <w:autoSpaceDN w:val="0"/>
              <w:adjustRightInd w:val="0"/>
              <w:jc w:val="both"/>
              <w:rPr>
                <w:rFonts w:eastAsia="Calibri" w:cs="Times New Roman"/>
                <w:sz w:val="20"/>
                <w:szCs w:val="20"/>
              </w:rPr>
            </w:pPr>
            <w:r w:rsidRPr="007858DA">
              <w:rPr>
                <w:rFonts w:eastAsia="Calibri" w:cs="Times New Roman"/>
                <w:sz w:val="20"/>
                <w:szCs w:val="20"/>
              </w:rPr>
              <w:t>The respondents Denis Guillemette and France Mercier, who are husband and wife, operated Alimentation Denis &amp; Mario Guillemette inc., which is also a respondent.  From 1996 to 2005, they entrusted their savings to Yves Tardif, their financial advisor, who was originally an employee of Services financiers iForum inc.  Mr. Tardif subsequently transferred the respondents’ account to a related company known as Valeurs mobilières iForum inc.  The respondents, who knew little about investing, clearly told Mr. Tardif that they wanted to provide for their retirement by making safe investments involving little risk.  But Mr. Tardif concentrated the respondents’ portfolio on high-risk products and the respondents ultimately lost all their money.  They then brought an action against Mr. Tardif, alleging that he had committed a professional fault, and against Services financiers iForum inc. and Valeurs mobilières iForum inc., alleging that they were liable for Mr. Tardif’s wrongful and incompetent management.  They also sued the applicant, Lloyd’s Underwriters, which had insured the services of Mr. Tardif and those of Services financiers iForum inc. in two separate policies.  The applicant denied that the professional fault of Mr. Tardif was covered, arguing that Mr. Tardif had not been acting in the context of the professional activities to which the insurance policy applied.  In the event that the policy did cover Mr. Tardif’s professional activities, the applicant submitted that the policy did not apply because of various exclusions set out in it.</w:t>
            </w:r>
          </w:p>
          <w:p w:rsidR="004F5EAB" w:rsidRPr="007858DA" w:rsidRDefault="004F5EAB" w:rsidP="004F5EAB">
            <w:pPr>
              <w:autoSpaceDE w:val="0"/>
              <w:autoSpaceDN w:val="0"/>
              <w:adjustRightInd w:val="0"/>
              <w:jc w:val="both"/>
              <w:rPr>
                <w:rFonts w:eastAsia="Calibri" w:cs="Times New Roman"/>
                <w:sz w:val="20"/>
                <w:szCs w:val="20"/>
              </w:rPr>
            </w:pPr>
          </w:p>
        </w:tc>
      </w:tr>
      <w:tr w:rsidR="004F5EAB" w:rsidRPr="007858DA" w:rsidTr="004F5EAB">
        <w:tc>
          <w:tcPr>
            <w:tcW w:w="2427" w:type="pct"/>
          </w:tcPr>
          <w:p w:rsidR="004F5EAB" w:rsidRPr="007858DA" w:rsidRDefault="004F5EAB" w:rsidP="004F5EAB">
            <w:pPr>
              <w:jc w:val="both"/>
              <w:rPr>
                <w:rFonts w:eastAsia="Calibri" w:cs="Times New Roman"/>
                <w:sz w:val="20"/>
                <w:szCs w:val="20"/>
              </w:rPr>
            </w:pPr>
            <w:r w:rsidRPr="007858DA">
              <w:rPr>
                <w:rFonts w:eastAsia="Calibri" w:cs="Times New Roman"/>
                <w:sz w:val="20"/>
                <w:szCs w:val="20"/>
              </w:rPr>
              <w:t>May 17, 2011</w:t>
            </w:r>
          </w:p>
          <w:p w:rsidR="004F5EAB" w:rsidRPr="007858DA" w:rsidRDefault="004F5EAB" w:rsidP="004F5EAB">
            <w:pPr>
              <w:jc w:val="both"/>
              <w:rPr>
                <w:rFonts w:eastAsia="Calibri" w:cs="Times New Roman"/>
                <w:sz w:val="20"/>
                <w:szCs w:val="20"/>
              </w:rPr>
            </w:pPr>
            <w:r w:rsidRPr="007858DA">
              <w:rPr>
                <w:rFonts w:eastAsia="Calibri" w:cs="Times New Roman"/>
                <w:sz w:val="20"/>
                <w:szCs w:val="20"/>
              </w:rPr>
              <w:t>Quebec Superior Court</w:t>
            </w:r>
          </w:p>
          <w:p w:rsidR="004F5EAB" w:rsidRPr="007858DA" w:rsidRDefault="004F5EAB" w:rsidP="004F5EAB">
            <w:pPr>
              <w:jc w:val="both"/>
              <w:rPr>
                <w:rFonts w:eastAsia="Calibri" w:cs="Times New Roman"/>
                <w:sz w:val="20"/>
                <w:szCs w:val="20"/>
              </w:rPr>
            </w:pPr>
            <w:r w:rsidRPr="007858DA">
              <w:rPr>
                <w:rFonts w:eastAsia="Calibri" w:cs="Times New Roman"/>
                <w:sz w:val="20"/>
                <w:szCs w:val="20"/>
              </w:rPr>
              <w:t>(Huot J.)</w:t>
            </w:r>
          </w:p>
          <w:p w:rsidR="004F5EAB" w:rsidRPr="007858DA" w:rsidRDefault="004F5EAB" w:rsidP="004F5EAB">
            <w:pPr>
              <w:jc w:val="both"/>
              <w:rPr>
                <w:rFonts w:eastAsia="Calibri" w:cs="Times New Roman"/>
                <w:sz w:val="20"/>
                <w:szCs w:val="20"/>
              </w:rPr>
            </w:pPr>
            <w:r w:rsidRPr="007858DA">
              <w:rPr>
                <w:rFonts w:eastAsia="Calibri" w:cs="Times New Roman"/>
                <w:sz w:val="20"/>
                <w:szCs w:val="20"/>
              </w:rPr>
              <w:t>No. 200-17-009550-088</w:t>
            </w:r>
          </w:p>
          <w:p w:rsidR="004F5EAB" w:rsidRPr="007858DA" w:rsidRDefault="004F5EAB" w:rsidP="004F5EAB">
            <w:pPr>
              <w:jc w:val="both"/>
              <w:rPr>
                <w:rFonts w:eastAsia="Calibri" w:cs="Times New Roman"/>
                <w:sz w:val="20"/>
                <w:szCs w:val="20"/>
              </w:rPr>
            </w:pPr>
            <w:r w:rsidRPr="007858DA">
              <w:rPr>
                <w:rFonts w:eastAsia="Calibri" w:cs="Times New Roman"/>
                <w:sz w:val="20"/>
                <w:szCs w:val="20"/>
              </w:rPr>
              <w:t>2011 QCCS 2362</w:t>
            </w:r>
          </w:p>
          <w:p w:rsidR="004F5EAB" w:rsidRPr="007858DA" w:rsidRDefault="004F5EAB" w:rsidP="004F5EAB">
            <w:pPr>
              <w:jc w:val="both"/>
              <w:rPr>
                <w:rFonts w:eastAsia="Calibri" w:cs="Times New Roman"/>
                <w:sz w:val="20"/>
                <w:szCs w:val="20"/>
              </w:rPr>
            </w:pPr>
          </w:p>
        </w:tc>
        <w:tc>
          <w:tcPr>
            <w:tcW w:w="243" w:type="pct"/>
          </w:tcPr>
          <w:p w:rsidR="004F5EAB" w:rsidRPr="007858DA" w:rsidRDefault="004F5EAB" w:rsidP="004F5EAB">
            <w:pPr>
              <w:jc w:val="both"/>
              <w:rPr>
                <w:rFonts w:eastAsia="Calibri" w:cs="Times New Roman"/>
                <w:sz w:val="20"/>
                <w:szCs w:val="20"/>
              </w:rPr>
            </w:pPr>
          </w:p>
        </w:tc>
        <w:tc>
          <w:tcPr>
            <w:tcW w:w="2330" w:type="pct"/>
          </w:tcPr>
          <w:p w:rsidR="004F5EAB" w:rsidRPr="007858DA" w:rsidRDefault="004F5EAB" w:rsidP="004F5EAB">
            <w:pPr>
              <w:jc w:val="both"/>
              <w:rPr>
                <w:rFonts w:eastAsia="Calibri" w:cs="Times New Roman"/>
                <w:sz w:val="20"/>
                <w:szCs w:val="20"/>
              </w:rPr>
            </w:pPr>
            <w:r w:rsidRPr="007858DA">
              <w:rPr>
                <w:rFonts w:eastAsia="Calibri" w:cs="Times New Roman"/>
                <w:sz w:val="20"/>
                <w:szCs w:val="20"/>
              </w:rPr>
              <w:t>Action allowed</w:t>
            </w:r>
          </w:p>
        </w:tc>
      </w:tr>
      <w:tr w:rsidR="004F5EAB" w:rsidRPr="007858DA" w:rsidTr="004F5EAB">
        <w:tc>
          <w:tcPr>
            <w:tcW w:w="2427" w:type="pct"/>
          </w:tcPr>
          <w:p w:rsidR="004F5EAB" w:rsidRPr="007858DA" w:rsidRDefault="004F5EAB" w:rsidP="004F5EAB">
            <w:pPr>
              <w:jc w:val="both"/>
              <w:rPr>
                <w:rFonts w:eastAsia="Calibri" w:cs="Times New Roman"/>
                <w:sz w:val="20"/>
                <w:szCs w:val="20"/>
              </w:rPr>
            </w:pPr>
            <w:r w:rsidRPr="007858DA">
              <w:rPr>
                <w:rFonts w:eastAsia="Calibri" w:cs="Times New Roman"/>
                <w:sz w:val="20"/>
                <w:szCs w:val="20"/>
              </w:rPr>
              <w:t>August 2, 2012</w:t>
            </w:r>
          </w:p>
          <w:p w:rsidR="004F5EAB" w:rsidRPr="007858DA" w:rsidRDefault="004F5EAB" w:rsidP="004F5EAB">
            <w:pPr>
              <w:jc w:val="both"/>
              <w:rPr>
                <w:rFonts w:eastAsia="Calibri" w:cs="Times New Roman"/>
                <w:sz w:val="20"/>
                <w:szCs w:val="20"/>
              </w:rPr>
            </w:pPr>
            <w:r w:rsidRPr="007858DA">
              <w:rPr>
                <w:rFonts w:eastAsia="Calibri" w:cs="Times New Roman"/>
                <w:sz w:val="20"/>
                <w:szCs w:val="20"/>
              </w:rPr>
              <w:t>Quebec Court of Appeal (Québec)</w:t>
            </w:r>
          </w:p>
          <w:p w:rsidR="004F5EAB" w:rsidRPr="007858DA" w:rsidRDefault="004F5EAB" w:rsidP="004F5EAB">
            <w:pPr>
              <w:jc w:val="both"/>
              <w:rPr>
                <w:rFonts w:eastAsia="Calibri" w:cs="Times New Roman"/>
                <w:sz w:val="20"/>
                <w:szCs w:val="20"/>
              </w:rPr>
            </w:pPr>
            <w:r w:rsidRPr="007858DA">
              <w:rPr>
                <w:rFonts w:eastAsia="Calibri" w:cs="Times New Roman"/>
                <w:sz w:val="20"/>
                <w:szCs w:val="20"/>
              </w:rPr>
              <w:t>(Morin, Dutil and Bich JJ.A.)</w:t>
            </w:r>
          </w:p>
          <w:p w:rsidR="004F5EAB" w:rsidRPr="007858DA" w:rsidRDefault="004F5EAB" w:rsidP="004F5EAB">
            <w:pPr>
              <w:jc w:val="both"/>
              <w:rPr>
                <w:rFonts w:eastAsia="Calibri" w:cs="Times New Roman"/>
                <w:sz w:val="20"/>
                <w:szCs w:val="20"/>
              </w:rPr>
            </w:pPr>
            <w:r w:rsidRPr="007858DA">
              <w:rPr>
                <w:rFonts w:eastAsia="Calibri" w:cs="Times New Roman"/>
                <w:sz w:val="20"/>
                <w:szCs w:val="20"/>
              </w:rPr>
              <w:t xml:space="preserve">No. </w:t>
            </w:r>
            <w:bookmarkStart w:id="1" w:name="NoDossier"/>
            <w:r w:rsidRPr="007858DA">
              <w:rPr>
                <w:rFonts w:eastAsia="Calibri" w:cs="Times New Roman"/>
                <w:sz w:val="20"/>
                <w:szCs w:val="20"/>
              </w:rPr>
              <w:t>200-09-007438-119</w:t>
            </w:r>
            <w:bookmarkEnd w:id="1"/>
          </w:p>
          <w:p w:rsidR="004F5EAB" w:rsidRPr="007858DA" w:rsidRDefault="004F5EAB" w:rsidP="004F5EAB">
            <w:pPr>
              <w:jc w:val="both"/>
              <w:rPr>
                <w:rFonts w:eastAsia="Calibri" w:cs="Times New Roman"/>
                <w:sz w:val="20"/>
                <w:szCs w:val="20"/>
              </w:rPr>
            </w:pPr>
            <w:r w:rsidRPr="007858DA">
              <w:rPr>
                <w:rFonts w:eastAsia="Calibri" w:cs="Times New Roman"/>
                <w:sz w:val="20"/>
                <w:szCs w:val="20"/>
              </w:rPr>
              <w:t>2012 QCCA 1376</w:t>
            </w:r>
          </w:p>
          <w:p w:rsidR="004F5EAB" w:rsidRPr="007858DA" w:rsidRDefault="004F5EAB" w:rsidP="004F5EAB">
            <w:pPr>
              <w:jc w:val="both"/>
              <w:rPr>
                <w:rFonts w:eastAsia="Calibri" w:cs="Times New Roman"/>
                <w:sz w:val="20"/>
                <w:szCs w:val="20"/>
              </w:rPr>
            </w:pPr>
          </w:p>
        </w:tc>
        <w:tc>
          <w:tcPr>
            <w:tcW w:w="243" w:type="pct"/>
          </w:tcPr>
          <w:p w:rsidR="004F5EAB" w:rsidRPr="007858DA" w:rsidRDefault="004F5EAB" w:rsidP="004F5EAB">
            <w:pPr>
              <w:jc w:val="both"/>
              <w:rPr>
                <w:rFonts w:eastAsia="Calibri" w:cs="Times New Roman"/>
                <w:sz w:val="20"/>
                <w:szCs w:val="20"/>
              </w:rPr>
            </w:pPr>
          </w:p>
        </w:tc>
        <w:tc>
          <w:tcPr>
            <w:tcW w:w="2330" w:type="pct"/>
          </w:tcPr>
          <w:p w:rsidR="004F5EAB" w:rsidRPr="007858DA" w:rsidRDefault="004F5EAB" w:rsidP="004F5EAB">
            <w:pPr>
              <w:jc w:val="both"/>
              <w:rPr>
                <w:rFonts w:eastAsia="Calibri" w:cs="Times New Roman"/>
                <w:sz w:val="20"/>
                <w:szCs w:val="20"/>
              </w:rPr>
            </w:pPr>
            <w:r w:rsidRPr="007858DA">
              <w:rPr>
                <w:rFonts w:eastAsia="Calibri" w:cs="Times New Roman"/>
                <w:sz w:val="20"/>
                <w:szCs w:val="20"/>
              </w:rPr>
              <w:t>Appeal dismissed</w:t>
            </w:r>
          </w:p>
          <w:p w:rsidR="004F5EAB" w:rsidRPr="007858DA" w:rsidRDefault="004F5EAB" w:rsidP="004F5EAB">
            <w:pPr>
              <w:jc w:val="both"/>
              <w:rPr>
                <w:rFonts w:eastAsia="Calibri" w:cs="Times New Roman"/>
                <w:sz w:val="20"/>
                <w:szCs w:val="20"/>
              </w:rPr>
            </w:pPr>
          </w:p>
        </w:tc>
      </w:tr>
      <w:tr w:rsidR="004F5EAB" w:rsidRPr="007858DA" w:rsidTr="004F5EAB">
        <w:tc>
          <w:tcPr>
            <w:tcW w:w="2427" w:type="pct"/>
          </w:tcPr>
          <w:p w:rsidR="004F5EAB" w:rsidRPr="007858DA" w:rsidRDefault="004F5EAB" w:rsidP="004F5EAB">
            <w:pPr>
              <w:jc w:val="both"/>
              <w:rPr>
                <w:rFonts w:eastAsia="Calibri" w:cs="Times New Roman"/>
                <w:sz w:val="20"/>
                <w:szCs w:val="20"/>
              </w:rPr>
            </w:pPr>
            <w:r w:rsidRPr="007858DA">
              <w:rPr>
                <w:rFonts w:eastAsia="Calibri" w:cs="Times New Roman"/>
                <w:sz w:val="20"/>
                <w:szCs w:val="20"/>
              </w:rPr>
              <w:t>October 1, 2012</w:t>
            </w:r>
          </w:p>
          <w:p w:rsidR="004F5EAB" w:rsidRPr="007858DA" w:rsidRDefault="004F5EAB" w:rsidP="004F5EAB">
            <w:pPr>
              <w:jc w:val="both"/>
              <w:rPr>
                <w:rFonts w:eastAsia="Calibri" w:cs="Times New Roman"/>
                <w:sz w:val="20"/>
                <w:szCs w:val="20"/>
              </w:rPr>
            </w:pPr>
            <w:r w:rsidRPr="007858DA">
              <w:rPr>
                <w:rFonts w:eastAsia="Calibri" w:cs="Times New Roman"/>
                <w:sz w:val="20"/>
                <w:szCs w:val="20"/>
              </w:rPr>
              <w:t>Supreme Court of Canada</w:t>
            </w:r>
          </w:p>
        </w:tc>
        <w:tc>
          <w:tcPr>
            <w:tcW w:w="243" w:type="pct"/>
          </w:tcPr>
          <w:p w:rsidR="004F5EAB" w:rsidRPr="007858DA" w:rsidRDefault="004F5EAB" w:rsidP="004F5EAB">
            <w:pPr>
              <w:jc w:val="both"/>
              <w:rPr>
                <w:rFonts w:eastAsia="Calibri" w:cs="Times New Roman"/>
                <w:sz w:val="20"/>
                <w:szCs w:val="20"/>
              </w:rPr>
            </w:pPr>
          </w:p>
        </w:tc>
        <w:tc>
          <w:tcPr>
            <w:tcW w:w="2330" w:type="pct"/>
          </w:tcPr>
          <w:p w:rsidR="004F5EAB" w:rsidRPr="007858DA" w:rsidRDefault="004F5EAB" w:rsidP="004F5EAB">
            <w:pPr>
              <w:jc w:val="both"/>
              <w:rPr>
                <w:rFonts w:eastAsia="Calibri" w:cs="Times New Roman"/>
                <w:sz w:val="20"/>
                <w:szCs w:val="20"/>
              </w:rPr>
            </w:pPr>
            <w:r w:rsidRPr="007858DA">
              <w:rPr>
                <w:rFonts w:eastAsia="Calibri" w:cs="Times New Roman"/>
                <w:sz w:val="20"/>
                <w:szCs w:val="20"/>
              </w:rPr>
              <w:t>Application for leave to appeal filed</w:t>
            </w:r>
          </w:p>
        </w:tc>
      </w:tr>
    </w:tbl>
    <w:p w:rsidR="004F5EAB" w:rsidRPr="007858DA" w:rsidRDefault="004F5EAB" w:rsidP="004F5EAB">
      <w:pPr>
        <w:rPr>
          <w:rFonts w:cs="Times New Roman"/>
          <w:sz w:val="20"/>
          <w:szCs w:val="20"/>
        </w:rPr>
      </w:pPr>
    </w:p>
    <w:p w:rsidR="004F5EAB" w:rsidRPr="007858DA" w:rsidRDefault="00B74DD2" w:rsidP="004F5EAB">
      <w:pPr>
        <w:rPr>
          <w:rFonts w:cs="Times New Roman"/>
          <w:sz w:val="20"/>
          <w:szCs w:val="20"/>
        </w:rPr>
      </w:pPr>
      <w:r w:rsidRPr="00B74DD2">
        <w:rPr>
          <w:rFonts w:cs="Times New Roman"/>
          <w:sz w:val="20"/>
          <w:szCs w:val="20"/>
          <w:lang w:val="fr-CA"/>
        </w:rPr>
        <w:pict>
          <v:rect id="_x0000_i1046" style="width:2in;height:1pt" o:hrpct="0" o:hralign="center" o:hrstd="t" o:hrnoshade="t" o:hr="t" fillcolor="black [3213]" stroked="f"/>
        </w:pict>
      </w:r>
    </w:p>
    <w:p w:rsidR="004F5EAB" w:rsidRPr="007858DA" w:rsidRDefault="004F5EAB" w:rsidP="004F5EAB">
      <w:pPr>
        <w:rPr>
          <w:rFonts w:cs="Times New Roman"/>
          <w:sz w:val="20"/>
          <w:szCs w:val="20"/>
        </w:rPr>
      </w:pPr>
    </w:p>
    <w:p w:rsidR="002E496C" w:rsidRDefault="002E496C">
      <w:pPr>
        <w:rPr>
          <w:rFonts w:cs="Times New Roman"/>
          <w:sz w:val="20"/>
          <w:szCs w:val="20"/>
          <w:u w:val="single"/>
          <w:lang w:val="fr-CA"/>
        </w:rPr>
      </w:pPr>
      <w:r>
        <w:rPr>
          <w:rFonts w:cs="Times New Roman"/>
          <w:sz w:val="20"/>
          <w:szCs w:val="20"/>
          <w:u w:val="single"/>
          <w:lang w:val="fr-CA"/>
        </w:rPr>
        <w:br w:type="page"/>
      </w:r>
    </w:p>
    <w:p w:rsidR="004F5EAB" w:rsidRPr="007858DA" w:rsidRDefault="004F5EAB" w:rsidP="004F5EAB">
      <w:pPr>
        <w:rPr>
          <w:rFonts w:cs="Times New Roman"/>
          <w:sz w:val="20"/>
          <w:szCs w:val="20"/>
          <w:u w:val="single"/>
          <w:lang w:val="fr-CA"/>
        </w:rPr>
      </w:pPr>
      <w:r w:rsidRPr="007858DA">
        <w:rPr>
          <w:rFonts w:cs="Times New Roman"/>
          <w:sz w:val="20"/>
          <w:szCs w:val="20"/>
          <w:u w:val="single"/>
          <w:lang w:val="fr-CA"/>
        </w:rPr>
        <w:lastRenderedPageBreak/>
        <w:t>RÉSUMÉ DE L’AFFAIRE</w:t>
      </w:r>
    </w:p>
    <w:p w:rsidR="004F5EAB" w:rsidRPr="007858DA" w:rsidRDefault="004F5EAB" w:rsidP="004F5EAB">
      <w:pPr>
        <w:jc w:val="both"/>
        <w:rPr>
          <w:rFonts w:eastAsia="Calibri"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F5EAB" w:rsidRPr="00C4248C" w:rsidTr="004F5EAB">
        <w:tc>
          <w:tcPr>
            <w:tcW w:w="5000" w:type="pct"/>
            <w:gridSpan w:val="3"/>
          </w:tcPr>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Assurances — Responsabilité professionnelle des prestataires de services financiers — V</w:t>
            </w:r>
            <w:r w:rsidRPr="007858DA">
              <w:rPr>
                <w:rFonts w:eastAsia="Calibri" w:cs="Times New Roman"/>
                <w:sz w:val="20"/>
                <w:szCs w:val="20"/>
                <w:lang w:val="fr-FR"/>
              </w:rPr>
              <w:t>alidité de clauses d’exclusion pour faute lourde</w:t>
            </w:r>
            <w:r w:rsidRPr="007858DA">
              <w:rPr>
                <w:rFonts w:eastAsia="Calibri" w:cs="Times New Roman"/>
                <w:sz w:val="20"/>
                <w:szCs w:val="20"/>
                <w:lang w:val="fr-CA"/>
              </w:rPr>
              <w:t xml:space="preserve"> — Est</w:t>
            </w:r>
            <w:r w:rsidRPr="007858DA">
              <w:rPr>
                <w:rFonts w:eastAsia="Calibri" w:cs="Times New Roman"/>
                <w:sz w:val="20"/>
                <w:szCs w:val="20"/>
                <w:lang w:val="fr-CA"/>
              </w:rPr>
              <w:noBreakHyphen/>
              <w:t>ce à bon droit que la Cour d’appel du Québec a conclu que l’exclusion relative à la faute lourde était inopérante? — Est</w:t>
            </w:r>
            <w:r w:rsidRPr="007858DA">
              <w:rPr>
                <w:rFonts w:eastAsia="Calibri" w:cs="Times New Roman"/>
                <w:sz w:val="20"/>
                <w:szCs w:val="20"/>
                <w:lang w:val="fr-CA"/>
              </w:rPr>
              <w:noBreakHyphen/>
              <w:t xml:space="preserve">ce à bon droit que la Cour d’appel du Québec a conclu que la faute en cause a été commise dans le cadre général d’« activités professionnelles » à titre de planificateur financier plutôt que dans le cadre de la vente de valeurs mobilières? — </w:t>
            </w:r>
            <w:r w:rsidRPr="007858DA">
              <w:rPr>
                <w:rFonts w:eastAsia="Calibri" w:cs="Times New Roman"/>
                <w:i/>
                <w:sz w:val="20"/>
                <w:szCs w:val="20"/>
                <w:lang w:val="fr-CA"/>
              </w:rPr>
              <w:t>Loi sur la distribution de produits et services financiers</w:t>
            </w:r>
            <w:r w:rsidRPr="007858DA">
              <w:rPr>
                <w:rFonts w:eastAsia="Calibri" w:cs="Times New Roman"/>
                <w:sz w:val="20"/>
                <w:szCs w:val="20"/>
                <w:lang w:val="fr-CA"/>
              </w:rPr>
              <w:t>, L.R.Q., c. D</w:t>
            </w:r>
            <w:r w:rsidRPr="007858DA">
              <w:rPr>
                <w:rFonts w:eastAsia="Calibri" w:cs="Times New Roman"/>
                <w:sz w:val="20"/>
                <w:szCs w:val="20"/>
                <w:lang w:val="fr-CA"/>
              </w:rPr>
              <w:noBreakHyphen/>
              <w:t xml:space="preserve">9.2, art. 80. 85, 196 — </w:t>
            </w:r>
            <w:r w:rsidRPr="007858DA">
              <w:rPr>
                <w:rFonts w:eastAsia="Calibri" w:cs="Times New Roman"/>
                <w:i/>
                <w:sz w:val="20"/>
                <w:szCs w:val="20"/>
                <w:lang w:val="fr-CA"/>
              </w:rPr>
              <w:t>Code civil du Québec</w:t>
            </w:r>
            <w:r w:rsidRPr="007858DA">
              <w:rPr>
                <w:rFonts w:eastAsia="Calibri" w:cs="Times New Roman"/>
                <w:sz w:val="20"/>
                <w:szCs w:val="20"/>
                <w:lang w:val="fr-CA"/>
              </w:rPr>
              <w:t>, L.R.Q., c. C</w:t>
            </w:r>
            <w:r w:rsidRPr="007858DA">
              <w:rPr>
                <w:rFonts w:eastAsia="Calibri" w:cs="Times New Roman"/>
                <w:sz w:val="20"/>
                <w:szCs w:val="20"/>
                <w:lang w:val="fr-CA"/>
              </w:rPr>
              <w:noBreakHyphen/>
              <w:t>1991, art. 2414, 2464.</w:t>
            </w:r>
          </w:p>
        </w:tc>
      </w:tr>
      <w:tr w:rsidR="004F5EAB" w:rsidRPr="00C4248C" w:rsidTr="004F5EAB">
        <w:tc>
          <w:tcPr>
            <w:tcW w:w="5000" w:type="pct"/>
            <w:gridSpan w:val="3"/>
          </w:tcPr>
          <w:p w:rsidR="004F5EAB" w:rsidRPr="007858DA" w:rsidRDefault="004F5EAB" w:rsidP="004F5EAB">
            <w:pPr>
              <w:jc w:val="both"/>
              <w:rPr>
                <w:rFonts w:eastAsia="Calibri" w:cs="Times New Roman"/>
                <w:sz w:val="20"/>
                <w:szCs w:val="20"/>
                <w:lang w:val="fr-CA"/>
              </w:rPr>
            </w:pPr>
          </w:p>
        </w:tc>
      </w:tr>
      <w:tr w:rsidR="004F5EAB" w:rsidRPr="00C4248C" w:rsidTr="004F5EAB">
        <w:tc>
          <w:tcPr>
            <w:tcW w:w="5000" w:type="pct"/>
            <w:gridSpan w:val="3"/>
          </w:tcPr>
          <w:p w:rsidR="004F5EAB" w:rsidRPr="007858DA" w:rsidRDefault="004F5EAB" w:rsidP="004F5EAB">
            <w:pPr>
              <w:autoSpaceDE w:val="0"/>
              <w:autoSpaceDN w:val="0"/>
              <w:adjustRightInd w:val="0"/>
              <w:jc w:val="both"/>
              <w:rPr>
                <w:rFonts w:eastAsia="Calibri" w:cs="Times New Roman"/>
                <w:sz w:val="20"/>
                <w:szCs w:val="20"/>
                <w:lang w:val="fr-CA"/>
              </w:rPr>
            </w:pPr>
            <w:r w:rsidRPr="007858DA">
              <w:rPr>
                <w:rFonts w:eastAsia="Calibri" w:cs="Times New Roman"/>
                <w:sz w:val="20"/>
                <w:szCs w:val="20"/>
                <w:lang w:val="fr-CA"/>
              </w:rPr>
              <w:t>Les époux Denis Guillemette et France Mercier, intimés, exploitent l’entreprise Alimentation Denis &amp; Mario Guillemette inc., également intimée.  De 1996 à 2005, ils confient leurs économies à Yves Tardif, leur conseiller financier, lequel est d’abord à l’emploi de Services financiers iForum inc.  Par la suite, M. Tardif transfère le compte des intimés à une société liée à cette dernière, Valeurs mobilières iForum inc.  Les intimés, ayant très peu de connaissances en matière de placements, informent clairement M. Tardif qu’ils souhaitent assurer leur retraite par des placements sûrs et peu risqués.  Cependant, M. Tardif concentre le portefeuille des intimés dans des produits à haut risque et les intimés finissent par y perdre tout leur argent.  Ils intentent alors une action contre M. Tardif, alléguant qu’il a commis une faute professionnelle, et contre les sociétés Services financiers iForum inc. et Valeurs mobilières iForum inc., alléguant qu’elles sont responsables de la gestion fautive et incompétente de M. Tardif. Ils poursuivent également la demanderesse, Les souscripteurs du Lloyd’s, qui assurait par deux polices distinctes les services de M. Tardif et ceux de Services financiers iForum inc.  La demanderesse nie sa couverture à l’égard de la faute professionnelle de M. Tardif au motif que ce dernier n’a pas agi dans le cadre des activités professionnelles prévues dans la police d’assurance.  Dans l’éventualité où les activités professionnelles de M. Tardif étaient couvertes par la police d’assurance, la demanderesse soutient que la police ne s’appliquait pas en raison de divers exclusions y étant énoncées.</w:t>
            </w:r>
          </w:p>
          <w:p w:rsidR="004F5EAB" w:rsidRPr="007858DA" w:rsidRDefault="004F5EAB" w:rsidP="004F5EAB">
            <w:pPr>
              <w:autoSpaceDE w:val="0"/>
              <w:autoSpaceDN w:val="0"/>
              <w:adjustRightInd w:val="0"/>
              <w:jc w:val="both"/>
              <w:rPr>
                <w:rFonts w:eastAsia="Calibri" w:cs="Times New Roman"/>
                <w:sz w:val="20"/>
                <w:szCs w:val="20"/>
                <w:lang w:val="fr-CA"/>
              </w:rPr>
            </w:pPr>
          </w:p>
        </w:tc>
      </w:tr>
      <w:tr w:rsidR="004F5EAB" w:rsidRPr="007858DA" w:rsidTr="004F5EAB">
        <w:tc>
          <w:tcPr>
            <w:tcW w:w="2427" w:type="pct"/>
          </w:tcPr>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Le 17 mai 2011</w:t>
            </w:r>
          </w:p>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Cour supérieure du Québec</w:t>
            </w:r>
          </w:p>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(Le juge Huot)</w:t>
            </w:r>
          </w:p>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No. 200</w:t>
            </w:r>
            <w:r w:rsidRPr="007858DA">
              <w:rPr>
                <w:rFonts w:eastAsia="Calibri" w:cs="Times New Roman"/>
                <w:sz w:val="20"/>
                <w:szCs w:val="20"/>
                <w:lang w:val="fr-CA"/>
              </w:rPr>
              <w:noBreakHyphen/>
              <w:t>17</w:t>
            </w:r>
            <w:r w:rsidRPr="007858DA">
              <w:rPr>
                <w:rFonts w:eastAsia="Calibri" w:cs="Times New Roman"/>
                <w:sz w:val="20"/>
                <w:szCs w:val="20"/>
                <w:lang w:val="fr-CA"/>
              </w:rPr>
              <w:noBreakHyphen/>
              <w:t>009550</w:t>
            </w:r>
            <w:r w:rsidRPr="007858DA">
              <w:rPr>
                <w:rFonts w:eastAsia="Calibri" w:cs="Times New Roman"/>
                <w:sz w:val="20"/>
                <w:szCs w:val="20"/>
                <w:lang w:val="fr-CA"/>
              </w:rPr>
              <w:noBreakHyphen/>
              <w:t>088</w:t>
            </w:r>
          </w:p>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2011 QCCS 2362</w:t>
            </w:r>
          </w:p>
          <w:p w:rsidR="004F5EAB" w:rsidRPr="007858DA" w:rsidRDefault="004F5EAB" w:rsidP="004F5EAB">
            <w:pPr>
              <w:jc w:val="both"/>
              <w:rPr>
                <w:rFonts w:eastAsia="Calibri" w:cs="Times New Roman"/>
                <w:sz w:val="20"/>
                <w:szCs w:val="20"/>
                <w:lang w:val="fr-CA"/>
              </w:rPr>
            </w:pPr>
          </w:p>
        </w:tc>
        <w:tc>
          <w:tcPr>
            <w:tcW w:w="243" w:type="pct"/>
          </w:tcPr>
          <w:p w:rsidR="004F5EAB" w:rsidRPr="007858DA" w:rsidRDefault="004F5EAB" w:rsidP="004F5EAB">
            <w:pPr>
              <w:jc w:val="both"/>
              <w:rPr>
                <w:rFonts w:eastAsia="Calibri" w:cs="Times New Roman"/>
                <w:sz w:val="20"/>
                <w:szCs w:val="20"/>
                <w:lang w:val="fr-CA"/>
              </w:rPr>
            </w:pPr>
          </w:p>
        </w:tc>
        <w:tc>
          <w:tcPr>
            <w:tcW w:w="2330" w:type="pct"/>
          </w:tcPr>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Action accueillie.</w:t>
            </w:r>
          </w:p>
        </w:tc>
      </w:tr>
      <w:tr w:rsidR="004F5EAB" w:rsidRPr="007858DA" w:rsidTr="004F5EAB">
        <w:tc>
          <w:tcPr>
            <w:tcW w:w="2427" w:type="pct"/>
          </w:tcPr>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Le 2 août 2012</w:t>
            </w:r>
          </w:p>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Cour d’appel du Québec (Québec)</w:t>
            </w:r>
          </w:p>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(Les juges Morin, Dutil et Bich)</w:t>
            </w:r>
          </w:p>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No. 200</w:t>
            </w:r>
            <w:r w:rsidRPr="007858DA">
              <w:rPr>
                <w:rFonts w:eastAsia="Calibri" w:cs="Times New Roman"/>
                <w:sz w:val="20"/>
                <w:szCs w:val="20"/>
                <w:lang w:val="fr-CA"/>
              </w:rPr>
              <w:noBreakHyphen/>
              <w:t>09</w:t>
            </w:r>
            <w:r w:rsidRPr="007858DA">
              <w:rPr>
                <w:rFonts w:eastAsia="Calibri" w:cs="Times New Roman"/>
                <w:sz w:val="20"/>
                <w:szCs w:val="20"/>
                <w:lang w:val="fr-CA"/>
              </w:rPr>
              <w:noBreakHyphen/>
              <w:t>007438</w:t>
            </w:r>
            <w:r w:rsidRPr="007858DA">
              <w:rPr>
                <w:rFonts w:eastAsia="Calibri" w:cs="Times New Roman"/>
                <w:sz w:val="20"/>
                <w:szCs w:val="20"/>
                <w:lang w:val="fr-CA"/>
              </w:rPr>
              <w:noBreakHyphen/>
              <w:t>119</w:t>
            </w:r>
          </w:p>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2012 QCCA 1376</w:t>
            </w:r>
          </w:p>
          <w:p w:rsidR="004F5EAB" w:rsidRPr="007858DA" w:rsidRDefault="004F5EAB" w:rsidP="004F5EAB">
            <w:pPr>
              <w:jc w:val="both"/>
              <w:rPr>
                <w:rFonts w:eastAsia="Calibri" w:cs="Times New Roman"/>
                <w:sz w:val="20"/>
                <w:szCs w:val="20"/>
                <w:lang w:val="fr-CA"/>
              </w:rPr>
            </w:pPr>
          </w:p>
        </w:tc>
        <w:tc>
          <w:tcPr>
            <w:tcW w:w="243" w:type="pct"/>
          </w:tcPr>
          <w:p w:rsidR="004F5EAB" w:rsidRPr="007858DA" w:rsidRDefault="004F5EAB" w:rsidP="004F5EAB">
            <w:pPr>
              <w:jc w:val="both"/>
              <w:rPr>
                <w:rFonts w:eastAsia="Calibri" w:cs="Times New Roman"/>
                <w:sz w:val="20"/>
                <w:szCs w:val="20"/>
              </w:rPr>
            </w:pPr>
          </w:p>
        </w:tc>
        <w:tc>
          <w:tcPr>
            <w:tcW w:w="2330" w:type="pct"/>
          </w:tcPr>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Appel rejeté.</w:t>
            </w:r>
          </w:p>
          <w:p w:rsidR="004F5EAB" w:rsidRPr="007858DA" w:rsidRDefault="004F5EAB" w:rsidP="004F5EAB">
            <w:pPr>
              <w:jc w:val="both"/>
              <w:rPr>
                <w:rFonts w:eastAsia="Calibri" w:cs="Times New Roman"/>
                <w:sz w:val="20"/>
                <w:szCs w:val="20"/>
                <w:lang w:val="fr-CA"/>
              </w:rPr>
            </w:pPr>
          </w:p>
        </w:tc>
      </w:tr>
      <w:tr w:rsidR="004F5EAB" w:rsidRPr="007858DA" w:rsidTr="004F5EAB">
        <w:tc>
          <w:tcPr>
            <w:tcW w:w="2427" w:type="pct"/>
          </w:tcPr>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Le 1 octobre 2012</w:t>
            </w:r>
          </w:p>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Cour suprême du Canada</w:t>
            </w:r>
          </w:p>
        </w:tc>
        <w:tc>
          <w:tcPr>
            <w:tcW w:w="243" w:type="pct"/>
          </w:tcPr>
          <w:p w:rsidR="004F5EAB" w:rsidRPr="007858DA" w:rsidRDefault="004F5EAB" w:rsidP="004F5EAB">
            <w:pPr>
              <w:jc w:val="both"/>
              <w:rPr>
                <w:rFonts w:eastAsia="Calibri" w:cs="Times New Roman"/>
                <w:sz w:val="20"/>
                <w:szCs w:val="20"/>
                <w:lang w:val="fr-CA"/>
              </w:rPr>
            </w:pPr>
          </w:p>
        </w:tc>
        <w:tc>
          <w:tcPr>
            <w:tcW w:w="2330" w:type="pct"/>
          </w:tcPr>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Demande d'autorisation d'appel déposée.</w:t>
            </w:r>
          </w:p>
        </w:tc>
      </w:tr>
    </w:tbl>
    <w:p w:rsidR="004F5EAB" w:rsidRPr="007858DA" w:rsidRDefault="004F5EAB" w:rsidP="004F5EAB">
      <w:pPr>
        <w:jc w:val="both"/>
        <w:rPr>
          <w:rFonts w:eastAsia="Calibri" w:cs="Times New Roman"/>
          <w:sz w:val="20"/>
          <w:szCs w:val="20"/>
          <w:lang w:val="fr-CA"/>
        </w:rPr>
      </w:pPr>
    </w:p>
    <w:p w:rsidR="004F5EAB" w:rsidRPr="007858DA" w:rsidRDefault="00B74DD2" w:rsidP="004F5EAB">
      <w:pPr>
        <w:rPr>
          <w:rFonts w:cs="Times New Roman"/>
          <w:sz w:val="20"/>
          <w:szCs w:val="20"/>
        </w:rPr>
      </w:pPr>
      <w:r w:rsidRPr="00B74DD2">
        <w:rPr>
          <w:rFonts w:cs="Times New Roman"/>
          <w:sz w:val="20"/>
          <w:szCs w:val="20"/>
          <w:lang w:val="fr-CA"/>
        </w:rPr>
        <w:pict>
          <v:rect id="_x0000_i1047" style="width:2in;height:1pt" o:hrpct="0" o:hralign="center" o:hrstd="t" o:hrnoshade="t" o:hr="t" fillcolor="black [3213]" stroked="f"/>
        </w:pict>
      </w:r>
    </w:p>
    <w:p w:rsidR="00912E1C" w:rsidRDefault="00912E1C">
      <w:pPr>
        <w:rPr>
          <w:rFonts w:cs="Times New Roman"/>
          <w:sz w:val="20"/>
          <w:szCs w:val="20"/>
        </w:rPr>
      </w:pPr>
      <w:r>
        <w:rPr>
          <w:rFonts w:cs="Times New Roman"/>
          <w:sz w:val="20"/>
          <w:szCs w:val="20"/>
        </w:rPr>
        <w:br w:type="page"/>
      </w: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54DED" w:rsidRPr="00C4248C" w:rsidTr="005F7339">
        <w:trPr>
          <w:cantSplit/>
        </w:trPr>
        <w:tc>
          <w:tcPr>
            <w:tcW w:w="1458" w:type="dxa"/>
          </w:tcPr>
          <w:p w:rsidR="00154DED" w:rsidRPr="007858DA" w:rsidRDefault="00154DED" w:rsidP="00154DED">
            <w:pPr>
              <w:rPr>
                <w:rFonts w:cs="Times New Roman"/>
                <w:sz w:val="20"/>
                <w:szCs w:val="20"/>
              </w:rPr>
            </w:pPr>
            <w:r w:rsidRPr="007858DA">
              <w:rPr>
                <w:rFonts w:cs="Times New Roman"/>
                <w:b/>
                <w:sz w:val="20"/>
                <w:szCs w:val="20"/>
                <w:lang w:val="fr-CA"/>
              </w:rPr>
              <w:lastRenderedPageBreak/>
              <w:t>35048</w:t>
            </w:r>
          </w:p>
          <w:p w:rsidR="00154DED" w:rsidRPr="007858DA" w:rsidRDefault="00154DED" w:rsidP="00154DED">
            <w:pPr>
              <w:rPr>
                <w:rFonts w:cs="Times New Roman"/>
                <w:b/>
                <w:sz w:val="20"/>
                <w:szCs w:val="20"/>
                <w:lang w:val="fr-CA"/>
              </w:rPr>
            </w:pPr>
          </w:p>
        </w:tc>
        <w:tc>
          <w:tcPr>
            <w:tcW w:w="8118" w:type="dxa"/>
          </w:tcPr>
          <w:p w:rsidR="00154DED" w:rsidRPr="007858DA" w:rsidRDefault="00154DED" w:rsidP="00154DED">
            <w:pPr>
              <w:rPr>
                <w:rFonts w:cs="Times New Roman"/>
                <w:sz w:val="20"/>
                <w:szCs w:val="20"/>
                <w:lang w:val="fr-CA"/>
              </w:rPr>
            </w:pPr>
            <w:r w:rsidRPr="007858DA">
              <w:rPr>
                <w:rFonts w:cs="Times New Roman"/>
                <w:b/>
                <w:sz w:val="20"/>
                <w:szCs w:val="20"/>
                <w:u w:val="single"/>
                <w:lang w:val="fr-CA"/>
              </w:rPr>
              <w:t>Mario Brousseau c. Agence du revenu du Québec</w:t>
            </w:r>
            <w:r w:rsidRPr="007858DA">
              <w:rPr>
                <w:rFonts w:cs="Times New Roman"/>
                <w:sz w:val="20"/>
                <w:szCs w:val="20"/>
                <w:lang w:val="fr-CA"/>
              </w:rPr>
              <w:t xml:space="preserve"> (Qc) (Civile) (Autorisation)</w:t>
            </w:r>
          </w:p>
          <w:p w:rsidR="00154DED" w:rsidRPr="007858DA" w:rsidRDefault="00154DED" w:rsidP="00154DED">
            <w:pPr>
              <w:rPr>
                <w:rFonts w:cs="Times New Roman"/>
                <w:sz w:val="20"/>
                <w:szCs w:val="20"/>
                <w:lang w:val="fr-CA"/>
              </w:rPr>
            </w:pPr>
          </w:p>
        </w:tc>
      </w:tr>
      <w:tr w:rsidR="00154DED" w:rsidRPr="00C4248C" w:rsidTr="005F7339">
        <w:trPr>
          <w:cantSplit/>
        </w:trPr>
        <w:tc>
          <w:tcPr>
            <w:tcW w:w="1458" w:type="dxa"/>
          </w:tcPr>
          <w:p w:rsidR="00154DED" w:rsidRPr="007858DA" w:rsidRDefault="00154DED" w:rsidP="00154DED">
            <w:pPr>
              <w:rPr>
                <w:rFonts w:cs="Times New Roman"/>
                <w:sz w:val="20"/>
                <w:szCs w:val="20"/>
              </w:rPr>
            </w:pPr>
            <w:r w:rsidRPr="007858DA">
              <w:rPr>
                <w:rFonts w:cs="Times New Roman"/>
                <w:sz w:val="20"/>
                <w:szCs w:val="20"/>
              </w:rPr>
              <w:t>Coram :</w:t>
            </w:r>
          </w:p>
        </w:tc>
        <w:tc>
          <w:tcPr>
            <w:tcW w:w="8118" w:type="dxa"/>
          </w:tcPr>
          <w:p w:rsidR="00154DED" w:rsidRPr="007858DA" w:rsidRDefault="00154DED" w:rsidP="00154DED">
            <w:pPr>
              <w:rPr>
                <w:rFonts w:cs="Times New Roman"/>
                <w:sz w:val="20"/>
                <w:szCs w:val="20"/>
                <w:lang w:val="fr-CA"/>
              </w:rPr>
            </w:pPr>
            <w:r w:rsidRPr="007858DA">
              <w:rPr>
                <w:rFonts w:cs="Times New Roman"/>
                <w:sz w:val="20"/>
                <w:szCs w:val="20"/>
                <w:u w:val="single"/>
                <w:lang w:val="fr-CA"/>
              </w:rPr>
              <w:t>Les juges LeBel, Karakatsanis et Wagner</w:t>
            </w:r>
          </w:p>
          <w:p w:rsidR="00154DED" w:rsidRPr="007858DA" w:rsidRDefault="00154DED" w:rsidP="00154DED">
            <w:pPr>
              <w:rPr>
                <w:rFonts w:cs="Times New Roman"/>
                <w:sz w:val="20"/>
                <w:szCs w:val="20"/>
                <w:u w:val="single"/>
                <w:lang w:val="fr-CA"/>
              </w:rPr>
            </w:pPr>
          </w:p>
        </w:tc>
      </w:tr>
      <w:tr w:rsidR="00154DED" w:rsidRPr="007858DA" w:rsidTr="005F7339">
        <w:trPr>
          <w:cantSplit/>
        </w:trPr>
        <w:tc>
          <w:tcPr>
            <w:tcW w:w="9576" w:type="dxa"/>
            <w:gridSpan w:val="2"/>
          </w:tcPr>
          <w:p w:rsidR="00154DED" w:rsidRPr="007858DA" w:rsidRDefault="00154DED" w:rsidP="00154DED">
            <w:pPr>
              <w:ind w:firstLine="720"/>
              <w:jc w:val="both"/>
              <w:rPr>
                <w:rFonts w:cs="Times New Roman"/>
                <w:sz w:val="20"/>
                <w:szCs w:val="20"/>
                <w:lang w:val="fr-CA"/>
              </w:rPr>
            </w:pPr>
            <w:r w:rsidRPr="007858DA">
              <w:rPr>
                <w:rFonts w:cs="Times New Roman"/>
                <w:sz w:val="20"/>
                <w:szCs w:val="20"/>
                <w:lang w:val="fr-CA"/>
              </w:rPr>
              <w:t>La requête en prorogation du délai de signification et de dépôt de la demande d’autorisation d’appel est accueillie. La demande d’autorisation d’appel de l’arrêt de la Cour d’appel du Québec (Montréal), numéro 500-09-022271-118, 2012 QCCA 1413, daté du 8 août 2012, est rejetée sans dépens.</w:t>
            </w:r>
          </w:p>
          <w:p w:rsidR="00154DED" w:rsidRPr="007858DA" w:rsidRDefault="00154DED" w:rsidP="00154DED">
            <w:pPr>
              <w:jc w:val="both"/>
              <w:rPr>
                <w:rFonts w:cs="Times New Roman"/>
                <w:sz w:val="20"/>
                <w:szCs w:val="20"/>
                <w:lang w:val="fr-CA"/>
              </w:rPr>
            </w:pPr>
          </w:p>
          <w:p w:rsidR="00154DED" w:rsidRPr="007858DA" w:rsidRDefault="00154DED" w:rsidP="00154DED">
            <w:pPr>
              <w:ind w:firstLine="720"/>
              <w:jc w:val="both"/>
              <w:rPr>
                <w:rFonts w:cs="Times New Roman"/>
                <w:sz w:val="20"/>
                <w:szCs w:val="20"/>
              </w:rPr>
            </w:pPr>
            <w:r w:rsidRPr="007858DA">
              <w:rPr>
                <w:rFonts w:cs="Times New Roman"/>
                <w:sz w:val="20"/>
                <w:szCs w:val="20"/>
              </w:rPr>
              <w:t>The motion for an extension of time to serve and file the application for leave to appeal is granted. The application for leave to appeal from the judgment of the Court of Appeal of Quebec (Montréal), Number 500-09-022271-118, 2012 QCCA 1413, dated August 8, 2012, is dismissed without costs.</w:t>
            </w:r>
          </w:p>
        </w:tc>
      </w:tr>
    </w:tbl>
    <w:p w:rsidR="004F5EAB" w:rsidRPr="007858DA" w:rsidRDefault="004F5EAB" w:rsidP="004F5EAB">
      <w:pPr>
        <w:rPr>
          <w:rFonts w:cs="Times New Roman"/>
          <w:sz w:val="20"/>
          <w:szCs w:val="20"/>
        </w:rPr>
      </w:pPr>
    </w:p>
    <w:p w:rsidR="004F5EAB" w:rsidRPr="007858DA" w:rsidRDefault="004F5EAB" w:rsidP="004F5EAB">
      <w:pPr>
        <w:rPr>
          <w:rFonts w:cs="Times New Roman"/>
          <w:sz w:val="20"/>
          <w:szCs w:val="20"/>
          <w:u w:val="single"/>
        </w:rPr>
      </w:pPr>
      <w:r w:rsidRPr="007858DA">
        <w:rPr>
          <w:rFonts w:cs="Times New Roman"/>
          <w:sz w:val="20"/>
          <w:szCs w:val="20"/>
          <w:u w:val="single"/>
        </w:rPr>
        <w:t>CASE SUMMARY</w:t>
      </w:r>
    </w:p>
    <w:p w:rsidR="004F5EAB" w:rsidRPr="007858DA" w:rsidRDefault="004F5EAB" w:rsidP="004F5EAB">
      <w:pPr>
        <w:keepNext/>
        <w:rPr>
          <w:rFonts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F5EAB" w:rsidRPr="007858DA" w:rsidTr="004F5EAB">
        <w:tc>
          <w:tcPr>
            <w:tcW w:w="5000" w:type="pct"/>
            <w:gridSpan w:val="3"/>
          </w:tcPr>
          <w:p w:rsidR="004F5EAB" w:rsidRPr="007858DA" w:rsidRDefault="004F5EAB" w:rsidP="004F5EAB">
            <w:pPr>
              <w:jc w:val="both"/>
              <w:rPr>
                <w:rFonts w:eastAsia="Calibri" w:cs="Times New Roman"/>
                <w:sz w:val="20"/>
                <w:szCs w:val="20"/>
              </w:rPr>
            </w:pPr>
            <w:r w:rsidRPr="007858DA">
              <w:rPr>
                <w:rFonts w:eastAsia="Calibri" w:cs="Times New Roman"/>
                <w:sz w:val="20"/>
                <w:szCs w:val="20"/>
              </w:rPr>
              <w:t>Civil procedure – Certificate attesting to abandonment of appeal issued by office of Court of Appeal – Motion for relief from default dismissed.</w:t>
            </w:r>
          </w:p>
        </w:tc>
      </w:tr>
      <w:tr w:rsidR="004F5EAB" w:rsidRPr="007858DA" w:rsidTr="004F5EAB">
        <w:tc>
          <w:tcPr>
            <w:tcW w:w="5000" w:type="pct"/>
            <w:gridSpan w:val="3"/>
          </w:tcPr>
          <w:p w:rsidR="004F5EAB" w:rsidRPr="007858DA" w:rsidRDefault="004F5EAB" w:rsidP="004F5EAB">
            <w:pPr>
              <w:jc w:val="both"/>
              <w:rPr>
                <w:rFonts w:eastAsia="Calibri" w:cs="Times New Roman"/>
                <w:sz w:val="20"/>
                <w:szCs w:val="20"/>
              </w:rPr>
            </w:pPr>
          </w:p>
        </w:tc>
      </w:tr>
      <w:tr w:rsidR="004F5EAB" w:rsidRPr="007858DA" w:rsidTr="004F5EAB">
        <w:tc>
          <w:tcPr>
            <w:tcW w:w="5000" w:type="pct"/>
            <w:gridSpan w:val="3"/>
          </w:tcPr>
          <w:p w:rsidR="004F5EAB" w:rsidRPr="007858DA" w:rsidRDefault="004F5EAB" w:rsidP="004F5EAB">
            <w:pPr>
              <w:jc w:val="both"/>
              <w:rPr>
                <w:rFonts w:eastAsia="Calibri" w:cs="Times New Roman"/>
                <w:sz w:val="20"/>
                <w:szCs w:val="20"/>
              </w:rPr>
            </w:pPr>
            <w:r w:rsidRPr="007858DA">
              <w:rPr>
                <w:rFonts w:eastAsia="Calibri" w:cs="Times New Roman"/>
                <w:sz w:val="20"/>
                <w:szCs w:val="20"/>
              </w:rPr>
              <w:t>The respondent agency issued a notice of assessment against the applicant, Mr. Brousseau, who objected unsuccessfully.  The Superior Court refused to revoke its judgment.  An appeal was filed by Mr. Brousseau, but the office of the Quebec Court of Appeal issued a certificate attesting to the abandonment of the appeal on May 7, 2012.  Mr. Brousseau then filed a motion for relief from default.  The motion was presentable to the Court of Appeal on August 10, 2012, but the hearing was eventually moved ahead to August 8, 2012.  Mr. Brousseau was not present, but his motion was dismissed.</w:t>
            </w:r>
          </w:p>
          <w:p w:rsidR="004F5EAB" w:rsidRPr="007858DA" w:rsidRDefault="004F5EAB" w:rsidP="004F5EAB">
            <w:pPr>
              <w:jc w:val="both"/>
              <w:rPr>
                <w:rFonts w:eastAsia="Calibri" w:cs="Times New Roman"/>
                <w:sz w:val="20"/>
                <w:szCs w:val="20"/>
              </w:rPr>
            </w:pPr>
          </w:p>
        </w:tc>
      </w:tr>
      <w:tr w:rsidR="004F5EAB" w:rsidRPr="007858DA" w:rsidTr="004F5EAB">
        <w:tc>
          <w:tcPr>
            <w:tcW w:w="2427" w:type="pct"/>
          </w:tcPr>
          <w:p w:rsidR="004F5EAB" w:rsidRPr="007858DA" w:rsidRDefault="004F5EAB" w:rsidP="004F5EAB">
            <w:pPr>
              <w:jc w:val="both"/>
              <w:rPr>
                <w:rFonts w:eastAsia="Calibri" w:cs="Times New Roman"/>
                <w:sz w:val="20"/>
                <w:szCs w:val="20"/>
              </w:rPr>
            </w:pPr>
            <w:r w:rsidRPr="007858DA">
              <w:rPr>
                <w:rFonts w:eastAsia="Calibri" w:cs="Times New Roman"/>
                <w:sz w:val="20"/>
                <w:szCs w:val="20"/>
              </w:rPr>
              <w:t>August 8, 2012</w:t>
            </w:r>
          </w:p>
          <w:p w:rsidR="004F5EAB" w:rsidRPr="007858DA" w:rsidRDefault="004F5EAB" w:rsidP="004F5EAB">
            <w:pPr>
              <w:jc w:val="both"/>
              <w:rPr>
                <w:rFonts w:eastAsia="Calibri" w:cs="Times New Roman"/>
                <w:sz w:val="20"/>
                <w:szCs w:val="20"/>
              </w:rPr>
            </w:pPr>
            <w:r w:rsidRPr="007858DA">
              <w:rPr>
                <w:rFonts w:eastAsia="Calibri" w:cs="Times New Roman"/>
                <w:sz w:val="20"/>
                <w:szCs w:val="20"/>
              </w:rPr>
              <w:t>Quebec Court of Appeal (Montréal)</w:t>
            </w:r>
          </w:p>
          <w:p w:rsidR="004F5EAB" w:rsidRPr="007858DA" w:rsidRDefault="004F5EAB" w:rsidP="004F5EAB">
            <w:pPr>
              <w:jc w:val="both"/>
              <w:rPr>
                <w:rFonts w:eastAsia="Calibri" w:cs="Times New Roman"/>
                <w:sz w:val="20"/>
                <w:szCs w:val="20"/>
              </w:rPr>
            </w:pPr>
            <w:r w:rsidRPr="007858DA">
              <w:rPr>
                <w:rFonts w:eastAsia="Calibri" w:cs="Times New Roman"/>
                <w:sz w:val="20"/>
                <w:szCs w:val="20"/>
              </w:rPr>
              <w:t>(Léger, Fournier and Gascon JJ.A.)</w:t>
            </w:r>
          </w:p>
          <w:p w:rsidR="004F5EAB" w:rsidRPr="007858DA" w:rsidRDefault="004F5EAB" w:rsidP="004F5EAB">
            <w:pPr>
              <w:jc w:val="both"/>
              <w:rPr>
                <w:rFonts w:eastAsia="Calibri" w:cs="Times New Roman"/>
                <w:sz w:val="20"/>
                <w:szCs w:val="20"/>
              </w:rPr>
            </w:pPr>
            <w:r w:rsidRPr="007858DA">
              <w:rPr>
                <w:rFonts w:eastAsia="Calibri" w:cs="Times New Roman"/>
                <w:sz w:val="20"/>
                <w:szCs w:val="20"/>
              </w:rPr>
              <w:t>2012 QCCA 1413; 500-09-022271-118</w:t>
            </w:r>
          </w:p>
          <w:p w:rsidR="004F5EAB" w:rsidRPr="007858DA" w:rsidRDefault="004F5EAB" w:rsidP="004F5EAB">
            <w:pPr>
              <w:jc w:val="both"/>
              <w:rPr>
                <w:rFonts w:eastAsia="Calibri" w:cs="Times New Roman"/>
                <w:sz w:val="20"/>
                <w:szCs w:val="20"/>
              </w:rPr>
            </w:pPr>
          </w:p>
        </w:tc>
        <w:tc>
          <w:tcPr>
            <w:tcW w:w="243" w:type="pct"/>
          </w:tcPr>
          <w:p w:rsidR="004F5EAB" w:rsidRPr="007858DA" w:rsidRDefault="004F5EAB" w:rsidP="004F5EAB">
            <w:pPr>
              <w:jc w:val="both"/>
              <w:rPr>
                <w:rFonts w:eastAsia="Calibri" w:cs="Times New Roman"/>
                <w:sz w:val="20"/>
                <w:szCs w:val="20"/>
              </w:rPr>
            </w:pPr>
          </w:p>
        </w:tc>
        <w:tc>
          <w:tcPr>
            <w:tcW w:w="2330" w:type="pct"/>
          </w:tcPr>
          <w:p w:rsidR="004F5EAB" w:rsidRPr="007858DA" w:rsidRDefault="004F5EAB" w:rsidP="004F5EAB">
            <w:pPr>
              <w:jc w:val="both"/>
              <w:rPr>
                <w:rFonts w:eastAsia="Calibri" w:cs="Times New Roman"/>
                <w:sz w:val="20"/>
                <w:szCs w:val="20"/>
              </w:rPr>
            </w:pPr>
            <w:r w:rsidRPr="007858DA">
              <w:rPr>
                <w:rFonts w:eastAsia="Calibri" w:cs="Times New Roman"/>
                <w:sz w:val="20"/>
                <w:szCs w:val="20"/>
              </w:rPr>
              <w:t>Motion for relief from certificate attesting to abandonment of appeal dismissed</w:t>
            </w:r>
          </w:p>
          <w:p w:rsidR="004F5EAB" w:rsidRPr="007858DA" w:rsidRDefault="004F5EAB" w:rsidP="004F5EAB">
            <w:pPr>
              <w:jc w:val="both"/>
              <w:rPr>
                <w:rFonts w:eastAsia="Calibri" w:cs="Times New Roman"/>
                <w:sz w:val="20"/>
                <w:szCs w:val="20"/>
              </w:rPr>
            </w:pPr>
          </w:p>
        </w:tc>
      </w:tr>
      <w:tr w:rsidR="004F5EAB" w:rsidRPr="007858DA" w:rsidTr="004F5EAB">
        <w:tc>
          <w:tcPr>
            <w:tcW w:w="2427" w:type="pct"/>
          </w:tcPr>
          <w:p w:rsidR="004F5EAB" w:rsidRPr="007858DA" w:rsidRDefault="004F5EAB" w:rsidP="004F5EAB">
            <w:pPr>
              <w:jc w:val="both"/>
              <w:rPr>
                <w:rFonts w:eastAsia="Calibri" w:cs="Times New Roman"/>
                <w:sz w:val="20"/>
                <w:szCs w:val="20"/>
              </w:rPr>
            </w:pPr>
            <w:r w:rsidRPr="007858DA">
              <w:rPr>
                <w:rFonts w:eastAsia="Calibri" w:cs="Times New Roman"/>
                <w:sz w:val="20"/>
                <w:szCs w:val="20"/>
              </w:rPr>
              <w:t>October 16, 2012</w:t>
            </w:r>
          </w:p>
          <w:p w:rsidR="004F5EAB" w:rsidRPr="007858DA" w:rsidRDefault="004F5EAB" w:rsidP="004F5EAB">
            <w:pPr>
              <w:jc w:val="both"/>
              <w:rPr>
                <w:rFonts w:eastAsia="Calibri" w:cs="Times New Roman"/>
                <w:sz w:val="20"/>
                <w:szCs w:val="20"/>
              </w:rPr>
            </w:pPr>
            <w:r w:rsidRPr="007858DA">
              <w:rPr>
                <w:rFonts w:eastAsia="Calibri" w:cs="Times New Roman"/>
                <w:sz w:val="20"/>
                <w:szCs w:val="20"/>
              </w:rPr>
              <w:t>Supreme Court of Canada</w:t>
            </w:r>
          </w:p>
        </w:tc>
        <w:tc>
          <w:tcPr>
            <w:tcW w:w="243" w:type="pct"/>
          </w:tcPr>
          <w:p w:rsidR="004F5EAB" w:rsidRPr="007858DA" w:rsidRDefault="004F5EAB" w:rsidP="004F5EAB">
            <w:pPr>
              <w:jc w:val="both"/>
              <w:rPr>
                <w:rFonts w:eastAsia="Calibri" w:cs="Times New Roman"/>
                <w:sz w:val="20"/>
                <w:szCs w:val="20"/>
              </w:rPr>
            </w:pPr>
          </w:p>
        </w:tc>
        <w:tc>
          <w:tcPr>
            <w:tcW w:w="2330" w:type="pct"/>
          </w:tcPr>
          <w:p w:rsidR="004F5EAB" w:rsidRPr="007858DA" w:rsidRDefault="004F5EAB" w:rsidP="004F5EAB">
            <w:pPr>
              <w:jc w:val="both"/>
              <w:rPr>
                <w:rFonts w:eastAsia="Calibri" w:cs="Times New Roman"/>
                <w:sz w:val="20"/>
                <w:szCs w:val="20"/>
              </w:rPr>
            </w:pPr>
            <w:r w:rsidRPr="007858DA">
              <w:rPr>
                <w:rFonts w:eastAsia="Calibri" w:cs="Times New Roman"/>
                <w:sz w:val="20"/>
                <w:szCs w:val="20"/>
              </w:rPr>
              <w:t>Motion to extend time to serve and file application for leave to appeal and application for leave to appeal filed</w:t>
            </w:r>
          </w:p>
        </w:tc>
      </w:tr>
    </w:tbl>
    <w:p w:rsidR="004F5EAB" w:rsidRPr="007858DA" w:rsidRDefault="004F5EAB" w:rsidP="004F5EAB">
      <w:pPr>
        <w:jc w:val="both"/>
        <w:rPr>
          <w:rFonts w:eastAsia="Calibri" w:cs="Times New Roman"/>
          <w:sz w:val="20"/>
          <w:szCs w:val="20"/>
          <w:lang w:val="en-US"/>
        </w:rPr>
      </w:pPr>
    </w:p>
    <w:p w:rsidR="004F5EAB" w:rsidRPr="007858DA" w:rsidRDefault="00B74DD2" w:rsidP="004F5EAB">
      <w:pPr>
        <w:rPr>
          <w:rFonts w:cs="Times New Roman"/>
          <w:sz w:val="20"/>
          <w:szCs w:val="20"/>
        </w:rPr>
      </w:pPr>
      <w:r w:rsidRPr="00B74DD2">
        <w:rPr>
          <w:rFonts w:cs="Times New Roman"/>
          <w:sz w:val="20"/>
          <w:szCs w:val="20"/>
          <w:lang w:val="fr-CA"/>
        </w:rPr>
        <w:pict>
          <v:rect id="_x0000_i1048" style="width:2in;height:1pt" o:hrpct="0" o:hralign="center" o:hrstd="t" o:hrnoshade="t" o:hr="t" fillcolor="black [3213]" stroked="f"/>
        </w:pict>
      </w:r>
    </w:p>
    <w:p w:rsidR="004F5EAB" w:rsidRPr="007858DA" w:rsidRDefault="004F5EAB" w:rsidP="004F5EAB">
      <w:pPr>
        <w:rPr>
          <w:rFonts w:cs="Times New Roman"/>
          <w:sz w:val="20"/>
          <w:szCs w:val="20"/>
          <w:u w:val="single"/>
          <w:lang w:val="fr-CA"/>
        </w:rPr>
      </w:pPr>
    </w:p>
    <w:p w:rsidR="004F5EAB" w:rsidRPr="007858DA" w:rsidRDefault="004F5EAB" w:rsidP="004F5EAB">
      <w:pPr>
        <w:rPr>
          <w:rFonts w:cs="Times New Roman"/>
          <w:sz w:val="20"/>
          <w:szCs w:val="20"/>
          <w:u w:val="single"/>
          <w:lang w:val="fr-CA"/>
        </w:rPr>
      </w:pPr>
      <w:r w:rsidRPr="007858DA">
        <w:rPr>
          <w:rFonts w:cs="Times New Roman"/>
          <w:sz w:val="20"/>
          <w:szCs w:val="20"/>
          <w:u w:val="single"/>
          <w:lang w:val="fr-CA"/>
        </w:rPr>
        <w:t>RÉSUMÉ DE L’AFFAIRE</w:t>
      </w:r>
    </w:p>
    <w:p w:rsidR="004F5EAB" w:rsidRPr="007858DA" w:rsidRDefault="004F5EAB" w:rsidP="004F5EAB">
      <w:pPr>
        <w:jc w:val="both"/>
        <w:rPr>
          <w:rFonts w:eastAsia="Calibri"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F5EAB" w:rsidRPr="00C4248C" w:rsidTr="004F5EAB">
        <w:tc>
          <w:tcPr>
            <w:tcW w:w="5000" w:type="pct"/>
            <w:gridSpan w:val="3"/>
          </w:tcPr>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Procédure civile – Certificat d’appel déserté émis par le greffe de la Cour d’appel – Requête pour être relevé du défaut rejetée.</w:t>
            </w:r>
          </w:p>
        </w:tc>
      </w:tr>
      <w:tr w:rsidR="004F5EAB" w:rsidRPr="00C4248C" w:rsidTr="004F5EAB">
        <w:tc>
          <w:tcPr>
            <w:tcW w:w="5000" w:type="pct"/>
            <w:gridSpan w:val="3"/>
          </w:tcPr>
          <w:p w:rsidR="004F5EAB" w:rsidRPr="007858DA" w:rsidRDefault="004F5EAB" w:rsidP="004F5EAB">
            <w:pPr>
              <w:jc w:val="both"/>
              <w:rPr>
                <w:rFonts w:eastAsia="Calibri" w:cs="Times New Roman"/>
                <w:sz w:val="20"/>
                <w:szCs w:val="20"/>
                <w:lang w:val="fr-CA"/>
              </w:rPr>
            </w:pPr>
          </w:p>
        </w:tc>
      </w:tr>
      <w:tr w:rsidR="004F5EAB" w:rsidRPr="00C4248C" w:rsidTr="004F5EAB">
        <w:tc>
          <w:tcPr>
            <w:tcW w:w="5000" w:type="pct"/>
            <w:gridSpan w:val="3"/>
          </w:tcPr>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L’agence intimée a émis un avis de cotisation à l’encontre du demandeur, M. Brousseau.  Celui-ci s’est opposé, mais en vain.  La Cour supérieure a refusé de rétracter son jugement, et M. Brousseau a inscrit la cause en appel, mais le 7 mai 2012, le greffe de la Cour d’appel du Québec a émis un certificat d’appel déserté.  M. Brousseau a alors déposé une requête pour être relevé du défaut.  La requête était présentable à la Cour d’appel le 10 août 2012, mais l’audition a finalement été devancée au 8 août 2012.  Monsieur Brousseau n’était pas présent, mais sa requête a été rejetée.</w:t>
            </w:r>
          </w:p>
          <w:p w:rsidR="004F5EAB" w:rsidRPr="007858DA" w:rsidRDefault="004F5EAB" w:rsidP="004F5EAB">
            <w:pPr>
              <w:jc w:val="both"/>
              <w:rPr>
                <w:rFonts w:eastAsia="Calibri" w:cs="Times New Roman"/>
                <w:sz w:val="20"/>
                <w:szCs w:val="20"/>
                <w:lang w:val="fr-CA"/>
              </w:rPr>
            </w:pPr>
          </w:p>
        </w:tc>
      </w:tr>
      <w:tr w:rsidR="004F5EAB" w:rsidRPr="00C4248C" w:rsidTr="004F5EAB">
        <w:tc>
          <w:tcPr>
            <w:tcW w:w="2427" w:type="pct"/>
          </w:tcPr>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Le 8 août 2012</w:t>
            </w:r>
          </w:p>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Cour d’appel du Québec (Montréal)</w:t>
            </w:r>
          </w:p>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(Les juges Léger, Fournier et Gascon)</w:t>
            </w:r>
          </w:p>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2012 QCCA 1413; 500-09-022271-118</w:t>
            </w:r>
          </w:p>
          <w:p w:rsidR="004F5EAB" w:rsidRPr="007858DA" w:rsidRDefault="004F5EAB" w:rsidP="004F5EAB">
            <w:pPr>
              <w:jc w:val="both"/>
              <w:rPr>
                <w:rFonts w:eastAsia="Calibri" w:cs="Times New Roman"/>
                <w:sz w:val="20"/>
                <w:szCs w:val="20"/>
              </w:rPr>
            </w:pPr>
          </w:p>
        </w:tc>
        <w:tc>
          <w:tcPr>
            <w:tcW w:w="243" w:type="pct"/>
          </w:tcPr>
          <w:p w:rsidR="004F5EAB" w:rsidRPr="007858DA" w:rsidRDefault="004F5EAB" w:rsidP="004F5EAB">
            <w:pPr>
              <w:jc w:val="both"/>
              <w:rPr>
                <w:rFonts w:eastAsia="Calibri" w:cs="Times New Roman"/>
                <w:sz w:val="20"/>
                <w:szCs w:val="20"/>
              </w:rPr>
            </w:pPr>
          </w:p>
        </w:tc>
        <w:tc>
          <w:tcPr>
            <w:tcW w:w="2330" w:type="pct"/>
          </w:tcPr>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Requête pour être relevé d’un certificat d’appel déserté rejetée</w:t>
            </w:r>
          </w:p>
          <w:p w:rsidR="004F5EAB" w:rsidRPr="007858DA" w:rsidRDefault="004F5EAB" w:rsidP="004F5EAB">
            <w:pPr>
              <w:jc w:val="both"/>
              <w:rPr>
                <w:rFonts w:eastAsia="Calibri" w:cs="Times New Roman"/>
                <w:sz w:val="20"/>
                <w:szCs w:val="20"/>
                <w:lang w:val="fr-CA"/>
              </w:rPr>
            </w:pPr>
          </w:p>
        </w:tc>
      </w:tr>
      <w:tr w:rsidR="004F5EAB" w:rsidRPr="00903D92" w:rsidTr="004F5EAB">
        <w:tc>
          <w:tcPr>
            <w:tcW w:w="2427" w:type="pct"/>
          </w:tcPr>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lastRenderedPageBreak/>
              <w:t>Le 16 octobre 2012</w:t>
            </w:r>
          </w:p>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Cour suprême du Canada</w:t>
            </w:r>
          </w:p>
        </w:tc>
        <w:tc>
          <w:tcPr>
            <w:tcW w:w="243" w:type="pct"/>
          </w:tcPr>
          <w:p w:rsidR="004F5EAB" w:rsidRPr="007858DA" w:rsidRDefault="004F5EAB" w:rsidP="004F5EAB">
            <w:pPr>
              <w:jc w:val="both"/>
              <w:rPr>
                <w:rFonts w:eastAsia="Calibri" w:cs="Times New Roman"/>
                <w:sz w:val="20"/>
                <w:szCs w:val="20"/>
                <w:lang w:val="fr-CA"/>
              </w:rPr>
            </w:pPr>
          </w:p>
        </w:tc>
        <w:tc>
          <w:tcPr>
            <w:tcW w:w="2330" w:type="pct"/>
          </w:tcPr>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Requête en prorogation du délai de signification et dépôt d’une demande d’autorisation d’appel et demande d'autorisation d'appel déposées</w:t>
            </w:r>
          </w:p>
        </w:tc>
      </w:tr>
    </w:tbl>
    <w:p w:rsidR="004F5EAB" w:rsidRPr="007858DA" w:rsidRDefault="004F5EAB" w:rsidP="004F5EAB">
      <w:pPr>
        <w:jc w:val="both"/>
        <w:rPr>
          <w:rFonts w:eastAsia="Calibri" w:cs="Times New Roman"/>
          <w:sz w:val="20"/>
          <w:szCs w:val="20"/>
          <w:lang w:val="fr-CA"/>
        </w:rPr>
      </w:pPr>
    </w:p>
    <w:p w:rsidR="004F5EAB" w:rsidRPr="007858DA" w:rsidRDefault="00B74DD2" w:rsidP="004F5EAB">
      <w:pPr>
        <w:rPr>
          <w:rFonts w:cs="Times New Roman"/>
          <w:sz w:val="20"/>
          <w:szCs w:val="20"/>
        </w:rPr>
      </w:pPr>
      <w:r w:rsidRPr="00B74DD2">
        <w:rPr>
          <w:rFonts w:cs="Times New Roman"/>
          <w:sz w:val="20"/>
          <w:szCs w:val="20"/>
          <w:lang w:val="fr-CA"/>
        </w:rPr>
        <w:pict>
          <v:rect id="_x0000_i1049" style="width:2in;height:1pt" o:hrpct="0" o:hralign="center" o:hrstd="t" o:hrnoshade="t" o:hr="t" fillcolor="black [3213]" stroked="f"/>
        </w:pict>
      </w:r>
    </w:p>
    <w:p w:rsidR="004F5EAB" w:rsidRPr="007858DA" w:rsidRDefault="004F5EAB" w:rsidP="004F5EAB">
      <w:pPr>
        <w:jc w:val="both"/>
        <w:rPr>
          <w:rFonts w:eastAsia="Calibri" w:cs="Times New Roman"/>
          <w:sz w:val="20"/>
          <w:szCs w:val="20"/>
        </w:rPr>
      </w:pPr>
    </w:p>
    <w:tbl>
      <w:tblPr>
        <w:tblStyle w:val="TableGrid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54DED" w:rsidRPr="002E496C" w:rsidTr="005F7339">
        <w:trPr>
          <w:cantSplit/>
        </w:trPr>
        <w:tc>
          <w:tcPr>
            <w:tcW w:w="1458" w:type="dxa"/>
          </w:tcPr>
          <w:p w:rsidR="00154DED" w:rsidRPr="007858DA" w:rsidRDefault="00154DED" w:rsidP="00154DED">
            <w:pPr>
              <w:rPr>
                <w:rFonts w:cs="Times New Roman"/>
                <w:sz w:val="20"/>
                <w:szCs w:val="20"/>
              </w:rPr>
            </w:pPr>
            <w:r w:rsidRPr="007858DA">
              <w:rPr>
                <w:rFonts w:cs="Times New Roman"/>
                <w:b/>
                <w:sz w:val="20"/>
                <w:szCs w:val="20"/>
                <w:lang w:val="fr-CA"/>
              </w:rPr>
              <w:t>35098</w:t>
            </w:r>
          </w:p>
          <w:p w:rsidR="00154DED" w:rsidRPr="007858DA" w:rsidRDefault="00154DED" w:rsidP="00154DED">
            <w:pPr>
              <w:rPr>
                <w:rFonts w:cs="Times New Roman"/>
                <w:b/>
                <w:sz w:val="20"/>
                <w:szCs w:val="20"/>
                <w:lang w:val="fr-CA"/>
              </w:rPr>
            </w:pPr>
          </w:p>
        </w:tc>
        <w:tc>
          <w:tcPr>
            <w:tcW w:w="8118" w:type="dxa"/>
          </w:tcPr>
          <w:p w:rsidR="00154DED" w:rsidRPr="002E496C" w:rsidRDefault="00154DED" w:rsidP="002E496C">
            <w:pPr>
              <w:jc w:val="both"/>
              <w:rPr>
                <w:rFonts w:cs="Times New Roman"/>
                <w:sz w:val="20"/>
                <w:szCs w:val="20"/>
                <w:lang w:val="fr-CA"/>
              </w:rPr>
            </w:pPr>
            <w:r w:rsidRPr="007858DA">
              <w:rPr>
                <w:rFonts w:cs="Times New Roman"/>
                <w:b/>
                <w:sz w:val="20"/>
                <w:szCs w:val="20"/>
                <w:u w:val="single"/>
                <w:lang w:val="fr-CA"/>
              </w:rPr>
              <w:t>Nicholas Smith, fondé de pouvoir au Canada pour les souscripteurs de Lloyd's c. Marie Audet, Pierre Audet, 9073-5671 Québec inc.</w:t>
            </w:r>
            <w:r w:rsidR="002E496C">
              <w:rPr>
                <w:rFonts w:cs="Times New Roman"/>
                <w:b/>
                <w:sz w:val="20"/>
                <w:szCs w:val="20"/>
                <w:u w:val="single"/>
                <w:lang w:val="fr-CA"/>
              </w:rPr>
              <w:t xml:space="preserve"> et</w:t>
            </w:r>
            <w:r w:rsidRPr="007858DA">
              <w:rPr>
                <w:rFonts w:cs="Times New Roman"/>
                <w:b/>
                <w:sz w:val="20"/>
                <w:szCs w:val="20"/>
                <w:u w:val="single"/>
                <w:lang w:val="fr-CA"/>
              </w:rPr>
              <w:t xml:space="preserve"> Jacques-André Thibault ET ENTRE Nicholas Smith, fondé de pouvoir au Canada pour les souscripteurs de Lloyd's c. Marie Audet, 9073-5671 Québec inc.</w:t>
            </w:r>
            <w:r w:rsidR="002E496C">
              <w:rPr>
                <w:rFonts w:cs="Times New Roman"/>
                <w:b/>
                <w:sz w:val="20"/>
                <w:szCs w:val="20"/>
                <w:u w:val="single"/>
                <w:lang w:val="fr-CA"/>
              </w:rPr>
              <w:t xml:space="preserve"> et</w:t>
            </w:r>
            <w:r w:rsidRPr="007858DA">
              <w:rPr>
                <w:rFonts w:cs="Times New Roman"/>
                <w:b/>
                <w:sz w:val="20"/>
                <w:szCs w:val="20"/>
                <w:u w:val="single"/>
                <w:lang w:val="fr-CA"/>
              </w:rPr>
              <w:t xml:space="preserve"> Jacques-André Thibault ET ENTRE Nicholas Smith, fondé de pouvoir au Canada pour les souscripteurs de Lloyd's c. Pierre Audet, Jacques-André Thibault</w:t>
            </w:r>
            <w:r w:rsidR="002E496C">
              <w:rPr>
                <w:rFonts w:cs="Times New Roman"/>
                <w:b/>
                <w:sz w:val="20"/>
                <w:szCs w:val="20"/>
                <w:u w:val="single"/>
                <w:lang w:val="fr-CA"/>
              </w:rPr>
              <w:t xml:space="preserve"> et</w:t>
            </w:r>
            <w:r w:rsidRPr="007858DA">
              <w:rPr>
                <w:rFonts w:cs="Times New Roman"/>
                <w:b/>
                <w:sz w:val="20"/>
                <w:szCs w:val="20"/>
                <w:u w:val="single"/>
                <w:lang w:val="fr-CA"/>
              </w:rPr>
              <w:t xml:space="preserve"> 9073-5671 Québec inc.</w:t>
            </w:r>
            <w:r w:rsidRPr="007858DA">
              <w:rPr>
                <w:rFonts w:cs="Times New Roman"/>
                <w:sz w:val="20"/>
                <w:szCs w:val="20"/>
                <w:lang w:val="fr-CA"/>
              </w:rPr>
              <w:t xml:space="preserve"> </w:t>
            </w:r>
            <w:r w:rsidRPr="002E496C">
              <w:rPr>
                <w:rFonts w:cs="Times New Roman"/>
                <w:sz w:val="20"/>
                <w:szCs w:val="20"/>
                <w:lang w:val="fr-CA"/>
              </w:rPr>
              <w:t>(Qc) (Civile) (Autorisation)</w:t>
            </w:r>
          </w:p>
          <w:p w:rsidR="00154DED" w:rsidRPr="002E496C" w:rsidRDefault="00154DED" w:rsidP="002E496C">
            <w:pPr>
              <w:jc w:val="both"/>
              <w:rPr>
                <w:rFonts w:cs="Times New Roman"/>
                <w:sz w:val="20"/>
                <w:szCs w:val="20"/>
                <w:lang w:val="fr-CA"/>
              </w:rPr>
            </w:pPr>
          </w:p>
        </w:tc>
      </w:tr>
      <w:tr w:rsidR="00154DED" w:rsidRPr="00C4248C" w:rsidTr="005F7339">
        <w:trPr>
          <w:cantSplit/>
        </w:trPr>
        <w:tc>
          <w:tcPr>
            <w:tcW w:w="1458" w:type="dxa"/>
          </w:tcPr>
          <w:p w:rsidR="00154DED" w:rsidRPr="002E496C" w:rsidRDefault="00154DED" w:rsidP="00154DED">
            <w:pPr>
              <w:rPr>
                <w:rFonts w:cs="Times New Roman"/>
                <w:sz w:val="20"/>
                <w:szCs w:val="20"/>
                <w:lang w:val="fr-CA"/>
              </w:rPr>
            </w:pPr>
            <w:r w:rsidRPr="002E496C">
              <w:rPr>
                <w:rFonts w:cs="Times New Roman"/>
                <w:sz w:val="20"/>
                <w:szCs w:val="20"/>
                <w:lang w:val="fr-CA"/>
              </w:rPr>
              <w:t>Coram :</w:t>
            </w:r>
          </w:p>
        </w:tc>
        <w:tc>
          <w:tcPr>
            <w:tcW w:w="8118" w:type="dxa"/>
          </w:tcPr>
          <w:p w:rsidR="00154DED" w:rsidRPr="007858DA" w:rsidRDefault="00154DED" w:rsidP="00154DED">
            <w:pPr>
              <w:rPr>
                <w:rFonts w:cs="Times New Roman"/>
                <w:sz w:val="20"/>
                <w:szCs w:val="20"/>
                <w:lang w:val="fr-CA"/>
              </w:rPr>
            </w:pPr>
            <w:r w:rsidRPr="007858DA">
              <w:rPr>
                <w:rFonts w:cs="Times New Roman"/>
                <w:sz w:val="20"/>
                <w:szCs w:val="20"/>
                <w:u w:val="single"/>
                <w:lang w:val="fr-CA"/>
              </w:rPr>
              <w:t>Les juges LeBel, Karakatsanis et Wagner</w:t>
            </w:r>
          </w:p>
          <w:p w:rsidR="00154DED" w:rsidRPr="007858DA" w:rsidRDefault="00154DED" w:rsidP="00154DED">
            <w:pPr>
              <w:rPr>
                <w:rFonts w:cs="Times New Roman"/>
                <w:sz w:val="20"/>
                <w:szCs w:val="20"/>
                <w:u w:val="single"/>
                <w:lang w:val="fr-CA"/>
              </w:rPr>
            </w:pPr>
          </w:p>
        </w:tc>
      </w:tr>
      <w:tr w:rsidR="00154DED" w:rsidRPr="007858DA" w:rsidTr="005F7339">
        <w:trPr>
          <w:cantSplit/>
        </w:trPr>
        <w:tc>
          <w:tcPr>
            <w:tcW w:w="9576" w:type="dxa"/>
            <w:gridSpan w:val="2"/>
          </w:tcPr>
          <w:p w:rsidR="00154DED" w:rsidRPr="007858DA" w:rsidRDefault="00154DED" w:rsidP="00154DED">
            <w:pPr>
              <w:ind w:firstLine="720"/>
              <w:jc w:val="both"/>
              <w:rPr>
                <w:rFonts w:cs="Times New Roman"/>
                <w:sz w:val="20"/>
                <w:szCs w:val="20"/>
                <w:lang w:val="fr-CA"/>
              </w:rPr>
            </w:pPr>
            <w:r w:rsidRPr="007858DA">
              <w:rPr>
                <w:rFonts w:cs="Times New Roman"/>
                <w:sz w:val="20"/>
                <w:szCs w:val="20"/>
                <w:lang w:val="fr-CA"/>
              </w:rPr>
              <w:t>La demande d’autorisation d’appel de l’arrêt de la Cour d’appel du Québec (Montréal), numéros 500-09-021042-106, 500-09-021044-102 et 500-09-021045-109, 2012 QCCA 1746, daté du 27 septembre 2012, est rejetée avec dépens en faveur des intimés Marie Audet et Pierre Audet.</w:t>
            </w:r>
          </w:p>
          <w:p w:rsidR="00154DED" w:rsidRPr="007858DA" w:rsidRDefault="00154DED" w:rsidP="00154DED">
            <w:pPr>
              <w:jc w:val="both"/>
              <w:rPr>
                <w:rFonts w:cs="Times New Roman"/>
                <w:sz w:val="20"/>
                <w:szCs w:val="20"/>
                <w:lang w:val="fr-CA"/>
              </w:rPr>
            </w:pPr>
          </w:p>
          <w:p w:rsidR="00154DED" w:rsidRPr="007858DA" w:rsidRDefault="00154DED" w:rsidP="00154DED">
            <w:pPr>
              <w:ind w:firstLine="720"/>
              <w:jc w:val="both"/>
              <w:rPr>
                <w:rFonts w:cs="Times New Roman"/>
                <w:sz w:val="20"/>
                <w:szCs w:val="20"/>
              </w:rPr>
            </w:pPr>
            <w:r w:rsidRPr="007858DA">
              <w:rPr>
                <w:rFonts w:cs="Times New Roman"/>
                <w:sz w:val="20"/>
                <w:szCs w:val="20"/>
              </w:rPr>
              <w:t>The application for leave to appeal from the judgment of the Court of Appeal of Quebec (Montréal), Numbers 500-09-021042-106, 500-09-021044-102 and 500-09-021045-109, 2012 QCCA 1746, dated September 27, 2012, is dismissed with costs to the respondents Marie Audet and Pierre Audet.</w:t>
            </w:r>
          </w:p>
        </w:tc>
      </w:tr>
    </w:tbl>
    <w:p w:rsidR="00154DED" w:rsidRPr="007858DA" w:rsidRDefault="00154DED" w:rsidP="00154DED">
      <w:pPr>
        <w:rPr>
          <w:rFonts w:cs="Times New Roman"/>
          <w:sz w:val="20"/>
          <w:szCs w:val="20"/>
        </w:rPr>
      </w:pPr>
    </w:p>
    <w:p w:rsidR="00154DED" w:rsidRPr="007858DA" w:rsidRDefault="00154DED" w:rsidP="00154DED">
      <w:pPr>
        <w:rPr>
          <w:rFonts w:cs="Times New Roman"/>
          <w:sz w:val="20"/>
          <w:szCs w:val="20"/>
          <w:u w:val="single"/>
        </w:rPr>
      </w:pPr>
      <w:r w:rsidRPr="007858DA">
        <w:rPr>
          <w:rFonts w:cs="Times New Roman"/>
          <w:sz w:val="20"/>
          <w:szCs w:val="20"/>
          <w:u w:val="single"/>
        </w:rPr>
        <w:t>CASE SUMMARY</w:t>
      </w:r>
    </w:p>
    <w:p w:rsidR="00154DED" w:rsidRPr="007858DA" w:rsidRDefault="00154DED" w:rsidP="00154DED">
      <w:pPr>
        <w:keepNext/>
        <w:rPr>
          <w:rFonts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F5EAB" w:rsidRPr="007858DA" w:rsidTr="004F5EAB">
        <w:tc>
          <w:tcPr>
            <w:tcW w:w="5000" w:type="pct"/>
            <w:gridSpan w:val="3"/>
          </w:tcPr>
          <w:p w:rsidR="004F5EAB" w:rsidRPr="007858DA" w:rsidRDefault="004F5EAB" w:rsidP="004F5EAB">
            <w:pPr>
              <w:jc w:val="both"/>
              <w:rPr>
                <w:rFonts w:eastAsia="Calibri" w:cs="Times New Roman"/>
                <w:sz w:val="20"/>
                <w:szCs w:val="20"/>
              </w:rPr>
            </w:pPr>
            <w:r w:rsidRPr="007858DA">
              <w:rPr>
                <w:rFonts w:eastAsia="Calibri" w:cs="Times New Roman"/>
                <w:sz w:val="20"/>
                <w:szCs w:val="20"/>
              </w:rPr>
              <w:t xml:space="preserve">Civil liability — Gross fault — Professional liability insurance — Exclusion for gross fault and gross negligence — Inappropriate advice from broker causing financial chaos for his clients — Whether Court of Appeal erred in re-characterizing portion of faults committed — Whether Court of Appeal erred in applying property insurance concept of concurrent faults in liability insurance matter — Whether Court of Appeal erred in applying concept of concurrent faults in liability insurance matter that different from one applied elsewhere in Canada — Whether Court of Appeal ruled on these questions of law without hearing parties’ submissions — </w:t>
            </w:r>
            <w:r w:rsidRPr="007858DA">
              <w:rPr>
                <w:rFonts w:eastAsia="Calibri" w:cs="Times New Roman"/>
                <w:i/>
                <w:sz w:val="20"/>
                <w:szCs w:val="20"/>
              </w:rPr>
              <w:t>Civil Code of Québec</w:t>
            </w:r>
            <w:r w:rsidRPr="007858DA">
              <w:rPr>
                <w:rFonts w:eastAsia="Calibri" w:cs="Times New Roman"/>
                <w:sz w:val="20"/>
                <w:szCs w:val="20"/>
              </w:rPr>
              <w:t>, S.Q. 1991, c. 64, art. 2464.</w:t>
            </w:r>
          </w:p>
        </w:tc>
      </w:tr>
      <w:tr w:rsidR="004F5EAB" w:rsidRPr="007858DA" w:rsidTr="004F5EAB">
        <w:tc>
          <w:tcPr>
            <w:tcW w:w="5000" w:type="pct"/>
            <w:gridSpan w:val="3"/>
          </w:tcPr>
          <w:p w:rsidR="004F5EAB" w:rsidRPr="007858DA" w:rsidRDefault="004F5EAB" w:rsidP="004F5EAB">
            <w:pPr>
              <w:jc w:val="both"/>
              <w:rPr>
                <w:rFonts w:eastAsia="Calibri" w:cs="Times New Roman"/>
                <w:sz w:val="20"/>
                <w:szCs w:val="20"/>
              </w:rPr>
            </w:pPr>
          </w:p>
        </w:tc>
      </w:tr>
      <w:tr w:rsidR="004F5EAB" w:rsidRPr="007858DA" w:rsidTr="004F5EAB">
        <w:tc>
          <w:tcPr>
            <w:tcW w:w="5000" w:type="pct"/>
            <w:gridSpan w:val="3"/>
          </w:tcPr>
          <w:p w:rsidR="004F5EAB" w:rsidRPr="007858DA" w:rsidRDefault="004F5EAB" w:rsidP="004F5EAB">
            <w:pPr>
              <w:jc w:val="both"/>
              <w:rPr>
                <w:rFonts w:eastAsia="Calibri" w:cs="Times New Roman"/>
                <w:sz w:val="20"/>
                <w:szCs w:val="20"/>
              </w:rPr>
            </w:pPr>
            <w:r w:rsidRPr="007858DA">
              <w:rPr>
                <w:rFonts w:eastAsia="Calibri" w:cs="Times New Roman"/>
                <w:sz w:val="20"/>
                <w:szCs w:val="20"/>
              </w:rPr>
              <w:t>In 1998, the Audets inherited approximately $1.5 M each when their mother died.  At the time, they were aged 30 and 38, and had modest incomes.  They told Thibault, a broker, that they wanted to protect their capital in the long term while making it grow for them.  The broker had them invest their money in high-yield index funds and purchase large life insurance policies.  Very soon after this, the need to pay capital gains tax gave rise to a liquidity crisis that they had to resolve by borrowing, after which capital losses caused serious problems.  In 2001, only one third of Marie Audet’s inheritance remained in her possession, while her brother had almost nothing left.  They sued Thibault for their losses, and also sued Transamerica and Nicholas Smith, who was Thibault’s professional liability insurer.  Thibault called his insurer in warranty, but the insurer invoked the contract’s exclusions for gross fault.</w:t>
            </w:r>
          </w:p>
          <w:p w:rsidR="004F5EAB" w:rsidRPr="007858DA" w:rsidRDefault="004F5EAB" w:rsidP="004F5EAB">
            <w:pPr>
              <w:jc w:val="both"/>
              <w:rPr>
                <w:rFonts w:eastAsia="Calibri" w:cs="Times New Roman"/>
                <w:sz w:val="20"/>
                <w:szCs w:val="20"/>
              </w:rPr>
            </w:pPr>
          </w:p>
        </w:tc>
      </w:tr>
      <w:tr w:rsidR="004F5EAB" w:rsidRPr="007858DA" w:rsidTr="004F5EAB">
        <w:tc>
          <w:tcPr>
            <w:tcW w:w="2427" w:type="pct"/>
          </w:tcPr>
          <w:p w:rsidR="004F5EAB" w:rsidRPr="007858DA" w:rsidRDefault="004F5EAB" w:rsidP="004F5EAB">
            <w:pPr>
              <w:jc w:val="both"/>
              <w:rPr>
                <w:rFonts w:eastAsia="Calibri" w:cs="Times New Roman"/>
                <w:sz w:val="20"/>
                <w:szCs w:val="20"/>
              </w:rPr>
            </w:pPr>
            <w:r w:rsidRPr="007858DA">
              <w:rPr>
                <w:rFonts w:eastAsia="Calibri" w:cs="Times New Roman"/>
                <w:sz w:val="20"/>
                <w:szCs w:val="20"/>
              </w:rPr>
              <w:t>August 30, 2010</w:t>
            </w:r>
          </w:p>
          <w:p w:rsidR="004F5EAB" w:rsidRPr="007858DA" w:rsidRDefault="004F5EAB" w:rsidP="004F5EAB">
            <w:pPr>
              <w:jc w:val="both"/>
              <w:rPr>
                <w:rFonts w:eastAsia="Calibri" w:cs="Times New Roman"/>
                <w:sz w:val="20"/>
                <w:szCs w:val="20"/>
              </w:rPr>
            </w:pPr>
            <w:r w:rsidRPr="007858DA">
              <w:rPr>
                <w:rFonts w:eastAsia="Calibri" w:cs="Times New Roman"/>
                <w:sz w:val="20"/>
                <w:szCs w:val="20"/>
              </w:rPr>
              <w:t>Quebec Superior Court</w:t>
            </w:r>
          </w:p>
          <w:p w:rsidR="004F5EAB" w:rsidRPr="007858DA" w:rsidRDefault="004F5EAB" w:rsidP="004F5EAB">
            <w:pPr>
              <w:jc w:val="both"/>
              <w:rPr>
                <w:rFonts w:eastAsia="Calibri" w:cs="Times New Roman"/>
                <w:sz w:val="20"/>
                <w:szCs w:val="20"/>
              </w:rPr>
            </w:pPr>
            <w:r w:rsidRPr="007858DA">
              <w:rPr>
                <w:rFonts w:eastAsia="Calibri" w:cs="Times New Roman"/>
                <w:sz w:val="20"/>
                <w:szCs w:val="20"/>
              </w:rPr>
              <w:t>(De Wever J.)</w:t>
            </w:r>
          </w:p>
          <w:p w:rsidR="004F5EAB" w:rsidRPr="007858DA" w:rsidRDefault="004F5EAB" w:rsidP="004F5EAB">
            <w:pPr>
              <w:jc w:val="both"/>
              <w:rPr>
                <w:rFonts w:eastAsia="Calibri" w:cs="Times New Roman"/>
                <w:sz w:val="20"/>
                <w:szCs w:val="20"/>
              </w:rPr>
            </w:pPr>
            <w:r w:rsidRPr="007858DA">
              <w:rPr>
                <w:rFonts w:eastAsia="Calibri" w:cs="Times New Roman"/>
                <w:sz w:val="20"/>
                <w:szCs w:val="20"/>
              </w:rPr>
              <w:t xml:space="preserve">2010 QCCS 3980 </w:t>
            </w:r>
          </w:p>
        </w:tc>
        <w:tc>
          <w:tcPr>
            <w:tcW w:w="243" w:type="pct"/>
          </w:tcPr>
          <w:p w:rsidR="004F5EAB" w:rsidRPr="007858DA" w:rsidRDefault="004F5EAB" w:rsidP="004F5EAB">
            <w:pPr>
              <w:jc w:val="both"/>
              <w:rPr>
                <w:rFonts w:eastAsia="Calibri" w:cs="Times New Roman"/>
                <w:sz w:val="20"/>
                <w:szCs w:val="20"/>
              </w:rPr>
            </w:pPr>
          </w:p>
        </w:tc>
        <w:tc>
          <w:tcPr>
            <w:tcW w:w="2330" w:type="pct"/>
          </w:tcPr>
          <w:p w:rsidR="004F5EAB" w:rsidRPr="007858DA" w:rsidRDefault="004F5EAB" w:rsidP="004F5EAB">
            <w:pPr>
              <w:jc w:val="both"/>
              <w:rPr>
                <w:rFonts w:eastAsia="Calibri" w:cs="Times New Roman"/>
                <w:sz w:val="20"/>
                <w:szCs w:val="20"/>
              </w:rPr>
            </w:pPr>
            <w:r w:rsidRPr="007858DA">
              <w:rPr>
                <w:rFonts w:eastAsia="Calibri" w:cs="Times New Roman"/>
                <w:sz w:val="20"/>
                <w:szCs w:val="20"/>
              </w:rPr>
              <w:t xml:space="preserve">Actions of Audets against broker Thibault allowed for $974,419 and $1,491,745; actions of Audets against Transamerica funds and Thibault’s insurer dismissed; Thibault’s action in warranty against his insurer, Smith, dismissed  </w:t>
            </w:r>
          </w:p>
          <w:p w:rsidR="004F5EAB" w:rsidRPr="007858DA" w:rsidRDefault="004F5EAB" w:rsidP="004F5EAB">
            <w:pPr>
              <w:jc w:val="both"/>
              <w:rPr>
                <w:rFonts w:eastAsia="Calibri" w:cs="Times New Roman"/>
                <w:sz w:val="20"/>
                <w:szCs w:val="20"/>
              </w:rPr>
            </w:pPr>
          </w:p>
        </w:tc>
      </w:tr>
    </w:tbl>
    <w:p w:rsidR="00912E1C" w:rsidRDefault="00912E1C"/>
    <w:tbl>
      <w:tblPr>
        <w:tblW w:w="4952" w:type="pct"/>
        <w:tblLayout w:type="fixed"/>
        <w:tblCellMar>
          <w:left w:w="0" w:type="dxa"/>
          <w:bottom w:w="99" w:type="dxa"/>
          <w:right w:w="0" w:type="dxa"/>
        </w:tblCellMar>
        <w:tblLook w:val="04A0"/>
      </w:tblPr>
      <w:tblGrid>
        <w:gridCol w:w="4624"/>
        <w:gridCol w:w="463"/>
        <w:gridCol w:w="4440"/>
      </w:tblGrid>
      <w:tr w:rsidR="004F5EAB" w:rsidRPr="007858DA" w:rsidTr="004F5EAB">
        <w:tc>
          <w:tcPr>
            <w:tcW w:w="2427" w:type="pct"/>
          </w:tcPr>
          <w:p w:rsidR="004F5EAB" w:rsidRPr="007858DA" w:rsidRDefault="004F5EAB" w:rsidP="004F5EAB">
            <w:pPr>
              <w:jc w:val="both"/>
              <w:rPr>
                <w:rFonts w:eastAsia="Calibri" w:cs="Times New Roman"/>
                <w:sz w:val="20"/>
                <w:szCs w:val="20"/>
              </w:rPr>
            </w:pPr>
            <w:r w:rsidRPr="007858DA">
              <w:rPr>
                <w:rFonts w:eastAsia="Calibri" w:cs="Times New Roman"/>
                <w:sz w:val="20"/>
                <w:szCs w:val="20"/>
              </w:rPr>
              <w:lastRenderedPageBreak/>
              <w:t>September 27, 2012</w:t>
            </w:r>
          </w:p>
          <w:p w:rsidR="004F5EAB" w:rsidRPr="007858DA" w:rsidRDefault="004F5EAB" w:rsidP="004F5EAB">
            <w:pPr>
              <w:jc w:val="both"/>
              <w:rPr>
                <w:rFonts w:eastAsia="Calibri" w:cs="Times New Roman"/>
                <w:sz w:val="20"/>
                <w:szCs w:val="20"/>
              </w:rPr>
            </w:pPr>
            <w:r w:rsidRPr="007858DA">
              <w:rPr>
                <w:rFonts w:eastAsia="Calibri" w:cs="Times New Roman"/>
                <w:sz w:val="20"/>
                <w:szCs w:val="20"/>
              </w:rPr>
              <w:t>Quebec Court of Appeal (Montréal)</w:t>
            </w:r>
          </w:p>
          <w:p w:rsidR="004F5EAB" w:rsidRPr="007858DA" w:rsidRDefault="004F5EAB" w:rsidP="004F5EAB">
            <w:pPr>
              <w:jc w:val="both"/>
              <w:rPr>
                <w:rFonts w:eastAsia="Calibri" w:cs="Times New Roman"/>
                <w:sz w:val="20"/>
                <w:szCs w:val="20"/>
              </w:rPr>
            </w:pPr>
            <w:r w:rsidRPr="007858DA">
              <w:rPr>
                <w:rFonts w:eastAsia="Calibri" w:cs="Times New Roman"/>
                <w:sz w:val="20"/>
                <w:szCs w:val="20"/>
              </w:rPr>
              <w:t>(Dalphond, Doyon and Léger JJ.A.)</w:t>
            </w:r>
          </w:p>
          <w:p w:rsidR="004F5EAB" w:rsidRPr="007858DA" w:rsidRDefault="004F5EAB" w:rsidP="004F5EAB">
            <w:pPr>
              <w:jc w:val="both"/>
              <w:rPr>
                <w:rFonts w:eastAsia="Calibri" w:cs="Times New Roman"/>
                <w:sz w:val="20"/>
                <w:szCs w:val="20"/>
              </w:rPr>
            </w:pPr>
            <w:r w:rsidRPr="007858DA">
              <w:rPr>
                <w:rFonts w:eastAsia="Calibri" w:cs="Times New Roman"/>
                <w:sz w:val="20"/>
                <w:szCs w:val="20"/>
              </w:rPr>
              <w:t>2012 QCCA 1746</w:t>
            </w:r>
          </w:p>
          <w:p w:rsidR="004F5EAB" w:rsidRPr="007858DA" w:rsidRDefault="004F5EAB" w:rsidP="004F5EAB">
            <w:pPr>
              <w:jc w:val="both"/>
              <w:rPr>
                <w:rFonts w:eastAsia="Calibri" w:cs="Times New Roman"/>
                <w:sz w:val="20"/>
                <w:szCs w:val="20"/>
              </w:rPr>
            </w:pPr>
          </w:p>
        </w:tc>
        <w:tc>
          <w:tcPr>
            <w:tcW w:w="243" w:type="pct"/>
          </w:tcPr>
          <w:p w:rsidR="004F5EAB" w:rsidRPr="007858DA" w:rsidRDefault="004F5EAB" w:rsidP="004F5EAB">
            <w:pPr>
              <w:jc w:val="both"/>
              <w:rPr>
                <w:rFonts w:eastAsia="Calibri" w:cs="Times New Roman"/>
                <w:sz w:val="20"/>
                <w:szCs w:val="20"/>
              </w:rPr>
            </w:pPr>
          </w:p>
        </w:tc>
        <w:tc>
          <w:tcPr>
            <w:tcW w:w="2330" w:type="pct"/>
          </w:tcPr>
          <w:p w:rsidR="004F5EAB" w:rsidRPr="007858DA" w:rsidRDefault="004F5EAB" w:rsidP="004F5EAB">
            <w:pPr>
              <w:jc w:val="both"/>
              <w:rPr>
                <w:rFonts w:eastAsia="Calibri" w:cs="Times New Roman"/>
                <w:sz w:val="20"/>
                <w:szCs w:val="20"/>
              </w:rPr>
            </w:pPr>
            <w:r w:rsidRPr="007858DA">
              <w:rPr>
                <w:rFonts w:eastAsia="Calibri" w:cs="Times New Roman"/>
                <w:sz w:val="20"/>
                <w:szCs w:val="20"/>
              </w:rPr>
              <w:t xml:space="preserve">Appeals of Audets and Thibault allowed in part; actions of Audets against Thibault’s insurer and Thibault’s action in warranty against his insurer allowed up to insurable maximum of $500,000 per client in respect of faults that not gross faults </w:t>
            </w:r>
          </w:p>
          <w:p w:rsidR="004F5EAB" w:rsidRPr="007858DA" w:rsidRDefault="004F5EAB" w:rsidP="004F5EAB">
            <w:pPr>
              <w:jc w:val="both"/>
              <w:rPr>
                <w:rFonts w:eastAsia="Calibri" w:cs="Times New Roman"/>
                <w:sz w:val="20"/>
                <w:szCs w:val="20"/>
              </w:rPr>
            </w:pPr>
          </w:p>
        </w:tc>
      </w:tr>
      <w:tr w:rsidR="004F5EAB" w:rsidRPr="007858DA" w:rsidTr="004F5EAB">
        <w:tc>
          <w:tcPr>
            <w:tcW w:w="2427" w:type="pct"/>
          </w:tcPr>
          <w:p w:rsidR="004F5EAB" w:rsidRPr="007858DA" w:rsidRDefault="004F5EAB" w:rsidP="004F5EAB">
            <w:pPr>
              <w:jc w:val="both"/>
              <w:rPr>
                <w:rFonts w:eastAsia="Calibri" w:cs="Times New Roman"/>
                <w:sz w:val="20"/>
                <w:szCs w:val="20"/>
              </w:rPr>
            </w:pPr>
            <w:r w:rsidRPr="007858DA">
              <w:rPr>
                <w:rFonts w:eastAsia="Calibri" w:cs="Times New Roman"/>
                <w:sz w:val="20"/>
                <w:szCs w:val="20"/>
              </w:rPr>
              <w:t>November 26, 2012</w:t>
            </w:r>
          </w:p>
          <w:p w:rsidR="004F5EAB" w:rsidRPr="007858DA" w:rsidRDefault="004F5EAB" w:rsidP="004F5EAB">
            <w:pPr>
              <w:jc w:val="both"/>
              <w:rPr>
                <w:rFonts w:eastAsia="Calibri" w:cs="Times New Roman"/>
                <w:sz w:val="20"/>
                <w:szCs w:val="20"/>
              </w:rPr>
            </w:pPr>
            <w:r w:rsidRPr="007858DA">
              <w:rPr>
                <w:rFonts w:eastAsia="Calibri" w:cs="Times New Roman"/>
                <w:sz w:val="20"/>
                <w:szCs w:val="20"/>
              </w:rPr>
              <w:t>Supreme Court of Canada</w:t>
            </w:r>
          </w:p>
        </w:tc>
        <w:tc>
          <w:tcPr>
            <w:tcW w:w="243" w:type="pct"/>
          </w:tcPr>
          <w:p w:rsidR="004F5EAB" w:rsidRPr="007858DA" w:rsidRDefault="004F5EAB" w:rsidP="004F5EAB">
            <w:pPr>
              <w:jc w:val="both"/>
              <w:rPr>
                <w:rFonts w:eastAsia="Calibri" w:cs="Times New Roman"/>
                <w:sz w:val="20"/>
                <w:szCs w:val="20"/>
              </w:rPr>
            </w:pPr>
          </w:p>
        </w:tc>
        <w:tc>
          <w:tcPr>
            <w:tcW w:w="2330" w:type="pct"/>
          </w:tcPr>
          <w:p w:rsidR="004F5EAB" w:rsidRPr="007858DA" w:rsidRDefault="004F5EAB" w:rsidP="004F5EAB">
            <w:pPr>
              <w:jc w:val="both"/>
              <w:rPr>
                <w:rFonts w:eastAsia="Calibri" w:cs="Times New Roman"/>
                <w:sz w:val="20"/>
                <w:szCs w:val="20"/>
              </w:rPr>
            </w:pPr>
            <w:r w:rsidRPr="007858DA">
              <w:rPr>
                <w:rFonts w:eastAsia="Calibri" w:cs="Times New Roman"/>
                <w:sz w:val="20"/>
                <w:szCs w:val="20"/>
              </w:rPr>
              <w:t>Application for leave to appeal filed</w:t>
            </w:r>
          </w:p>
        </w:tc>
      </w:tr>
    </w:tbl>
    <w:p w:rsidR="004F5EAB" w:rsidRPr="007858DA" w:rsidRDefault="004F5EAB" w:rsidP="004F5EAB">
      <w:pPr>
        <w:jc w:val="both"/>
        <w:rPr>
          <w:rFonts w:eastAsia="Calibri" w:cs="Times New Roman"/>
          <w:sz w:val="20"/>
          <w:szCs w:val="20"/>
          <w:lang w:val="en-US"/>
        </w:rPr>
      </w:pPr>
    </w:p>
    <w:p w:rsidR="004F5EAB" w:rsidRPr="007858DA" w:rsidRDefault="00B74DD2" w:rsidP="004F5EAB">
      <w:pPr>
        <w:rPr>
          <w:rFonts w:cs="Times New Roman"/>
          <w:sz w:val="20"/>
          <w:szCs w:val="20"/>
        </w:rPr>
      </w:pPr>
      <w:r w:rsidRPr="00B74DD2">
        <w:rPr>
          <w:rFonts w:cs="Times New Roman"/>
          <w:sz w:val="20"/>
          <w:szCs w:val="20"/>
          <w:lang w:val="fr-CA"/>
        </w:rPr>
        <w:pict>
          <v:rect id="_x0000_i1050" style="width:2in;height:1pt" o:hrpct="0" o:hralign="center" o:hrstd="t" o:hrnoshade="t" o:hr="t" fillcolor="black [3213]" stroked="f"/>
        </w:pict>
      </w:r>
    </w:p>
    <w:p w:rsidR="004F5EAB" w:rsidRPr="007858DA" w:rsidRDefault="004F5EAB" w:rsidP="004F5EAB">
      <w:pPr>
        <w:rPr>
          <w:rFonts w:cs="Times New Roman"/>
          <w:sz w:val="20"/>
          <w:szCs w:val="20"/>
          <w:u w:val="single"/>
          <w:lang w:val="fr-CA"/>
        </w:rPr>
      </w:pPr>
    </w:p>
    <w:p w:rsidR="004F5EAB" w:rsidRPr="007858DA" w:rsidRDefault="004F5EAB" w:rsidP="004F5EAB">
      <w:pPr>
        <w:rPr>
          <w:rFonts w:cs="Times New Roman"/>
          <w:sz w:val="20"/>
          <w:szCs w:val="20"/>
          <w:u w:val="single"/>
          <w:lang w:val="fr-CA"/>
        </w:rPr>
      </w:pPr>
      <w:r w:rsidRPr="007858DA">
        <w:rPr>
          <w:rFonts w:cs="Times New Roman"/>
          <w:sz w:val="20"/>
          <w:szCs w:val="20"/>
          <w:u w:val="single"/>
          <w:lang w:val="fr-CA"/>
        </w:rPr>
        <w:t>RÉSUMÉ DE L’AFFAIRE</w:t>
      </w:r>
    </w:p>
    <w:p w:rsidR="004F5EAB" w:rsidRPr="007858DA" w:rsidRDefault="004F5EAB" w:rsidP="004F5EAB">
      <w:pPr>
        <w:jc w:val="both"/>
        <w:rPr>
          <w:rFonts w:eastAsia="Calibri"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F5EAB" w:rsidRPr="00C4248C" w:rsidTr="004F5EAB">
        <w:tc>
          <w:tcPr>
            <w:tcW w:w="5000" w:type="pct"/>
            <w:gridSpan w:val="3"/>
          </w:tcPr>
          <w:p w:rsidR="004F5EAB" w:rsidRPr="007858DA" w:rsidRDefault="004F5EAB" w:rsidP="004F5EAB">
            <w:pPr>
              <w:jc w:val="both"/>
              <w:rPr>
                <w:rFonts w:eastAsia="Calibri" w:cs="Times New Roman"/>
                <w:sz w:val="20"/>
                <w:szCs w:val="20"/>
                <w:lang w:val="fr-FR"/>
              </w:rPr>
            </w:pPr>
            <w:r w:rsidRPr="007858DA">
              <w:rPr>
                <w:rFonts w:eastAsia="Calibri" w:cs="Times New Roman"/>
                <w:sz w:val="20"/>
                <w:szCs w:val="20"/>
                <w:lang w:val="fr-FR"/>
              </w:rPr>
              <w:t xml:space="preserve">Responsabilité civile – Faute lourde – Assurance professionnelle – Exclusion des fautes lourdes et de la négligence grossière – Conseils inappropriés d’un courtier entraînant la débandade financière de ses clients – La Cour d’appel a-t-elle à tort requalifié une partie des fautes commises? – La Cour d’appel a-t-elle à tort appliqué à l’assurance responsabilité un régime de fautes concurrentes qui relève de l’assurance des biens? – La Cour d’appel a-t-elle à tort appliqué à l’assurance responsabilité un régime de fautes concurrentes qui ne correspond pas à celui qu’applique le reste du Canada? – La Cour d’appel s’est-elle prononcée sur ces questions de droit sans entendre les représentations des parties? – </w:t>
            </w:r>
            <w:r w:rsidRPr="007858DA">
              <w:rPr>
                <w:rFonts w:eastAsia="Calibri" w:cs="Times New Roman"/>
                <w:i/>
                <w:sz w:val="20"/>
                <w:szCs w:val="20"/>
                <w:lang w:val="fr-FR"/>
              </w:rPr>
              <w:t>Code civil du Québec</w:t>
            </w:r>
            <w:r w:rsidRPr="007858DA">
              <w:rPr>
                <w:rFonts w:eastAsia="Calibri" w:cs="Times New Roman"/>
                <w:sz w:val="20"/>
                <w:szCs w:val="20"/>
                <w:lang w:val="fr-FR"/>
              </w:rPr>
              <w:t>, L.Q. 1991, ch.64, art. 2464.</w:t>
            </w:r>
          </w:p>
        </w:tc>
      </w:tr>
      <w:tr w:rsidR="004F5EAB" w:rsidRPr="00C4248C" w:rsidTr="004F5EAB">
        <w:tc>
          <w:tcPr>
            <w:tcW w:w="5000" w:type="pct"/>
            <w:gridSpan w:val="3"/>
          </w:tcPr>
          <w:p w:rsidR="004F5EAB" w:rsidRPr="007858DA" w:rsidRDefault="004F5EAB" w:rsidP="004F5EAB">
            <w:pPr>
              <w:jc w:val="both"/>
              <w:rPr>
                <w:rFonts w:eastAsia="Calibri" w:cs="Times New Roman"/>
                <w:sz w:val="20"/>
                <w:szCs w:val="20"/>
                <w:lang w:val="fr-CA"/>
              </w:rPr>
            </w:pPr>
          </w:p>
        </w:tc>
      </w:tr>
      <w:tr w:rsidR="004F5EAB" w:rsidRPr="00C4248C" w:rsidTr="004F5EAB">
        <w:tc>
          <w:tcPr>
            <w:tcW w:w="5000" w:type="pct"/>
            <w:gridSpan w:val="3"/>
          </w:tcPr>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En 1998, au décès de leur mère, les Audet héritent chacun d’environ 1,5 M $. Ils ont alors 30 et 38 ans et gagnent de modestes revenus. Ils indiquent au courtier Thibault vouloir protéger leur capital à long terme tout en le faisant fructifier. Le courtier les incite à placer leur argent dans des fonds indiciels à haut rendement et à acheter des assurances vie d’envergure.  Les impôts sur les gains en capital créent vite une crise de liquidités qu’il faudra résoudre en empruntant, puis les pertes en capital achèveront de gâcher la situation. En 2001, Marie Audet n’a plus qu’un tiers de son héritage en sa possession tandis qu’il ne reste pratiquement rien à son frère. Ils réclament leurs pertes à Thibault; ils poursuivent aussi le fonds Transamerica et Nicolas Smith, l’assureur en responsabilité professionnelle de Thibault. Thibault appelle son assureur en garantie mais celui-ci invoque les exclusions du contrat en cas de faute grossière.</w:t>
            </w:r>
          </w:p>
          <w:p w:rsidR="004F5EAB" w:rsidRPr="007858DA" w:rsidRDefault="004F5EAB" w:rsidP="004F5EAB">
            <w:pPr>
              <w:jc w:val="both"/>
              <w:rPr>
                <w:rFonts w:eastAsia="Calibri" w:cs="Times New Roman"/>
                <w:sz w:val="20"/>
                <w:szCs w:val="20"/>
                <w:lang w:val="fr-CA"/>
              </w:rPr>
            </w:pPr>
          </w:p>
        </w:tc>
      </w:tr>
      <w:tr w:rsidR="004F5EAB" w:rsidRPr="00C4248C" w:rsidTr="004F5EAB">
        <w:tc>
          <w:tcPr>
            <w:tcW w:w="2427" w:type="pct"/>
          </w:tcPr>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Le 30 août 2010</w:t>
            </w:r>
          </w:p>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Cour supérieure du Québec</w:t>
            </w:r>
          </w:p>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(Le juge De Wever)</w:t>
            </w:r>
          </w:p>
          <w:p w:rsidR="004F5EAB" w:rsidRPr="007858DA" w:rsidRDefault="004F5EAB" w:rsidP="004F5EAB">
            <w:pPr>
              <w:jc w:val="both"/>
              <w:rPr>
                <w:rFonts w:eastAsia="Calibri" w:cs="Times New Roman"/>
                <w:sz w:val="20"/>
                <w:szCs w:val="20"/>
                <w:lang w:val="fr-FR"/>
              </w:rPr>
            </w:pPr>
            <w:r w:rsidRPr="007858DA">
              <w:rPr>
                <w:rFonts w:eastAsia="Calibri" w:cs="Times New Roman"/>
                <w:sz w:val="20"/>
                <w:szCs w:val="20"/>
                <w:lang w:val="fr-CA"/>
              </w:rPr>
              <w:t xml:space="preserve">2010 QCCS 3980 </w:t>
            </w:r>
          </w:p>
        </w:tc>
        <w:tc>
          <w:tcPr>
            <w:tcW w:w="243" w:type="pct"/>
          </w:tcPr>
          <w:p w:rsidR="004F5EAB" w:rsidRPr="007858DA" w:rsidRDefault="004F5EAB" w:rsidP="004F5EAB">
            <w:pPr>
              <w:jc w:val="both"/>
              <w:rPr>
                <w:rFonts w:eastAsia="Calibri" w:cs="Times New Roman"/>
                <w:sz w:val="20"/>
                <w:szCs w:val="20"/>
                <w:lang w:val="fr-FR"/>
              </w:rPr>
            </w:pPr>
          </w:p>
        </w:tc>
        <w:tc>
          <w:tcPr>
            <w:tcW w:w="2330" w:type="pct"/>
          </w:tcPr>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 xml:space="preserve">Actions des Audet contre le courtier Thibault accueillies pour les sommes de  974 419 $ et 1 491 745 $; actions des Audet contre les Fonds Transamerica et l’assureur de Thibault rejetées; appel en garantie de Thibault contre son assureur Smith rejeté.  </w:t>
            </w:r>
          </w:p>
          <w:p w:rsidR="004F5EAB" w:rsidRPr="007858DA" w:rsidRDefault="004F5EAB" w:rsidP="004F5EAB">
            <w:pPr>
              <w:jc w:val="both"/>
              <w:rPr>
                <w:rFonts w:eastAsia="Calibri" w:cs="Times New Roman"/>
                <w:sz w:val="20"/>
                <w:szCs w:val="20"/>
                <w:lang w:val="fr-CA"/>
              </w:rPr>
            </w:pPr>
          </w:p>
        </w:tc>
      </w:tr>
      <w:tr w:rsidR="004F5EAB" w:rsidRPr="00C4248C" w:rsidTr="004F5EAB">
        <w:tc>
          <w:tcPr>
            <w:tcW w:w="2427" w:type="pct"/>
          </w:tcPr>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Le 27 septembre 2012</w:t>
            </w:r>
          </w:p>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Cour d’appel du Québec (Montréal)</w:t>
            </w:r>
          </w:p>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(Les juges Dalphond, Doyon et Léger)</w:t>
            </w:r>
          </w:p>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2012 QCCA 1746</w:t>
            </w:r>
          </w:p>
          <w:p w:rsidR="004F5EAB" w:rsidRPr="007858DA" w:rsidRDefault="004F5EAB" w:rsidP="004F5EAB">
            <w:pPr>
              <w:jc w:val="both"/>
              <w:rPr>
                <w:rFonts w:eastAsia="Calibri" w:cs="Times New Roman"/>
                <w:sz w:val="20"/>
                <w:szCs w:val="20"/>
                <w:lang w:val="fr-FR"/>
              </w:rPr>
            </w:pPr>
          </w:p>
        </w:tc>
        <w:tc>
          <w:tcPr>
            <w:tcW w:w="243" w:type="pct"/>
          </w:tcPr>
          <w:p w:rsidR="004F5EAB" w:rsidRPr="007858DA" w:rsidRDefault="004F5EAB" w:rsidP="004F5EAB">
            <w:pPr>
              <w:jc w:val="both"/>
              <w:rPr>
                <w:rFonts w:eastAsia="Calibri" w:cs="Times New Roman"/>
                <w:sz w:val="20"/>
                <w:szCs w:val="20"/>
                <w:lang w:val="fr-FR"/>
              </w:rPr>
            </w:pPr>
          </w:p>
        </w:tc>
        <w:tc>
          <w:tcPr>
            <w:tcW w:w="2330" w:type="pct"/>
          </w:tcPr>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Appel des Audet et de Thibault accueillis en partie; actions des Audet contre l’assureur de Thibault et appel en garantie de celui-ci contre son assureur accueillis pour la part des fautes qui ne sont pas lourdes, jusqu’à concurrence du maximum assurable soit 500 000 $ par client.</w:t>
            </w:r>
          </w:p>
          <w:p w:rsidR="004F5EAB" w:rsidRPr="007858DA" w:rsidRDefault="004F5EAB" w:rsidP="004F5EAB">
            <w:pPr>
              <w:jc w:val="both"/>
              <w:rPr>
                <w:rFonts w:eastAsia="Calibri" w:cs="Times New Roman"/>
                <w:sz w:val="20"/>
                <w:szCs w:val="20"/>
                <w:lang w:val="fr-CA"/>
              </w:rPr>
            </w:pPr>
          </w:p>
        </w:tc>
      </w:tr>
      <w:tr w:rsidR="004F5EAB" w:rsidRPr="007858DA" w:rsidTr="004F5EAB">
        <w:tc>
          <w:tcPr>
            <w:tcW w:w="2427" w:type="pct"/>
          </w:tcPr>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Le 26 novembre 2012</w:t>
            </w:r>
          </w:p>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Cour suprême du Canada</w:t>
            </w:r>
          </w:p>
        </w:tc>
        <w:tc>
          <w:tcPr>
            <w:tcW w:w="243" w:type="pct"/>
          </w:tcPr>
          <w:p w:rsidR="004F5EAB" w:rsidRPr="007858DA" w:rsidRDefault="004F5EAB" w:rsidP="004F5EAB">
            <w:pPr>
              <w:jc w:val="both"/>
              <w:rPr>
                <w:rFonts w:eastAsia="Calibri" w:cs="Times New Roman"/>
                <w:sz w:val="20"/>
                <w:szCs w:val="20"/>
                <w:lang w:val="fr-FR"/>
              </w:rPr>
            </w:pPr>
          </w:p>
        </w:tc>
        <w:tc>
          <w:tcPr>
            <w:tcW w:w="2330" w:type="pct"/>
          </w:tcPr>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Demande d'autorisation d'appel déposée.</w:t>
            </w:r>
          </w:p>
        </w:tc>
      </w:tr>
    </w:tbl>
    <w:p w:rsidR="004F5EAB" w:rsidRPr="007858DA" w:rsidRDefault="004F5EAB" w:rsidP="004F5EAB">
      <w:pPr>
        <w:jc w:val="both"/>
        <w:rPr>
          <w:rFonts w:eastAsia="Calibri" w:cs="Times New Roman"/>
          <w:sz w:val="20"/>
          <w:szCs w:val="20"/>
          <w:lang w:val="fr-CA"/>
        </w:rPr>
      </w:pPr>
    </w:p>
    <w:p w:rsidR="004F5EAB" w:rsidRPr="007858DA" w:rsidRDefault="00B74DD2" w:rsidP="004F5EAB">
      <w:pPr>
        <w:rPr>
          <w:rFonts w:cs="Times New Roman"/>
          <w:sz w:val="20"/>
          <w:szCs w:val="20"/>
        </w:rPr>
      </w:pPr>
      <w:r w:rsidRPr="00B74DD2">
        <w:rPr>
          <w:rFonts w:cs="Times New Roman"/>
          <w:sz w:val="20"/>
          <w:szCs w:val="20"/>
          <w:lang w:val="fr-CA"/>
        </w:rPr>
        <w:pict>
          <v:rect id="_x0000_i1051" style="width:2in;height:1pt" o:hrpct="0" o:hralign="center" o:hrstd="t" o:hrnoshade="t" o:hr="t" fillcolor="black [3213]" stroked="f"/>
        </w:pict>
      </w:r>
    </w:p>
    <w:p w:rsidR="004F5EAB" w:rsidRPr="007858DA" w:rsidRDefault="004F5EAB" w:rsidP="004F5EAB">
      <w:pPr>
        <w:jc w:val="both"/>
        <w:rPr>
          <w:rFonts w:eastAsia="Calibri" w:cs="Times New Roman"/>
          <w:sz w:val="20"/>
          <w:szCs w:val="20"/>
          <w:lang w:val="fr-CA"/>
        </w:rPr>
      </w:pPr>
    </w:p>
    <w:tbl>
      <w:tblPr>
        <w:tblStyle w:val="TableGrid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54DED" w:rsidRPr="00C4248C" w:rsidTr="005F7339">
        <w:trPr>
          <w:cantSplit/>
        </w:trPr>
        <w:tc>
          <w:tcPr>
            <w:tcW w:w="1458" w:type="dxa"/>
          </w:tcPr>
          <w:p w:rsidR="00154DED" w:rsidRPr="007858DA" w:rsidRDefault="00154DED" w:rsidP="00154DED">
            <w:pPr>
              <w:rPr>
                <w:rFonts w:cs="Times New Roman"/>
                <w:sz w:val="20"/>
                <w:szCs w:val="20"/>
              </w:rPr>
            </w:pPr>
            <w:r w:rsidRPr="007858DA">
              <w:rPr>
                <w:rFonts w:cs="Times New Roman"/>
                <w:b/>
                <w:sz w:val="20"/>
                <w:szCs w:val="20"/>
                <w:lang w:val="fr-CA"/>
              </w:rPr>
              <w:lastRenderedPageBreak/>
              <w:t>35104</w:t>
            </w:r>
          </w:p>
          <w:p w:rsidR="00154DED" w:rsidRPr="007858DA" w:rsidRDefault="00154DED" w:rsidP="00154DED">
            <w:pPr>
              <w:rPr>
                <w:rFonts w:cs="Times New Roman"/>
                <w:b/>
                <w:sz w:val="20"/>
                <w:szCs w:val="20"/>
                <w:lang w:val="fr-CA"/>
              </w:rPr>
            </w:pPr>
          </w:p>
        </w:tc>
        <w:tc>
          <w:tcPr>
            <w:tcW w:w="8118" w:type="dxa"/>
          </w:tcPr>
          <w:p w:rsidR="00154DED" w:rsidRPr="007858DA" w:rsidRDefault="00154DED" w:rsidP="004D2A97">
            <w:pPr>
              <w:jc w:val="both"/>
              <w:rPr>
                <w:rFonts w:cs="Times New Roman"/>
                <w:sz w:val="20"/>
                <w:szCs w:val="20"/>
                <w:lang w:val="fr-CA"/>
              </w:rPr>
            </w:pPr>
            <w:r w:rsidRPr="007858DA">
              <w:rPr>
                <w:rFonts w:cs="Times New Roman"/>
                <w:b/>
                <w:sz w:val="20"/>
                <w:szCs w:val="20"/>
                <w:u w:val="single"/>
                <w:lang w:val="fr-CA"/>
              </w:rPr>
              <w:t>Domenico &amp; fils (1997) inc. c. Devenco Contracting inc.</w:t>
            </w:r>
            <w:r w:rsidR="004D2A97">
              <w:rPr>
                <w:rFonts w:cs="Times New Roman"/>
                <w:b/>
                <w:sz w:val="20"/>
                <w:szCs w:val="20"/>
                <w:u w:val="single"/>
                <w:lang w:val="fr-CA"/>
              </w:rPr>
              <w:t xml:space="preserve"> et</w:t>
            </w:r>
            <w:r w:rsidRPr="007858DA">
              <w:rPr>
                <w:rFonts w:cs="Times New Roman"/>
                <w:b/>
                <w:sz w:val="20"/>
                <w:szCs w:val="20"/>
                <w:u w:val="single"/>
                <w:lang w:val="fr-CA"/>
              </w:rPr>
              <w:t xml:space="preserve"> André Farmer</w:t>
            </w:r>
            <w:r w:rsidRPr="007858DA">
              <w:rPr>
                <w:rFonts w:cs="Times New Roman"/>
                <w:sz w:val="20"/>
                <w:szCs w:val="20"/>
                <w:lang w:val="fr-CA"/>
              </w:rPr>
              <w:t xml:space="preserve"> (Qc) (Civile) (Autorisation)</w:t>
            </w:r>
          </w:p>
          <w:p w:rsidR="00154DED" w:rsidRPr="007858DA" w:rsidRDefault="00154DED" w:rsidP="004D2A97">
            <w:pPr>
              <w:jc w:val="both"/>
              <w:rPr>
                <w:rFonts w:cs="Times New Roman"/>
                <w:sz w:val="20"/>
                <w:szCs w:val="20"/>
                <w:lang w:val="fr-CA"/>
              </w:rPr>
            </w:pPr>
          </w:p>
        </w:tc>
      </w:tr>
      <w:tr w:rsidR="00154DED" w:rsidRPr="00C4248C" w:rsidTr="005F7339">
        <w:trPr>
          <w:cantSplit/>
        </w:trPr>
        <w:tc>
          <w:tcPr>
            <w:tcW w:w="1458" w:type="dxa"/>
          </w:tcPr>
          <w:p w:rsidR="00154DED" w:rsidRPr="004D2A97" w:rsidRDefault="00154DED" w:rsidP="00154DED">
            <w:pPr>
              <w:rPr>
                <w:rFonts w:cs="Times New Roman"/>
                <w:sz w:val="20"/>
                <w:szCs w:val="20"/>
                <w:lang w:val="fr-CA"/>
              </w:rPr>
            </w:pPr>
            <w:r w:rsidRPr="004D2A97">
              <w:rPr>
                <w:rFonts w:cs="Times New Roman"/>
                <w:sz w:val="20"/>
                <w:szCs w:val="20"/>
                <w:lang w:val="fr-CA"/>
              </w:rPr>
              <w:t>Coram :</w:t>
            </w:r>
          </w:p>
        </w:tc>
        <w:tc>
          <w:tcPr>
            <w:tcW w:w="8118" w:type="dxa"/>
          </w:tcPr>
          <w:p w:rsidR="00154DED" w:rsidRPr="007858DA" w:rsidRDefault="00154DED" w:rsidP="00154DED">
            <w:pPr>
              <w:rPr>
                <w:rFonts w:cs="Times New Roman"/>
                <w:sz w:val="20"/>
                <w:szCs w:val="20"/>
                <w:lang w:val="fr-CA"/>
              </w:rPr>
            </w:pPr>
            <w:r w:rsidRPr="007858DA">
              <w:rPr>
                <w:rFonts w:cs="Times New Roman"/>
                <w:sz w:val="20"/>
                <w:szCs w:val="20"/>
                <w:u w:val="single"/>
                <w:lang w:val="fr-CA"/>
              </w:rPr>
              <w:t>Les juges LeBel, Karakatsanis et Wagner</w:t>
            </w:r>
          </w:p>
          <w:p w:rsidR="00154DED" w:rsidRPr="007858DA" w:rsidRDefault="00154DED" w:rsidP="00154DED">
            <w:pPr>
              <w:rPr>
                <w:rFonts w:cs="Times New Roman"/>
                <w:sz w:val="20"/>
                <w:szCs w:val="20"/>
                <w:u w:val="single"/>
                <w:lang w:val="fr-CA"/>
              </w:rPr>
            </w:pPr>
          </w:p>
        </w:tc>
      </w:tr>
      <w:tr w:rsidR="00154DED" w:rsidRPr="007858DA" w:rsidTr="005F7339">
        <w:trPr>
          <w:cantSplit/>
        </w:trPr>
        <w:tc>
          <w:tcPr>
            <w:tcW w:w="9576" w:type="dxa"/>
            <w:gridSpan w:val="2"/>
          </w:tcPr>
          <w:p w:rsidR="00154DED" w:rsidRPr="007858DA" w:rsidRDefault="00154DED" w:rsidP="00154DED">
            <w:pPr>
              <w:ind w:firstLine="720"/>
              <w:jc w:val="both"/>
              <w:rPr>
                <w:rFonts w:cs="Times New Roman"/>
                <w:sz w:val="20"/>
                <w:szCs w:val="20"/>
                <w:lang w:val="fr-CA"/>
              </w:rPr>
            </w:pPr>
            <w:r w:rsidRPr="007858DA">
              <w:rPr>
                <w:rFonts w:cs="Times New Roman"/>
                <w:sz w:val="20"/>
                <w:szCs w:val="20"/>
                <w:lang w:val="fr-CA"/>
              </w:rPr>
              <w:t>La demande d’autorisation d’appel de l’arrêt de la Cour d’appel du Québec (Montréal), numéro 500-09-022966-121, 2012 QCCA 1736, daté du 27 septembre 2012, est rejetée sans dépens.</w:t>
            </w:r>
          </w:p>
          <w:p w:rsidR="00154DED" w:rsidRPr="007858DA" w:rsidRDefault="00154DED" w:rsidP="00154DED">
            <w:pPr>
              <w:jc w:val="both"/>
              <w:rPr>
                <w:rFonts w:cs="Times New Roman"/>
                <w:sz w:val="20"/>
                <w:szCs w:val="20"/>
                <w:lang w:val="fr-CA"/>
              </w:rPr>
            </w:pPr>
          </w:p>
          <w:p w:rsidR="00154DED" w:rsidRPr="007858DA" w:rsidRDefault="00154DED" w:rsidP="00154DED">
            <w:pPr>
              <w:ind w:firstLine="720"/>
              <w:jc w:val="both"/>
              <w:rPr>
                <w:rFonts w:cs="Times New Roman"/>
                <w:sz w:val="20"/>
                <w:szCs w:val="20"/>
              </w:rPr>
            </w:pPr>
            <w:r w:rsidRPr="007858DA">
              <w:rPr>
                <w:rFonts w:cs="Times New Roman"/>
                <w:sz w:val="20"/>
                <w:szCs w:val="20"/>
              </w:rPr>
              <w:t>The application for leave to appeal from the judgment of the Court of Appeal of Quebec (Montréal), Number 500-09-022966-121, 2012 QCCA 1736, dated September 27, 2012, is dismissed without costs.</w:t>
            </w:r>
          </w:p>
        </w:tc>
      </w:tr>
    </w:tbl>
    <w:p w:rsidR="004F5EAB" w:rsidRPr="007858DA" w:rsidRDefault="004F5EAB" w:rsidP="004F5EAB">
      <w:pPr>
        <w:rPr>
          <w:rFonts w:cs="Times New Roman"/>
          <w:sz w:val="20"/>
          <w:szCs w:val="20"/>
        </w:rPr>
      </w:pPr>
    </w:p>
    <w:p w:rsidR="004F5EAB" w:rsidRPr="007858DA" w:rsidRDefault="004F5EAB" w:rsidP="004F5EAB">
      <w:pPr>
        <w:rPr>
          <w:rFonts w:cs="Times New Roman"/>
          <w:sz w:val="20"/>
          <w:szCs w:val="20"/>
          <w:u w:val="single"/>
        </w:rPr>
      </w:pPr>
      <w:r w:rsidRPr="007858DA">
        <w:rPr>
          <w:rFonts w:cs="Times New Roman"/>
          <w:sz w:val="20"/>
          <w:szCs w:val="20"/>
          <w:u w:val="single"/>
        </w:rPr>
        <w:t>CASE SUMMARY</w:t>
      </w:r>
    </w:p>
    <w:p w:rsidR="004F5EAB" w:rsidRPr="007858DA" w:rsidRDefault="004F5EAB" w:rsidP="004F5EAB">
      <w:pPr>
        <w:keepNext/>
        <w:rPr>
          <w:rFonts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F5EAB" w:rsidRPr="007858DA" w:rsidTr="004F5EAB">
        <w:tc>
          <w:tcPr>
            <w:tcW w:w="5000" w:type="pct"/>
            <w:gridSpan w:val="3"/>
          </w:tcPr>
          <w:p w:rsidR="004F5EAB" w:rsidRPr="007858DA" w:rsidRDefault="004F5EAB" w:rsidP="004F5EAB">
            <w:pPr>
              <w:jc w:val="both"/>
              <w:rPr>
                <w:rFonts w:eastAsia="Calibri" w:cs="Times New Roman"/>
                <w:sz w:val="20"/>
                <w:szCs w:val="20"/>
              </w:rPr>
            </w:pPr>
            <w:r w:rsidRPr="007858DA">
              <w:rPr>
                <w:rFonts w:eastAsia="Calibri" w:cs="Times New Roman"/>
                <w:sz w:val="20"/>
                <w:szCs w:val="20"/>
              </w:rPr>
              <w:t xml:space="preserve">Civil procedure — Appeals — Motion for leave to appeal — Contracts — Contract of enterprise — Faulty performance of work — Action in warranty — No default notice — Whether general law set out in art. 1458 of </w:t>
            </w:r>
            <w:r w:rsidRPr="007858DA">
              <w:rPr>
                <w:rFonts w:eastAsia="Calibri" w:cs="Times New Roman"/>
                <w:i/>
                <w:sz w:val="20"/>
                <w:szCs w:val="20"/>
              </w:rPr>
              <w:t>Civil Code of Québec</w:t>
            </w:r>
            <w:r w:rsidRPr="007858DA">
              <w:rPr>
                <w:rFonts w:eastAsia="Calibri" w:cs="Times New Roman"/>
                <w:sz w:val="20"/>
                <w:szCs w:val="20"/>
              </w:rPr>
              <w:t>, S.Q. 1991, c. 64,</w:t>
            </w:r>
            <w:r w:rsidRPr="007858DA">
              <w:rPr>
                <w:rFonts w:eastAsia="Calibri" w:cs="Times New Roman"/>
                <w:i/>
                <w:sz w:val="20"/>
                <w:szCs w:val="20"/>
              </w:rPr>
              <w:t xml:space="preserve"> </w:t>
            </w:r>
            <w:r w:rsidRPr="007858DA">
              <w:rPr>
                <w:rFonts w:eastAsia="Calibri" w:cs="Times New Roman"/>
                <w:sz w:val="20"/>
                <w:szCs w:val="20"/>
              </w:rPr>
              <w:t xml:space="preserve">or exceptional rules in arts. 2118 </w:t>
            </w:r>
            <w:r w:rsidRPr="007858DA">
              <w:rPr>
                <w:rFonts w:eastAsia="Calibri" w:cs="Times New Roman"/>
                <w:i/>
                <w:sz w:val="20"/>
                <w:szCs w:val="20"/>
              </w:rPr>
              <w:t>et seq.</w:t>
            </w:r>
            <w:r w:rsidRPr="007858DA">
              <w:rPr>
                <w:rFonts w:eastAsia="Calibri" w:cs="Times New Roman"/>
                <w:sz w:val="20"/>
                <w:szCs w:val="20"/>
              </w:rPr>
              <w:t xml:space="preserve"> had to be applied in this case — Whether Court of Appeal erred in law in refusing to grant leave to appeal having regard to para. 2 of art. 26 of </w:t>
            </w:r>
            <w:r w:rsidRPr="007858DA">
              <w:rPr>
                <w:rFonts w:eastAsia="Calibri" w:cs="Times New Roman"/>
                <w:i/>
                <w:sz w:val="20"/>
                <w:szCs w:val="20"/>
              </w:rPr>
              <w:t>Code of Civil Procedure</w:t>
            </w:r>
            <w:r w:rsidRPr="007858DA">
              <w:rPr>
                <w:rFonts w:eastAsia="Calibri" w:cs="Times New Roman"/>
                <w:sz w:val="20"/>
                <w:szCs w:val="20"/>
              </w:rPr>
              <w:t>, R.S.Q., c. C</w:t>
            </w:r>
            <w:r w:rsidRPr="007858DA">
              <w:rPr>
                <w:rFonts w:eastAsia="Calibri" w:cs="Times New Roman"/>
                <w:sz w:val="20"/>
                <w:szCs w:val="20"/>
              </w:rPr>
              <w:noBreakHyphen/>
              <w:t>25 — Whether absence of default notice fatal to action in warranty — Whether applicant could be found liable under general law.</w:t>
            </w:r>
          </w:p>
        </w:tc>
      </w:tr>
      <w:tr w:rsidR="004F5EAB" w:rsidRPr="007858DA" w:rsidTr="004F5EAB">
        <w:tc>
          <w:tcPr>
            <w:tcW w:w="5000" w:type="pct"/>
            <w:gridSpan w:val="3"/>
          </w:tcPr>
          <w:p w:rsidR="004F5EAB" w:rsidRPr="007858DA" w:rsidRDefault="004F5EAB" w:rsidP="004F5EAB">
            <w:pPr>
              <w:jc w:val="both"/>
              <w:rPr>
                <w:rFonts w:eastAsia="Calibri" w:cs="Times New Roman"/>
                <w:sz w:val="20"/>
                <w:szCs w:val="20"/>
              </w:rPr>
            </w:pPr>
          </w:p>
        </w:tc>
      </w:tr>
      <w:tr w:rsidR="004F5EAB" w:rsidRPr="007858DA" w:rsidTr="004F5EAB">
        <w:tc>
          <w:tcPr>
            <w:tcW w:w="5000" w:type="pct"/>
            <w:gridSpan w:val="3"/>
          </w:tcPr>
          <w:p w:rsidR="004F5EAB" w:rsidRPr="007858DA" w:rsidRDefault="004F5EAB" w:rsidP="004F5EAB">
            <w:pPr>
              <w:jc w:val="both"/>
              <w:rPr>
                <w:rFonts w:eastAsia="Calibri" w:cs="Times New Roman"/>
                <w:sz w:val="20"/>
                <w:szCs w:val="20"/>
              </w:rPr>
            </w:pPr>
            <w:r w:rsidRPr="007858DA">
              <w:rPr>
                <w:rFonts w:eastAsia="Calibri" w:cs="Times New Roman"/>
                <w:sz w:val="20"/>
                <w:szCs w:val="20"/>
              </w:rPr>
              <w:t>The respondent Mr. Farmer brought an action claiming $90,199.66 from the respondent Devenco Contracting inc., a general contractor, for construction defects and poor workmanship in connection with work that had been done to renovate and expand his residence.  Devenco called in warranty the applicant Domenico &amp; Fils (1997) inc., to which Devenco had subcontracted the masonry work.  Although Devenco had been put in default by Mr. Farmer as regards the structural and masonry problems, Domenico was not notified of those problems until a year and a half later, when Devenco called it in warranty in the action brought by Mr. Farmer.</w:t>
            </w:r>
          </w:p>
          <w:p w:rsidR="004F5EAB" w:rsidRPr="007858DA" w:rsidRDefault="004F5EAB" w:rsidP="004F5EAB">
            <w:pPr>
              <w:jc w:val="both"/>
              <w:rPr>
                <w:rFonts w:eastAsia="Calibri" w:cs="Times New Roman"/>
                <w:sz w:val="20"/>
                <w:szCs w:val="20"/>
              </w:rPr>
            </w:pPr>
          </w:p>
        </w:tc>
      </w:tr>
      <w:tr w:rsidR="004F5EAB" w:rsidRPr="007858DA" w:rsidTr="004F5EAB">
        <w:tc>
          <w:tcPr>
            <w:tcW w:w="2427" w:type="pct"/>
          </w:tcPr>
          <w:p w:rsidR="004F5EAB" w:rsidRPr="007858DA" w:rsidRDefault="004F5EAB" w:rsidP="004F5EAB">
            <w:pPr>
              <w:jc w:val="both"/>
              <w:rPr>
                <w:rFonts w:eastAsia="Calibri" w:cs="Times New Roman"/>
                <w:sz w:val="20"/>
                <w:szCs w:val="20"/>
              </w:rPr>
            </w:pPr>
            <w:r w:rsidRPr="007858DA">
              <w:rPr>
                <w:rFonts w:eastAsia="Calibri" w:cs="Times New Roman"/>
                <w:sz w:val="20"/>
                <w:szCs w:val="20"/>
              </w:rPr>
              <w:t>August 8, 2012</w:t>
            </w:r>
          </w:p>
          <w:p w:rsidR="004F5EAB" w:rsidRPr="007858DA" w:rsidRDefault="004F5EAB" w:rsidP="004F5EAB">
            <w:pPr>
              <w:jc w:val="both"/>
              <w:rPr>
                <w:rFonts w:eastAsia="Calibri" w:cs="Times New Roman"/>
                <w:sz w:val="20"/>
                <w:szCs w:val="20"/>
              </w:rPr>
            </w:pPr>
            <w:r w:rsidRPr="007858DA">
              <w:rPr>
                <w:rFonts w:eastAsia="Calibri" w:cs="Times New Roman"/>
                <w:sz w:val="20"/>
                <w:szCs w:val="20"/>
              </w:rPr>
              <w:t>Quebec Superior Court</w:t>
            </w:r>
          </w:p>
          <w:p w:rsidR="004F5EAB" w:rsidRPr="007858DA" w:rsidRDefault="004F5EAB" w:rsidP="004F5EAB">
            <w:pPr>
              <w:jc w:val="both"/>
              <w:rPr>
                <w:rFonts w:eastAsia="Calibri" w:cs="Times New Roman"/>
                <w:sz w:val="20"/>
                <w:szCs w:val="20"/>
              </w:rPr>
            </w:pPr>
            <w:r w:rsidRPr="007858DA">
              <w:rPr>
                <w:rFonts w:eastAsia="Calibri" w:cs="Times New Roman"/>
                <w:sz w:val="20"/>
                <w:szCs w:val="20"/>
              </w:rPr>
              <w:t>(Paquette J.)</w:t>
            </w:r>
          </w:p>
          <w:p w:rsidR="004F5EAB" w:rsidRPr="007858DA" w:rsidRDefault="004F5EAB" w:rsidP="004F5EAB">
            <w:pPr>
              <w:jc w:val="both"/>
              <w:rPr>
                <w:rFonts w:eastAsia="Calibri" w:cs="Times New Roman"/>
                <w:sz w:val="20"/>
                <w:szCs w:val="20"/>
              </w:rPr>
            </w:pPr>
            <w:r w:rsidRPr="007858DA">
              <w:rPr>
                <w:rFonts w:eastAsia="Calibri" w:cs="Times New Roman"/>
                <w:sz w:val="20"/>
                <w:szCs w:val="20"/>
              </w:rPr>
              <w:t>2012 QCCS 3795</w:t>
            </w:r>
          </w:p>
          <w:p w:rsidR="004F5EAB" w:rsidRPr="007858DA" w:rsidRDefault="004F5EAB" w:rsidP="004F5EAB">
            <w:pPr>
              <w:jc w:val="both"/>
              <w:rPr>
                <w:rFonts w:eastAsia="Calibri" w:cs="Times New Roman"/>
                <w:sz w:val="20"/>
                <w:szCs w:val="20"/>
              </w:rPr>
            </w:pPr>
          </w:p>
        </w:tc>
        <w:tc>
          <w:tcPr>
            <w:tcW w:w="243" w:type="pct"/>
          </w:tcPr>
          <w:p w:rsidR="004F5EAB" w:rsidRPr="007858DA" w:rsidRDefault="004F5EAB" w:rsidP="004F5EAB">
            <w:pPr>
              <w:jc w:val="both"/>
              <w:rPr>
                <w:rFonts w:eastAsia="Calibri" w:cs="Times New Roman"/>
                <w:sz w:val="20"/>
                <w:szCs w:val="20"/>
              </w:rPr>
            </w:pPr>
          </w:p>
        </w:tc>
        <w:tc>
          <w:tcPr>
            <w:tcW w:w="2330" w:type="pct"/>
          </w:tcPr>
          <w:p w:rsidR="004F5EAB" w:rsidRPr="007858DA" w:rsidRDefault="004F5EAB" w:rsidP="004F5EAB">
            <w:pPr>
              <w:jc w:val="both"/>
              <w:rPr>
                <w:rFonts w:eastAsia="Calibri" w:cs="Times New Roman"/>
                <w:sz w:val="20"/>
                <w:szCs w:val="20"/>
              </w:rPr>
            </w:pPr>
            <w:r w:rsidRPr="007858DA">
              <w:rPr>
                <w:rFonts w:eastAsia="Calibri" w:cs="Times New Roman"/>
                <w:sz w:val="20"/>
                <w:szCs w:val="20"/>
              </w:rPr>
              <w:t>Principal action allowed; action in warranty allowed</w:t>
            </w:r>
          </w:p>
          <w:p w:rsidR="004F5EAB" w:rsidRPr="007858DA" w:rsidRDefault="004F5EAB" w:rsidP="004F5EAB">
            <w:pPr>
              <w:jc w:val="both"/>
              <w:rPr>
                <w:rFonts w:eastAsia="Calibri" w:cs="Times New Roman"/>
                <w:sz w:val="20"/>
                <w:szCs w:val="20"/>
              </w:rPr>
            </w:pPr>
          </w:p>
        </w:tc>
      </w:tr>
      <w:tr w:rsidR="004F5EAB" w:rsidRPr="007858DA" w:rsidTr="004F5EAB">
        <w:tc>
          <w:tcPr>
            <w:tcW w:w="2427" w:type="pct"/>
          </w:tcPr>
          <w:p w:rsidR="004F5EAB" w:rsidRPr="007858DA" w:rsidRDefault="004F5EAB" w:rsidP="004F5EAB">
            <w:pPr>
              <w:jc w:val="both"/>
              <w:rPr>
                <w:rFonts w:eastAsia="Calibri" w:cs="Times New Roman"/>
                <w:sz w:val="20"/>
                <w:szCs w:val="20"/>
              </w:rPr>
            </w:pPr>
            <w:r w:rsidRPr="007858DA">
              <w:rPr>
                <w:rFonts w:eastAsia="Calibri" w:cs="Times New Roman"/>
                <w:sz w:val="20"/>
                <w:szCs w:val="20"/>
              </w:rPr>
              <w:t>September 27, 2012</w:t>
            </w:r>
          </w:p>
          <w:p w:rsidR="004F5EAB" w:rsidRPr="007858DA" w:rsidRDefault="004F5EAB" w:rsidP="004F5EAB">
            <w:pPr>
              <w:jc w:val="both"/>
              <w:rPr>
                <w:rFonts w:eastAsia="Calibri" w:cs="Times New Roman"/>
                <w:sz w:val="20"/>
                <w:szCs w:val="20"/>
              </w:rPr>
            </w:pPr>
            <w:r w:rsidRPr="007858DA">
              <w:rPr>
                <w:rFonts w:eastAsia="Calibri" w:cs="Times New Roman"/>
                <w:sz w:val="20"/>
                <w:szCs w:val="20"/>
              </w:rPr>
              <w:t>Quebec Court of Appeal (Montréal)</w:t>
            </w:r>
          </w:p>
          <w:p w:rsidR="004F5EAB" w:rsidRPr="007858DA" w:rsidRDefault="004F5EAB" w:rsidP="004F5EAB">
            <w:pPr>
              <w:jc w:val="both"/>
              <w:rPr>
                <w:rFonts w:eastAsia="Calibri" w:cs="Times New Roman"/>
                <w:sz w:val="20"/>
                <w:szCs w:val="20"/>
              </w:rPr>
            </w:pPr>
            <w:r w:rsidRPr="007858DA">
              <w:rPr>
                <w:rFonts w:eastAsia="Calibri" w:cs="Times New Roman"/>
                <w:sz w:val="20"/>
                <w:szCs w:val="20"/>
              </w:rPr>
              <w:t>(Dalphond J.A.)</w:t>
            </w:r>
          </w:p>
          <w:p w:rsidR="004F5EAB" w:rsidRPr="007858DA" w:rsidRDefault="004F5EAB" w:rsidP="004F5EAB">
            <w:pPr>
              <w:jc w:val="both"/>
              <w:rPr>
                <w:rFonts w:eastAsia="Calibri" w:cs="Times New Roman"/>
                <w:sz w:val="20"/>
                <w:szCs w:val="20"/>
              </w:rPr>
            </w:pPr>
            <w:r w:rsidRPr="007858DA">
              <w:rPr>
                <w:rFonts w:eastAsia="Calibri" w:cs="Times New Roman"/>
                <w:sz w:val="20"/>
                <w:szCs w:val="20"/>
              </w:rPr>
              <w:t>2012 QCCA 1736</w:t>
            </w:r>
          </w:p>
          <w:p w:rsidR="004F5EAB" w:rsidRPr="007858DA" w:rsidRDefault="004F5EAB" w:rsidP="004F5EAB">
            <w:pPr>
              <w:jc w:val="both"/>
              <w:rPr>
                <w:rFonts w:eastAsia="Calibri" w:cs="Times New Roman"/>
                <w:sz w:val="20"/>
                <w:szCs w:val="20"/>
              </w:rPr>
            </w:pPr>
          </w:p>
        </w:tc>
        <w:tc>
          <w:tcPr>
            <w:tcW w:w="243" w:type="pct"/>
          </w:tcPr>
          <w:p w:rsidR="004F5EAB" w:rsidRPr="007858DA" w:rsidRDefault="004F5EAB" w:rsidP="004F5EAB">
            <w:pPr>
              <w:jc w:val="both"/>
              <w:rPr>
                <w:rFonts w:eastAsia="Calibri" w:cs="Times New Roman"/>
                <w:sz w:val="20"/>
                <w:szCs w:val="20"/>
              </w:rPr>
            </w:pPr>
          </w:p>
        </w:tc>
        <w:tc>
          <w:tcPr>
            <w:tcW w:w="2330" w:type="pct"/>
          </w:tcPr>
          <w:p w:rsidR="004F5EAB" w:rsidRPr="007858DA" w:rsidRDefault="004F5EAB" w:rsidP="004F5EAB">
            <w:pPr>
              <w:jc w:val="both"/>
              <w:rPr>
                <w:rFonts w:eastAsia="Calibri" w:cs="Times New Roman"/>
                <w:sz w:val="20"/>
                <w:szCs w:val="20"/>
              </w:rPr>
            </w:pPr>
            <w:r w:rsidRPr="007858DA">
              <w:rPr>
                <w:rFonts w:eastAsia="Calibri" w:cs="Times New Roman"/>
                <w:sz w:val="20"/>
                <w:szCs w:val="20"/>
              </w:rPr>
              <w:t>Motion for leave to appeal dismissed</w:t>
            </w:r>
          </w:p>
        </w:tc>
      </w:tr>
      <w:tr w:rsidR="004F5EAB" w:rsidRPr="007858DA" w:rsidTr="004F5EAB">
        <w:tc>
          <w:tcPr>
            <w:tcW w:w="2427" w:type="pct"/>
          </w:tcPr>
          <w:p w:rsidR="004F5EAB" w:rsidRPr="007858DA" w:rsidRDefault="004F5EAB" w:rsidP="004F5EAB">
            <w:pPr>
              <w:jc w:val="both"/>
              <w:rPr>
                <w:rFonts w:eastAsia="Calibri" w:cs="Times New Roman"/>
                <w:sz w:val="20"/>
                <w:szCs w:val="20"/>
              </w:rPr>
            </w:pPr>
            <w:r w:rsidRPr="007858DA">
              <w:rPr>
                <w:rFonts w:eastAsia="Calibri" w:cs="Times New Roman"/>
                <w:sz w:val="20"/>
                <w:szCs w:val="20"/>
              </w:rPr>
              <w:t>November 26, 2012</w:t>
            </w:r>
          </w:p>
          <w:p w:rsidR="004F5EAB" w:rsidRPr="007858DA" w:rsidRDefault="004F5EAB" w:rsidP="007858DA">
            <w:pPr>
              <w:jc w:val="both"/>
              <w:rPr>
                <w:rFonts w:eastAsia="Calibri" w:cs="Times New Roman"/>
                <w:sz w:val="20"/>
                <w:szCs w:val="20"/>
              </w:rPr>
            </w:pPr>
            <w:r w:rsidRPr="007858DA">
              <w:rPr>
                <w:rFonts w:eastAsia="Calibri" w:cs="Times New Roman"/>
                <w:sz w:val="20"/>
                <w:szCs w:val="20"/>
              </w:rPr>
              <w:t>Supreme Court of Canada</w:t>
            </w:r>
          </w:p>
        </w:tc>
        <w:tc>
          <w:tcPr>
            <w:tcW w:w="243" w:type="pct"/>
          </w:tcPr>
          <w:p w:rsidR="004F5EAB" w:rsidRPr="007858DA" w:rsidRDefault="004F5EAB" w:rsidP="004F5EAB">
            <w:pPr>
              <w:jc w:val="both"/>
              <w:rPr>
                <w:rFonts w:eastAsia="Calibri" w:cs="Times New Roman"/>
                <w:sz w:val="20"/>
                <w:szCs w:val="20"/>
              </w:rPr>
            </w:pPr>
          </w:p>
        </w:tc>
        <w:tc>
          <w:tcPr>
            <w:tcW w:w="2330" w:type="pct"/>
          </w:tcPr>
          <w:p w:rsidR="004F5EAB" w:rsidRPr="007858DA" w:rsidRDefault="004F5EAB" w:rsidP="004F5EAB">
            <w:pPr>
              <w:jc w:val="both"/>
              <w:rPr>
                <w:rFonts w:eastAsia="Calibri" w:cs="Times New Roman"/>
                <w:sz w:val="20"/>
                <w:szCs w:val="20"/>
              </w:rPr>
            </w:pPr>
            <w:r w:rsidRPr="007858DA">
              <w:rPr>
                <w:rFonts w:eastAsia="Calibri" w:cs="Times New Roman"/>
                <w:sz w:val="20"/>
                <w:szCs w:val="20"/>
              </w:rPr>
              <w:t>Application for leave to appeal filed</w:t>
            </w:r>
          </w:p>
          <w:p w:rsidR="004F5EAB" w:rsidRPr="007858DA" w:rsidRDefault="004F5EAB" w:rsidP="004F5EAB">
            <w:pPr>
              <w:jc w:val="both"/>
              <w:rPr>
                <w:rFonts w:eastAsia="Calibri" w:cs="Times New Roman"/>
                <w:sz w:val="20"/>
                <w:szCs w:val="20"/>
              </w:rPr>
            </w:pPr>
          </w:p>
        </w:tc>
      </w:tr>
    </w:tbl>
    <w:p w:rsidR="004F5EAB" w:rsidRPr="007858DA" w:rsidRDefault="004F5EAB" w:rsidP="004F5EAB">
      <w:pPr>
        <w:rPr>
          <w:rFonts w:cs="Times New Roman"/>
          <w:sz w:val="20"/>
          <w:szCs w:val="20"/>
        </w:rPr>
      </w:pPr>
    </w:p>
    <w:p w:rsidR="004F5EAB" w:rsidRPr="007858DA" w:rsidRDefault="00B74DD2" w:rsidP="004F5EAB">
      <w:pPr>
        <w:rPr>
          <w:rFonts w:cs="Times New Roman"/>
          <w:sz w:val="20"/>
          <w:szCs w:val="20"/>
        </w:rPr>
      </w:pPr>
      <w:r w:rsidRPr="00B74DD2">
        <w:rPr>
          <w:rFonts w:cs="Times New Roman"/>
          <w:sz w:val="20"/>
          <w:szCs w:val="20"/>
          <w:lang w:val="fr-CA"/>
        </w:rPr>
        <w:pict>
          <v:rect id="_x0000_i1052" style="width:2in;height:1pt" o:hrpct="0" o:hralign="center" o:hrstd="t" o:hrnoshade="t" o:hr="t" fillcolor="black [3213]" stroked="f"/>
        </w:pict>
      </w:r>
    </w:p>
    <w:p w:rsidR="00912E1C" w:rsidRDefault="00912E1C">
      <w:pPr>
        <w:rPr>
          <w:rFonts w:cs="Times New Roman"/>
          <w:sz w:val="20"/>
          <w:szCs w:val="20"/>
        </w:rPr>
      </w:pPr>
    </w:p>
    <w:p w:rsidR="004F5EAB" w:rsidRPr="007858DA" w:rsidRDefault="004F5EAB" w:rsidP="004F5EAB">
      <w:pPr>
        <w:rPr>
          <w:rFonts w:cs="Times New Roman"/>
          <w:sz w:val="20"/>
          <w:szCs w:val="20"/>
          <w:u w:val="single"/>
          <w:lang w:val="fr-CA"/>
        </w:rPr>
      </w:pPr>
      <w:r w:rsidRPr="007858DA">
        <w:rPr>
          <w:rFonts w:cs="Times New Roman"/>
          <w:sz w:val="20"/>
          <w:szCs w:val="20"/>
          <w:u w:val="single"/>
          <w:lang w:val="fr-CA"/>
        </w:rPr>
        <w:t>RÉSUMÉ DE L’AFFAIRE</w:t>
      </w:r>
    </w:p>
    <w:p w:rsidR="004F5EAB" w:rsidRPr="007858DA" w:rsidRDefault="004F5EAB" w:rsidP="004F5EAB">
      <w:pPr>
        <w:keepNext/>
        <w:rPr>
          <w:rFonts w:cs="Times New Roman"/>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4F5EAB" w:rsidRPr="00C4248C" w:rsidTr="004F5EAB">
        <w:tc>
          <w:tcPr>
            <w:tcW w:w="5000" w:type="pct"/>
            <w:gridSpan w:val="3"/>
          </w:tcPr>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Procédure civile — Appels — Requête pour permission d’appel — Contrats — Contrat d’entreprise — Mauvaise exécution des travaux —Recours en garantie — Absence de mise en demeure — Doit</w:t>
            </w:r>
            <w:r w:rsidRPr="007858DA">
              <w:rPr>
                <w:rFonts w:eastAsia="Calibri" w:cs="Times New Roman"/>
                <w:sz w:val="20"/>
                <w:szCs w:val="20"/>
                <w:lang w:val="fr-CA"/>
              </w:rPr>
              <w:noBreakHyphen/>
              <w:t xml:space="preserve">on appliquer le régime de droit commun général édicté par l’art. 1458 du </w:t>
            </w:r>
            <w:r w:rsidRPr="007858DA">
              <w:rPr>
                <w:rFonts w:eastAsia="Calibri" w:cs="Times New Roman"/>
                <w:i/>
                <w:sz w:val="20"/>
                <w:szCs w:val="20"/>
                <w:lang w:val="fr-CA"/>
              </w:rPr>
              <w:t>Code civil du Québec</w:t>
            </w:r>
            <w:r w:rsidRPr="007858DA">
              <w:rPr>
                <w:rFonts w:eastAsia="Calibri" w:cs="Times New Roman"/>
                <w:sz w:val="20"/>
                <w:szCs w:val="20"/>
                <w:lang w:val="fr-CA"/>
              </w:rPr>
              <w:t>, L.Q. 1991, ch. 64,</w:t>
            </w:r>
            <w:r w:rsidRPr="007858DA">
              <w:rPr>
                <w:rFonts w:eastAsia="Calibri" w:cs="Times New Roman"/>
                <w:i/>
                <w:sz w:val="20"/>
                <w:szCs w:val="20"/>
                <w:lang w:val="fr-CA"/>
              </w:rPr>
              <w:t xml:space="preserve"> </w:t>
            </w:r>
            <w:r w:rsidRPr="007858DA">
              <w:rPr>
                <w:rFonts w:eastAsia="Calibri" w:cs="Times New Roman"/>
                <w:sz w:val="20"/>
                <w:szCs w:val="20"/>
                <w:lang w:val="fr-CA"/>
              </w:rPr>
              <w:t>ou le régime d’exception des art. 2118 et suiv. pour le présent dossier? — La Cour d’appel a</w:t>
            </w:r>
            <w:r w:rsidRPr="007858DA">
              <w:rPr>
                <w:rFonts w:eastAsia="Calibri" w:cs="Times New Roman"/>
                <w:sz w:val="20"/>
                <w:szCs w:val="20"/>
                <w:lang w:val="fr-CA"/>
              </w:rPr>
              <w:noBreakHyphen/>
              <w:t>t</w:t>
            </w:r>
            <w:r w:rsidRPr="007858DA">
              <w:rPr>
                <w:rFonts w:eastAsia="Calibri" w:cs="Times New Roman"/>
                <w:sz w:val="20"/>
                <w:szCs w:val="20"/>
                <w:lang w:val="fr-CA"/>
              </w:rPr>
              <w:noBreakHyphen/>
              <w:t xml:space="preserve">elle commis une erreur de droit en refusant d’accorder une permission d’appeler, compte tenu de l’al. 2 de l’art. 26 du </w:t>
            </w:r>
            <w:r w:rsidRPr="007858DA">
              <w:rPr>
                <w:rFonts w:eastAsia="Calibri" w:cs="Times New Roman"/>
                <w:i/>
                <w:sz w:val="20"/>
                <w:szCs w:val="20"/>
                <w:lang w:val="fr-CA"/>
              </w:rPr>
              <w:t>Code de procédure civile</w:t>
            </w:r>
            <w:r w:rsidRPr="007858DA">
              <w:rPr>
                <w:rFonts w:eastAsia="Calibri" w:cs="Times New Roman"/>
                <w:sz w:val="20"/>
                <w:szCs w:val="20"/>
                <w:lang w:val="fr-CA"/>
              </w:rPr>
              <w:t>, L.R.Q., ch. C</w:t>
            </w:r>
            <w:r w:rsidRPr="007858DA">
              <w:rPr>
                <w:rFonts w:eastAsia="Calibri" w:cs="Times New Roman"/>
                <w:sz w:val="20"/>
                <w:szCs w:val="20"/>
                <w:lang w:val="fr-CA"/>
              </w:rPr>
              <w:noBreakHyphen/>
              <w:t>25? — L’absence de mise en demeure est</w:t>
            </w:r>
            <w:r w:rsidRPr="007858DA">
              <w:rPr>
                <w:rFonts w:eastAsia="Calibri" w:cs="Times New Roman"/>
                <w:sz w:val="20"/>
                <w:szCs w:val="20"/>
                <w:lang w:val="fr-CA"/>
              </w:rPr>
              <w:noBreakHyphen/>
              <w:t>elle fatale quant au recours en appel en garantie? — Peut</w:t>
            </w:r>
            <w:r w:rsidRPr="007858DA">
              <w:rPr>
                <w:rFonts w:eastAsia="Calibri" w:cs="Times New Roman"/>
                <w:sz w:val="20"/>
                <w:szCs w:val="20"/>
                <w:lang w:val="fr-CA"/>
              </w:rPr>
              <w:noBreakHyphen/>
              <w:t xml:space="preserve">on conclure </w:t>
            </w:r>
            <w:r w:rsidRPr="007858DA">
              <w:rPr>
                <w:rFonts w:eastAsia="Calibri" w:cs="Times New Roman"/>
                <w:sz w:val="20"/>
                <w:szCs w:val="20"/>
                <w:lang w:val="fr-CA"/>
              </w:rPr>
              <w:lastRenderedPageBreak/>
              <w:t>à la responsabilité de la partie demanderesse sous le régime du droit commun?</w:t>
            </w:r>
          </w:p>
        </w:tc>
      </w:tr>
      <w:tr w:rsidR="004F5EAB" w:rsidRPr="00C4248C" w:rsidTr="004F5EAB">
        <w:tc>
          <w:tcPr>
            <w:tcW w:w="5000" w:type="pct"/>
            <w:gridSpan w:val="3"/>
          </w:tcPr>
          <w:p w:rsidR="004F5EAB" w:rsidRPr="007858DA" w:rsidRDefault="004F5EAB" w:rsidP="004F5EAB">
            <w:pPr>
              <w:jc w:val="both"/>
              <w:rPr>
                <w:rFonts w:eastAsia="Calibri" w:cs="Times New Roman"/>
                <w:sz w:val="20"/>
                <w:szCs w:val="20"/>
                <w:lang w:val="fr-CA"/>
              </w:rPr>
            </w:pPr>
          </w:p>
        </w:tc>
      </w:tr>
      <w:tr w:rsidR="004F5EAB" w:rsidRPr="00C4248C" w:rsidTr="004F5EAB">
        <w:tc>
          <w:tcPr>
            <w:tcW w:w="5000" w:type="pct"/>
            <w:gridSpan w:val="3"/>
          </w:tcPr>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L’intimé Farmer intente une action réclamant 90 199,66$ de l’intimée Devenco Contracting inc., entrepreneur général, pour des vices de construction et malfaçons en lien avec des travaux de rénovation et d’agrandissement de sa résidence.  Devenco appelle en garantie la demanderesse Domenico &amp; Fils (1997) inc., le sous</w:t>
            </w:r>
            <w:r w:rsidRPr="007858DA">
              <w:rPr>
                <w:rFonts w:eastAsia="Calibri" w:cs="Times New Roman"/>
                <w:sz w:val="20"/>
                <w:szCs w:val="20"/>
                <w:lang w:val="fr-CA"/>
              </w:rPr>
              <w:noBreakHyphen/>
              <w:t>entrepreneur à qui Devenco a confié les travaux de maçonnerie.  Bien que Devenco ait été mise en demeure par M. Farmer concernant les problèmes de structure et de maçonnerie, Domenico n’en est avisée qu’un an et demi plus tard lorsque Devenco l’appelle en garantie dans le cadre de la poursuite de M. Farmer.</w:t>
            </w:r>
          </w:p>
          <w:p w:rsidR="004F5EAB" w:rsidRPr="007858DA" w:rsidRDefault="004F5EAB" w:rsidP="004F5EAB">
            <w:pPr>
              <w:jc w:val="both"/>
              <w:rPr>
                <w:rFonts w:eastAsia="Calibri" w:cs="Times New Roman"/>
                <w:sz w:val="20"/>
                <w:szCs w:val="20"/>
                <w:lang w:val="fr-CA"/>
              </w:rPr>
            </w:pPr>
          </w:p>
        </w:tc>
      </w:tr>
      <w:tr w:rsidR="004F5EAB" w:rsidRPr="00C4248C" w:rsidTr="004F5EAB">
        <w:tc>
          <w:tcPr>
            <w:tcW w:w="2427" w:type="pct"/>
          </w:tcPr>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Le 8 août 2012</w:t>
            </w:r>
          </w:p>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Cour supérieure du Québec</w:t>
            </w:r>
          </w:p>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(La juge Paquette)</w:t>
            </w:r>
          </w:p>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2012 QCCS 3795</w:t>
            </w:r>
          </w:p>
          <w:p w:rsidR="004F5EAB" w:rsidRPr="007858DA" w:rsidRDefault="004F5EAB" w:rsidP="004F5EAB">
            <w:pPr>
              <w:jc w:val="both"/>
              <w:rPr>
                <w:rFonts w:eastAsia="Calibri" w:cs="Times New Roman"/>
                <w:sz w:val="20"/>
                <w:szCs w:val="20"/>
                <w:lang w:val="fr-CA"/>
              </w:rPr>
            </w:pPr>
          </w:p>
        </w:tc>
        <w:tc>
          <w:tcPr>
            <w:tcW w:w="243" w:type="pct"/>
          </w:tcPr>
          <w:p w:rsidR="004F5EAB" w:rsidRPr="007858DA" w:rsidRDefault="004F5EAB" w:rsidP="004F5EAB">
            <w:pPr>
              <w:jc w:val="both"/>
              <w:rPr>
                <w:rFonts w:eastAsia="Calibri" w:cs="Times New Roman"/>
                <w:sz w:val="20"/>
                <w:szCs w:val="20"/>
                <w:lang w:val="fr-FR"/>
              </w:rPr>
            </w:pPr>
          </w:p>
        </w:tc>
        <w:tc>
          <w:tcPr>
            <w:tcW w:w="2330" w:type="pct"/>
          </w:tcPr>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Action principale accueillie; action en garantie accueillie</w:t>
            </w:r>
          </w:p>
          <w:p w:rsidR="004F5EAB" w:rsidRPr="007858DA" w:rsidRDefault="004F5EAB" w:rsidP="004F5EAB">
            <w:pPr>
              <w:jc w:val="both"/>
              <w:rPr>
                <w:rFonts w:eastAsia="Calibri" w:cs="Times New Roman"/>
                <w:sz w:val="20"/>
                <w:szCs w:val="20"/>
                <w:lang w:val="fr-CA"/>
              </w:rPr>
            </w:pPr>
          </w:p>
        </w:tc>
      </w:tr>
      <w:tr w:rsidR="004F5EAB" w:rsidRPr="00C4248C" w:rsidTr="004F5EAB">
        <w:tc>
          <w:tcPr>
            <w:tcW w:w="2427" w:type="pct"/>
          </w:tcPr>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Le 27 septembre 2012</w:t>
            </w:r>
          </w:p>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Cour d’appel du Québec (Montréal)</w:t>
            </w:r>
          </w:p>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(Le juge Dalphond)</w:t>
            </w:r>
          </w:p>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2012 QCCA 1736</w:t>
            </w:r>
          </w:p>
          <w:p w:rsidR="004F5EAB" w:rsidRPr="007858DA" w:rsidRDefault="004F5EAB" w:rsidP="004F5EAB">
            <w:pPr>
              <w:jc w:val="both"/>
              <w:rPr>
                <w:rFonts w:eastAsia="Calibri" w:cs="Times New Roman"/>
                <w:sz w:val="20"/>
                <w:szCs w:val="20"/>
                <w:lang w:val="fr-CA"/>
              </w:rPr>
            </w:pPr>
          </w:p>
        </w:tc>
        <w:tc>
          <w:tcPr>
            <w:tcW w:w="243" w:type="pct"/>
          </w:tcPr>
          <w:p w:rsidR="004F5EAB" w:rsidRPr="007858DA" w:rsidRDefault="004F5EAB" w:rsidP="004F5EAB">
            <w:pPr>
              <w:jc w:val="both"/>
              <w:rPr>
                <w:rFonts w:eastAsia="Calibri" w:cs="Times New Roman"/>
                <w:sz w:val="20"/>
                <w:szCs w:val="20"/>
                <w:lang w:val="fr-FR"/>
              </w:rPr>
            </w:pPr>
          </w:p>
        </w:tc>
        <w:tc>
          <w:tcPr>
            <w:tcW w:w="2330" w:type="pct"/>
          </w:tcPr>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Requête pour permission d’appel rejetée</w:t>
            </w:r>
          </w:p>
        </w:tc>
      </w:tr>
      <w:tr w:rsidR="004F5EAB" w:rsidRPr="007858DA" w:rsidTr="004F5EAB">
        <w:tc>
          <w:tcPr>
            <w:tcW w:w="2427" w:type="pct"/>
          </w:tcPr>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Le 26 novembre 2012</w:t>
            </w:r>
          </w:p>
          <w:p w:rsidR="004F5EAB" w:rsidRPr="007858DA" w:rsidRDefault="004F5EAB" w:rsidP="004F5EAB">
            <w:pPr>
              <w:jc w:val="both"/>
              <w:rPr>
                <w:rFonts w:eastAsia="Calibri" w:cs="Times New Roman"/>
                <w:sz w:val="20"/>
                <w:szCs w:val="20"/>
                <w:lang w:val="fr-FR"/>
              </w:rPr>
            </w:pPr>
            <w:r w:rsidRPr="007858DA">
              <w:rPr>
                <w:rFonts w:eastAsia="Calibri" w:cs="Times New Roman"/>
                <w:sz w:val="20"/>
                <w:szCs w:val="20"/>
                <w:lang w:val="fr-CA"/>
              </w:rPr>
              <w:t>Cour suprême du Canada</w:t>
            </w:r>
          </w:p>
        </w:tc>
        <w:tc>
          <w:tcPr>
            <w:tcW w:w="243" w:type="pct"/>
          </w:tcPr>
          <w:p w:rsidR="004F5EAB" w:rsidRPr="007858DA" w:rsidRDefault="004F5EAB" w:rsidP="004F5EAB">
            <w:pPr>
              <w:jc w:val="both"/>
              <w:rPr>
                <w:rFonts w:eastAsia="Calibri" w:cs="Times New Roman"/>
                <w:sz w:val="20"/>
                <w:szCs w:val="20"/>
                <w:lang w:val="fr-FR"/>
              </w:rPr>
            </w:pPr>
          </w:p>
        </w:tc>
        <w:tc>
          <w:tcPr>
            <w:tcW w:w="2330" w:type="pct"/>
          </w:tcPr>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Demande d'autorisation d'appel déposée</w:t>
            </w:r>
          </w:p>
        </w:tc>
      </w:tr>
    </w:tbl>
    <w:p w:rsidR="004F5EAB" w:rsidRPr="007858DA" w:rsidRDefault="004F5EAB" w:rsidP="004F5EAB">
      <w:pPr>
        <w:jc w:val="both"/>
        <w:rPr>
          <w:rFonts w:eastAsia="Calibri" w:cs="Times New Roman"/>
          <w:sz w:val="20"/>
          <w:szCs w:val="20"/>
          <w:lang w:val="fr-CA"/>
        </w:rPr>
      </w:pPr>
    </w:p>
    <w:p w:rsidR="004F5EAB" w:rsidRPr="007858DA" w:rsidRDefault="00B74DD2" w:rsidP="004F5EAB">
      <w:pPr>
        <w:rPr>
          <w:rFonts w:cs="Times New Roman"/>
          <w:sz w:val="20"/>
          <w:szCs w:val="20"/>
        </w:rPr>
      </w:pPr>
      <w:r w:rsidRPr="00B74DD2">
        <w:rPr>
          <w:rFonts w:cs="Times New Roman"/>
          <w:sz w:val="20"/>
          <w:szCs w:val="20"/>
          <w:lang w:val="fr-CA"/>
        </w:rPr>
        <w:pict>
          <v:rect id="_x0000_i1053" style="width:2in;height:1pt" o:hrpct="0" o:hralign="center" o:hrstd="t" o:hrnoshade="t" o:hr="t" fillcolor="black [3213]" stroked="f"/>
        </w:pict>
      </w:r>
    </w:p>
    <w:p w:rsidR="00C8743C" w:rsidRPr="007858DA" w:rsidRDefault="00C8743C" w:rsidP="00C8743C">
      <w:pPr>
        <w:jc w:val="both"/>
        <w:rPr>
          <w:rFonts w:eastAsia="Calibri" w:cs="Times New Roman"/>
          <w:sz w:val="20"/>
          <w:szCs w:val="20"/>
          <w:lang w:val="fr-CA"/>
        </w:rPr>
      </w:pPr>
    </w:p>
    <w:tbl>
      <w:tblPr>
        <w:tblStyle w:val="TableGrid7"/>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54DED" w:rsidRPr="004D2A97" w:rsidTr="005F7339">
        <w:trPr>
          <w:cantSplit/>
        </w:trPr>
        <w:tc>
          <w:tcPr>
            <w:tcW w:w="1458" w:type="dxa"/>
          </w:tcPr>
          <w:p w:rsidR="00154DED" w:rsidRPr="007858DA" w:rsidRDefault="00154DED" w:rsidP="00154DED">
            <w:pPr>
              <w:rPr>
                <w:rFonts w:cs="Times New Roman"/>
                <w:sz w:val="20"/>
                <w:szCs w:val="20"/>
              </w:rPr>
            </w:pPr>
            <w:r w:rsidRPr="007858DA">
              <w:rPr>
                <w:rFonts w:cs="Times New Roman"/>
                <w:b/>
                <w:sz w:val="20"/>
                <w:szCs w:val="20"/>
                <w:lang w:val="fr-CA"/>
              </w:rPr>
              <w:t>35113</w:t>
            </w:r>
          </w:p>
          <w:p w:rsidR="00154DED" w:rsidRPr="007858DA" w:rsidRDefault="00154DED" w:rsidP="00154DED">
            <w:pPr>
              <w:rPr>
                <w:rFonts w:cs="Times New Roman"/>
                <w:b/>
                <w:sz w:val="20"/>
                <w:szCs w:val="20"/>
                <w:lang w:val="fr-CA"/>
              </w:rPr>
            </w:pPr>
          </w:p>
        </w:tc>
        <w:tc>
          <w:tcPr>
            <w:tcW w:w="8118" w:type="dxa"/>
          </w:tcPr>
          <w:p w:rsidR="00154DED" w:rsidRPr="004D2A97" w:rsidRDefault="00154DED" w:rsidP="004D2A97">
            <w:pPr>
              <w:jc w:val="both"/>
              <w:rPr>
                <w:rFonts w:cs="Times New Roman"/>
                <w:sz w:val="20"/>
                <w:szCs w:val="20"/>
                <w:lang w:val="fr-CA"/>
              </w:rPr>
            </w:pPr>
            <w:r w:rsidRPr="007858DA">
              <w:rPr>
                <w:rFonts w:cs="Times New Roman"/>
                <w:b/>
                <w:sz w:val="20"/>
                <w:szCs w:val="20"/>
                <w:u w:val="single"/>
                <w:lang w:val="fr-CA"/>
              </w:rPr>
              <w:t>Gérald Doucet</w:t>
            </w:r>
            <w:r w:rsidR="004D2A97">
              <w:rPr>
                <w:rFonts w:cs="Times New Roman"/>
                <w:b/>
                <w:sz w:val="20"/>
                <w:szCs w:val="20"/>
                <w:u w:val="single"/>
                <w:lang w:val="fr-CA"/>
              </w:rPr>
              <w:t xml:space="preserve"> et</w:t>
            </w:r>
            <w:r w:rsidRPr="007858DA">
              <w:rPr>
                <w:rFonts w:cs="Times New Roman"/>
                <w:b/>
                <w:sz w:val="20"/>
                <w:szCs w:val="20"/>
                <w:u w:val="single"/>
                <w:lang w:val="fr-CA"/>
              </w:rPr>
              <w:t xml:space="preserve"> J. Alfred Doucet c. Pierre Bourque, Bourque, Pierre et Fils Ltée, Société de fiducie Computershare du Canada/ Computershare Trust Company of Canada</w:t>
            </w:r>
            <w:r w:rsidR="004D2A97">
              <w:rPr>
                <w:rFonts w:cs="Times New Roman"/>
                <w:b/>
                <w:sz w:val="20"/>
                <w:szCs w:val="20"/>
                <w:u w:val="single"/>
                <w:lang w:val="fr-CA"/>
              </w:rPr>
              <w:t xml:space="preserve"> et</w:t>
            </w:r>
            <w:r w:rsidRPr="007858DA">
              <w:rPr>
                <w:rFonts w:cs="Times New Roman"/>
                <w:b/>
                <w:sz w:val="20"/>
                <w:szCs w:val="20"/>
                <w:u w:val="single"/>
                <w:lang w:val="fr-CA"/>
              </w:rPr>
              <w:t xml:space="preserve"> Gestion 555 Carrière inc.</w:t>
            </w:r>
            <w:r w:rsidRPr="007858DA">
              <w:rPr>
                <w:rFonts w:cs="Times New Roman"/>
                <w:sz w:val="20"/>
                <w:szCs w:val="20"/>
                <w:lang w:val="fr-CA"/>
              </w:rPr>
              <w:t xml:space="preserve"> </w:t>
            </w:r>
            <w:r w:rsidRPr="004D2A97">
              <w:rPr>
                <w:rFonts w:cs="Times New Roman"/>
                <w:sz w:val="20"/>
                <w:szCs w:val="20"/>
                <w:lang w:val="fr-CA"/>
              </w:rPr>
              <w:t>(Qc) (Civile) (Autorisation)</w:t>
            </w:r>
          </w:p>
          <w:p w:rsidR="00154DED" w:rsidRPr="004D2A97" w:rsidRDefault="00154DED" w:rsidP="004D2A97">
            <w:pPr>
              <w:jc w:val="both"/>
              <w:rPr>
                <w:rFonts w:cs="Times New Roman"/>
                <w:sz w:val="20"/>
                <w:szCs w:val="20"/>
                <w:lang w:val="fr-CA"/>
              </w:rPr>
            </w:pPr>
          </w:p>
        </w:tc>
      </w:tr>
      <w:tr w:rsidR="00154DED" w:rsidRPr="00C4248C" w:rsidTr="005F7339">
        <w:trPr>
          <w:cantSplit/>
        </w:trPr>
        <w:tc>
          <w:tcPr>
            <w:tcW w:w="1458" w:type="dxa"/>
          </w:tcPr>
          <w:p w:rsidR="00154DED" w:rsidRPr="007858DA" w:rsidRDefault="00154DED" w:rsidP="00154DED">
            <w:pPr>
              <w:rPr>
                <w:rFonts w:cs="Times New Roman"/>
                <w:sz w:val="20"/>
                <w:szCs w:val="20"/>
              </w:rPr>
            </w:pPr>
            <w:r w:rsidRPr="007858DA">
              <w:rPr>
                <w:rFonts w:cs="Times New Roman"/>
                <w:sz w:val="20"/>
                <w:szCs w:val="20"/>
              </w:rPr>
              <w:t>Coram :</w:t>
            </w:r>
          </w:p>
        </w:tc>
        <w:tc>
          <w:tcPr>
            <w:tcW w:w="8118" w:type="dxa"/>
          </w:tcPr>
          <w:p w:rsidR="00154DED" w:rsidRPr="007858DA" w:rsidRDefault="00154DED" w:rsidP="00154DED">
            <w:pPr>
              <w:rPr>
                <w:rFonts w:cs="Times New Roman"/>
                <w:sz w:val="20"/>
                <w:szCs w:val="20"/>
                <w:lang w:val="fr-CA"/>
              </w:rPr>
            </w:pPr>
            <w:r w:rsidRPr="007858DA">
              <w:rPr>
                <w:rFonts w:cs="Times New Roman"/>
                <w:sz w:val="20"/>
                <w:szCs w:val="20"/>
                <w:u w:val="single"/>
                <w:lang w:val="fr-CA"/>
              </w:rPr>
              <w:t>Les juges LeBel, Karakatsanis et Wagner</w:t>
            </w:r>
          </w:p>
          <w:p w:rsidR="00154DED" w:rsidRPr="007858DA" w:rsidRDefault="00154DED" w:rsidP="00154DED">
            <w:pPr>
              <w:rPr>
                <w:rFonts w:cs="Times New Roman"/>
                <w:sz w:val="20"/>
                <w:szCs w:val="20"/>
                <w:u w:val="single"/>
                <w:lang w:val="fr-CA"/>
              </w:rPr>
            </w:pPr>
          </w:p>
        </w:tc>
      </w:tr>
      <w:tr w:rsidR="00154DED" w:rsidRPr="007858DA" w:rsidTr="005F7339">
        <w:trPr>
          <w:cantSplit/>
        </w:trPr>
        <w:tc>
          <w:tcPr>
            <w:tcW w:w="9576" w:type="dxa"/>
            <w:gridSpan w:val="2"/>
          </w:tcPr>
          <w:p w:rsidR="00154DED" w:rsidRPr="007858DA" w:rsidRDefault="00154DED" w:rsidP="00154DED">
            <w:pPr>
              <w:ind w:firstLine="720"/>
              <w:jc w:val="both"/>
              <w:rPr>
                <w:rFonts w:cs="Times New Roman"/>
                <w:sz w:val="20"/>
                <w:szCs w:val="20"/>
                <w:lang w:val="fr-CA"/>
              </w:rPr>
            </w:pPr>
            <w:r w:rsidRPr="007858DA">
              <w:rPr>
                <w:rFonts w:cs="Times New Roman"/>
                <w:sz w:val="20"/>
                <w:szCs w:val="20"/>
                <w:lang w:val="fr-CA"/>
              </w:rPr>
              <w:t>La demande d’autorisation d’appel de l’arrêt de la Cour d’appel du Québec (Montréal), numéro 500-09-021819-115, 2012 QCCA 1850, daté du 3 octobre 2012, est rejetée avec dépens en faveur des intimées Société de fiducie Computershare du Canada/Computershare Trust Company of Canada et Gestion 555 Carrière inc.</w:t>
            </w:r>
          </w:p>
          <w:p w:rsidR="00154DED" w:rsidRPr="007858DA" w:rsidRDefault="00154DED" w:rsidP="00154DED">
            <w:pPr>
              <w:jc w:val="both"/>
              <w:rPr>
                <w:rFonts w:cs="Times New Roman"/>
                <w:sz w:val="20"/>
                <w:szCs w:val="20"/>
                <w:lang w:val="fr-CA"/>
              </w:rPr>
            </w:pPr>
          </w:p>
          <w:p w:rsidR="00154DED" w:rsidRPr="007858DA" w:rsidRDefault="00154DED" w:rsidP="00154DED">
            <w:pPr>
              <w:ind w:firstLine="720"/>
              <w:jc w:val="both"/>
              <w:rPr>
                <w:rFonts w:cs="Times New Roman"/>
                <w:sz w:val="20"/>
                <w:szCs w:val="20"/>
              </w:rPr>
            </w:pPr>
            <w:r w:rsidRPr="007858DA">
              <w:rPr>
                <w:rFonts w:cs="Times New Roman"/>
                <w:sz w:val="20"/>
                <w:szCs w:val="20"/>
              </w:rPr>
              <w:t>The application for leave to appeal from the judgment of the Court of Appeal of Quebec (Montréal), Number 500-09-021819-115, 2012 QCCA 1850, dated October 3, 2012, is dismissed with costs to the respondents Computershare Trust Company of Canada/Société de fiducie Computershare du Canada and Gestion 555 Carrière inc.</w:t>
            </w:r>
          </w:p>
        </w:tc>
      </w:tr>
    </w:tbl>
    <w:p w:rsidR="00C8743C" w:rsidRPr="007858DA" w:rsidRDefault="00C8743C" w:rsidP="00C8743C">
      <w:pPr>
        <w:rPr>
          <w:rFonts w:cs="Times New Roman"/>
          <w:sz w:val="20"/>
          <w:szCs w:val="20"/>
        </w:rPr>
      </w:pPr>
    </w:p>
    <w:p w:rsidR="00C8743C" w:rsidRPr="007858DA" w:rsidRDefault="00C8743C" w:rsidP="00C8743C">
      <w:pPr>
        <w:rPr>
          <w:rFonts w:cs="Times New Roman"/>
          <w:sz w:val="20"/>
          <w:szCs w:val="20"/>
          <w:u w:val="single"/>
        </w:rPr>
      </w:pPr>
      <w:r w:rsidRPr="007858DA">
        <w:rPr>
          <w:rFonts w:cs="Times New Roman"/>
          <w:sz w:val="20"/>
          <w:szCs w:val="20"/>
          <w:u w:val="single"/>
        </w:rPr>
        <w:t>CASE SUMMARY</w:t>
      </w:r>
    </w:p>
    <w:p w:rsidR="00C8743C" w:rsidRPr="007858DA" w:rsidRDefault="00C8743C" w:rsidP="00C8743C">
      <w:pPr>
        <w:rPr>
          <w:rFonts w:cs="Times New Roman"/>
          <w:sz w:val="20"/>
          <w:szCs w:val="20"/>
          <w:u w:val="single"/>
        </w:rPr>
      </w:pPr>
    </w:p>
    <w:tbl>
      <w:tblPr>
        <w:tblW w:w="4952" w:type="pct"/>
        <w:tblLayout w:type="fixed"/>
        <w:tblCellMar>
          <w:left w:w="0" w:type="dxa"/>
          <w:bottom w:w="99" w:type="dxa"/>
          <w:right w:w="0" w:type="dxa"/>
        </w:tblCellMar>
        <w:tblLook w:val="04A0"/>
      </w:tblPr>
      <w:tblGrid>
        <w:gridCol w:w="4624"/>
        <w:gridCol w:w="463"/>
        <w:gridCol w:w="4440"/>
      </w:tblGrid>
      <w:tr w:rsidR="00C8743C" w:rsidRPr="007858DA" w:rsidTr="00D41649">
        <w:tc>
          <w:tcPr>
            <w:tcW w:w="5000" w:type="pct"/>
            <w:gridSpan w:val="3"/>
          </w:tcPr>
          <w:p w:rsidR="00C8743C" w:rsidRPr="007858DA" w:rsidRDefault="00C8743C" w:rsidP="00D41649">
            <w:pPr>
              <w:jc w:val="both"/>
              <w:rPr>
                <w:rFonts w:eastAsia="Calibri" w:cs="Times New Roman"/>
                <w:sz w:val="20"/>
                <w:szCs w:val="20"/>
              </w:rPr>
            </w:pPr>
            <w:r w:rsidRPr="007858DA">
              <w:rPr>
                <w:rFonts w:eastAsia="Calibri" w:cs="Times New Roman"/>
                <w:sz w:val="20"/>
                <w:szCs w:val="20"/>
              </w:rPr>
              <w:t xml:space="preserve">Civil procedure — Dismissal of application to institute proceedings — </w:t>
            </w:r>
            <w:r w:rsidRPr="007858DA">
              <w:rPr>
                <w:rFonts w:eastAsia="Calibri" w:cs="Times New Roman"/>
                <w:i/>
                <w:sz w:val="20"/>
                <w:szCs w:val="20"/>
              </w:rPr>
              <w:t>Res judicata</w:t>
            </w:r>
            <w:r w:rsidRPr="007858DA">
              <w:rPr>
                <w:rFonts w:eastAsia="Calibri" w:cs="Times New Roman"/>
                <w:sz w:val="20"/>
                <w:szCs w:val="20"/>
              </w:rPr>
              <w:t xml:space="preserve"> — Suit unfounded in law — Whether trial judge made palpable and overriding error in finding that as result of Quebec judgment recognizing Ontario judgment, period for prescription and enforcement of Ontario judgment was 10 years pursuant to art. 2924 of </w:t>
            </w:r>
            <w:r w:rsidRPr="007858DA">
              <w:rPr>
                <w:rFonts w:eastAsia="Calibri" w:cs="Times New Roman"/>
                <w:i/>
                <w:sz w:val="20"/>
                <w:szCs w:val="20"/>
              </w:rPr>
              <w:t>Civil Code of Québec</w:t>
            </w:r>
            <w:r w:rsidRPr="007858DA">
              <w:rPr>
                <w:rFonts w:eastAsia="Calibri" w:cs="Times New Roman"/>
                <w:sz w:val="20"/>
                <w:szCs w:val="20"/>
              </w:rPr>
              <w:t xml:space="preserve">, S.Q. 1991, c. 64 — Whether trial judge made palpable and overriding error of mixed fact and law in finding that applicants’ Paulian action under art. 1631 </w:t>
            </w:r>
            <w:r w:rsidRPr="007858DA">
              <w:rPr>
                <w:rFonts w:eastAsia="Calibri" w:cs="Times New Roman"/>
                <w:i/>
                <w:sz w:val="20"/>
                <w:szCs w:val="20"/>
              </w:rPr>
              <w:t>C.C.Q.</w:t>
            </w:r>
            <w:r w:rsidRPr="007858DA">
              <w:rPr>
                <w:rFonts w:eastAsia="Calibri" w:cs="Times New Roman"/>
                <w:sz w:val="20"/>
                <w:szCs w:val="20"/>
              </w:rPr>
              <w:t xml:space="preserve"> could not bar exercise of right of holders of security — </w:t>
            </w:r>
            <w:r w:rsidRPr="007858DA">
              <w:rPr>
                <w:rFonts w:eastAsia="Calibri" w:cs="Times New Roman"/>
                <w:i/>
                <w:sz w:val="20"/>
                <w:szCs w:val="20"/>
              </w:rPr>
              <w:t>Code of Civil Procedure</w:t>
            </w:r>
            <w:r w:rsidRPr="007858DA">
              <w:rPr>
                <w:rFonts w:eastAsia="Calibri" w:cs="Times New Roman"/>
                <w:sz w:val="20"/>
                <w:szCs w:val="20"/>
              </w:rPr>
              <w:t>, R.S.Q., c. C</w:t>
            </w:r>
            <w:r w:rsidRPr="007858DA">
              <w:rPr>
                <w:rFonts w:eastAsia="Calibri" w:cs="Times New Roman"/>
                <w:sz w:val="20"/>
                <w:szCs w:val="20"/>
              </w:rPr>
              <w:noBreakHyphen/>
              <w:t>25, s. 165(1) and (4).</w:t>
            </w:r>
          </w:p>
        </w:tc>
      </w:tr>
      <w:tr w:rsidR="00C8743C" w:rsidRPr="007858DA" w:rsidTr="00D41649">
        <w:tc>
          <w:tcPr>
            <w:tcW w:w="5000" w:type="pct"/>
            <w:gridSpan w:val="3"/>
          </w:tcPr>
          <w:p w:rsidR="00C8743C" w:rsidRPr="007858DA" w:rsidRDefault="00C8743C" w:rsidP="00D41649">
            <w:pPr>
              <w:jc w:val="both"/>
              <w:rPr>
                <w:rFonts w:eastAsia="Calibri" w:cs="Times New Roman"/>
                <w:sz w:val="20"/>
                <w:szCs w:val="20"/>
              </w:rPr>
            </w:pPr>
          </w:p>
        </w:tc>
      </w:tr>
      <w:tr w:rsidR="00C8743C" w:rsidRPr="007858DA" w:rsidTr="00D41649">
        <w:tc>
          <w:tcPr>
            <w:tcW w:w="5000" w:type="pct"/>
            <w:gridSpan w:val="3"/>
          </w:tcPr>
          <w:p w:rsidR="00C8743C" w:rsidRPr="007858DA" w:rsidRDefault="00C8743C" w:rsidP="00D41649">
            <w:pPr>
              <w:jc w:val="both"/>
              <w:rPr>
                <w:rFonts w:eastAsia="Calibri" w:cs="Times New Roman"/>
                <w:sz w:val="20"/>
                <w:szCs w:val="20"/>
              </w:rPr>
            </w:pPr>
            <w:r w:rsidRPr="007858DA">
              <w:rPr>
                <w:rFonts w:eastAsia="Calibri" w:cs="Times New Roman"/>
                <w:sz w:val="20"/>
                <w:szCs w:val="20"/>
              </w:rPr>
              <w:t xml:space="preserve">Gérald Doucet obtained two Ontario judgments, one in 1993 that ordered Bourque, Pierre et Fils Ltée to pay him $149,328.98 plus interest and another one in 1994 that ordered Pierre Bourque to pay him $159,412.39 plus interest.  </w:t>
            </w:r>
            <w:r w:rsidRPr="007858DA">
              <w:rPr>
                <w:rFonts w:eastAsia="Calibri" w:cs="Times New Roman"/>
                <w:sz w:val="20"/>
                <w:szCs w:val="20"/>
              </w:rPr>
              <w:lastRenderedPageBreak/>
              <w:t xml:space="preserve">In 1995, Mr. Doucet obtained a judgment recognizing the Ontario judgment and registered a legal hypothec on a building owned by the Bourque company.  In 2002, a motion for forced surrender and taking in payment was instituted by a prior hypothecary creditor.  This claim was assigned to the respondent Computershare, which then acted in continuance of suit.  The applicants did not participate in that proceeding.  The case was settled out of court, and Richer J. granted the motion for taking in payment in 2009, declared Computershare to be the owner of the building in question and ordered that the registration of Mr. Doucet’s legal hypothec be cancelled.  When Mr. Doucet subsequently learned that as a result of the out-of-court settlement agreement the building had been sold by Computershare to the respondent Gestion 555 Carrière, a company created by the Bourque company and by Mr. Bourque’s son, he felt that this agreement had been entered into in fraud of his rights.  He accordingly filed a motion for judicial recognition of the Ontario court’s 1993 decision and a Paulian action under art. 1631 </w:t>
            </w:r>
            <w:r w:rsidRPr="007858DA">
              <w:rPr>
                <w:rFonts w:eastAsia="Calibri" w:cs="Times New Roman"/>
                <w:i/>
                <w:sz w:val="20"/>
                <w:szCs w:val="20"/>
              </w:rPr>
              <w:t xml:space="preserve">C.C.Q. </w:t>
            </w:r>
            <w:r w:rsidRPr="007858DA">
              <w:rPr>
                <w:rFonts w:eastAsia="Calibri" w:cs="Times New Roman"/>
                <w:sz w:val="20"/>
                <w:szCs w:val="20"/>
              </w:rPr>
              <w:t xml:space="preserve">in order to obtain an annulment of the cancellation of his legal hypothec and a declaration that the agreement that resulted from the out-of-court settlement, the decision of Richer J. and the sale from Computershare to Gestion 555 could not be set up against him.  His brother J. Alfred Doucet held a power of attorney to act on his behalf.  The respondents opposed the action by means of motions to dismiss on the grounds that there is </w:t>
            </w:r>
            <w:r w:rsidRPr="007858DA">
              <w:rPr>
                <w:rFonts w:eastAsia="Calibri" w:cs="Times New Roman"/>
                <w:i/>
                <w:sz w:val="20"/>
                <w:szCs w:val="20"/>
              </w:rPr>
              <w:t>res judicata</w:t>
            </w:r>
            <w:r w:rsidRPr="007858DA">
              <w:rPr>
                <w:rFonts w:eastAsia="Calibri" w:cs="Times New Roman"/>
                <w:sz w:val="20"/>
                <w:szCs w:val="20"/>
              </w:rPr>
              <w:t xml:space="preserve"> and that the suit is unfounded in law.</w:t>
            </w:r>
          </w:p>
          <w:p w:rsidR="00C8743C" w:rsidRPr="007858DA" w:rsidRDefault="00C8743C" w:rsidP="00D41649">
            <w:pPr>
              <w:jc w:val="both"/>
              <w:rPr>
                <w:rFonts w:eastAsia="Calibri" w:cs="Times New Roman"/>
                <w:sz w:val="20"/>
                <w:szCs w:val="20"/>
              </w:rPr>
            </w:pPr>
          </w:p>
        </w:tc>
      </w:tr>
      <w:tr w:rsidR="00C8743C" w:rsidRPr="007858DA" w:rsidTr="00D41649">
        <w:tc>
          <w:tcPr>
            <w:tcW w:w="2427" w:type="pct"/>
          </w:tcPr>
          <w:p w:rsidR="00C8743C" w:rsidRPr="007858DA" w:rsidRDefault="00C8743C" w:rsidP="00D41649">
            <w:pPr>
              <w:jc w:val="both"/>
              <w:rPr>
                <w:rFonts w:eastAsia="Calibri" w:cs="Times New Roman"/>
                <w:sz w:val="20"/>
                <w:szCs w:val="20"/>
              </w:rPr>
            </w:pPr>
            <w:r w:rsidRPr="007858DA">
              <w:rPr>
                <w:rFonts w:eastAsia="Calibri" w:cs="Times New Roman"/>
                <w:sz w:val="20"/>
                <w:szCs w:val="20"/>
              </w:rPr>
              <w:lastRenderedPageBreak/>
              <w:t>May 26, 2011</w:t>
            </w:r>
          </w:p>
          <w:p w:rsidR="00C8743C" w:rsidRPr="007858DA" w:rsidRDefault="00C8743C" w:rsidP="00D41649">
            <w:pPr>
              <w:jc w:val="both"/>
              <w:rPr>
                <w:rFonts w:eastAsia="Calibri" w:cs="Times New Roman"/>
                <w:sz w:val="20"/>
                <w:szCs w:val="20"/>
              </w:rPr>
            </w:pPr>
            <w:r w:rsidRPr="007858DA">
              <w:rPr>
                <w:rFonts w:eastAsia="Calibri" w:cs="Times New Roman"/>
                <w:sz w:val="20"/>
                <w:szCs w:val="20"/>
              </w:rPr>
              <w:t>Quebec Superior Court</w:t>
            </w:r>
          </w:p>
          <w:p w:rsidR="00C8743C" w:rsidRPr="007858DA" w:rsidRDefault="00C8743C" w:rsidP="00D41649">
            <w:pPr>
              <w:jc w:val="both"/>
              <w:rPr>
                <w:rFonts w:eastAsia="Calibri" w:cs="Times New Roman"/>
                <w:sz w:val="20"/>
                <w:szCs w:val="20"/>
              </w:rPr>
            </w:pPr>
            <w:r w:rsidRPr="007858DA">
              <w:rPr>
                <w:rFonts w:eastAsia="Calibri" w:cs="Times New Roman"/>
                <w:sz w:val="20"/>
                <w:szCs w:val="20"/>
              </w:rPr>
              <w:t>(Déziel J.)</w:t>
            </w:r>
          </w:p>
          <w:p w:rsidR="00C8743C" w:rsidRPr="007858DA" w:rsidRDefault="00C8743C" w:rsidP="00D41649">
            <w:pPr>
              <w:jc w:val="both"/>
              <w:rPr>
                <w:rFonts w:eastAsia="Calibri" w:cs="Times New Roman"/>
                <w:sz w:val="20"/>
                <w:szCs w:val="20"/>
              </w:rPr>
            </w:pPr>
            <w:r w:rsidRPr="007858DA">
              <w:rPr>
                <w:rFonts w:eastAsia="Calibri" w:cs="Times New Roman"/>
                <w:sz w:val="20"/>
                <w:szCs w:val="20"/>
              </w:rPr>
              <w:t>2011 QCCS 2570</w:t>
            </w:r>
          </w:p>
          <w:p w:rsidR="00C8743C" w:rsidRPr="007858DA" w:rsidRDefault="00C8743C" w:rsidP="00D41649">
            <w:pPr>
              <w:jc w:val="both"/>
              <w:rPr>
                <w:rFonts w:eastAsia="Calibri" w:cs="Times New Roman"/>
                <w:sz w:val="20"/>
                <w:szCs w:val="20"/>
              </w:rPr>
            </w:pPr>
          </w:p>
        </w:tc>
        <w:tc>
          <w:tcPr>
            <w:tcW w:w="243" w:type="pct"/>
          </w:tcPr>
          <w:p w:rsidR="00C8743C" w:rsidRPr="007858DA" w:rsidRDefault="00C8743C" w:rsidP="00D41649">
            <w:pPr>
              <w:jc w:val="both"/>
              <w:rPr>
                <w:rFonts w:eastAsia="Calibri" w:cs="Times New Roman"/>
                <w:sz w:val="20"/>
                <w:szCs w:val="20"/>
              </w:rPr>
            </w:pPr>
          </w:p>
        </w:tc>
        <w:tc>
          <w:tcPr>
            <w:tcW w:w="2330" w:type="pct"/>
          </w:tcPr>
          <w:p w:rsidR="00C8743C" w:rsidRPr="007858DA" w:rsidRDefault="00C8743C" w:rsidP="00D41649">
            <w:pPr>
              <w:jc w:val="both"/>
              <w:rPr>
                <w:rFonts w:eastAsia="Calibri" w:cs="Times New Roman"/>
                <w:sz w:val="20"/>
                <w:szCs w:val="20"/>
              </w:rPr>
            </w:pPr>
            <w:r w:rsidRPr="007858DA">
              <w:rPr>
                <w:rFonts w:eastAsia="Calibri" w:cs="Times New Roman"/>
                <w:sz w:val="20"/>
                <w:szCs w:val="20"/>
              </w:rPr>
              <w:t>Motions to dismiss granted and action dismissed</w:t>
            </w:r>
          </w:p>
          <w:p w:rsidR="00C8743C" w:rsidRPr="007858DA" w:rsidRDefault="00C8743C" w:rsidP="00D41649">
            <w:pPr>
              <w:jc w:val="both"/>
              <w:rPr>
                <w:rFonts w:eastAsia="Calibri" w:cs="Times New Roman"/>
                <w:sz w:val="20"/>
                <w:szCs w:val="20"/>
              </w:rPr>
            </w:pPr>
          </w:p>
        </w:tc>
      </w:tr>
      <w:tr w:rsidR="00C8743C" w:rsidRPr="007858DA" w:rsidTr="00D41649">
        <w:tc>
          <w:tcPr>
            <w:tcW w:w="2427" w:type="pct"/>
          </w:tcPr>
          <w:p w:rsidR="00C8743C" w:rsidRPr="007858DA" w:rsidRDefault="00C8743C" w:rsidP="00D41649">
            <w:pPr>
              <w:jc w:val="both"/>
              <w:rPr>
                <w:rFonts w:eastAsia="Calibri" w:cs="Times New Roman"/>
                <w:sz w:val="20"/>
                <w:szCs w:val="20"/>
              </w:rPr>
            </w:pPr>
            <w:r w:rsidRPr="007858DA">
              <w:rPr>
                <w:rFonts w:eastAsia="Calibri" w:cs="Times New Roman"/>
                <w:sz w:val="20"/>
                <w:szCs w:val="20"/>
              </w:rPr>
              <w:t>October 3, 2012</w:t>
            </w:r>
          </w:p>
          <w:p w:rsidR="00C8743C" w:rsidRPr="007858DA" w:rsidRDefault="00C8743C" w:rsidP="00D41649">
            <w:pPr>
              <w:jc w:val="both"/>
              <w:rPr>
                <w:rFonts w:eastAsia="Calibri" w:cs="Times New Roman"/>
                <w:sz w:val="20"/>
                <w:szCs w:val="20"/>
              </w:rPr>
            </w:pPr>
            <w:r w:rsidRPr="007858DA">
              <w:rPr>
                <w:rFonts w:eastAsia="Calibri" w:cs="Times New Roman"/>
                <w:sz w:val="20"/>
                <w:szCs w:val="20"/>
              </w:rPr>
              <w:t>Quebec Court of Appeal (Montréal)</w:t>
            </w:r>
          </w:p>
          <w:p w:rsidR="00C8743C" w:rsidRPr="007858DA" w:rsidRDefault="00C8743C" w:rsidP="00D41649">
            <w:pPr>
              <w:jc w:val="both"/>
              <w:rPr>
                <w:rFonts w:eastAsia="Calibri" w:cs="Times New Roman"/>
                <w:sz w:val="20"/>
                <w:szCs w:val="20"/>
              </w:rPr>
            </w:pPr>
            <w:r w:rsidRPr="007858DA">
              <w:rPr>
                <w:rFonts w:eastAsia="Calibri" w:cs="Times New Roman"/>
                <w:sz w:val="20"/>
                <w:szCs w:val="20"/>
              </w:rPr>
              <w:t>(Morin, Dalphond and Dutil JJ.A.)</w:t>
            </w:r>
          </w:p>
          <w:p w:rsidR="00C8743C" w:rsidRPr="007858DA" w:rsidRDefault="00C8743C" w:rsidP="00D41649">
            <w:pPr>
              <w:jc w:val="both"/>
              <w:rPr>
                <w:rFonts w:eastAsia="Calibri" w:cs="Times New Roman"/>
                <w:sz w:val="20"/>
                <w:szCs w:val="20"/>
              </w:rPr>
            </w:pPr>
            <w:r w:rsidRPr="007858DA">
              <w:rPr>
                <w:rFonts w:eastAsia="Calibri" w:cs="Times New Roman"/>
                <w:sz w:val="20"/>
                <w:szCs w:val="20"/>
              </w:rPr>
              <w:t xml:space="preserve">2012 QCCA 1850 </w:t>
            </w:r>
          </w:p>
          <w:p w:rsidR="00C8743C" w:rsidRPr="007858DA" w:rsidRDefault="00C8743C" w:rsidP="00D41649">
            <w:pPr>
              <w:jc w:val="both"/>
              <w:rPr>
                <w:rFonts w:eastAsia="Calibri" w:cs="Times New Roman"/>
                <w:sz w:val="20"/>
                <w:szCs w:val="20"/>
              </w:rPr>
            </w:pPr>
          </w:p>
        </w:tc>
        <w:tc>
          <w:tcPr>
            <w:tcW w:w="243" w:type="pct"/>
          </w:tcPr>
          <w:p w:rsidR="00C8743C" w:rsidRPr="007858DA" w:rsidRDefault="00C8743C" w:rsidP="00D41649">
            <w:pPr>
              <w:jc w:val="both"/>
              <w:rPr>
                <w:rFonts w:eastAsia="Calibri" w:cs="Times New Roman"/>
                <w:sz w:val="20"/>
                <w:szCs w:val="20"/>
              </w:rPr>
            </w:pPr>
          </w:p>
        </w:tc>
        <w:tc>
          <w:tcPr>
            <w:tcW w:w="2330" w:type="pct"/>
          </w:tcPr>
          <w:p w:rsidR="00C8743C" w:rsidRPr="007858DA" w:rsidRDefault="00C8743C" w:rsidP="00D41649">
            <w:pPr>
              <w:jc w:val="both"/>
              <w:rPr>
                <w:rFonts w:eastAsia="Calibri" w:cs="Times New Roman"/>
                <w:sz w:val="20"/>
                <w:szCs w:val="20"/>
              </w:rPr>
            </w:pPr>
            <w:r w:rsidRPr="007858DA">
              <w:rPr>
                <w:rFonts w:eastAsia="Calibri" w:cs="Times New Roman"/>
                <w:sz w:val="20"/>
                <w:szCs w:val="20"/>
              </w:rPr>
              <w:t>Appeal dismissed</w:t>
            </w:r>
          </w:p>
        </w:tc>
      </w:tr>
      <w:tr w:rsidR="00C8743C" w:rsidRPr="007858DA" w:rsidTr="00D41649">
        <w:tc>
          <w:tcPr>
            <w:tcW w:w="2427" w:type="pct"/>
          </w:tcPr>
          <w:p w:rsidR="00C8743C" w:rsidRPr="007858DA" w:rsidRDefault="00C8743C" w:rsidP="00D41649">
            <w:pPr>
              <w:jc w:val="both"/>
              <w:rPr>
                <w:rFonts w:eastAsia="Calibri" w:cs="Times New Roman"/>
                <w:sz w:val="20"/>
                <w:szCs w:val="20"/>
              </w:rPr>
            </w:pPr>
            <w:r w:rsidRPr="007858DA">
              <w:rPr>
                <w:rFonts w:eastAsia="Calibri" w:cs="Times New Roman"/>
                <w:sz w:val="20"/>
                <w:szCs w:val="20"/>
              </w:rPr>
              <w:t>December 3, 2012</w:t>
            </w:r>
          </w:p>
          <w:p w:rsidR="00C8743C" w:rsidRPr="007858DA" w:rsidRDefault="00C8743C" w:rsidP="00D41649">
            <w:pPr>
              <w:jc w:val="both"/>
              <w:rPr>
                <w:rFonts w:eastAsia="Calibri" w:cs="Times New Roman"/>
                <w:sz w:val="20"/>
                <w:szCs w:val="20"/>
              </w:rPr>
            </w:pPr>
            <w:r w:rsidRPr="007858DA">
              <w:rPr>
                <w:rFonts w:eastAsia="Calibri" w:cs="Times New Roman"/>
                <w:sz w:val="20"/>
                <w:szCs w:val="20"/>
              </w:rPr>
              <w:t>Supreme Court of Canada</w:t>
            </w:r>
          </w:p>
        </w:tc>
        <w:tc>
          <w:tcPr>
            <w:tcW w:w="243" w:type="pct"/>
          </w:tcPr>
          <w:p w:rsidR="00C8743C" w:rsidRPr="007858DA" w:rsidRDefault="00C8743C" w:rsidP="00D41649">
            <w:pPr>
              <w:jc w:val="both"/>
              <w:rPr>
                <w:rFonts w:eastAsia="Calibri" w:cs="Times New Roman"/>
                <w:sz w:val="20"/>
                <w:szCs w:val="20"/>
              </w:rPr>
            </w:pPr>
          </w:p>
        </w:tc>
        <w:tc>
          <w:tcPr>
            <w:tcW w:w="2330" w:type="pct"/>
          </w:tcPr>
          <w:p w:rsidR="00C8743C" w:rsidRPr="007858DA" w:rsidRDefault="00C8743C" w:rsidP="00D41649">
            <w:pPr>
              <w:jc w:val="both"/>
              <w:rPr>
                <w:rFonts w:eastAsia="Calibri" w:cs="Times New Roman"/>
                <w:sz w:val="20"/>
                <w:szCs w:val="20"/>
              </w:rPr>
            </w:pPr>
            <w:r w:rsidRPr="007858DA">
              <w:rPr>
                <w:rFonts w:eastAsia="Calibri" w:cs="Times New Roman"/>
                <w:sz w:val="20"/>
                <w:szCs w:val="20"/>
              </w:rPr>
              <w:t>Application for leave to appeal filed</w:t>
            </w:r>
          </w:p>
          <w:p w:rsidR="00C8743C" w:rsidRPr="007858DA" w:rsidRDefault="00C8743C" w:rsidP="00D41649">
            <w:pPr>
              <w:jc w:val="both"/>
              <w:rPr>
                <w:rFonts w:eastAsia="Calibri" w:cs="Times New Roman"/>
                <w:sz w:val="20"/>
                <w:szCs w:val="20"/>
              </w:rPr>
            </w:pPr>
          </w:p>
        </w:tc>
      </w:tr>
    </w:tbl>
    <w:p w:rsidR="00C8743C" w:rsidRPr="007858DA" w:rsidRDefault="00C8743C" w:rsidP="00C8743C">
      <w:pPr>
        <w:rPr>
          <w:rFonts w:cs="Times New Roman"/>
          <w:sz w:val="20"/>
          <w:szCs w:val="20"/>
          <w:u w:val="single"/>
        </w:rPr>
      </w:pPr>
    </w:p>
    <w:p w:rsidR="00C8743C" w:rsidRPr="007858DA" w:rsidRDefault="00B74DD2" w:rsidP="00C8743C">
      <w:pPr>
        <w:rPr>
          <w:rFonts w:cs="Times New Roman"/>
          <w:sz w:val="20"/>
          <w:szCs w:val="20"/>
        </w:rPr>
      </w:pPr>
      <w:r w:rsidRPr="00B74DD2">
        <w:rPr>
          <w:rFonts w:cs="Times New Roman"/>
          <w:sz w:val="20"/>
          <w:szCs w:val="20"/>
          <w:lang w:val="fr-CA"/>
        </w:rPr>
        <w:pict>
          <v:rect id="_x0000_i1054" style="width:2in;height:1pt" o:hrpct="0" o:hralign="center" o:hrstd="t" o:hrnoshade="t" o:hr="t" fillcolor="black [3213]" stroked="f"/>
        </w:pict>
      </w:r>
    </w:p>
    <w:p w:rsidR="00C8743C" w:rsidRPr="007858DA" w:rsidRDefault="00C8743C" w:rsidP="00C8743C">
      <w:pPr>
        <w:rPr>
          <w:rFonts w:cs="Times New Roman"/>
          <w:sz w:val="20"/>
          <w:szCs w:val="20"/>
        </w:rPr>
      </w:pPr>
    </w:p>
    <w:p w:rsidR="00C8743C" w:rsidRPr="007858DA" w:rsidRDefault="00C8743C" w:rsidP="00C8743C">
      <w:pPr>
        <w:rPr>
          <w:rFonts w:cs="Times New Roman"/>
          <w:sz w:val="20"/>
          <w:szCs w:val="20"/>
          <w:u w:val="single"/>
          <w:lang w:val="fr-CA"/>
        </w:rPr>
      </w:pPr>
      <w:r w:rsidRPr="007858DA">
        <w:rPr>
          <w:rFonts w:cs="Times New Roman"/>
          <w:sz w:val="20"/>
          <w:szCs w:val="20"/>
          <w:u w:val="single"/>
          <w:lang w:val="fr-CA"/>
        </w:rPr>
        <w:t>RÉSUMÉ DE L’AFFAIRE</w:t>
      </w:r>
    </w:p>
    <w:p w:rsidR="00C8743C" w:rsidRPr="007858DA" w:rsidRDefault="00C8743C" w:rsidP="00C8743C">
      <w:pPr>
        <w:jc w:val="both"/>
        <w:rPr>
          <w:rFonts w:eastAsia="Calibri"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8743C" w:rsidRPr="007858DA" w:rsidTr="00D41649">
        <w:tc>
          <w:tcPr>
            <w:tcW w:w="5000" w:type="pct"/>
            <w:gridSpan w:val="3"/>
          </w:tcPr>
          <w:p w:rsidR="00C8743C" w:rsidRPr="007858DA" w:rsidRDefault="00C8743C" w:rsidP="00D41649">
            <w:pPr>
              <w:jc w:val="both"/>
              <w:rPr>
                <w:rFonts w:eastAsia="Calibri" w:cs="Times New Roman"/>
                <w:sz w:val="20"/>
                <w:szCs w:val="20"/>
                <w:lang w:val="fr-CA"/>
              </w:rPr>
            </w:pPr>
            <w:r w:rsidRPr="007858DA">
              <w:rPr>
                <w:rFonts w:eastAsia="Calibri" w:cs="Times New Roman"/>
                <w:sz w:val="20"/>
                <w:szCs w:val="20"/>
                <w:lang w:val="fr-CA"/>
              </w:rPr>
              <w:t>Procédure civile — Irrecevabilité de la demande introductive d’instance — Chose jugée — Absence de fondement en droit — Le juge de première instance a</w:t>
            </w:r>
            <w:r w:rsidRPr="007858DA">
              <w:rPr>
                <w:rFonts w:eastAsia="Calibri" w:cs="Times New Roman"/>
                <w:sz w:val="20"/>
                <w:szCs w:val="20"/>
                <w:lang w:val="fr-CA"/>
              </w:rPr>
              <w:noBreakHyphen/>
              <w:t>t</w:t>
            </w:r>
            <w:r w:rsidRPr="007858DA">
              <w:rPr>
                <w:rFonts w:eastAsia="Calibri" w:cs="Times New Roman"/>
                <w:sz w:val="20"/>
                <w:szCs w:val="20"/>
                <w:lang w:val="fr-CA"/>
              </w:rPr>
              <w:noBreakHyphen/>
              <w:t xml:space="preserve">il commis une erreur manifeste et dominante en concluant que le jugement québécois en exemplification d’un jugement ontarien fixait le délai de prescription et d’exécution de ce dernier jugement à une période de 10 ans, selon l’art. 2924 du </w:t>
            </w:r>
            <w:r w:rsidRPr="007858DA">
              <w:rPr>
                <w:rFonts w:eastAsia="Calibri" w:cs="Times New Roman"/>
                <w:i/>
                <w:sz w:val="20"/>
                <w:szCs w:val="20"/>
                <w:lang w:val="fr-CA"/>
              </w:rPr>
              <w:t>Code civil du Québec</w:t>
            </w:r>
            <w:r w:rsidRPr="007858DA">
              <w:rPr>
                <w:rFonts w:eastAsia="Calibri" w:cs="Times New Roman"/>
                <w:sz w:val="20"/>
                <w:szCs w:val="20"/>
                <w:lang w:val="fr-CA"/>
              </w:rPr>
              <w:t>, L.Q. 1991, ch. 64? — Le juge de première instance a</w:t>
            </w:r>
            <w:r w:rsidRPr="007858DA">
              <w:rPr>
                <w:rFonts w:eastAsia="Calibri" w:cs="Times New Roman"/>
                <w:sz w:val="20"/>
                <w:szCs w:val="20"/>
                <w:lang w:val="fr-CA"/>
              </w:rPr>
              <w:noBreakHyphen/>
              <w:t>t</w:t>
            </w:r>
            <w:r w:rsidRPr="007858DA">
              <w:rPr>
                <w:rFonts w:eastAsia="Calibri" w:cs="Times New Roman"/>
                <w:sz w:val="20"/>
                <w:szCs w:val="20"/>
                <w:lang w:val="fr-CA"/>
              </w:rPr>
              <w:noBreakHyphen/>
              <w:t xml:space="preserve">il commis une erreur mixte de faits et de droit, manifeste et dominante en considérant que le recours en inopposabilité des demandeurs fondé sur l’art. 1631 </w:t>
            </w:r>
            <w:r w:rsidRPr="007858DA">
              <w:rPr>
                <w:rFonts w:eastAsia="Calibri" w:cs="Times New Roman"/>
                <w:i/>
                <w:sz w:val="20"/>
                <w:szCs w:val="20"/>
                <w:lang w:val="fr-CA"/>
              </w:rPr>
              <w:t>C.c.Q.</w:t>
            </w:r>
            <w:r w:rsidRPr="007858DA">
              <w:rPr>
                <w:rFonts w:eastAsia="Calibri" w:cs="Times New Roman"/>
                <w:sz w:val="20"/>
                <w:szCs w:val="20"/>
                <w:lang w:val="fr-CA"/>
              </w:rPr>
              <w:t xml:space="preserve"> ne pouvait faire obstacle au droit des sûretés? — </w:t>
            </w:r>
            <w:r w:rsidRPr="007858DA">
              <w:rPr>
                <w:rFonts w:eastAsia="Calibri" w:cs="Times New Roman"/>
                <w:i/>
                <w:sz w:val="20"/>
                <w:szCs w:val="20"/>
                <w:lang w:val="fr-CA"/>
              </w:rPr>
              <w:t>Code de procédure civile</w:t>
            </w:r>
            <w:r w:rsidRPr="007858DA">
              <w:rPr>
                <w:rFonts w:eastAsia="Calibri" w:cs="Times New Roman"/>
                <w:sz w:val="20"/>
                <w:szCs w:val="20"/>
                <w:lang w:val="fr-CA"/>
              </w:rPr>
              <w:t>, L.R.Q., ch. C</w:t>
            </w:r>
            <w:r w:rsidRPr="007858DA">
              <w:rPr>
                <w:rFonts w:eastAsia="Calibri" w:cs="Times New Roman"/>
                <w:sz w:val="20"/>
                <w:szCs w:val="20"/>
                <w:lang w:val="fr-CA"/>
              </w:rPr>
              <w:noBreakHyphen/>
              <w:t>25, par. 165 (1) et (4).</w:t>
            </w:r>
          </w:p>
        </w:tc>
      </w:tr>
      <w:tr w:rsidR="00C8743C" w:rsidRPr="007858DA" w:rsidTr="00D41649">
        <w:tc>
          <w:tcPr>
            <w:tcW w:w="5000" w:type="pct"/>
            <w:gridSpan w:val="3"/>
          </w:tcPr>
          <w:p w:rsidR="00C8743C" w:rsidRPr="007858DA" w:rsidRDefault="00C8743C" w:rsidP="00D41649">
            <w:pPr>
              <w:jc w:val="both"/>
              <w:rPr>
                <w:rFonts w:eastAsia="Calibri" w:cs="Times New Roman"/>
                <w:sz w:val="20"/>
                <w:szCs w:val="20"/>
                <w:lang w:val="fr-CA"/>
              </w:rPr>
            </w:pPr>
          </w:p>
        </w:tc>
      </w:tr>
      <w:tr w:rsidR="00C8743C" w:rsidRPr="00C4248C" w:rsidTr="00D41649">
        <w:tc>
          <w:tcPr>
            <w:tcW w:w="5000" w:type="pct"/>
            <w:gridSpan w:val="3"/>
          </w:tcPr>
          <w:p w:rsidR="00C8743C" w:rsidRPr="007858DA" w:rsidRDefault="00C8743C" w:rsidP="00D41649">
            <w:pPr>
              <w:jc w:val="both"/>
              <w:rPr>
                <w:rFonts w:eastAsia="Calibri" w:cs="Times New Roman"/>
                <w:sz w:val="20"/>
                <w:szCs w:val="20"/>
                <w:lang w:val="fr-CA"/>
              </w:rPr>
            </w:pPr>
            <w:r w:rsidRPr="007858DA">
              <w:rPr>
                <w:rFonts w:eastAsia="Calibri" w:cs="Times New Roman"/>
                <w:sz w:val="20"/>
                <w:szCs w:val="20"/>
                <w:lang w:val="fr-CA"/>
              </w:rPr>
              <w:t xml:space="preserve">Gérald Doucet a obtenu deux jugements ontariens condamnant Bourque, Pierre et Fils Ltée en 1993 à lui payer la somme de 149 328,98$ et condamnant Pierre Bourque en 1994 à lui payer 159 412,39$, le tout avec intérêts.  M. Doucet obtient un jugement en exemplification en 1995 et enregistre une hypothèque légale sur un édifice dont la société Bourque est propriétaire.  En 2002, une requête en délaissement forcé et prise en paiement est instituée par un créancier hypothécaire antérieur.  Cette créance est cédée à l’intimée Computershare qui agit alors en reprise d’instance.  Les demandeurs n’ont pas participé à cette instance.  Un règlement à l’amiable survient et en 2009, la juge Richer accueille la requête pour prise en paiement, déclare Computershare propriétaire de l’édifice visé et ordonne la radiation notamment de l’hypothèque légale de M. Doucet.  Apprenant plus tard que l’entente à l’amiable faisait en sorte que l’édifice soit vendu par Computershare à l’intimée Gestion 555 Carrière, une compagnie créée par la société Bourque et le fils de M. Bourque, M. Doucet estime que cette entente s’est faite en fraude de ses droits.  Il dépose ainsi une requête en reconnaissance judiciaire de la décision du tribunal ontarien de 1993 et une requête en inopposabilité en vertu de l’art. 1631 </w:t>
            </w:r>
            <w:r w:rsidRPr="007858DA">
              <w:rPr>
                <w:rFonts w:eastAsia="Calibri" w:cs="Times New Roman"/>
                <w:i/>
                <w:sz w:val="20"/>
                <w:szCs w:val="20"/>
                <w:lang w:val="fr-CA"/>
              </w:rPr>
              <w:t xml:space="preserve">C.c.Q. </w:t>
            </w:r>
            <w:r w:rsidRPr="007858DA">
              <w:rPr>
                <w:rFonts w:eastAsia="Calibri" w:cs="Times New Roman"/>
                <w:sz w:val="20"/>
                <w:szCs w:val="20"/>
                <w:lang w:val="fr-CA"/>
              </w:rPr>
              <w:t>visant à faire annuler la radiation de son hypothèque légale et à faire déclarer inopposables à son égard la convention résultant du règlement à l’amiable, la décision de la juge Richer, la vente entre Computershare et Gestion 555.  Son frère J. Alfred Doucet détient une procuration pour agir en son nom.  Les intimés s’opposent au recours par le biais de requêtes en irrecevabilité aux motifs de chose jugée et d’absence de fondement en droit.</w:t>
            </w:r>
          </w:p>
          <w:p w:rsidR="00C8743C" w:rsidRPr="007858DA" w:rsidRDefault="00C8743C" w:rsidP="00D41649">
            <w:pPr>
              <w:jc w:val="both"/>
              <w:rPr>
                <w:rFonts w:eastAsia="Calibri" w:cs="Times New Roman"/>
                <w:sz w:val="20"/>
                <w:szCs w:val="20"/>
                <w:lang w:val="fr-CA"/>
              </w:rPr>
            </w:pPr>
          </w:p>
        </w:tc>
      </w:tr>
      <w:tr w:rsidR="00C8743C" w:rsidRPr="00C4248C" w:rsidTr="00D41649">
        <w:tc>
          <w:tcPr>
            <w:tcW w:w="2427" w:type="pct"/>
          </w:tcPr>
          <w:p w:rsidR="00C8743C" w:rsidRPr="007858DA" w:rsidRDefault="00C8743C" w:rsidP="00D41649">
            <w:pPr>
              <w:jc w:val="both"/>
              <w:rPr>
                <w:rFonts w:eastAsia="Calibri" w:cs="Times New Roman"/>
                <w:sz w:val="20"/>
                <w:szCs w:val="20"/>
                <w:lang w:val="fr-CA"/>
              </w:rPr>
            </w:pPr>
            <w:r w:rsidRPr="007858DA">
              <w:rPr>
                <w:rFonts w:eastAsia="Calibri" w:cs="Times New Roman"/>
                <w:sz w:val="20"/>
                <w:szCs w:val="20"/>
                <w:lang w:val="fr-CA"/>
              </w:rPr>
              <w:t>Le 26 mai 2011</w:t>
            </w:r>
          </w:p>
          <w:p w:rsidR="00C8743C" w:rsidRPr="007858DA" w:rsidRDefault="00C8743C" w:rsidP="00D41649">
            <w:pPr>
              <w:jc w:val="both"/>
              <w:rPr>
                <w:rFonts w:eastAsia="Calibri" w:cs="Times New Roman"/>
                <w:sz w:val="20"/>
                <w:szCs w:val="20"/>
                <w:lang w:val="fr-CA"/>
              </w:rPr>
            </w:pPr>
            <w:r w:rsidRPr="007858DA">
              <w:rPr>
                <w:rFonts w:eastAsia="Calibri" w:cs="Times New Roman"/>
                <w:sz w:val="20"/>
                <w:szCs w:val="20"/>
                <w:lang w:val="fr-CA"/>
              </w:rPr>
              <w:t>Cour supérieure du Québec</w:t>
            </w:r>
          </w:p>
          <w:p w:rsidR="00C8743C" w:rsidRPr="007858DA" w:rsidRDefault="00C8743C" w:rsidP="00D41649">
            <w:pPr>
              <w:jc w:val="both"/>
              <w:rPr>
                <w:rFonts w:eastAsia="Calibri" w:cs="Times New Roman"/>
                <w:sz w:val="20"/>
                <w:szCs w:val="20"/>
                <w:lang w:val="fr-CA"/>
              </w:rPr>
            </w:pPr>
            <w:r w:rsidRPr="007858DA">
              <w:rPr>
                <w:rFonts w:eastAsia="Calibri" w:cs="Times New Roman"/>
                <w:sz w:val="20"/>
                <w:szCs w:val="20"/>
                <w:lang w:val="fr-CA"/>
              </w:rPr>
              <w:t>(Le juge Déziel)</w:t>
            </w:r>
          </w:p>
          <w:p w:rsidR="00C8743C" w:rsidRPr="007858DA" w:rsidRDefault="00C8743C" w:rsidP="00D41649">
            <w:pPr>
              <w:jc w:val="both"/>
              <w:rPr>
                <w:rFonts w:eastAsia="Calibri" w:cs="Times New Roman"/>
                <w:sz w:val="20"/>
                <w:szCs w:val="20"/>
                <w:lang w:val="fr-CA"/>
              </w:rPr>
            </w:pPr>
            <w:r w:rsidRPr="007858DA">
              <w:rPr>
                <w:rFonts w:eastAsia="Calibri" w:cs="Times New Roman"/>
                <w:sz w:val="20"/>
                <w:szCs w:val="20"/>
                <w:lang w:val="fr-CA"/>
              </w:rPr>
              <w:t>2011 QCCS 2570</w:t>
            </w:r>
          </w:p>
          <w:p w:rsidR="00C8743C" w:rsidRPr="007858DA" w:rsidRDefault="00C8743C" w:rsidP="00D41649">
            <w:pPr>
              <w:jc w:val="both"/>
              <w:rPr>
                <w:rFonts w:eastAsia="Calibri" w:cs="Times New Roman"/>
                <w:sz w:val="20"/>
                <w:szCs w:val="20"/>
                <w:lang w:val="fr-CA"/>
              </w:rPr>
            </w:pPr>
          </w:p>
        </w:tc>
        <w:tc>
          <w:tcPr>
            <w:tcW w:w="243" w:type="pct"/>
          </w:tcPr>
          <w:p w:rsidR="00C8743C" w:rsidRPr="007858DA" w:rsidRDefault="00C8743C" w:rsidP="00D41649">
            <w:pPr>
              <w:jc w:val="both"/>
              <w:rPr>
                <w:rFonts w:eastAsia="Calibri" w:cs="Times New Roman"/>
                <w:sz w:val="20"/>
                <w:szCs w:val="20"/>
              </w:rPr>
            </w:pPr>
          </w:p>
        </w:tc>
        <w:tc>
          <w:tcPr>
            <w:tcW w:w="2330" w:type="pct"/>
          </w:tcPr>
          <w:p w:rsidR="00C8743C" w:rsidRPr="007858DA" w:rsidRDefault="00C8743C" w:rsidP="00D41649">
            <w:pPr>
              <w:jc w:val="both"/>
              <w:rPr>
                <w:rFonts w:eastAsia="Calibri" w:cs="Times New Roman"/>
                <w:sz w:val="20"/>
                <w:szCs w:val="20"/>
                <w:lang w:val="fr-CA"/>
              </w:rPr>
            </w:pPr>
            <w:r w:rsidRPr="007858DA">
              <w:rPr>
                <w:rFonts w:eastAsia="Calibri" w:cs="Times New Roman"/>
                <w:sz w:val="20"/>
                <w:szCs w:val="20"/>
                <w:lang w:val="fr-CA"/>
              </w:rPr>
              <w:t>Requêtes en irrecevabilité accueillies et action rejetée</w:t>
            </w:r>
          </w:p>
          <w:p w:rsidR="00C8743C" w:rsidRPr="007858DA" w:rsidRDefault="00C8743C" w:rsidP="00D41649">
            <w:pPr>
              <w:jc w:val="both"/>
              <w:rPr>
                <w:rFonts w:eastAsia="Calibri" w:cs="Times New Roman"/>
                <w:sz w:val="20"/>
                <w:szCs w:val="20"/>
                <w:lang w:val="fr-CA"/>
              </w:rPr>
            </w:pPr>
          </w:p>
          <w:p w:rsidR="00C8743C" w:rsidRPr="007858DA" w:rsidRDefault="00C8743C" w:rsidP="00D41649">
            <w:pPr>
              <w:jc w:val="both"/>
              <w:rPr>
                <w:rFonts w:eastAsia="Calibri" w:cs="Times New Roman"/>
                <w:sz w:val="20"/>
                <w:szCs w:val="20"/>
                <w:lang w:val="fr-CA"/>
              </w:rPr>
            </w:pPr>
          </w:p>
        </w:tc>
      </w:tr>
      <w:tr w:rsidR="00C8743C" w:rsidRPr="007858DA" w:rsidTr="00D41649">
        <w:tc>
          <w:tcPr>
            <w:tcW w:w="2427" w:type="pct"/>
          </w:tcPr>
          <w:p w:rsidR="00C8743C" w:rsidRPr="007858DA" w:rsidRDefault="00C8743C" w:rsidP="00D41649">
            <w:pPr>
              <w:jc w:val="both"/>
              <w:rPr>
                <w:rFonts w:eastAsia="Calibri" w:cs="Times New Roman"/>
                <w:sz w:val="20"/>
                <w:szCs w:val="20"/>
                <w:lang w:val="fr-CA"/>
              </w:rPr>
            </w:pPr>
            <w:r w:rsidRPr="007858DA">
              <w:rPr>
                <w:rFonts w:eastAsia="Calibri" w:cs="Times New Roman"/>
                <w:sz w:val="20"/>
                <w:szCs w:val="20"/>
                <w:lang w:val="fr-CA"/>
              </w:rPr>
              <w:t>Le 3 octobre 2012</w:t>
            </w:r>
          </w:p>
          <w:p w:rsidR="00C8743C" w:rsidRPr="007858DA" w:rsidRDefault="00C8743C" w:rsidP="00D41649">
            <w:pPr>
              <w:jc w:val="both"/>
              <w:rPr>
                <w:rFonts w:eastAsia="Calibri" w:cs="Times New Roman"/>
                <w:sz w:val="20"/>
                <w:szCs w:val="20"/>
                <w:lang w:val="fr-CA"/>
              </w:rPr>
            </w:pPr>
            <w:r w:rsidRPr="007858DA">
              <w:rPr>
                <w:rFonts w:eastAsia="Calibri" w:cs="Times New Roman"/>
                <w:sz w:val="20"/>
                <w:szCs w:val="20"/>
                <w:lang w:val="fr-CA"/>
              </w:rPr>
              <w:t>Cour d’appel du Québec (Montréal)</w:t>
            </w:r>
          </w:p>
          <w:p w:rsidR="00C8743C" w:rsidRPr="007858DA" w:rsidRDefault="00C8743C" w:rsidP="00D41649">
            <w:pPr>
              <w:jc w:val="both"/>
              <w:rPr>
                <w:rFonts w:eastAsia="Calibri" w:cs="Times New Roman"/>
                <w:sz w:val="20"/>
                <w:szCs w:val="20"/>
                <w:lang w:val="fr-CA"/>
              </w:rPr>
            </w:pPr>
            <w:r w:rsidRPr="007858DA">
              <w:rPr>
                <w:rFonts w:eastAsia="Calibri" w:cs="Times New Roman"/>
                <w:sz w:val="20"/>
                <w:szCs w:val="20"/>
                <w:lang w:val="fr-CA"/>
              </w:rPr>
              <w:t>(Les juges Morin, Dalphond et Dutil)</w:t>
            </w:r>
          </w:p>
          <w:p w:rsidR="00C8743C" w:rsidRPr="007858DA" w:rsidRDefault="00C8743C" w:rsidP="00D41649">
            <w:pPr>
              <w:jc w:val="both"/>
              <w:rPr>
                <w:rFonts w:eastAsia="Calibri" w:cs="Times New Roman"/>
                <w:sz w:val="20"/>
                <w:szCs w:val="20"/>
                <w:lang w:val="fr-FR"/>
              </w:rPr>
            </w:pPr>
            <w:r w:rsidRPr="007858DA">
              <w:rPr>
                <w:rFonts w:eastAsia="Calibri" w:cs="Times New Roman"/>
                <w:sz w:val="20"/>
                <w:szCs w:val="20"/>
                <w:lang w:val="fr-CA"/>
              </w:rPr>
              <w:t>2012 QCCA 1850</w:t>
            </w:r>
            <w:r w:rsidRPr="007858DA">
              <w:rPr>
                <w:rFonts w:eastAsia="Calibri" w:cs="Times New Roman"/>
                <w:sz w:val="20"/>
                <w:szCs w:val="20"/>
                <w:lang w:val="fr-FR"/>
              </w:rPr>
              <w:t xml:space="preserve"> </w:t>
            </w:r>
          </w:p>
          <w:p w:rsidR="00C8743C" w:rsidRPr="007858DA" w:rsidRDefault="00C8743C" w:rsidP="00D41649">
            <w:pPr>
              <w:jc w:val="both"/>
              <w:rPr>
                <w:rFonts w:eastAsia="Calibri" w:cs="Times New Roman"/>
                <w:sz w:val="20"/>
                <w:szCs w:val="20"/>
                <w:lang w:val="fr-FR"/>
              </w:rPr>
            </w:pPr>
          </w:p>
        </w:tc>
        <w:tc>
          <w:tcPr>
            <w:tcW w:w="243" w:type="pct"/>
          </w:tcPr>
          <w:p w:rsidR="00C8743C" w:rsidRPr="007858DA" w:rsidRDefault="00C8743C" w:rsidP="00D41649">
            <w:pPr>
              <w:jc w:val="both"/>
              <w:rPr>
                <w:rFonts w:eastAsia="Calibri" w:cs="Times New Roman"/>
                <w:sz w:val="20"/>
                <w:szCs w:val="20"/>
                <w:lang w:val="fr-FR"/>
              </w:rPr>
            </w:pPr>
          </w:p>
        </w:tc>
        <w:tc>
          <w:tcPr>
            <w:tcW w:w="2330" w:type="pct"/>
          </w:tcPr>
          <w:p w:rsidR="00C8743C" w:rsidRPr="007858DA" w:rsidRDefault="00C8743C" w:rsidP="00D41649">
            <w:pPr>
              <w:jc w:val="both"/>
              <w:rPr>
                <w:rFonts w:eastAsia="Calibri" w:cs="Times New Roman"/>
                <w:sz w:val="20"/>
                <w:szCs w:val="20"/>
                <w:lang w:val="fr-CA"/>
              </w:rPr>
            </w:pPr>
            <w:r w:rsidRPr="007858DA">
              <w:rPr>
                <w:rFonts w:eastAsia="Calibri" w:cs="Times New Roman"/>
                <w:sz w:val="20"/>
                <w:szCs w:val="20"/>
                <w:lang w:val="fr-CA"/>
              </w:rPr>
              <w:t>Appel rejeté</w:t>
            </w:r>
          </w:p>
        </w:tc>
      </w:tr>
      <w:tr w:rsidR="00C8743C" w:rsidRPr="007858DA" w:rsidTr="00D41649">
        <w:tc>
          <w:tcPr>
            <w:tcW w:w="2427" w:type="pct"/>
          </w:tcPr>
          <w:p w:rsidR="00C8743C" w:rsidRPr="007858DA" w:rsidRDefault="00C8743C" w:rsidP="00D41649">
            <w:pPr>
              <w:jc w:val="both"/>
              <w:rPr>
                <w:rFonts w:eastAsia="Calibri" w:cs="Times New Roman"/>
                <w:sz w:val="20"/>
                <w:szCs w:val="20"/>
                <w:lang w:val="fr-CA"/>
              </w:rPr>
            </w:pPr>
            <w:r w:rsidRPr="007858DA">
              <w:rPr>
                <w:rFonts w:eastAsia="Calibri" w:cs="Times New Roman"/>
                <w:sz w:val="20"/>
                <w:szCs w:val="20"/>
                <w:lang w:val="fr-CA"/>
              </w:rPr>
              <w:t>Le 3 décembre 2012</w:t>
            </w:r>
          </w:p>
          <w:p w:rsidR="00C8743C" w:rsidRPr="007858DA" w:rsidRDefault="00C8743C" w:rsidP="00D41649">
            <w:pPr>
              <w:jc w:val="both"/>
              <w:rPr>
                <w:rFonts w:eastAsia="Calibri" w:cs="Times New Roman"/>
                <w:sz w:val="20"/>
                <w:szCs w:val="20"/>
                <w:lang w:val="fr-FR"/>
              </w:rPr>
            </w:pPr>
            <w:r w:rsidRPr="007858DA">
              <w:rPr>
                <w:rFonts w:eastAsia="Calibri" w:cs="Times New Roman"/>
                <w:sz w:val="20"/>
                <w:szCs w:val="20"/>
                <w:lang w:val="fr-CA"/>
              </w:rPr>
              <w:t>Cour suprême du Canada</w:t>
            </w:r>
          </w:p>
        </w:tc>
        <w:tc>
          <w:tcPr>
            <w:tcW w:w="243" w:type="pct"/>
          </w:tcPr>
          <w:p w:rsidR="00C8743C" w:rsidRPr="007858DA" w:rsidRDefault="00C8743C" w:rsidP="00D41649">
            <w:pPr>
              <w:jc w:val="both"/>
              <w:rPr>
                <w:rFonts w:eastAsia="Calibri" w:cs="Times New Roman"/>
                <w:sz w:val="20"/>
                <w:szCs w:val="20"/>
                <w:lang w:val="fr-FR"/>
              </w:rPr>
            </w:pPr>
          </w:p>
        </w:tc>
        <w:tc>
          <w:tcPr>
            <w:tcW w:w="2330" w:type="pct"/>
          </w:tcPr>
          <w:p w:rsidR="00C8743C" w:rsidRPr="007858DA" w:rsidRDefault="00C8743C" w:rsidP="00D41649">
            <w:pPr>
              <w:jc w:val="both"/>
              <w:rPr>
                <w:rFonts w:eastAsia="Calibri" w:cs="Times New Roman"/>
                <w:sz w:val="20"/>
                <w:szCs w:val="20"/>
                <w:lang w:val="fr-CA"/>
              </w:rPr>
            </w:pPr>
            <w:r w:rsidRPr="007858DA">
              <w:rPr>
                <w:rFonts w:eastAsia="Calibri" w:cs="Times New Roman"/>
                <w:sz w:val="20"/>
                <w:szCs w:val="20"/>
                <w:lang w:val="fr-CA"/>
              </w:rPr>
              <w:t>Demande d'autorisation d'appel déposée</w:t>
            </w:r>
          </w:p>
          <w:p w:rsidR="00C8743C" w:rsidRPr="007858DA" w:rsidRDefault="00C8743C" w:rsidP="00D41649">
            <w:pPr>
              <w:jc w:val="both"/>
              <w:rPr>
                <w:rFonts w:eastAsia="Calibri" w:cs="Times New Roman"/>
                <w:sz w:val="20"/>
                <w:szCs w:val="20"/>
                <w:lang w:val="fr-CA"/>
              </w:rPr>
            </w:pPr>
          </w:p>
        </w:tc>
      </w:tr>
    </w:tbl>
    <w:p w:rsidR="00C8743C" w:rsidRPr="007858DA" w:rsidRDefault="00C8743C" w:rsidP="00C8743C">
      <w:pPr>
        <w:rPr>
          <w:rFonts w:cs="Times New Roman"/>
          <w:sz w:val="20"/>
          <w:szCs w:val="20"/>
          <w:u w:val="single"/>
        </w:rPr>
      </w:pPr>
    </w:p>
    <w:p w:rsidR="00C8743C" w:rsidRPr="007858DA" w:rsidRDefault="00B74DD2" w:rsidP="00C8743C">
      <w:pPr>
        <w:rPr>
          <w:rFonts w:cs="Times New Roman"/>
          <w:sz w:val="20"/>
          <w:szCs w:val="20"/>
        </w:rPr>
      </w:pPr>
      <w:r w:rsidRPr="00B74DD2">
        <w:rPr>
          <w:rFonts w:cs="Times New Roman"/>
          <w:sz w:val="20"/>
          <w:szCs w:val="20"/>
          <w:lang w:val="fr-CA"/>
        </w:rPr>
        <w:pict>
          <v:rect id="_x0000_i1055" style="width:2in;height:1pt" o:hrpct="0" o:hralign="center" o:hrstd="t" o:hrnoshade="t" o:hr="t" fillcolor="black [3213]" stroked="f"/>
        </w:pict>
      </w:r>
    </w:p>
    <w:p w:rsidR="00C8743C" w:rsidRPr="007858DA" w:rsidRDefault="00C8743C" w:rsidP="00C8743C">
      <w:pPr>
        <w:rPr>
          <w:rFonts w:cs="Times New Roman"/>
          <w:sz w:val="20"/>
          <w:szCs w:val="20"/>
        </w:rPr>
      </w:pPr>
    </w:p>
    <w:tbl>
      <w:tblPr>
        <w:tblStyle w:val="TableGrid8"/>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54DED" w:rsidRPr="007858DA" w:rsidTr="005F7339">
        <w:trPr>
          <w:cantSplit/>
        </w:trPr>
        <w:tc>
          <w:tcPr>
            <w:tcW w:w="1458" w:type="dxa"/>
          </w:tcPr>
          <w:p w:rsidR="00154DED" w:rsidRPr="007858DA" w:rsidRDefault="00154DED" w:rsidP="00154DED">
            <w:pPr>
              <w:rPr>
                <w:rFonts w:cs="Times New Roman"/>
                <w:sz w:val="20"/>
                <w:szCs w:val="20"/>
              </w:rPr>
            </w:pPr>
            <w:r w:rsidRPr="007858DA">
              <w:rPr>
                <w:rFonts w:cs="Times New Roman"/>
                <w:b/>
                <w:sz w:val="20"/>
                <w:szCs w:val="20"/>
                <w:lang w:val="fr-CA"/>
              </w:rPr>
              <w:t>35119</w:t>
            </w:r>
          </w:p>
          <w:p w:rsidR="00154DED" w:rsidRPr="007858DA" w:rsidRDefault="00154DED" w:rsidP="00154DED">
            <w:pPr>
              <w:rPr>
                <w:rFonts w:cs="Times New Roman"/>
                <w:b/>
                <w:sz w:val="20"/>
                <w:szCs w:val="20"/>
                <w:lang w:val="fr-CA"/>
              </w:rPr>
            </w:pPr>
          </w:p>
        </w:tc>
        <w:tc>
          <w:tcPr>
            <w:tcW w:w="8118" w:type="dxa"/>
          </w:tcPr>
          <w:p w:rsidR="00154DED" w:rsidRPr="007858DA" w:rsidRDefault="00154DED" w:rsidP="004D2A97">
            <w:pPr>
              <w:jc w:val="both"/>
              <w:rPr>
                <w:rFonts w:cs="Times New Roman"/>
                <w:sz w:val="20"/>
                <w:szCs w:val="20"/>
              </w:rPr>
            </w:pPr>
            <w:r w:rsidRPr="007858DA">
              <w:rPr>
                <w:rFonts w:cs="Times New Roman"/>
                <w:b/>
                <w:sz w:val="20"/>
                <w:szCs w:val="20"/>
                <w:u w:val="single"/>
                <w:lang w:val="en-US"/>
              </w:rPr>
              <w:t>Jack W. Leclaire, John Beauvais, Patricia Charlene Walls, Elizabeth Diabo Paul, Selina Etienne, Glen Joseph Delaronde, Merrick Goodleaf, Matthew Mike Louis, Lester Patrick Nolan, George Norton, John Louis Steven Rice, Wallace Stacey, Sylvia Grégoire Thomas, Donna De Laronde, Leah Diome, Kyle Diabo, Bobbijo Delormier, Debra Goodleaf, Sheila Lazare, John McComber, Lee Jacobs and Derek White v. Attorney General of Canada, Attorney General of Quebec, Deputy Minister of Revenue of Quebec and Agence du revenu du Québec</w:t>
            </w:r>
            <w:r w:rsidRPr="007858DA">
              <w:rPr>
                <w:rFonts w:cs="Times New Roman"/>
                <w:sz w:val="20"/>
                <w:szCs w:val="20"/>
              </w:rPr>
              <w:t xml:space="preserve"> (Que.) (Civil) (By Leave)</w:t>
            </w:r>
          </w:p>
          <w:p w:rsidR="00154DED" w:rsidRPr="007858DA" w:rsidRDefault="00154DED" w:rsidP="004D2A97">
            <w:pPr>
              <w:jc w:val="both"/>
              <w:rPr>
                <w:rFonts w:cs="Times New Roman"/>
                <w:sz w:val="20"/>
                <w:szCs w:val="20"/>
              </w:rPr>
            </w:pPr>
          </w:p>
        </w:tc>
      </w:tr>
      <w:tr w:rsidR="00154DED" w:rsidRPr="007858DA" w:rsidTr="005F7339">
        <w:trPr>
          <w:cantSplit/>
        </w:trPr>
        <w:tc>
          <w:tcPr>
            <w:tcW w:w="1458" w:type="dxa"/>
          </w:tcPr>
          <w:p w:rsidR="00154DED" w:rsidRPr="007858DA" w:rsidRDefault="00154DED" w:rsidP="00154DED">
            <w:pPr>
              <w:rPr>
                <w:rFonts w:cs="Times New Roman"/>
                <w:sz w:val="20"/>
                <w:szCs w:val="20"/>
              </w:rPr>
            </w:pPr>
            <w:r w:rsidRPr="007858DA">
              <w:rPr>
                <w:rFonts w:cs="Times New Roman"/>
                <w:sz w:val="20"/>
                <w:szCs w:val="20"/>
              </w:rPr>
              <w:t>Coram :</w:t>
            </w:r>
          </w:p>
        </w:tc>
        <w:tc>
          <w:tcPr>
            <w:tcW w:w="8118" w:type="dxa"/>
          </w:tcPr>
          <w:p w:rsidR="00154DED" w:rsidRPr="007858DA" w:rsidRDefault="00154DED" w:rsidP="00154DED">
            <w:pPr>
              <w:rPr>
                <w:rFonts w:cs="Times New Roman"/>
                <w:sz w:val="20"/>
                <w:szCs w:val="20"/>
              </w:rPr>
            </w:pPr>
            <w:r w:rsidRPr="007858DA">
              <w:rPr>
                <w:rFonts w:cs="Times New Roman"/>
                <w:sz w:val="20"/>
                <w:szCs w:val="20"/>
                <w:u w:val="single"/>
                <w:lang w:val="en-US"/>
              </w:rPr>
              <w:t>LeBel, Karakatsanis and Wagner JJ.</w:t>
            </w:r>
          </w:p>
          <w:p w:rsidR="00154DED" w:rsidRPr="007858DA" w:rsidRDefault="00154DED" w:rsidP="00154DED">
            <w:pPr>
              <w:rPr>
                <w:rFonts w:cs="Times New Roman"/>
                <w:sz w:val="20"/>
                <w:szCs w:val="20"/>
                <w:u w:val="single"/>
              </w:rPr>
            </w:pPr>
          </w:p>
        </w:tc>
      </w:tr>
      <w:tr w:rsidR="00154DED" w:rsidRPr="00C4248C" w:rsidTr="005F7339">
        <w:trPr>
          <w:cantSplit/>
        </w:trPr>
        <w:tc>
          <w:tcPr>
            <w:tcW w:w="9576" w:type="dxa"/>
            <w:gridSpan w:val="2"/>
          </w:tcPr>
          <w:p w:rsidR="00154DED" w:rsidRPr="007858DA" w:rsidRDefault="00154DED" w:rsidP="00154DED">
            <w:pPr>
              <w:ind w:firstLine="720"/>
              <w:jc w:val="both"/>
              <w:rPr>
                <w:rFonts w:cs="Times New Roman"/>
                <w:sz w:val="20"/>
                <w:szCs w:val="20"/>
              </w:rPr>
            </w:pPr>
            <w:r w:rsidRPr="007858DA">
              <w:rPr>
                <w:rFonts w:cs="Times New Roman"/>
                <w:sz w:val="20"/>
                <w:szCs w:val="20"/>
              </w:rPr>
              <w:t>The application for leave to appeal from the judgment of the Court of Appeal of Quebec (Montréal), Number 500-09-023010-127, 2012 QCCA 1872, dated October 22, 2012, is dismissed with costs.</w:t>
            </w:r>
          </w:p>
          <w:p w:rsidR="00154DED" w:rsidRPr="007858DA" w:rsidRDefault="00154DED" w:rsidP="00154DED">
            <w:pPr>
              <w:jc w:val="both"/>
              <w:rPr>
                <w:rFonts w:cs="Times New Roman"/>
                <w:sz w:val="20"/>
                <w:szCs w:val="20"/>
              </w:rPr>
            </w:pPr>
          </w:p>
          <w:p w:rsidR="00154DED" w:rsidRPr="007858DA" w:rsidRDefault="00154DED" w:rsidP="00154DED">
            <w:pPr>
              <w:ind w:firstLine="720"/>
              <w:jc w:val="both"/>
              <w:rPr>
                <w:rFonts w:cs="Times New Roman"/>
                <w:sz w:val="20"/>
                <w:szCs w:val="20"/>
                <w:lang w:val="fr-CA"/>
              </w:rPr>
            </w:pPr>
            <w:r w:rsidRPr="007858DA">
              <w:rPr>
                <w:rFonts w:cs="Times New Roman"/>
                <w:sz w:val="20"/>
                <w:szCs w:val="20"/>
                <w:lang w:val="fr-CA"/>
              </w:rPr>
              <w:t>La demande d’autorisation d’appel de l’arrêt de la Cour d’appel du Québec (Montréal), numéro 500-09-023010-127, 2012 QCCA 1872, daté du 22 octobre 2012, est rejetée avec dépens.</w:t>
            </w:r>
          </w:p>
        </w:tc>
      </w:tr>
    </w:tbl>
    <w:p w:rsidR="00912E1C" w:rsidRDefault="00912E1C" w:rsidP="004F5EAB">
      <w:pPr>
        <w:rPr>
          <w:rFonts w:cs="Times New Roman"/>
          <w:sz w:val="20"/>
          <w:szCs w:val="20"/>
          <w:lang w:val="fr-CA"/>
        </w:rPr>
      </w:pPr>
    </w:p>
    <w:p w:rsidR="004F5EAB" w:rsidRPr="007858DA" w:rsidRDefault="004F5EAB" w:rsidP="004F5EAB">
      <w:pPr>
        <w:rPr>
          <w:rFonts w:cs="Times New Roman"/>
          <w:sz w:val="20"/>
          <w:szCs w:val="20"/>
          <w:u w:val="single"/>
        </w:rPr>
      </w:pPr>
      <w:r w:rsidRPr="007858DA">
        <w:rPr>
          <w:rFonts w:cs="Times New Roman"/>
          <w:sz w:val="20"/>
          <w:szCs w:val="20"/>
          <w:u w:val="single"/>
        </w:rPr>
        <w:t>CASE SUMMARY</w:t>
      </w:r>
    </w:p>
    <w:p w:rsidR="004F5EAB" w:rsidRPr="007858DA" w:rsidRDefault="004F5EAB" w:rsidP="004F5EAB">
      <w:pPr>
        <w:rPr>
          <w:rFonts w:cs="Times New Roman"/>
          <w:sz w:val="20"/>
          <w:szCs w:val="20"/>
          <w:u w:val="single"/>
        </w:rPr>
      </w:pPr>
    </w:p>
    <w:tbl>
      <w:tblPr>
        <w:tblW w:w="4952" w:type="pct"/>
        <w:tblLayout w:type="fixed"/>
        <w:tblCellMar>
          <w:left w:w="0" w:type="dxa"/>
          <w:bottom w:w="99" w:type="dxa"/>
          <w:right w:w="0" w:type="dxa"/>
        </w:tblCellMar>
        <w:tblLook w:val="04A0"/>
      </w:tblPr>
      <w:tblGrid>
        <w:gridCol w:w="4624"/>
        <w:gridCol w:w="463"/>
        <w:gridCol w:w="4440"/>
      </w:tblGrid>
      <w:tr w:rsidR="004F5EAB" w:rsidRPr="007858DA" w:rsidTr="004F5EAB">
        <w:tc>
          <w:tcPr>
            <w:tcW w:w="5000" w:type="pct"/>
            <w:gridSpan w:val="3"/>
          </w:tcPr>
          <w:p w:rsidR="004F5EAB" w:rsidRPr="007858DA" w:rsidRDefault="004F5EAB" w:rsidP="004F5EAB">
            <w:pPr>
              <w:jc w:val="both"/>
              <w:rPr>
                <w:rFonts w:eastAsia="Calibri" w:cs="Times New Roman"/>
                <w:sz w:val="20"/>
                <w:szCs w:val="20"/>
              </w:rPr>
            </w:pPr>
            <w:r w:rsidRPr="007858DA">
              <w:rPr>
                <w:rFonts w:eastAsia="Calibri" w:cs="Times New Roman"/>
                <w:sz w:val="20"/>
                <w:szCs w:val="20"/>
              </w:rPr>
              <w:t xml:space="preserve">Civil procedure – Aboriginal law – Appeal from interlocutory judgment – Motion to amend pleadings – Rule of proportionality – Case management judge refusing to allow certain amendments to pleadings – Judge ruling that amendments would result in addition of entirely new cause of action unconnected to existing proceedings – Court of Appeal denying leave to appeal – Whether pursuit of justice required Court of Appeal to grant leave to appeal from interlocutory judgment? – Whether effect of Court of Appeal’s judgment is to elevate rule of proportionality to that of standard that supersedes or applies in addition to concept of pursuit of justice? – Whether concept of “Honour of the Crown” can be excluded from a claim of an Aboriginal right brought under s. 35 of </w:t>
            </w:r>
            <w:r w:rsidRPr="007858DA">
              <w:rPr>
                <w:rFonts w:eastAsia="Calibri" w:cs="Times New Roman"/>
                <w:i/>
                <w:sz w:val="20"/>
                <w:szCs w:val="20"/>
              </w:rPr>
              <w:t>Constitution Act</w:t>
            </w:r>
            <w:r w:rsidRPr="007858DA">
              <w:rPr>
                <w:rFonts w:eastAsia="Calibri" w:cs="Times New Roman"/>
                <w:sz w:val="20"/>
                <w:szCs w:val="20"/>
              </w:rPr>
              <w:t xml:space="preserve">, </w:t>
            </w:r>
            <w:r w:rsidRPr="007858DA">
              <w:rPr>
                <w:rFonts w:eastAsia="Calibri" w:cs="Times New Roman"/>
                <w:i/>
                <w:sz w:val="20"/>
                <w:szCs w:val="20"/>
              </w:rPr>
              <w:t xml:space="preserve">1982 </w:t>
            </w:r>
            <w:r w:rsidRPr="007858DA">
              <w:rPr>
                <w:rFonts w:eastAsia="Calibri" w:cs="Times New Roman"/>
                <w:sz w:val="20"/>
                <w:szCs w:val="20"/>
              </w:rPr>
              <w:t xml:space="preserve">by the application of the rule of proportionality? – </w:t>
            </w:r>
            <w:r w:rsidRPr="007858DA">
              <w:rPr>
                <w:rFonts w:eastAsia="Calibri" w:cs="Times New Roman"/>
                <w:i/>
                <w:sz w:val="20"/>
                <w:szCs w:val="20"/>
              </w:rPr>
              <w:t>Code of civil procedure</w:t>
            </w:r>
            <w:r w:rsidRPr="007858DA">
              <w:rPr>
                <w:rFonts w:eastAsia="Calibri" w:cs="Times New Roman"/>
                <w:sz w:val="20"/>
                <w:szCs w:val="20"/>
              </w:rPr>
              <w:t>, R.S.Q., c. C</w:t>
            </w:r>
            <w:r w:rsidRPr="007858DA">
              <w:rPr>
                <w:rFonts w:eastAsia="MS Mincho" w:cs="Times New Roman"/>
                <w:sz w:val="20"/>
                <w:szCs w:val="20"/>
              </w:rPr>
              <w:t>-</w:t>
            </w:r>
            <w:r w:rsidRPr="007858DA">
              <w:rPr>
                <w:rFonts w:eastAsia="Calibri" w:cs="Times New Roman"/>
                <w:sz w:val="20"/>
                <w:szCs w:val="20"/>
              </w:rPr>
              <w:t xml:space="preserve">25, ss. 4.2 and 511. </w:t>
            </w:r>
          </w:p>
        </w:tc>
      </w:tr>
      <w:tr w:rsidR="004F5EAB" w:rsidRPr="007858DA" w:rsidTr="004F5EAB">
        <w:tc>
          <w:tcPr>
            <w:tcW w:w="5000" w:type="pct"/>
            <w:gridSpan w:val="3"/>
          </w:tcPr>
          <w:p w:rsidR="004F5EAB" w:rsidRPr="007858DA" w:rsidRDefault="004F5EAB" w:rsidP="004F5EAB">
            <w:pPr>
              <w:jc w:val="both"/>
              <w:rPr>
                <w:rFonts w:eastAsia="Calibri" w:cs="Times New Roman"/>
                <w:sz w:val="20"/>
                <w:szCs w:val="20"/>
              </w:rPr>
            </w:pPr>
          </w:p>
        </w:tc>
      </w:tr>
      <w:tr w:rsidR="004F5EAB" w:rsidRPr="007858DA" w:rsidTr="004F5EAB">
        <w:tc>
          <w:tcPr>
            <w:tcW w:w="5000" w:type="pct"/>
            <w:gridSpan w:val="3"/>
          </w:tcPr>
          <w:p w:rsidR="004F5EAB" w:rsidRPr="007858DA" w:rsidRDefault="004F5EAB" w:rsidP="004F5EAB">
            <w:pPr>
              <w:jc w:val="both"/>
              <w:rPr>
                <w:rFonts w:eastAsia="Calibri" w:cs="Times New Roman"/>
                <w:sz w:val="20"/>
                <w:szCs w:val="20"/>
              </w:rPr>
            </w:pPr>
            <w:r w:rsidRPr="007858DA">
              <w:rPr>
                <w:rFonts w:eastAsia="Calibri" w:cs="Times New Roman"/>
                <w:sz w:val="20"/>
                <w:szCs w:val="20"/>
              </w:rPr>
              <w:t xml:space="preserve">The applicants are Mohawks who reside and carry on business within the Kahnawake Indian Reserve in Quebec.  They each operate or have operated one or more retail sales outlets of gasoline and petroleum products.  In 1994, following the enactment of the Goods and Services Tax (GST), they filed a motion for a declaratory judgment that s. 88 of the </w:t>
            </w:r>
            <w:r w:rsidRPr="007858DA">
              <w:rPr>
                <w:rFonts w:eastAsia="Calibri" w:cs="Times New Roman"/>
                <w:i/>
                <w:sz w:val="20"/>
                <w:szCs w:val="20"/>
              </w:rPr>
              <w:t>Indian Act</w:t>
            </w:r>
            <w:r w:rsidRPr="007858DA">
              <w:rPr>
                <w:rFonts w:eastAsia="Calibri" w:cs="Times New Roman"/>
                <w:sz w:val="20"/>
                <w:szCs w:val="20"/>
              </w:rPr>
              <w:t>, R.S.C. 1985, c. I</w:t>
            </w:r>
            <w:r w:rsidRPr="007858DA">
              <w:rPr>
                <w:rFonts w:eastAsia="Calibri" w:cs="Times New Roman"/>
                <w:sz w:val="20"/>
                <w:szCs w:val="20"/>
              </w:rPr>
              <w:noBreakHyphen/>
              <w:t xml:space="preserve">5, Part IX of the </w:t>
            </w:r>
            <w:r w:rsidRPr="007858DA">
              <w:rPr>
                <w:rFonts w:eastAsia="Calibri" w:cs="Times New Roman"/>
                <w:i/>
                <w:sz w:val="20"/>
                <w:szCs w:val="20"/>
              </w:rPr>
              <w:t>Excise Tax Act</w:t>
            </w:r>
            <w:r w:rsidRPr="007858DA">
              <w:rPr>
                <w:rFonts w:eastAsia="Calibri" w:cs="Times New Roman"/>
                <w:sz w:val="20"/>
                <w:szCs w:val="20"/>
              </w:rPr>
              <w:t>, R.S.C. 1985, c. E</w:t>
            </w:r>
            <w:r w:rsidRPr="007858DA">
              <w:rPr>
                <w:rFonts w:eastAsia="Calibri" w:cs="Times New Roman"/>
                <w:sz w:val="20"/>
                <w:szCs w:val="20"/>
              </w:rPr>
              <w:noBreakHyphen/>
              <w:t xml:space="preserve">15, </w:t>
            </w:r>
            <w:r w:rsidRPr="007858DA">
              <w:rPr>
                <w:rFonts w:eastAsia="Calibri" w:cs="Times New Roman"/>
                <w:i/>
                <w:sz w:val="20"/>
                <w:szCs w:val="20"/>
              </w:rPr>
              <w:t>Fuel Tax Act</w:t>
            </w:r>
            <w:r w:rsidRPr="007858DA">
              <w:rPr>
                <w:rFonts w:eastAsia="Calibri" w:cs="Times New Roman"/>
                <w:sz w:val="20"/>
                <w:szCs w:val="20"/>
              </w:rPr>
              <w:t>, R.S.Q., c. T</w:t>
            </w:r>
            <w:r w:rsidRPr="007858DA">
              <w:rPr>
                <w:rFonts w:eastAsia="Calibri" w:cs="Times New Roman"/>
                <w:sz w:val="20"/>
                <w:szCs w:val="20"/>
              </w:rPr>
              <w:noBreakHyphen/>
              <w:t xml:space="preserve">1, </w:t>
            </w:r>
            <w:r w:rsidRPr="007858DA">
              <w:rPr>
                <w:rFonts w:eastAsia="Calibri" w:cs="Times New Roman"/>
                <w:i/>
                <w:sz w:val="20"/>
                <w:szCs w:val="20"/>
              </w:rPr>
              <w:t>An Act respecting the Québec Sales Tax</w:t>
            </w:r>
            <w:r w:rsidRPr="007858DA">
              <w:rPr>
                <w:rFonts w:eastAsia="Calibri" w:cs="Times New Roman"/>
                <w:sz w:val="20"/>
                <w:szCs w:val="20"/>
              </w:rPr>
              <w:t>, R.S.Q., c. T</w:t>
            </w:r>
            <w:r w:rsidRPr="007858DA">
              <w:rPr>
                <w:rFonts w:eastAsia="Calibri" w:cs="Times New Roman"/>
                <w:sz w:val="20"/>
                <w:szCs w:val="20"/>
              </w:rPr>
              <w:noBreakHyphen/>
              <w:t xml:space="preserve">0.1 are unconstitutional or inapplicable to them as Aboriginal persons. </w:t>
            </w:r>
          </w:p>
          <w:p w:rsidR="004F5EAB" w:rsidRPr="007858DA" w:rsidRDefault="004F5EAB" w:rsidP="004F5EAB">
            <w:pPr>
              <w:jc w:val="both"/>
              <w:rPr>
                <w:rFonts w:eastAsia="Calibri" w:cs="Times New Roman"/>
                <w:sz w:val="20"/>
                <w:szCs w:val="20"/>
              </w:rPr>
            </w:pPr>
          </w:p>
          <w:p w:rsidR="004F5EAB" w:rsidRPr="007858DA" w:rsidRDefault="004F5EAB" w:rsidP="004F5EAB">
            <w:pPr>
              <w:jc w:val="both"/>
              <w:rPr>
                <w:rFonts w:eastAsia="Calibri" w:cs="Times New Roman"/>
                <w:sz w:val="20"/>
                <w:szCs w:val="20"/>
              </w:rPr>
            </w:pPr>
            <w:r w:rsidRPr="007858DA">
              <w:rPr>
                <w:rFonts w:eastAsia="Calibri" w:cs="Times New Roman"/>
                <w:sz w:val="20"/>
                <w:szCs w:val="20"/>
              </w:rPr>
              <w:t xml:space="preserve">Between 2010 and 2012, the applicants twice amended their motion.  By early 2012, their motion sought a declaration that the provincial fuel tax, the QST and the GST are illegal, contrary to the </w:t>
            </w:r>
            <w:r w:rsidRPr="007858DA">
              <w:rPr>
                <w:rFonts w:eastAsia="Calibri" w:cs="Times New Roman"/>
                <w:i/>
                <w:sz w:val="20"/>
                <w:szCs w:val="20"/>
              </w:rPr>
              <w:t>Indian Act</w:t>
            </w:r>
            <w:r w:rsidRPr="007858DA">
              <w:rPr>
                <w:rFonts w:eastAsia="Calibri" w:cs="Times New Roman"/>
                <w:sz w:val="20"/>
                <w:szCs w:val="20"/>
              </w:rPr>
              <w:t xml:space="preserve"> and inapplicable to them as native persons.  It also sought a declaration that the applicants are not required to comply with the administration and enforcement procedures under the applicable fiscal rules.  A lengthy trial was scheduled to proceed in January 2013.  However, in May 2012, the applicants sought to amend their motion once again, in part to reflect political and legal changes having taken place and, in part to allege breaches of the fiduciary duty of the Crown.  More specifically, they sought to add allegations pertaining to decisions made by the federal and provincial Crowns to locate various infrastructure projects on or around the Kahnawake reserve without proper regard for the interests of the Mohawks.  In all, the applicants sought to include 25 new allegations and requests for three new declarations.  The Crown respondents opposed the amendments. </w:t>
            </w:r>
          </w:p>
          <w:p w:rsidR="004F5EAB" w:rsidRPr="007858DA" w:rsidRDefault="004F5EAB" w:rsidP="004F5EAB">
            <w:pPr>
              <w:jc w:val="both"/>
              <w:rPr>
                <w:rFonts w:eastAsia="Calibri" w:cs="Times New Roman"/>
                <w:sz w:val="20"/>
                <w:szCs w:val="20"/>
              </w:rPr>
            </w:pPr>
          </w:p>
        </w:tc>
      </w:tr>
      <w:tr w:rsidR="004F5EAB" w:rsidRPr="007858DA" w:rsidTr="004F5EAB">
        <w:tc>
          <w:tcPr>
            <w:tcW w:w="2427" w:type="pct"/>
          </w:tcPr>
          <w:p w:rsidR="004F5EAB" w:rsidRPr="007858DA" w:rsidRDefault="004F5EAB" w:rsidP="004F5EAB">
            <w:pPr>
              <w:jc w:val="both"/>
              <w:rPr>
                <w:rFonts w:eastAsia="Calibri" w:cs="Times New Roman"/>
                <w:sz w:val="20"/>
                <w:szCs w:val="20"/>
              </w:rPr>
            </w:pPr>
            <w:r w:rsidRPr="007858DA">
              <w:rPr>
                <w:rFonts w:eastAsia="Calibri" w:cs="Times New Roman"/>
                <w:sz w:val="20"/>
                <w:szCs w:val="20"/>
              </w:rPr>
              <w:t>September 4, 2012</w:t>
            </w:r>
          </w:p>
          <w:p w:rsidR="004F5EAB" w:rsidRPr="007858DA" w:rsidRDefault="004F5EAB" w:rsidP="004F5EAB">
            <w:pPr>
              <w:jc w:val="both"/>
              <w:rPr>
                <w:rFonts w:eastAsia="Calibri" w:cs="Times New Roman"/>
                <w:sz w:val="20"/>
                <w:szCs w:val="20"/>
              </w:rPr>
            </w:pPr>
            <w:r w:rsidRPr="007858DA">
              <w:rPr>
                <w:rFonts w:eastAsia="Calibri" w:cs="Times New Roman"/>
                <w:sz w:val="20"/>
                <w:szCs w:val="20"/>
              </w:rPr>
              <w:t>Superior Court of Quebec</w:t>
            </w:r>
          </w:p>
          <w:p w:rsidR="004F5EAB" w:rsidRPr="007858DA" w:rsidRDefault="004F5EAB" w:rsidP="004F5EAB">
            <w:pPr>
              <w:jc w:val="both"/>
              <w:rPr>
                <w:rFonts w:eastAsia="Calibri" w:cs="Times New Roman"/>
                <w:sz w:val="20"/>
                <w:szCs w:val="20"/>
              </w:rPr>
            </w:pPr>
            <w:r w:rsidRPr="007858DA">
              <w:rPr>
                <w:rFonts w:eastAsia="Calibri" w:cs="Times New Roman"/>
                <w:sz w:val="20"/>
                <w:szCs w:val="20"/>
              </w:rPr>
              <w:t>(Crête J.)</w:t>
            </w:r>
          </w:p>
          <w:p w:rsidR="004F5EAB" w:rsidRPr="007858DA" w:rsidRDefault="004F5EAB" w:rsidP="004F5EAB">
            <w:pPr>
              <w:jc w:val="both"/>
              <w:rPr>
                <w:rFonts w:eastAsia="Calibri" w:cs="Times New Roman"/>
                <w:sz w:val="20"/>
                <w:szCs w:val="20"/>
              </w:rPr>
            </w:pPr>
            <w:r w:rsidRPr="007858DA">
              <w:rPr>
                <w:rFonts w:eastAsia="Calibri" w:cs="Times New Roman"/>
                <w:sz w:val="20"/>
                <w:szCs w:val="20"/>
              </w:rPr>
              <w:t>2012 QCCS 4179</w:t>
            </w:r>
          </w:p>
        </w:tc>
        <w:tc>
          <w:tcPr>
            <w:tcW w:w="243" w:type="pct"/>
          </w:tcPr>
          <w:p w:rsidR="004F5EAB" w:rsidRPr="007858DA" w:rsidRDefault="004F5EAB" w:rsidP="004F5EAB">
            <w:pPr>
              <w:jc w:val="both"/>
              <w:rPr>
                <w:rFonts w:eastAsia="Calibri" w:cs="Times New Roman"/>
                <w:sz w:val="20"/>
                <w:szCs w:val="20"/>
              </w:rPr>
            </w:pPr>
          </w:p>
        </w:tc>
        <w:tc>
          <w:tcPr>
            <w:tcW w:w="2330" w:type="pct"/>
          </w:tcPr>
          <w:p w:rsidR="004F5EAB" w:rsidRPr="007858DA" w:rsidRDefault="004F5EAB" w:rsidP="004F5EAB">
            <w:pPr>
              <w:jc w:val="both"/>
              <w:rPr>
                <w:rFonts w:eastAsia="Calibri" w:cs="Times New Roman"/>
                <w:sz w:val="20"/>
                <w:szCs w:val="20"/>
              </w:rPr>
            </w:pPr>
            <w:r w:rsidRPr="007858DA">
              <w:rPr>
                <w:rFonts w:eastAsia="Calibri" w:cs="Times New Roman"/>
                <w:sz w:val="20"/>
                <w:szCs w:val="20"/>
              </w:rPr>
              <w:t>Motion seeking to amend re</w:t>
            </w:r>
            <w:r w:rsidRPr="007858DA">
              <w:rPr>
                <w:rFonts w:eastAsia="Calibri" w:cs="Times New Roman"/>
                <w:sz w:val="20"/>
                <w:szCs w:val="20"/>
              </w:rPr>
              <w:noBreakHyphen/>
              <w:t>re</w:t>
            </w:r>
            <w:r w:rsidRPr="007858DA">
              <w:rPr>
                <w:rFonts w:eastAsia="Calibri" w:cs="Times New Roman"/>
                <w:sz w:val="20"/>
                <w:szCs w:val="20"/>
              </w:rPr>
              <w:noBreakHyphen/>
              <w:t>amended motion for declaratory judgment and suspension, granted in part ; However, certain paragraphs and conclusions sought to be added by way of motion, struck out</w:t>
            </w:r>
          </w:p>
          <w:p w:rsidR="004F5EAB" w:rsidRPr="007858DA" w:rsidRDefault="004F5EAB" w:rsidP="004F5EAB">
            <w:pPr>
              <w:jc w:val="both"/>
              <w:rPr>
                <w:rFonts w:eastAsia="Calibri" w:cs="Times New Roman"/>
                <w:sz w:val="20"/>
                <w:szCs w:val="20"/>
              </w:rPr>
            </w:pPr>
          </w:p>
        </w:tc>
      </w:tr>
      <w:tr w:rsidR="004F5EAB" w:rsidRPr="007858DA" w:rsidTr="004F5EAB">
        <w:tc>
          <w:tcPr>
            <w:tcW w:w="2427" w:type="pct"/>
          </w:tcPr>
          <w:p w:rsidR="004F5EAB" w:rsidRPr="007858DA" w:rsidRDefault="004F5EAB" w:rsidP="004F5EAB">
            <w:pPr>
              <w:jc w:val="both"/>
              <w:rPr>
                <w:rFonts w:eastAsia="Calibri" w:cs="Times New Roman"/>
                <w:sz w:val="20"/>
                <w:szCs w:val="20"/>
              </w:rPr>
            </w:pPr>
            <w:r w:rsidRPr="007858DA">
              <w:rPr>
                <w:rFonts w:eastAsia="Calibri" w:cs="Times New Roman"/>
                <w:sz w:val="20"/>
                <w:szCs w:val="20"/>
              </w:rPr>
              <w:t>October 22, 2012</w:t>
            </w:r>
          </w:p>
          <w:p w:rsidR="004F5EAB" w:rsidRPr="007858DA" w:rsidRDefault="004F5EAB" w:rsidP="004F5EAB">
            <w:pPr>
              <w:jc w:val="both"/>
              <w:rPr>
                <w:rFonts w:eastAsia="Calibri" w:cs="Times New Roman"/>
                <w:sz w:val="20"/>
                <w:szCs w:val="20"/>
              </w:rPr>
            </w:pPr>
            <w:r w:rsidRPr="007858DA">
              <w:rPr>
                <w:rFonts w:eastAsia="Calibri" w:cs="Times New Roman"/>
                <w:sz w:val="20"/>
                <w:szCs w:val="20"/>
              </w:rPr>
              <w:t>Court of Appeal of Quebec (Montréal)</w:t>
            </w:r>
          </w:p>
          <w:p w:rsidR="004F5EAB" w:rsidRPr="007858DA" w:rsidRDefault="004F5EAB" w:rsidP="004F5EAB">
            <w:pPr>
              <w:jc w:val="both"/>
              <w:rPr>
                <w:rFonts w:eastAsia="Calibri" w:cs="Times New Roman"/>
                <w:sz w:val="20"/>
                <w:szCs w:val="20"/>
              </w:rPr>
            </w:pPr>
            <w:r w:rsidRPr="007858DA">
              <w:rPr>
                <w:rFonts w:eastAsia="Calibri" w:cs="Times New Roman"/>
                <w:sz w:val="20"/>
                <w:szCs w:val="20"/>
              </w:rPr>
              <w:t>(Kasirer JJ.A.)</w:t>
            </w:r>
          </w:p>
          <w:p w:rsidR="004F5EAB" w:rsidRPr="007858DA" w:rsidRDefault="004F5EAB" w:rsidP="004F5EAB">
            <w:pPr>
              <w:jc w:val="both"/>
              <w:rPr>
                <w:rFonts w:eastAsia="Calibri" w:cs="Times New Roman"/>
                <w:sz w:val="20"/>
                <w:szCs w:val="20"/>
              </w:rPr>
            </w:pPr>
            <w:r w:rsidRPr="007858DA">
              <w:rPr>
                <w:rFonts w:eastAsia="Calibri" w:cs="Times New Roman"/>
                <w:sz w:val="20"/>
                <w:szCs w:val="20"/>
              </w:rPr>
              <w:t>2012 QCCA 1872</w:t>
            </w:r>
          </w:p>
          <w:p w:rsidR="004F5EAB" w:rsidRPr="007858DA" w:rsidRDefault="004F5EAB" w:rsidP="004F5EAB">
            <w:pPr>
              <w:jc w:val="both"/>
              <w:rPr>
                <w:rFonts w:eastAsia="Calibri" w:cs="Times New Roman"/>
                <w:sz w:val="20"/>
                <w:szCs w:val="20"/>
              </w:rPr>
            </w:pPr>
          </w:p>
        </w:tc>
        <w:tc>
          <w:tcPr>
            <w:tcW w:w="243" w:type="pct"/>
          </w:tcPr>
          <w:p w:rsidR="004F5EAB" w:rsidRPr="007858DA" w:rsidRDefault="004F5EAB" w:rsidP="004F5EAB">
            <w:pPr>
              <w:jc w:val="both"/>
              <w:rPr>
                <w:rFonts w:eastAsia="Calibri" w:cs="Times New Roman"/>
                <w:sz w:val="20"/>
                <w:szCs w:val="20"/>
              </w:rPr>
            </w:pPr>
          </w:p>
        </w:tc>
        <w:tc>
          <w:tcPr>
            <w:tcW w:w="2330" w:type="pct"/>
          </w:tcPr>
          <w:p w:rsidR="004F5EAB" w:rsidRPr="007858DA" w:rsidRDefault="004F5EAB" w:rsidP="004F5EAB">
            <w:pPr>
              <w:jc w:val="both"/>
              <w:rPr>
                <w:rFonts w:eastAsia="Calibri" w:cs="Times New Roman"/>
                <w:sz w:val="20"/>
                <w:szCs w:val="20"/>
              </w:rPr>
            </w:pPr>
            <w:r w:rsidRPr="007858DA">
              <w:rPr>
                <w:rFonts w:eastAsia="Calibri" w:cs="Times New Roman"/>
                <w:sz w:val="20"/>
                <w:szCs w:val="20"/>
              </w:rPr>
              <w:t xml:space="preserve">Motion for leave to appeal dismissed </w:t>
            </w:r>
          </w:p>
          <w:p w:rsidR="004F5EAB" w:rsidRPr="007858DA" w:rsidRDefault="004F5EAB" w:rsidP="004F5EAB">
            <w:pPr>
              <w:jc w:val="both"/>
              <w:rPr>
                <w:rFonts w:eastAsia="Calibri" w:cs="Times New Roman"/>
                <w:sz w:val="20"/>
                <w:szCs w:val="20"/>
              </w:rPr>
            </w:pPr>
          </w:p>
        </w:tc>
      </w:tr>
      <w:tr w:rsidR="004F5EAB" w:rsidRPr="007858DA" w:rsidTr="004F5EAB">
        <w:tc>
          <w:tcPr>
            <w:tcW w:w="2427" w:type="pct"/>
          </w:tcPr>
          <w:p w:rsidR="004F5EAB" w:rsidRPr="007858DA" w:rsidRDefault="004F5EAB" w:rsidP="004F5EAB">
            <w:pPr>
              <w:jc w:val="both"/>
              <w:rPr>
                <w:rFonts w:eastAsia="Calibri" w:cs="Times New Roman"/>
                <w:sz w:val="20"/>
                <w:szCs w:val="20"/>
              </w:rPr>
            </w:pPr>
            <w:r w:rsidRPr="007858DA">
              <w:rPr>
                <w:rFonts w:eastAsia="Calibri" w:cs="Times New Roman"/>
                <w:sz w:val="20"/>
                <w:szCs w:val="20"/>
              </w:rPr>
              <w:t>December 5, 2012</w:t>
            </w:r>
          </w:p>
          <w:p w:rsidR="004F5EAB" w:rsidRPr="007858DA" w:rsidRDefault="004F5EAB" w:rsidP="004F5EAB">
            <w:pPr>
              <w:jc w:val="both"/>
              <w:rPr>
                <w:rFonts w:eastAsia="Calibri" w:cs="Times New Roman"/>
                <w:sz w:val="20"/>
                <w:szCs w:val="20"/>
              </w:rPr>
            </w:pPr>
            <w:r w:rsidRPr="007858DA">
              <w:rPr>
                <w:rFonts w:eastAsia="Calibri" w:cs="Times New Roman"/>
                <w:sz w:val="20"/>
                <w:szCs w:val="20"/>
              </w:rPr>
              <w:t>Supreme Court of Canada</w:t>
            </w:r>
          </w:p>
        </w:tc>
        <w:tc>
          <w:tcPr>
            <w:tcW w:w="243" w:type="pct"/>
          </w:tcPr>
          <w:p w:rsidR="004F5EAB" w:rsidRPr="007858DA" w:rsidRDefault="004F5EAB" w:rsidP="004F5EAB">
            <w:pPr>
              <w:jc w:val="both"/>
              <w:rPr>
                <w:rFonts w:eastAsia="Calibri" w:cs="Times New Roman"/>
                <w:sz w:val="20"/>
                <w:szCs w:val="20"/>
              </w:rPr>
            </w:pPr>
          </w:p>
        </w:tc>
        <w:tc>
          <w:tcPr>
            <w:tcW w:w="2330" w:type="pct"/>
          </w:tcPr>
          <w:p w:rsidR="004F5EAB" w:rsidRPr="007858DA" w:rsidRDefault="004F5EAB" w:rsidP="004F5EAB">
            <w:pPr>
              <w:jc w:val="both"/>
              <w:rPr>
                <w:rFonts w:eastAsia="Calibri" w:cs="Times New Roman"/>
                <w:sz w:val="20"/>
                <w:szCs w:val="20"/>
              </w:rPr>
            </w:pPr>
            <w:r w:rsidRPr="007858DA">
              <w:rPr>
                <w:rFonts w:eastAsia="Calibri" w:cs="Times New Roman"/>
                <w:sz w:val="20"/>
                <w:szCs w:val="20"/>
              </w:rPr>
              <w:t>Application for leave to appeal filed</w:t>
            </w:r>
          </w:p>
        </w:tc>
      </w:tr>
    </w:tbl>
    <w:p w:rsidR="004F5EAB" w:rsidRPr="007858DA" w:rsidRDefault="004F5EAB" w:rsidP="004F5EAB">
      <w:pPr>
        <w:rPr>
          <w:rFonts w:cs="Times New Roman"/>
          <w:sz w:val="20"/>
          <w:szCs w:val="20"/>
          <w:lang w:val="en-US"/>
        </w:rPr>
      </w:pPr>
    </w:p>
    <w:p w:rsidR="004F5EAB" w:rsidRPr="007858DA" w:rsidRDefault="00B74DD2" w:rsidP="004F5EAB">
      <w:pPr>
        <w:rPr>
          <w:rFonts w:cs="Times New Roman"/>
          <w:sz w:val="20"/>
          <w:szCs w:val="20"/>
        </w:rPr>
      </w:pPr>
      <w:r w:rsidRPr="00B74DD2">
        <w:rPr>
          <w:rFonts w:cs="Times New Roman"/>
          <w:sz w:val="20"/>
          <w:szCs w:val="20"/>
          <w:lang w:val="fr-CA"/>
        </w:rPr>
        <w:pict>
          <v:rect id="_x0000_i1056" style="width:2in;height:1pt" o:hrpct="0" o:hralign="center" o:hrstd="t" o:hrnoshade="t" o:hr="t" fillcolor="black [3213]" stroked="f"/>
        </w:pict>
      </w:r>
    </w:p>
    <w:p w:rsidR="004F5EAB" w:rsidRPr="007858DA" w:rsidRDefault="004F5EAB" w:rsidP="004F5EAB">
      <w:pPr>
        <w:rPr>
          <w:rFonts w:cs="Times New Roman"/>
          <w:sz w:val="20"/>
          <w:szCs w:val="20"/>
        </w:rPr>
      </w:pPr>
    </w:p>
    <w:p w:rsidR="004F5EAB" w:rsidRPr="007858DA" w:rsidRDefault="004F5EAB" w:rsidP="004F5EAB">
      <w:pPr>
        <w:rPr>
          <w:rFonts w:cs="Times New Roman"/>
          <w:sz w:val="20"/>
          <w:szCs w:val="20"/>
          <w:u w:val="single"/>
          <w:lang w:val="fr-CA"/>
        </w:rPr>
      </w:pPr>
      <w:r w:rsidRPr="007858DA">
        <w:rPr>
          <w:rFonts w:cs="Times New Roman"/>
          <w:sz w:val="20"/>
          <w:szCs w:val="20"/>
          <w:u w:val="single"/>
          <w:lang w:val="fr-CA"/>
        </w:rPr>
        <w:t>RÉSUMÉ DE L’AFFAIRE</w:t>
      </w:r>
    </w:p>
    <w:p w:rsidR="004F5EAB" w:rsidRPr="007858DA" w:rsidRDefault="004F5EAB" w:rsidP="004F5EAB">
      <w:pPr>
        <w:rPr>
          <w:rFonts w:cs="Times New Roman"/>
          <w:sz w:val="20"/>
          <w:szCs w:val="20"/>
          <w:u w:val="single"/>
          <w:lang w:val="fr-CA"/>
        </w:rPr>
      </w:pPr>
    </w:p>
    <w:tbl>
      <w:tblPr>
        <w:tblW w:w="4952" w:type="pct"/>
        <w:tblLayout w:type="fixed"/>
        <w:tblCellMar>
          <w:left w:w="0" w:type="dxa"/>
          <w:bottom w:w="99" w:type="dxa"/>
          <w:right w:w="0" w:type="dxa"/>
        </w:tblCellMar>
        <w:tblLook w:val="04A0"/>
      </w:tblPr>
      <w:tblGrid>
        <w:gridCol w:w="4624"/>
        <w:gridCol w:w="463"/>
        <w:gridCol w:w="4440"/>
      </w:tblGrid>
      <w:tr w:rsidR="004F5EAB" w:rsidRPr="007858DA" w:rsidTr="004F5EAB">
        <w:tc>
          <w:tcPr>
            <w:tcW w:w="5000" w:type="pct"/>
            <w:gridSpan w:val="3"/>
          </w:tcPr>
          <w:p w:rsidR="004F5EAB" w:rsidRPr="007858DA" w:rsidRDefault="004F5EAB" w:rsidP="004F5EAB">
            <w:pPr>
              <w:jc w:val="both"/>
              <w:rPr>
                <w:rFonts w:eastAsia="Calibri" w:cs="Times New Roman"/>
                <w:sz w:val="20"/>
                <w:szCs w:val="20"/>
                <w:lang w:val="fr-FR"/>
              </w:rPr>
            </w:pPr>
            <w:r w:rsidRPr="007858DA">
              <w:rPr>
                <w:rFonts w:eastAsia="Calibri" w:cs="Times New Roman"/>
                <w:sz w:val="20"/>
                <w:szCs w:val="20"/>
                <w:lang w:val="fr-FR"/>
              </w:rPr>
              <w:t xml:space="preserve">Procédure civile – Droit des Autochtones – Appel d’un jugement interlocutoire – Requête en modification d’un acte de procédure – Règle de la proportionnalité – Refus par le juge chargé de la gestion de l’instance d’autoriser certaines modifications à un acte de procédure – Conclusion du juge selon laquelle les modifications donneraient lieu à l’ajout d’une cause d’action entièrement nouvelle qui n’a rien à voir avec l’instance en cours – Autorisation d’appel refusée par la Cour d’appel – La poursuite de la justice obligeait-elle la Cour d’appel à accorder l’autorisation d’interjeter appel du jugement interlocutoire? – Le jugement de la Cour d’appel a-t-il pour effet d’élever la règle de la proportionnalité au rang d’une norme qui supplante la poursuite de la justice ou s’applique en sus de celle-ci? – L’application de la règle de la proportionnalité peut-elle exclure la notion d’« honneur de la Couronne » de la revendication d’un droit ancestral présentée en vertu de l’art. 35 de la </w:t>
            </w:r>
            <w:r w:rsidRPr="007858DA">
              <w:rPr>
                <w:rFonts w:eastAsia="Calibri" w:cs="Times New Roman"/>
                <w:i/>
                <w:sz w:val="20"/>
                <w:szCs w:val="20"/>
                <w:lang w:val="fr-FR"/>
              </w:rPr>
              <w:t>Loi constitutionnelle de 1982</w:t>
            </w:r>
            <w:r w:rsidRPr="007858DA">
              <w:rPr>
                <w:rFonts w:eastAsia="Calibri" w:cs="Times New Roman"/>
                <w:sz w:val="20"/>
                <w:szCs w:val="20"/>
                <w:lang w:val="fr-FR"/>
              </w:rPr>
              <w:t xml:space="preserve">? – </w:t>
            </w:r>
            <w:r w:rsidRPr="007858DA">
              <w:rPr>
                <w:rFonts w:eastAsia="Calibri" w:cs="Times New Roman"/>
                <w:i/>
                <w:sz w:val="20"/>
                <w:szCs w:val="20"/>
                <w:lang w:val="fr-FR"/>
              </w:rPr>
              <w:t>Code de procédure civile</w:t>
            </w:r>
            <w:r w:rsidRPr="007858DA">
              <w:rPr>
                <w:rFonts w:eastAsia="Calibri" w:cs="Times New Roman"/>
                <w:sz w:val="20"/>
                <w:szCs w:val="20"/>
                <w:lang w:val="fr-FR"/>
              </w:rPr>
              <w:t>, L.R.Q., ch. C</w:t>
            </w:r>
            <w:r w:rsidRPr="007858DA">
              <w:rPr>
                <w:rFonts w:eastAsia="MS Mincho" w:cs="Times New Roman"/>
                <w:sz w:val="20"/>
                <w:szCs w:val="20"/>
                <w:lang w:val="fr-FR"/>
              </w:rPr>
              <w:t>-</w:t>
            </w:r>
            <w:r w:rsidRPr="007858DA">
              <w:rPr>
                <w:rFonts w:eastAsia="Calibri" w:cs="Times New Roman"/>
                <w:sz w:val="20"/>
                <w:szCs w:val="20"/>
                <w:lang w:val="fr-FR"/>
              </w:rPr>
              <w:t xml:space="preserve">25, art. 4.2 et 511. </w:t>
            </w:r>
          </w:p>
        </w:tc>
      </w:tr>
      <w:tr w:rsidR="004F5EAB" w:rsidRPr="007858DA" w:rsidTr="004F5EAB">
        <w:tc>
          <w:tcPr>
            <w:tcW w:w="5000" w:type="pct"/>
            <w:gridSpan w:val="3"/>
          </w:tcPr>
          <w:p w:rsidR="004F5EAB" w:rsidRPr="007858DA" w:rsidRDefault="004F5EAB" w:rsidP="004F5EAB">
            <w:pPr>
              <w:jc w:val="both"/>
              <w:rPr>
                <w:rFonts w:eastAsia="Calibri" w:cs="Times New Roman"/>
                <w:sz w:val="20"/>
                <w:szCs w:val="20"/>
                <w:lang w:val="fr-FR"/>
              </w:rPr>
            </w:pPr>
          </w:p>
        </w:tc>
      </w:tr>
      <w:tr w:rsidR="004F5EAB" w:rsidRPr="00C4248C" w:rsidTr="004F5EAB">
        <w:tc>
          <w:tcPr>
            <w:tcW w:w="5000" w:type="pct"/>
            <w:gridSpan w:val="3"/>
          </w:tcPr>
          <w:p w:rsidR="004F5EAB" w:rsidRDefault="004F5EAB" w:rsidP="004F5EAB">
            <w:pPr>
              <w:jc w:val="both"/>
              <w:rPr>
                <w:rFonts w:eastAsia="Calibri" w:cs="Times New Roman"/>
                <w:sz w:val="20"/>
                <w:szCs w:val="20"/>
                <w:lang w:val="fr-FR"/>
              </w:rPr>
            </w:pPr>
            <w:r w:rsidRPr="007858DA">
              <w:rPr>
                <w:rFonts w:eastAsia="Calibri" w:cs="Times New Roman"/>
                <w:sz w:val="20"/>
                <w:szCs w:val="20"/>
                <w:lang w:val="fr-FR"/>
              </w:rPr>
              <w:t xml:space="preserve">Les demandeurs, des Mohawks, habitent et font affaire dans la réserve indienne de Kahnawake, au Québec.  Ils exploitent ou ont exploité tous un ou plusieurs commerces de détail vendant de l’essence et des produits pétroliers.  En 1994, à la suite de l’adoption de la taxe sur les produits et services (TPS), ils ont déposé une requête en vue d’obtenir un jugement déclarant que l’art. 88 de la </w:t>
            </w:r>
            <w:r w:rsidRPr="007858DA">
              <w:rPr>
                <w:rFonts w:eastAsia="Calibri" w:cs="Times New Roman"/>
                <w:i/>
                <w:sz w:val="20"/>
                <w:szCs w:val="20"/>
                <w:lang w:val="fr-FR"/>
              </w:rPr>
              <w:t>Loi sur les Indiens</w:t>
            </w:r>
            <w:r w:rsidRPr="007858DA">
              <w:rPr>
                <w:rFonts w:eastAsia="Calibri" w:cs="Times New Roman"/>
                <w:sz w:val="20"/>
                <w:szCs w:val="20"/>
                <w:lang w:val="fr-FR"/>
              </w:rPr>
              <w:t>, L.R.C. 1985, ch. I</w:t>
            </w:r>
            <w:r w:rsidRPr="007858DA">
              <w:rPr>
                <w:rFonts w:eastAsia="Calibri" w:cs="Times New Roman"/>
                <w:sz w:val="20"/>
                <w:szCs w:val="20"/>
                <w:lang w:val="fr-FR"/>
              </w:rPr>
              <w:noBreakHyphen/>
              <w:t xml:space="preserve">5, la partie IX de la </w:t>
            </w:r>
            <w:r w:rsidRPr="007858DA">
              <w:rPr>
                <w:rFonts w:eastAsia="Calibri" w:cs="Times New Roman"/>
                <w:i/>
                <w:sz w:val="20"/>
                <w:szCs w:val="20"/>
                <w:lang w:val="fr-FR"/>
              </w:rPr>
              <w:t>Loi sur la taxe d’accise</w:t>
            </w:r>
            <w:r w:rsidRPr="007858DA">
              <w:rPr>
                <w:rFonts w:eastAsia="Calibri" w:cs="Times New Roman"/>
                <w:sz w:val="20"/>
                <w:szCs w:val="20"/>
                <w:lang w:val="fr-FR"/>
              </w:rPr>
              <w:t>, L.R.C. 1985, ch. E</w:t>
            </w:r>
            <w:r w:rsidRPr="007858DA">
              <w:rPr>
                <w:rFonts w:eastAsia="Calibri" w:cs="Times New Roman"/>
                <w:sz w:val="20"/>
                <w:szCs w:val="20"/>
                <w:lang w:val="fr-FR"/>
              </w:rPr>
              <w:noBreakHyphen/>
              <w:t xml:space="preserve">15, la </w:t>
            </w:r>
            <w:r w:rsidRPr="007858DA">
              <w:rPr>
                <w:rFonts w:eastAsia="Calibri" w:cs="Times New Roman"/>
                <w:i/>
                <w:sz w:val="20"/>
                <w:szCs w:val="20"/>
                <w:lang w:val="fr-FR"/>
              </w:rPr>
              <w:t>Loi concernant la taxe sur les carburants</w:t>
            </w:r>
            <w:r w:rsidRPr="007858DA">
              <w:rPr>
                <w:rFonts w:eastAsia="Calibri" w:cs="Times New Roman"/>
                <w:sz w:val="20"/>
                <w:szCs w:val="20"/>
                <w:lang w:val="fr-FR"/>
              </w:rPr>
              <w:t>, L.R.Q., ch. T</w:t>
            </w:r>
            <w:r w:rsidRPr="007858DA">
              <w:rPr>
                <w:rFonts w:eastAsia="Calibri" w:cs="Times New Roman"/>
                <w:sz w:val="20"/>
                <w:szCs w:val="20"/>
                <w:lang w:val="fr-FR"/>
              </w:rPr>
              <w:noBreakHyphen/>
              <w:t xml:space="preserve">1, et la </w:t>
            </w:r>
            <w:r w:rsidRPr="007858DA">
              <w:rPr>
                <w:rFonts w:eastAsia="Calibri" w:cs="Times New Roman"/>
                <w:i/>
                <w:sz w:val="20"/>
                <w:szCs w:val="20"/>
                <w:lang w:val="fr-FR"/>
              </w:rPr>
              <w:t>Loi sur la taxe de vente du Québec</w:t>
            </w:r>
            <w:r w:rsidRPr="007858DA">
              <w:rPr>
                <w:rFonts w:eastAsia="Calibri" w:cs="Times New Roman"/>
                <w:sz w:val="20"/>
                <w:szCs w:val="20"/>
                <w:lang w:val="fr-FR"/>
              </w:rPr>
              <w:t>, L.R.Q., ch. T</w:t>
            </w:r>
            <w:r w:rsidRPr="007858DA">
              <w:rPr>
                <w:rFonts w:eastAsia="Calibri" w:cs="Times New Roman"/>
                <w:sz w:val="20"/>
                <w:szCs w:val="20"/>
                <w:lang w:val="fr-FR"/>
              </w:rPr>
              <w:noBreakHyphen/>
              <w:t xml:space="preserve">0.1, sont inconstitutionnelles ou inapplicables à eux en tant qu’Autochtones. </w:t>
            </w:r>
          </w:p>
          <w:p w:rsidR="004F5EAB" w:rsidRPr="007858DA" w:rsidRDefault="004F5EAB" w:rsidP="004F5EAB">
            <w:pPr>
              <w:jc w:val="both"/>
              <w:rPr>
                <w:rFonts w:eastAsia="Calibri" w:cs="Times New Roman"/>
                <w:sz w:val="20"/>
                <w:szCs w:val="20"/>
                <w:lang w:val="fr-FR"/>
              </w:rPr>
            </w:pPr>
          </w:p>
          <w:p w:rsidR="004F5EAB" w:rsidRPr="007858DA" w:rsidRDefault="004F5EAB" w:rsidP="004F5EAB">
            <w:pPr>
              <w:jc w:val="both"/>
              <w:rPr>
                <w:rFonts w:eastAsia="Calibri" w:cs="Times New Roman"/>
                <w:sz w:val="20"/>
                <w:szCs w:val="20"/>
                <w:lang w:val="fr-FR"/>
              </w:rPr>
            </w:pPr>
            <w:r w:rsidRPr="007858DA">
              <w:rPr>
                <w:rFonts w:eastAsia="Calibri" w:cs="Times New Roman"/>
                <w:sz w:val="20"/>
                <w:szCs w:val="20"/>
                <w:lang w:val="fr-FR"/>
              </w:rPr>
              <w:t xml:space="preserve">Les demandeurs ont modifié deux fois leur requête entre 2010 et 2012.  Au début de 2012, leur requête sollicitait un jugement déclarant que la taxe provinciale sur les carburants, la TVQ et la TPS sont illégales, contraires à la </w:t>
            </w:r>
            <w:r w:rsidRPr="007858DA">
              <w:rPr>
                <w:rFonts w:eastAsia="Calibri" w:cs="Times New Roman"/>
                <w:i/>
                <w:sz w:val="20"/>
                <w:szCs w:val="20"/>
                <w:lang w:val="fr-FR"/>
              </w:rPr>
              <w:t>Loi sur les Indiens</w:t>
            </w:r>
            <w:r w:rsidRPr="007858DA">
              <w:rPr>
                <w:rFonts w:eastAsia="Calibri" w:cs="Times New Roman"/>
                <w:sz w:val="20"/>
                <w:szCs w:val="20"/>
                <w:lang w:val="fr-FR"/>
              </w:rPr>
              <w:t xml:space="preserve"> et inapplicables à eux en tant qu’Autochtones.  Elle sollicitait aussi un jugement déclaratoire portant que les demandeurs ne sont pas tenus de se conformer aux procédures administratives et d’application de la loi prévues par les règles fiscales applicables.  </w:t>
            </w:r>
            <w:r w:rsidRPr="007858DA">
              <w:rPr>
                <w:rFonts w:eastAsia="Calibri" w:cs="Times New Roman"/>
                <w:sz w:val="20"/>
                <w:szCs w:val="20"/>
                <w:lang w:val="fr-CA"/>
              </w:rPr>
              <w:t xml:space="preserve">Un long procès devait commencer en janvier 2013.  </w:t>
            </w:r>
            <w:r w:rsidRPr="007858DA">
              <w:rPr>
                <w:rFonts w:eastAsia="Calibri" w:cs="Times New Roman"/>
                <w:sz w:val="20"/>
                <w:szCs w:val="20"/>
                <w:lang w:val="fr-FR"/>
              </w:rPr>
              <w:t xml:space="preserve">Les demandeurs ont toutefois cherché, en mai 2012, à modifier encore une fois leur requête en partie pour qu’elle tienne compte des modifications apportées entre-temps aux lois et aux politiques et en partie pour alléguer que la Couronne a manqué à plusieurs reprises à son obligation fiduciaire.  Plus précisément, ils voulaient ajouter des allégations à propos de décisions de l’État fédéral et de la province de mettre à exécution plusieurs projets d’infrastructure sur la réserve de Kahnawake ou à proximité de celle-ci sans prendre dûment en considération les intérêts des  Mohawks.  Les demandeurs ont voulu ajouter en tout 25 nouvelles allégations et demandes de trois nouveaux jugements déclaratoires.  Les intimés représentant la Couronne se sont opposés aux modifications. </w:t>
            </w:r>
          </w:p>
          <w:p w:rsidR="004F5EAB" w:rsidRPr="007858DA" w:rsidRDefault="004F5EAB" w:rsidP="004F5EAB">
            <w:pPr>
              <w:jc w:val="both"/>
              <w:rPr>
                <w:rFonts w:eastAsia="Calibri" w:cs="Times New Roman"/>
                <w:sz w:val="20"/>
                <w:szCs w:val="20"/>
                <w:lang w:val="fr-FR"/>
              </w:rPr>
            </w:pPr>
          </w:p>
        </w:tc>
      </w:tr>
      <w:tr w:rsidR="004F5EAB" w:rsidRPr="00C4248C" w:rsidTr="004F5EAB">
        <w:tc>
          <w:tcPr>
            <w:tcW w:w="2427" w:type="pct"/>
          </w:tcPr>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4 septembre 2012</w:t>
            </w:r>
          </w:p>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Cour supérieure du Québec</w:t>
            </w:r>
          </w:p>
          <w:p w:rsidR="004F5EAB" w:rsidRPr="007858DA" w:rsidRDefault="004F5EAB" w:rsidP="004F5EAB">
            <w:pPr>
              <w:jc w:val="both"/>
              <w:rPr>
                <w:rFonts w:eastAsia="Calibri" w:cs="Times New Roman"/>
                <w:sz w:val="20"/>
                <w:szCs w:val="20"/>
                <w:lang w:val="fr-CA"/>
              </w:rPr>
            </w:pPr>
            <w:r w:rsidRPr="007858DA">
              <w:rPr>
                <w:rFonts w:eastAsia="Calibri" w:cs="Times New Roman"/>
                <w:sz w:val="20"/>
                <w:szCs w:val="20"/>
                <w:lang w:val="fr-CA"/>
              </w:rPr>
              <w:t>(Juge Crête)</w:t>
            </w:r>
          </w:p>
          <w:p w:rsidR="004F5EAB" w:rsidRPr="007858DA" w:rsidRDefault="004F5EAB" w:rsidP="004F5EAB">
            <w:pPr>
              <w:jc w:val="both"/>
              <w:rPr>
                <w:rFonts w:eastAsia="Calibri" w:cs="Times New Roman"/>
                <w:sz w:val="20"/>
                <w:szCs w:val="20"/>
              </w:rPr>
            </w:pPr>
            <w:r w:rsidRPr="007858DA">
              <w:rPr>
                <w:rFonts w:eastAsia="Calibri" w:cs="Times New Roman"/>
                <w:sz w:val="20"/>
                <w:szCs w:val="20"/>
              </w:rPr>
              <w:t>2012 QCCS 4179</w:t>
            </w:r>
          </w:p>
        </w:tc>
        <w:tc>
          <w:tcPr>
            <w:tcW w:w="243" w:type="pct"/>
          </w:tcPr>
          <w:p w:rsidR="004F5EAB" w:rsidRPr="007858DA" w:rsidRDefault="004F5EAB" w:rsidP="004F5EAB">
            <w:pPr>
              <w:jc w:val="both"/>
              <w:rPr>
                <w:rFonts w:eastAsia="Calibri" w:cs="Times New Roman"/>
                <w:sz w:val="20"/>
                <w:szCs w:val="20"/>
              </w:rPr>
            </w:pPr>
          </w:p>
        </w:tc>
        <w:tc>
          <w:tcPr>
            <w:tcW w:w="2330" w:type="pct"/>
          </w:tcPr>
          <w:p w:rsidR="004F5EAB" w:rsidRPr="007858DA" w:rsidRDefault="004F5EAB" w:rsidP="004F5EAB">
            <w:pPr>
              <w:jc w:val="both"/>
              <w:rPr>
                <w:rFonts w:eastAsia="Calibri" w:cs="Times New Roman"/>
                <w:sz w:val="20"/>
                <w:szCs w:val="20"/>
                <w:lang w:val="fr-FR"/>
              </w:rPr>
            </w:pPr>
            <w:r w:rsidRPr="007858DA">
              <w:rPr>
                <w:rFonts w:eastAsia="Calibri" w:cs="Times New Roman"/>
                <w:sz w:val="20"/>
                <w:szCs w:val="20"/>
                <w:lang w:val="fr-FR"/>
              </w:rPr>
              <w:t xml:space="preserve">Requête visant à modifier encore une fois la requête modifiée en vue d’obtenir un jugement déclaratoire et la suspension de l’application de lois, accueillie en partie; Mais radiation de certains paragraphes et conclusions dont l’ajout était sollicité par voie de requête </w:t>
            </w:r>
          </w:p>
        </w:tc>
      </w:tr>
      <w:tr w:rsidR="00753572" w:rsidRPr="005D4806" w:rsidTr="00753572">
        <w:tc>
          <w:tcPr>
            <w:tcW w:w="2427" w:type="pct"/>
          </w:tcPr>
          <w:p w:rsidR="00753572" w:rsidRPr="00753572" w:rsidRDefault="00753572" w:rsidP="00E44B43">
            <w:pPr>
              <w:jc w:val="both"/>
              <w:rPr>
                <w:rFonts w:eastAsia="Calibri" w:cs="Times New Roman"/>
                <w:sz w:val="20"/>
                <w:szCs w:val="20"/>
                <w:lang w:val="fr-CA"/>
              </w:rPr>
            </w:pPr>
            <w:r w:rsidRPr="00753572">
              <w:rPr>
                <w:rFonts w:eastAsia="Calibri" w:cs="Times New Roman"/>
                <w:sz w:val="20"/>
                <w:szCs w:val="20"/>
                <w:lang w:val="fr-CA"/>
              </w:rPr>
              <w:t>22 octobre 2012</w:t>
            </w:r>
          </w:p>
          <w:p w:rsidR="00753572" w:rsidRPr="00753572" w:rsidRDefault="00753572" w:rsidP="00E44B43">
            <w:pPr>
              <w:jc w:val="both"/>
              <w:rPr>
                <w:rFonts w:eastAsia="Calibri" w:cs="Times New Roman"/>
                <w:sz w:val="20"/>
                <w:szCs w:val="20"/>
                <w:lang w:val="fr-CA"/>
              </w:rPr>
            </w:pPr>
            <w:r w:rsidRPr="00753572">
              <w:rPr>
                <w:rFonts w:eastAsia="Calibri" w:cs="Times New Roman"/>
                <w:sz w:val="20"/>
                <w:szCs w:val="20"/>
                <w:lang w:val="fr-CA"/>
              </w:rPr>
              <w:t>Cour d’appel du Québec (Montréal)</w:t>
            </w:r>
          </w:p>
          <w:p w:rsidR="00753572" w:rsidRPr="00753572" w:rsidRDefault="00753572" w:rsidP="00E44B43">
            <w:pPr>
              <w:jc w:val="both"/>
              <w:rPr>
                <w:rFonts w:eastAsia="Calibri" w:cs="Times New Roman"/>
                <w:sz w:val="20"/>
                <w:szCs w:val="20"/>
                <w:lang w:val="fr-CA"/>
              </w:rPr>
            </w:pPr>
            <w:r w:rsidRPr="00753572">
              <w:rPr>
                <w:rFonts w:eastAsia="Calibri" w:cs="Times New Roman"/>
                <w:sz w:val="20"/>
                <w:szCs w:val="20"/>
                <w:lang w:val="fr-CA"/>
              </w:rPr>
              <w:t>(Juge Kasirer)</w:t>
            </w:r>
          </w:p>
          <w:p w:rsidR="00753572" w:rsidRPr="00753572" w:rsidRDefault="00753572" w:rsidP="00E44B43">
            <w:pPr>
              <w:jc w:val="both"/>
              <w:rPr>
                <w:rFonts w:eastAsia="Calibri" w:cs="Times New Roman"/>
                <w:sz w:val="20"/>
                <w:szCs w:val="20"/>
                <w:lang w:val="fr-CA"/>
              </w:rPr>
            </w:pPr>
            <w:r w:rsidRPr="00753572">
              <w:rPr>
                <w:rFonts w:eastAsia="Calibri" w:cs="Times New Roman"/>
                <w:sz w:val="20"/>
                <w:szCs w:val="20"/>
                <w:lang w:val="fr-CA"/>
              </w:rPr>
              <w:t>2012 QCCA 1872</w:t>
            </w:r>
          </w:p>
          <w:p w:rsidR="00753572" w:rsidRPr="00753572" w:rsidRDefault="00753572" w:rsidP="00E44B43">
            <w:pPr>
              <w:jc w:val="both"/>
              <w:rPr>
                <w:rFonts w:eastAsia="Calibri" w:cs="Times New Roman"/>
                <w:sz w:val="20"/>
                <w:szCs w:val="20"/>
                <w:lang w:val="fr-CA"/>
              </w:rPr>
            </w:pPr>
          </w:p>
        </w:tc>
        <w:tc>
          <w:tcPr>
            <w:tcW w:w="243" w:type="pct"/>
          </w:tcPr>
          <w:p w:rsidR="00753572" w:rsidRPr="00753572" w:rsidRDefault="00753572" w:rsidP="00E44B43">
            <w:pPr>
              <w:jc w:val="both"/>
              <w:rPr>
                <w:rFonts w:eastAsia="Calibri" w:cs="Times New Roman"/>
                <w:sz w:val="20"/>
                <w:szCs w:val="20"/>
              </w:rPr>
            </w:pPr>
          </w:p>
        </w:tc>
        <w:tc>
          <w:tcPr>
            <w:tcW w:w="2330" w:type="pct"/>
          </w:tcPr>
          <w:p w:rsidR="00753572" w:rsidRPr="00753572" w:rsidRDefault="00753572" w:rsidP="00E44B43">
            <w:pPr>
              <w:jc w:val="both"/>
              <w:rPr>
                <w:rFonts w:eastAsia="Calibri" w:cs="Times New Roman"/>
                <w:sz w:val="20"/>
                <w:szCs w:val="20"/>
                <w:lang w:val="fr-FR"/>
              </w:rPr>
            </w:pPr>
            <w:r w:rsidRPr="00753572">
              <w:rPr>
                <w:rFonts w:eastAsia="Calibri" w:cs="Times New Roman"/>
                <w:sz w:val="20"/>
                <w:szCs w:val="20"/>
                <w:lang w:val="fr-FR"/>
              </w:rPr>
              <w:t xml:space="preserve">Requête en autorisation d’appel rejetée  </w:t>
            </w:r>
          </w:p>
          <w:p w:rsidR="00753572" w:rsidRPr="00753572" w:rsidRDefault="00753572" w:rsidP="00E44B43">
            <w:pPr>
              <w:jc w:val="both"/>
              <w:rPr>
                <w:rFonts w:eastAsia="Calibri" w:cs="Times New Roman"/>
                <w:sz w:val="20"/>
                <w:szCs w:val="20"/>
                <w:lang w:val="fr-FR"/>
              </w:rPr>
            </w:pPr>
          </w:p>
        </w:tc>
      </w:tr>
      <w:tr w:rsidR="00753572" w:rsidRPr="005D4806" w:rsidTr="00753572">
        <w:tc>
          <w:tcPr>
            <w:tcW w:w="2427" w:type="pct"/>
          </w:tcPr>
          <w:p w:rsidR="00753572" w:rsidRPr="00753572" w:rsidRDefault="00753572" w:rsidP="00E44B43">
            <w:pPr>
              <w:jc w:val="both"/>
              <w:rPr>
                <w:rFonts w:eastAsia="Calibri" w:cs="Times New Roman"/>
                <w:sz w:val="20"/>
                <w:szCs w:val="20"/>
                <w:lang w:val="fr-CA"/>
              </w:rPr>
            </w:pPr>
            <w:r w:rsidRPr="00753572">
              <w:rPr>
                <w:rFonts w:eastAsia="Calibri" w:cs="Times New Roman"/>
                <w:sz w:val="20"/>
                <w:szCs w:val="20"/>
                <w:lang w:val="fr-CA"/>
              </w:rPr>
              <w:t>5 décembre 2012</w:t>
            </w:r>
          </w:p>
          <w:p w:rsidR="00753572" w:rsidRPr="00753572" w:rsidRDefault="00753572" w:rsidP="00E44B43">
            <w:pPr>
              <w:jc w:val="both"/>
              <w:rPr>
                <w:rFonts w:eastAsia="Calibri" w:cs="Times New Roman"/>
                <w:sz w:val="20"/>
                <w:szCs w:val="20"/>
                <w:lang w:val="fr-CA"/>
              </w:rPr>
            </w:pPr>
            <w:r w:rsidRPr="00753572">
              <w:rPr>
                <w:rFonts w:eastAsia="Calibri" w:cs="Times New Roman"/>
                <w:sz w:val="20"/>
                <w:szCs w:val="20"/>
                <w:lang w:val="fr-CA"/>
              </w:rPr>
              <w:t>Cour suprême du Canada</w:t>
            </w:r>
          </w:p>
        </w:tc>
        <w:tc>
          <w:tcPr>
            <w:tcW w:w="243" w:type="pct"/>
          </w:tcPr>
          <w:p w:rsidR="00753572" w:rsidRPr="00753572" w:rsidRDefault="00753572" w:rsidP="00E44B43">
            <w:pPr>
              <w:jc w:val="both"/>
              <w:rPr>
                <w:rFonts w:eastAsia="Calibri" w:cs="Times New Roman"/>
                <w:sz w:val="20"/>
                <w:szCs w:val="20"/>
                <w:lang w:val="fr-CA"/>
              </w:rPr>
            </w:pPr>
          </w:p>
        </w:tc>
        <w:tc>
          <w:tcPr>
            <w:tcW w:w="2330" w:type="pct"/>
          </w:tcPr>
          <w:p w:rsidR="00753572" w:rsidRPr="00753572" w:rsidRDefault="00753572" w:rsidP="00E44B43">
            <w:pPr>
              <w:jc w:val="both"/>
              <w:rPr>
                <w:rFonts w:eastAsia="Calibri" w:cs="Times New Roman"/>
                <w:sz w:val="20"/>
                <w:szCs w:val="20"/>
                <w:lang w:val="fr-FR"/>
              </w:rPr>
            </w:pPr>
            <w:r w:rsidRPr="00753572">
              <w:rPr>
                <w:rFonts w:eastAsia="Calibri" w:cs="Times New Roman"/>
                <w:sz w:val="20"/>
                <w:szCs w:val="20"/>
                <w:lang w:val="fr-FR"/>
              </w:rPr>
              <w:t xml:space="preserve">Demande d’autorisation d’appel déposée </w:t>
            </w:r>
          </w:p>
        </w:tc>
      </w:tr>
    </w:tbl>
    <w:p w:rsidR="00753572" w:rsidRDefault="00753572" w:rsidP="004F5EAB">
      <w:pPr>
        <w:rPr>
          <w:rFonts w:cs="Times New Roman"/>
          <w:sz w:val="20"/>
          <w:szCs w:val="20"/>
          <w:lang w:val="fr-CA"/>
        </w:rPr>
      </w:pPr>
    </w:p>
    <w:p w:rsidR="00753572" w:rsidRPr="005D3310" w:rsidRDefault="00B74DD2" w:rsidP="004F5EAB">
      <w:pPr>
        <w:rPr>
          <w:rFonts w:cs="Times New Roman"/>
          <w:sz w:val="20"/>
          <w:szCs w:val="20"/>
          <w:lang w:val="fr-CA"/>
        </w:rPr>
      </w:pPr>
      <w:r w:rsidRPr="00B74DD2">
        <w:rPr>
          <w:rFonts w:cs="Times New Roman"/>
          <w:sz w:val="20"/>
          <w:szCs w:val="20"/>
          <w:lang w:val="fr-CA"/>
        </w:rPr>
        <w:pict>
          <v:rect id="_x0000_i1057" style="width:2in;height:1pt" o:hrpct="0" o:hralign="center" o:hrstd="t" o:hrnoshade="t" o:hr="t" fillcolor="black [3213]" stroked="f"/>
        </w:pict>
      </w:r>
    </w:p>
    <w:p w:rsidR="004F5EAB" w:rsidRPr="007858DA" w:rsidRDefault="004F5EAB" w:rsidP="004F5EAB">
      <w:pPr>
        <w:rPr>
          <w:rFonts w:cs="Times New Roman"/>
          <w:sz w:val="20"/>
          <w:szCs w:val="20"/>
        </w:rPr>
      </w:pPr>
    </w:p>
    <w:p w:rsidR="008D292F" w:rsidRPr="007858DA" w:rsidRDefault="008D292F" w:rsidP="008D292F">
      <w:pPr>
        <w:rPr>
          <w:rFonts w:cs="Times New Roman"/>
          <w:sz w:val="20"/>
          <w:szCs w:val="20"/>
          <w:lang w:val="fr-CA"/>
        </w:rPr>
      </w:pPr>
    </w:p>
    <w:tbl>
      <w:tblPr>
        <w:tblStyle w:val="TableGrid9"/>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54DED" w:rsidRPr="007858DA" w:rsidTr="005F7339">
        <w:trPr>
          <w:cantSplit/>
        </w:trPr>
        <w:tc>
          <w:tcPr>
            <w:tcW w:w="1458" w:type="dxa"/>
          </w:tcPr>
          <w:p w:rsidR="00154DED" w:rsidRPr="007858DA" w:rsidRDefault="00154DED" w:rsidP="00154DED">
            <w:pPr>
              <w:rPr>
                <w:rFonts w:cs="Times New Roman"/>
                <w:sz w:val="20"/>
                <w:szCs w:val="20"/>
              </w:rPr>
            </w:pPr>
            <w:r w:rsidRPr="007858DA">
              <w:rPr>
                <w:rFonts w:cs="Times New Roman"/>
                <w:b/>
                <w:sz w:val="20"/>
                <w:szCs w:val="20"/>
                <w:lang w:val="fr-CA"/>
              </w:rPr>
              <w:t>35235</w:t>
            </w:r>
          </w:p>
          <w:p w:rsidR="00154DED" w:rsidRPr="007858DA" w:rsidRDefault="00154DED" w:rsidP="00154DED">
            <w:pPr>
              <w:rPr>
                <w:rFonts w:cs="Times New Roman"/>
                <w:b/>
                <w:sz w:val="20"/>
                <w:szCs w:val="20"/>
                <w:lang w:val="fr-CA"/>
              </w:rPr>
            </w:pPr>
          </w:p>
        </w:tc>
        <w:tc>
          <w:tcPr>
            <w:tcW w:w="8118" w:type="dxa"/>
          </w:tcPr>
          <w:p w:rsidR="00154DED" w:rsidRPr="007858DA" w:rsidRDefault="00154DED" w:rsidP="00154DED">
            <w:pPr>
              <w:rPr>
                <w:rFonts w:cs="Times New Roman"/>
                <w:sz w:val="20"/>
                <w:szCs w:val="20"/>
              </w:rPr>
            </w:pPr>
            <w:r w:rsidRPr="007858DA">
              <w:rPr>
                <w:rFonts w:cs="Times New Roman"/>
                <w:b/>
                <w:sz w:val="20"/>
                <w:szCs w:val="20"/>
                <w:u w:val="single"/>
                <w:lang w:val="en-US"/>
              </w:rPr>
              <w:t xml:space="preserve">David </w:t>
            </w:r>
            <w:r w:rsidR="00753572">
              <w:rPr>
                <w:rFonts w:cs="Times New Roman"/>
                <w:b/>
                <w:sz w:val="20"/>
                <w:szCs w:val="20"/>
                <w:u w:val="single"/>
                <w:lang w:val="en-US"/>
              </w:rPr>
              <w:t>Pearlman v. Phelps Leasing Ltd. and</w:t>
            </w:r>
            <w:r w:rsidRPr="007858DA">
              <w:rPr>
                <w:rFonts w:cs="Times New Roman"/>
                <w:b/>
                <w:sz w:val="20"/>
                <w:szCs w:val="20"/>
                <w:u w:val="single"/>
                <w:lang w:val="en-US"/>
              </w:rPr>
              <w:t xml:space="preserve"> Thanh Hoang Phan</w:t>
            </w:r>
            <w:r w:rsidRPr="007858DA">
              <w:rPr>
                <w:rFonts w:cs="Times New Roman"/>
                <w:sz w:val="20"/>
                <w:szCs w:val="20"/>
              </w:rPr>
              <w:t xml:space="preserve"> (B.C.) (Civil) (By Leave)</w:t>
            </w:r>
          </w:p>
          <w:p w:rsidR="00154DED" w:rsidRPr="007858DA" w:rsidRDefault="00154DED" w:rsidP="00154DED">
            <w:pPr>
              <w:rPr>
                <w:rFonts w:cs="Times New Roman"/>
                <w:sz w:val="20"/>
                <w:szCs w:val="20"/>
              </w:rPr>
            </w:pPr>
          </w:p>
        </w:tc>
      </w:tr>
      <w:tr w:rsidR="00154DED" w:rsidRPr="007858DA" w:rsidTr="005F7339">
        <w:trPr>
          <w:cantSplit/>
        </w:trPr>
        <w:tc>
          <w:tcPr>
            <w:tcW w:w="1458" w:type="dxa"/>
          </w:tcPr>
          <w:p w:rsidR="00154DED" w:rsidRPr="007858DA" w:rsidRDefault="00154DED" w:rsidP="00154DED">
            <w:pPr>
              <w:rPr>
                <w:rFonts w:cs="Times New Roman"/>
                <w:sz w:val="20"/>
                <w:szCs w:val="20"/>
              </w:rPr>
            </w:pPr>
            <w:r w:rsidRPr="007858DA">
              <w:rPr>
                <w:rFonts w:cs="Times New Roman"/>
                <w:sz w:val="20"/>
                <w:szCs w:val="20"/>
              </w:rPr>
              <w:t>Coram :</w:t>
            </w:r>
          </w:p>
        </w:tc>
        <w:tc>
          <w:tcPr>
            <w:tcW w:w="8118" w:type="dxa"/>
          </w:tcPr>
          <w:p w:rsidR="00154DED" w:rsidRPr="007858DA" w:rsidRDefault="00154DED" w:rsidP="00154DED">
            <w:pPr>
              <w:rPr>
                <w:rFonts w:cs="Times New Roman"/>
                <w:sz w:val="20"/>
                <w:szCs w:val="20"/>
              </w:rPr>
            </w:pPr>
            <w:r w:rsidRPr="007858DA">
              <w:rPr>
                <w:rFonts w:cs="Times New Roman"/>
                <w:sz w:val="20"/>
                <w:szCs w:val="20"/>
                <w:u w:val="single"/>
                <w:lang w:val="en-US"/>
              </w:rPr>
              <w:t>LeBel, Karakatsanis and Wagner JJ.</w:t>
            </w:r>
          </w:p>
          <w:p w:rsidR="00154DED" w:rsidRPr="007858DA" w:rsidRDefault="00154DED" w:rsidP="00154DED">
            <w:pPr>
              <w:rPr>
                <w:rFonts w:cs="Times New Roman"/>
                <w:sz w:val="20"/>
                <w:szCs w:val="20"/>
                <w:u w:val="single"/>
              </w:rPr>
            </w:pPr>
          </w:p>
        </w:tc>
      </w:tr>
      <w:tr w:rsidR="00154DED" w:rsidRPr="00C4248C" w:rsidTr="005F7339">
        <w:trPr>
          <w:cantSplit/>
        </w:trPr>
        <w:tc>
          <w:tcPr>
            <w:tcW w:w="9576" w:type="dxa"/>
            <w:gridSpan w:val="2"/>
          </w:tcPr>
          <w:p w:rsidR="00154DED" w:rsidRPr="007858DA" w:rsidRDefault="00154DED" w:rsidP="00154DED">
            <w:pPr>
              <w:ind w:firstLine="720"/>
              <w:jc w:val="both"/>
              <w:rPr>
                <w:rFonts w:cs="Times New Roman"/>
                <w:sz w:val="20"/>
                <w:szCs w:val="20"/>
              </w:rPr>
            </w:pPr>
            <w:r w:rsidRPr="007858DA">
              <w:rPr>
                <w:rFonts w:cs="Times New Roman"/>
                <w:sz w:val="20"/>
                <w:szCs w:val="20"/>
              </w:rPr>
              <w:t>The application for leave to appeal from the judgment of the Court of Appeal for British Columbia (Vancouver), Number CA039642, 2012 BCCA 429, dated October 26, 2012, is dismissed without costs.</w:t>
            </w:r>
          </w:p>
          <w:p w:rsidR="00154DED" w:rsidRPr="007858DA" w:rsidRDefault="00154DED" w:rsidP="00154DED">
            <w:pPr>
              <w:jc w:val="both"/>
              <w:rPr>
                <w:rFonts w:cs="Times New Roman"/>
                <w:sz w:val="20"/>
                <w:szCs w:val="20"/>
              </w:rPr>
            </w:pPr>
          </w:p>
          <w:p w:rsidR="00154DED" w:rsidRPr="007858DA" w:rsidRDefault="00154DED" w:rsidP="00154DED">
            <w:pPr>
              <w:ind w:firstLine="720"/>
              <w:jc w:val="both"/>
              <w:rPr>
                <w:rFonts w:cs="Times New Roman"/>
                <w:sz w:val="20"/>
                <w:szCs w:val="20"/>
                <w:lang w:val="fr-CA"/>
              </w:rPr>
            </w:pPr>
            <w:r w:rsidRPr="007858DA">
              <w:rPr>
                <w:rFonts w:cs="Times New Roman"/>
                <w:sz w:val="20"/>
                <w:szCs w:val="20"/>
                <w:lang w:val="fr-CA"/>
              </w:rPr>
              <w:t>La demande d’autorisation d’appel de l’arrêt de la Cour d’appel de la Colombie-Britannique (Vancouver), numéro CA039642, 2012 BCCA 429, daté du 26 octobre 2012, est rejetée sans dépens.</w:t>
            </w:r>
          </w:p>
        </w:tc>
      </w:tr>
    </w:tbl>
    <w:p w:rsidR="00C8743C" w:rsidRPr="007858DA" w:rsidRDefault="00C8743C" w:rsidP="00C8743C">
      <w:pPr>
        <w:rPr>
          <w:rFonts w:cs="Times New Roman"/>
          <w:sz w:val="20"/>
          <w:szCs w:val="20"/>
          <w:lang w:val="fr-CA"/>
        </w:rPr>
      </w:pPr>
    </w:p>
    <w:p w:rsidR="00C8743C" w:rsidRPr="007858DA" w:rsidRDefault="00C8743C" w:rsidP="00C8743C">
      <w:pPr>
        <w:rPr>
          <w:rFonts w:cs="Times New Roman"/>
          <w:sz w:val="20"/>
          <w:szCs w:val="20"/>
          <w:u w:val="single"/>
        </w:rPr>
      </w:pPr>
      <w:r w:rsidRPr="007858DA">
        <w:rPr>
          <w:rFonts w:cs="Times New Roman"/>
          <w:sz w:val="20"/>
          <w:szCs w:val="20"/>
          <w:u w:val="single"/>
        </w:rPr>
        <w:t>CASE SUMMARY</w:t>
      </w:r>
    </w:p>
    <w:p w:rsidR="00C8743C" w:rsidRPr="007858DA" w:rsidRDefault="00C8743C" w:rsidP="00C8743C">
      <w:pPr>
        <w:rPr>
          <w:rFonts w:cs="Times New Roman"/>
          <w:sz w:val="20"/>
          <w:szCs w:val="20"/>
          <w:u w:val="single"/>
        </w:rPr>
      </w:pPr>
    </w:p>
    <w:tbl>
      <w:tblPr>
        <w:tblW w:w="4952" w:type="pct"/>
        <w:tblLayout w:type="fixed"/>
        <w:tblCellMar>
          <w:left w:w="0" w:type="dxa"/>
          <w:bottom w:w="99" w:type="dxa"/>
          <w:right w:w="0" w:type="dxa"/>
        </w:tblCellMar>
        <w:tblLook w:val="04A0"/>
      </w:tblPr>
      <w:tblGrid>
        <w:gridCol w:w="4624"/>
        <w:gridCol w:w="463"/>
        <w:gridCol w:w="4440"/>
      </w:tblGrid>
      <w:tr w:rsidR="00C8743C" w:rsidRPr="007858DA" w:rsidTr="00D41649">
        <w:tc>
          <w:tcPr>
            <w:tcW w:w="5000" w:type="pct"/>
            <w:gridSpan w:val="3"/>
          </w:tcPr>
          <w:p w:rsidR="00C8743C" w:rsidRPr="007858DA" w:rsidRDefault="00C8743C" w:rsidP="00D41649">
            <w:pPr>
              <w:jc w:val="both"/>
              <w:rPr>
                <w:rFonts w:eastAsia="Calibri" w:cs="Times New Roman"/>
                <w:sz w:val="20"/>
                <w:szCs w:val="20"/>
              </w:rPr>
            </w:pPr>
            <w:r w:rsidRPr="007858DA">
              <w:rPr>
                <w:rFonts w:eastAsia="Calibri" w:cs="Times New Roman"/>
                <w:sz w:val="20"/>
                <w:szCs w:val="20"/>
              </w:rPr>
              <w:t>Damages – Non-pecuniary – Civil procedure – Appeals – Applicant suffering injuries in motor vehicle accident and awarded damages – Applicant ordered to pay security for costs on his appeal from damages award – Whether Court of Appeal erred in fact or law – Whether trial judge biased</w:t>
            </w:r>
          </w:p>
        </w:tc>
      </w:tr>
      <w:tr w:rsidR="00C8743C" w:rsidRPr="007858DA" w:rsidTr="00D41649">
        <w:tc>
          <w:tcPr>
            <w:tcW w:w="5000" w:type="pct"/>
            <w:gridSpan w:val="3"/>
          </w:tcPr>
          <w:p w:rsidR="00C8743C" w:rsidRPr="007858DA" w:rsidRDefault="00C8743C" w:rsidP="00D41649">
            <w:pPr>
              <w:jc w:val="both"/>
              <w:rPr>
                <w:rFonts w:eastAsia="Calibri" w:cs="Times New Roman"/>
                <w:sz w:val="20"/>
                <w:szCs w:val="20"/>
              </w:rPr>
            </w:pPr>
          </w:p>
        </w:tc>
      </w:tr>
      <w:tr w:rsidR="00C8743C" w:rsidRPr="007858DA" w:rsidTr="00D41649">
        <w:tc>
          <w:tcPr>
            <w:tcW w:w="5000" w:type="pct"/>
            <w:gridSpan w:val="3"/>
          </w:tcPr>
          <w:p w:rsidR="00C8743C" w:rsidRPr="007858DA" w:rsidRDefault="00C8743C" w:rsidP="00D41649">
            <w:pPr>
              <w:jc w:val="both"/>
              <w:rPr>
                <w:rFonts w:eastAsia="Calibri" w:cs="Times New Roman"/>
                <w:sz w:val="20"/>
                <w:szCs w:val="20"/>
              </w:rPr>
            </w:pPr>
            <w:r w:rsidRPr="007858DA">
              <w:rPr>
                <w:rFonts w:eastAsia="Calibri" w:cs="Times New Roman"/>
                <w:sz w:val="20"/>
                <w:szCs w:val="20"/>
              </w:rPr>
              <w:t>In 2007, Mr. Pearlman was involved in a motor vehicle accident and brought an action for damages against the other driver.  Liability was admitted and the trial judge awarded him $20,000 in non-pecuniary damages.  Mr. Pearlman sought to appeal the award and brought a motion for a declaration of indigent status.  The Respondents brought a motion requiring him to post security for costs.  The motion for indigent status was dismissed and the motion for security for costs was granted.  Mr. Pearlman sought to have the order reviewed.</w:t>
            </w:r>
          </w:p>
          <w:p w:rsidR="00C8743C" w:rsidRPr="007858DA" w:rsidRDefault="00C8743C" w:rsidP="00D41649">
            <w:pPr>
              <w:jc w:val="both"/>
              <w:rPr>
                <w:rFonts w:eastAsia="Calibri" w:cs="Times New Roman"/>
                <w:sz w:val="20"/>
                <w:szCs w:val="20"/>
              </w:rPr>
            </w:pPr>
          </w:p>
        </w:tc>
      </w:tr>
      <w:tr w:rsidR="00C8743C" w:rsidRPr="007858DA" w:rsidTr="00D41649">
        <w:tc>
          <w:tcPr>
            <w:tcW w:w="2427" w:type="pct"/>
          </w:tcPr>
          <w:p w:rsidR="00C8743C" w:rsidRPr="007858DA" w:rsidRDefault="00C8743C" w:rsidP="00D41649">
            <w:pPr>
              <w:jc w:val="both"/>
              <w:rPr>
                <w:rFonts w:eastAsia="Calibri" w:cs="Times New Roman"/>
                <w:sz w:val="20"/>
                <w:szCs w:val="20"/>
              </w:rPr>
            </w:pPr>
            <w:r w:rsidRPr="007858DA">
              <w:rPr>
                <w:rFonts w:eastAsia="Calibri" w:cs="Times New Roman"/>
                <w:sz w:val="20"/>
                <w:szCs w:val="20"/>
              </w:rPr>
              <w:t>December 12, 2011</w:t>
            </w:r>
          </w:p>
          <w:p w:rsidR="00C8743C" w:rsidRPr="007858DA" w:rsidRDefault="00C8743C" w:rsidP="00D41649">
            <w:pPr>
              <w:jc w:val="both"/>
              <w:rPr>
                <w:rFonts w:eastAsia="Calibri" w:cs="Times New Roman"/>
                <w:sz w:val="20"/>
                <w:szCs w:val="20"/>
              </w:rPr>
            </w:pPr>
            <w:r w:rsidRPr="007858DA">
              <w:rPr>
                <w:rFonts w:eastAsia="Calibri" w:cs="Times New Roman"/>
                <w:sz w:val="20"/>
                <w:szCs w:val="20"/>
              </w:rPr>
              <w:t>Supreme Court of British Columbia</w:t>
            </w:r>
          </w:p>
          <w:p w:rsidR="00C8743C" w:rsidRPr="007858DA" w:rsidRDefault="00C8743C" w:rsidP="00D41649">
            <w:pPr>
              <w:jc w:val="both"/>
              <w:rPr>
                <w:rFonts w:eastAsia="Calibri" w:cs="Times New Roman"/>
                <w:sz w:val="20"/>
                <w:szCs w:val="20"/>
              </w:rPr>
            </w:pPr>
            <w:r w:rsidRPr="007858DA">
              <w:rPr>
                <w:rFonts w:eastAsia="Calibri" w:cs="Times New Roman"/>
                <w:sz w:val="20"/>
                <w:szCs w:val="20"/>
              </w:rPr>
              <w:t>2011 BCSC 1696</w:t>
            </w:r>
          </w:p>
          <w:p w:rsidR="00C8743C" w:rsidRPr="007858DA" w:rsidRDefault="00C8743C" w:rsidP="00D41649">
            <w:pPr>
              <w:jc w:val="both"/>
              <w:rPr>
                <w:rFonts w:eastAsia="Calibri" w:cs="Times New Roman"/>
                <w:sz w:val="20"/>
                <w:szCs w:val="20"/>
              </w:rPr>
            </w:pPr>
          </w:p>
        </w:tc>
        <w:tc>
          <w:tcPr>
            <w:tcW w:w="243" w:type="pct"/>
          </w:tcPr>
          <w:p w:rsidR="00C8743C" w:rsidRPr="007858DA" w:rsidRDefault="00C8743C" w:rsidP="00D41649">
            <w:pPr>
              <w:jc w:val="both"/>
              <w:rPr>
                <w:rFonts w:eastAsia="Calibri" w:cs="Times New Roman"/>
                <w:sz w:val="20"/>
                <w:szCs w:val="20"/>
              </w:rPr>
            </w:pPr>
          </w:p>
        </w:tc>
        <w:tc>
          <w:tcPr>
            <w:tcW w:w="2330" w:type="pct"/>
          </w:tcPr>
          <w:p w:rsidR="00C8743C" w:rsidRPr="007858DA" w:rsidRDefault="00C8743C" w:rsidP="00D41649">
            <w:pPr>
              <w:jc w:val="both"/>
              <w:rPr>
                <w:rFonts w:eastAsia="Calibri" w:cs="Times New Roman"/>
                <w:sz w:val="20"/>
                <w:szCs w:val="20"/>
              </w:rPr>
            </w:pPr>
            <w:r w:rsidRPr="007858DA">
              <w:rPr>
                <w:rFonts w:eastAsia="Calibri" w:cs="Times New Roman"/>
                <w:sz w:val="20"/>
                <w:szCs w:val="20"/>
              </w:rPr>
              <w:t xml:space="preserve">Applicant awarded $20,000 in non-pecuniary damages </w:t>
            </w:r>
          </w:p>
          <w:p w:rsidR="00C8743C" w:rsidRPr="007858DA" w:rsidRDefault="00C8743C" w:rsidP="00D41649">
            <w:pPr>
              <w:jc w:val="both"/>
              <w:rPr>
                <w:rFonts w:eastAsia="Calibri" w:cs="Times New Roman"/>
                <w:sz w:val="20"/>
                <w:szCs w:val="20"/>
              </w:rPr>
            </w:pPr>
          </w:p>
          <w:p w:rsidR="00C8743C" w:rsidRPr="007858DA" w:rsidRDefault="00C8743C" w:rsidP="00D41649">
            <w:pPr>
              <w:jc w:val="both"/>
              <w:rPr>
                <w:rFonts w:eastAsia="Calibri" w:cs="Times New Roman"/>
                <w:sz w:val="20"/>
                <w:szCs w:val="20"/>
              </w:rPr>
            </w:pPr>
          </w:p>
        </w:tc>
      </w:tr>
      <w:tr w:rsidR="00C8743C" w:rsidRPr="007858DA" w:rsidTr="00D41649">
        <w:tc>
          <w:tcPr>
            <w:tcW w:w="2427" w:type="pct"/>
          </w:tcPr>
          <w:p w:rsidR="00C8743C" w:rsidRPr="007858DA" w:rsidRDefault="00C8743C" w:rsidP="00D41649">
            <w:pPr>
              <w:jc w:val="both"/>
              <w:rPr>
                <w:rFonts w:eastAsia="Calibri" w:cs="Times New Roman"/>
                <w:sz w:val="20"/>
                <w:szCs w:val="20"/>
              </w:rPr>
            </w:pPr>
            <w:r w:rsidRPr="007858DA">
              <w:rPr>
                <w:rFonts w:eastAsia="Calibri" w:cs="Times New Roman"/>
                <w:sz w:val="20"/>
                <w:szCs w:val="20"/>
              </w:rPr>
              <w:t>March 12, 2012</w:t>
            </w:r>
          </w:p>
          <w:p w:rsidR="00C8743C" w:rsidRPr="007858DA" w:rsidRDefault="00C8743C" w:rsidP="00D41649">
            <w:pPr>
              <w:jc w:val="both"/>
              <w:rPr>
                <w:rFonts w:eastAsia="Calibri" w:cs="Times New Roman"/>
                <w:sz w:val="20"/>
                <w:szCs w:val="20"/>
              </w:rPr>
            </w:pPr>
            <w:r w:rsidRPr="007858DA">
              <w:rPr>
                <w:rFonts w:eastAsia="Calibri" w:cs="Times New Roman"/>
                <w:sz w:val="20"/>
                <w:szCs w:val="20"/>
              </w:rPr>
              <w:t xml:space="preserve">Court of Appeal for British Columbia </w:t>
            </w:r>
          </w:p>
          <w:p w:rsidR="00C8743C" w:rsidRPr="007858DA" w:rsidRDefault="00C8743C" w:rsidP="00D41649">
            <w:pPr>
              <w:jc w:val="both"/>
              <w:rPr>
                <w:rFonts w:eastAsia="Calibri" w:cs="Times New Roman"/>
                <w:sz w:val="20"/>
                <w:szCs w:val="20"/>
              </w:rPr>
            </w:pPr>
            <w:r w:rsidRPr="007858DA">
              <w:rPr>
                <w:rFonts w:eastAsia="Calibri" w:cs="Times New Roman"/>
                <w:sz w:val="20"/>
                <w:szCs w:val="20"/>
              </w:rPr>
              <w:t>(Vancouver)</w:t>
            </w:r>
          </w:p>
          <w:p w:rsidR="00C8743C" w:rsidRPr="007858DA" w:rsidRDefault="00C8743C" w:rsidP="00D41649">
            <w:pPr>
              <w:jc w:val="both"/>
              <w:rPr>
                <w:rFonts w:eastAsia="Calibri" w:cs="Times New Roman"/>
                <w:sz w:val="20"/>
                <w:szCs w:val="20"/>
              </w:rPr>
            </w:pPr>
            <w:r w:rsidRPr="007858DA">
              <w:rPr>
                <w:rFonts w:eastAsia="Calibri" w:cs="Times New Roman"/>
                <w:sz w:val="20"/>
                <w:szCs w:val="20"/>
              </w:rPr>
              <w:t>(Newbury J.A.)</w:t>
            </w:r>
          </w:p>
          <w:p w:rsidR="00C8743C" w:rsidRPr="007858DA" w:rsidRDefault="00C8743C" w:rsidP="00D41649">
            <w:pPr>
              <w:jc w:val="both"/>
              <w:rPr>
                <w:rFonts w:eastAsia="Calibri" w:cs="Times New Roman"/>
                <w:sz w:val="20"/>
                <w:szCs w:val="20"/>
              </w:rPr>
            </w:pPr>
          </w:p>
        </w:tc>
        <w:tc>
          <w:tcPr>
            <w:tcW w:w="243" w:type="pct"/>
          </w:tcPr>
          <w:p w:rsidR="00C8743C" w:rsidRPr="007858DA" w:rsidRDefault="00C8743C" w:rsidP="00D41649">
            <w:pPr>
              <w:jc w:val="both"/>
              <w:rPr>
                <w:rFonts w:eastAsia="Calibri" w:cs="Times New Roman"/>
                <w:sz w:val="20"/>
                <w:szCs w:val="20"/>
              </w:rPr>
            </w:pPr>
          </w:p>
        </w:tc>
        <w:tc>
          <w:tcPr>
            <w:tcW w:w="2330" w:type="pct"/>
          </w:tcPr>
          <w:p w:rsidR="00C8743C" w:rsidRPr="007858DA" w:rsidRDefault="00C8743C" w:rsidP="00D41649">
            <w:pPr>
              <w:jc w:val="both"/>
              <w:rPr>
                <w:rFonts w:eastAsia="Calibri" w:cs="Times New Roman"/>
                <w:sz w:val="20"/>
                <w:szCs w:val="20"/>
              </w:rPr>
            </w:pPr>
            <w:r w:rsidRPr="007858DA">
              <w:rPr>
                <w:rFonts w:eastAsia="Calibri" w:cs="Times New Roman"/>
                <w:sz w:val="20"/>
                <w:szCs w:val="20"/>
              </w:rPr>
              <w:t>Applicant’s motion to be granted indigent status dismissed; Respondents’ motion to require Applicant to post security for costs for appeal granted</w:t>
            </w:r>
          </w:p>
          <w:p w:rsidR="00C8743C" w:rsidRPr="007858DA" w:rsidRDefault="00C8743C" w:rsidP="00D41649">
            <w:pPr>
              <w:jc w:val="both"/>
              <w:rPr>
                <w:rFonts w:eastAsia="Calibri" w:cs="Times New Roman"/>
                <w:sz w:val="20"/>
                <w:szCs w:val="20"/>
              </w:rPr>
            </w:pPr>
          </w:p>
        </w:tc>
      </w:tr>
      <w:tr w:rsidR="00C8743C" w:rsidRPr="007858DA" w:rsidTr="00D41649">
        <w:tc>
          <w:tcPr>
            <w:tcW w:w="2427" w:type="pct"/>
          </w:tcPr>
          <w:p w:rsidR="00C8743C" w:rsidRPr="007858DA" w:rsidRDefault="00C8743C" w:rsidP="00D41649">
            <w:pPr>
              <w:jc w:val="both"/>
              <w:rPr>
                <w:rFonts w:eastAsia="Calibri" w:cs="Times New Roman"/>
                <w:sz w:val="20"/>
                <w:szCs w:val="20"/>
              </w:rPr>
            </w:pPr>
            <w:r w:rsidRPr="007858DA">
              <w:rPr>
                <w:rFonts w:eastAsia="Calibri" w:cs="Times New Roman"/>
                <w:sz w:val="20"/>
                <w:szCs w:val="20"/>
              </w:rPr>
              <w:t>October 26, 2012</w:t>
            </w:r>
          </w:p>
          <w:p w:rsidR="00C8743C" w:rsidRPr="007858DA" w:rsidRDefault="00C8743C" w:rsidP="00D41649">
            <w:pPr>
              <w:jc w:val="both"/>
              <w:rPr>
                <w:rFonts w:eastAsia="Calibri" w:cs="Times New Roman"/>
                <w:sz w:val="20"/>
                <w:szCs w:val="20"/>
              </w:rPr>
            </w:pPr>
            <w:r w:rsidRPr="007858DA">
              <w:rPr>
                <w:rFonts w:eastAsia="Calibri" w:cs="Times New Roman"/>
                <w:sz w:val="20"/>
                <w:szCs w:val="20"/>
              </w:rPr>
              <w:t xml:space="preserve">Court of Appeal for British Columbia </w:t>
            </w:r>
          </w:p>
          <w:p w:rsidR="00C8743C" w:rsidRPr="007858DA" w:rsidRDefault="00C8743C" w:rsidP="00D41649">
            <w:pPr>
              <w:jc w:val="both"/>
              <w:rPr>
                <w:rFonts w:eastAsia="Calibri" w:cs="Times New Roman"/>
                <w:sz w:val="20"/>
                <w:szCs w:val="20"/>
              </w:rPr>
            </w:pPr>
            <w:r w:rsidRPr="007858DA">
              <w:rPr>
                <w:rFonts w:eastAsia="Calibri" w:cs="Times New Roman"/>
                <w:sz w:val="20"/>
                <w:szCs w:val="20"/>
              </w:rPr>
              <w:t>(Vancouver)</w:t>
            </w:r>
          </w:p>
          <w:p w:rsidR="00C8743C" w:rsidRPr="007858DA" w:rsidRDefault="00C8743C" w:rsidP="00D41649">
            <w:pPr>
              <w:jc w:val="both"/>
              <w:rPr>
                <w:rFonts w:eastAsia="Calibri" w:cs="Times New Roman"/>
                <w:sz w:val="20"/>
                <w:szCs w:val="20"/>
              </w:rPr>
            </w:pPr>
            <w:r w:rsidRPr="007858DA">
              <w:rPr>
                <w:rFonts w:eastAsia="Calibri" w:cs="Times New Roman"/>
                <w:sz w:val="20"/>
                <w:szCs w:val="20"/>
              </w:rPr>
              <w:t>(Saunders, Tysoe and Neilson JJ.A.)</w:t>
            </w:r>
          </w:p>
          <w:p w:rsidR="00C8743C" w:rsidRPr="007858DA" w:rsidRDefault="00C8743C" w:rsidP="00D41649">
            <w:pPr>
              <w:jc w:val="both"/>
              <w:rPr>
                <w:rFonts w:eastAsia="Calibri" w:cs="Times New Roman"/>
                <w:sz w:val="20"/>
                <w:szCs w:val="20"/>
              </w:rPr>
            </w:pPr>
            <w:r w:rsidRPr="007858DA">
              <w:rPr>
                <w:rFonts w:eastAsia="Calibri" w:cs="Times New Roman"/>
                <w:sz w:val="20"/>
                <w:szCs w:val="20"/>
              </w:rPr>
              <w:t>2012 BCCA 429</w:t>
            </w:r>
          </w:p>
          <w:p w:rsidR="00C8743C" w:rsidRPr="007858DA" w:rsidRDefault="00C8743C" w:rsidP="00D41649">
            <w:pPr>
              <w:jc w:val="both"/>
              <w:rPr>
                <w:rFonts w:eastAsia="Calibri" w:cs="Times New Roman"/>
                <w:sz w:val="20"/>
                <w:szCs w:val="20"/>
              </w:rPr>
            </w:pPr>
          </w:p>
        </w:tc>
        <w:tc>
          <w:tcPr>
            <w:tcW w:w="243" w:type="pct"/>
          </w:tcPr>
          <w:p w:rsidR="00C8743C" w:rsidRPr="007858DA" w:rsidRDefault="00C8743C" w:rsidP="00D41649">
            <w:pPr>
              <w:jc w:val="both"/>
              <w:rPr>
                <w:rFonts w:eastAsia="Calibri" w:cs="Times New Roman"/>
                <w:sz w:val="20"/>
                <w:szCs w:val="20"/>
              </w:rPr>
            </w:pPr>
          </w:p>
        </w:tc>
        <w:tc>
          <w:tcPr>
            <w:tcW w:w="2330" w:type="pct"/>
          </w:tcPr>
          <w:p w:rsidR="00C8743C" w:rsidRPr="007858DA" w:rsidRDefault="00C8743C" w:rsidP="00D41649">
            <w:pPr>
              <w:jc w:val="both"/>
              <w:rPr>
                <w:rFonts w:eastAsia="Calibri" w:cs="Times New Roman"/>
                <w:sz w:val="20"/>
                <w:szCs w:val="20"/>
              </w:rPr>
            </w:pPr>
            <w:r w:rsidRPr="007858DA">
              <w:rPr>
                <w:rFonts w:eastAsia="Calibri" w:cs="Times New Roman"/>
                <w:sz w:val="20"/>
                <w:szCs w:val="20"/>
              </w:rPr>
              <w:t>Applicant’s motion to have order for security for costs reviewed, dismissed</w:t>
            </w:r>
          </w:p>
          <w:p w:rsidR="00C8743C" w:rsidRPr="007858DA" w:rsidRDefault="00C8743C" w:rsidP="00D41649">
            <w:pPr>
              <w:jc w:val="both"/>
              <w:rPr>
                <w:rFonts w:eastAsia="Calibri" w:cs="Times New Roman"/>
                <w:sz w:val="20"/>
                <w:szCs w:val="20"/>
              </w:rPr>
            </w:pPr>
          </w:p>
          <w:p w:rsidR="00C8743C" w:rsidRPr="007858DA" w:rsidRDefault="00C8743C" w:rsidP="00D41649">
            <w:pPr>
              <w:jc w:val="both"/>
              <w:rPr>
                <w:rFonts w:eastAsia="Calibri" w:cs="Times New Roman"/>
                <w:sz w:val="20"/>
                <w:szCs w:val="20"/>
              </w:rPr>
            </w:pPr>
          </w:p>
        </w:tc>
      </w:tr>
      <w:tr w:rsidR="00C8743C" w:rsidRPr="007858DA" w:rsidTr="00D41649">
        <w:tc>
          <w:tcPr>
            <w:tcW w:w="2427" w:type="pct"/>
          </w:tcPr>
          <w:p w:rsidR="00C8743C" w:rsidRPr="007858DA" w:rsidRDefault="00C8743C" w:rsidP="00D41649">
            <w:pPr>
              <w:jc w:val="both"/>
              <w:rPr>
                <w:rFonts w:eastAsia="Calibri" w:cs="Times New Roman"/>
                <w:sz w:val="20"/>
                <w:szCs w:val="20"/>
              </w:rPr>
            </w:pPr>
            <w:r w:rsidRPr="007858DA">
              <w:rPr>
                <w:rFonts w:eastAsia="Calibri" w:cs="Times New Roman"/>
                <w:sz w:val="20"/>
                <w:szCs w:val="20"/>
              </w:rPr>
              <w:t>December 20, 2012</w:t>
            </w:r>
          </w:p>
          <w:p w:rsidR="00C8743C" w:rsidRPr="007858DA" w:rsidRDefault="00C8743C" w:rsidP="00D41649">
            <w:pPr>
              <w:jc w:val="both"/>
              <w:rPr>
                <w:rFonts w:eastAsia="Calibri" w:cs="Times New Roman"/>
                <w:sz w:val="20"/>
                <w:szCs w:val="20"/>
              </w:rPr>
            </w:pPr>
            <w:r w:rsidRPr="007858DA">
              <w:rPr>
                <w:rFonts w:eastAsia="Calibri" w:cs="Times New Roman"/>
                <w:sz w:val="20"/>
                <w:szCs w:val="20"/>
              </w:rPr>
              <w:t>Supreme Court of Canada</w:t>
            </w:r>
          </w:p>
        </w:tc>
        <w:tc>
          <w:tcPr>
            <w:tcW w:w="243" w:type="pct"/>
          </w:tcPr>
          <w:p w:rsidR="00C8743C" w:rsidRPr="007858DA" w:rsidRDefault="00C8743C" w:rsidP="00D41649">
            <w:pPr>
              <w:jc w:val="both"/>
              <w:rPr>
                <w:rFonts w:eastAsia="Calibri" w:cs="Times New Roman"/>
                <w:sz w:val="20"/>
                <w:szCs w:val="20"/>
              </w:rPr>
            </w:pPr>
          </w:p>
        </w:tc>
        <w:tc>
          <w:tcPr>
            <w:tcW w:w="2330" w:type="pct"/>
          </w:tcPr>
          <w:p w:rsidR="00C8743C" w:rsidRPr="007858DA" w:rsidRDefault="00C8743C" w:rsidP="00D41649">
            <w:pPr>
              <w:jc w:val="both"/>
              <w:rPr>
                <w:rFonts w:eastAsia="Calibri" w:cs="Times New Roman"/>
                <w:sz w:val="20"/>
                <w:szCs w:val="20"/>
              </w:rPr>
            </w:pPr>
            <w:r w:rsidRPr="007858DA">
              <w:rPr>
                <w:rFonts w:eastAsia="Calibri" w:cs="Times New Roman"/>
                <w:sz w:val="20"/>
                <w:szCs w:val="20"/>
              </w:rPr>
              <w:t>Application for leave to appeal filed</w:t>
            </w:r>
          </w:p>
          <w:p w:rsidR="00C8743C" w:rsidRPr="007858DA" w:rsidRDefault="00C8743C" w:rsidP="00D41649">
            <w:pPr>
              <w:jc w:val="both"/>
              <w:rPr>
                <w:rFonts w:eastAsia="Calibri" w:cs="Times New Roman"/>
                <w:sz w:val="20"/>
                <w:szCs w:val="20"/>
              </w:rPr>
            </w:pPr>
          </w:p>
        </w:tc>
      </w:tr>
    </w:tbl>
    <w:p w:rsidR="00C8743C" w:rsidRPr="007858DA" w:rsidRDefault="00C8743C" w:rsidP="00C8743C">
      <w:pPr>
        <w:rPr>
          <w:rFonts w:cs="Times New Roman"/>
          <w:sz w:val="20"/>
          <w:szCs w:val="20"/>
        </w:rPr>
      </w:pPr>
    </w:p>
    <w:p w:rsidR="00C8743C" w:rsidRPr="007858DA" w:rsidRDefault="00B74DD2" w:rsidP="00C8743C">
      <w:pPr>
        <w:rPr>
          <w:rFonts w:cs="Times New Roman"/>
          <w:sz w:val="20"/>
          <w:szCs w:val="20"/>
        </w:rPr>
      </w:pPr>
      <w:r w:rsidRPr="00B74DD2">
        <w:rPr>
          <w:rFonts w:cs="Times New Roman"/>
          <w:sz w:val="20"/>
          <w:szCs w:val="20"/>
          <w:lang w:val="fr-CA"/>
        </w:rPr>
        <w:pict>
          <v:rect id="_x0000_i1058" style="width:2in;height:1pt" o:hrpct="0" o:hralign="center" o:hrstd="t" o:hrnoshade="t" o:hr="t" fillcolor="black [3213]" stroked="f"/>
        </w:pict>
      </w:r>
    </w:p>
    <w:p w:rsidR="00C8743C" w:rsidRPr="007858DA" w:rsidRDefault="00C8743C" w:rsidP="00C8743C">
      <w:pPr>
        <w:rPr>
          <w:rFonts w:cs="Times New Roman"/>
          <w:sz w:val="20"/>
          <w:szCs w:val="20"/>
        </w:rPr>
      </w:pPr>
    </w:p>
    <w:p w:rsidR="00C8743C" w:rsidRPr="007858DA" w:rsidRDefault="00C8743C" w:rsidP="00C8743C">
      <w:pPr>
        <w:rPr>
          <w:rFonts w:cs="Times New Roman"/>
          <w:sz w:val="20"/>
          <w:szCs w:val="20"/>
          <w:u w:val="single"/>
          <w:lang w:val="fr-CA"/>
        </w:rPr>
      </w:pPr>
      <w:r w:rsidRPr="007858DA">
        <w:rPr>
          <w:rFonts w:cs="Times New Roman"/>
          <w:sz w:val="20"/>
          <w:szCs w:val="20"/>
          <w:u w:val="single"/>
          <w:lang w:val="fr-CA"/>
        </w:rPr>
        <w:t>RÉSUMÉ DE L’AFFAIRE</w:t>
      </w:r>
    </w:p>
    <w:p w:rsidR="00C8743C" w:rsidRPr="007858DA" w:rsidRDefault="00C8743C" w:rsidP="00C8743C">
      <w:pPr>
        <w:jc w:val="both"/>
        <w:rPr>
          <w:rFonts w:eastAsia="Calibri" w:cs="Times New Roman"/>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C8743C" w:rsidRPr="00C4248C" w:rsidTr="00D41649">
        <w:tc>
          <w:tcPr>
            <w:tcW w:w="5000" w:type="pct"/>
            <w:gridSpan w:val="3"/>
          </w:tcPr>
          <w:p w:rsidR="00C8743C" w:rsidRPr="007858DA" w:rsidRDefault="00C8743C" w:rsidP="00D41649">
            <w:pPr>
              <w:jc w:val="both"/>
              <w:rPr>
                <w:rFonts w:eastAsia="Calibri" w:cs="Times New Roman"/>
                <w:sz w:val="20"/>
                <w:szCs w:val="20"/>
                <w:lang w:val="fr-CA"/>
              </w:rPr>
            </w:pPr>
            <w:r w:rsidRPr="007858DA">
              <w:rPr>
                <w:rFonts w:eastAsia="Calibri" w:cs="Times New Roman"/>
                <w:sz w:val="20"/>
                <w:szCs w:val="20"/>
                <w:lang w:val="fr-CA"/>
              </w:rPr>
              <w:t>Dommages</w:t>
            </w:r>
            <w:r w:rsidRPr="007858DA">
              <w:rPr>
                <w:rFonts w:eastAsia="Calibri" w:cs="Times New Roman"/>
                <w:sz w:val="20"/>
                <w:szCs w:val="20"/>
                <w:lang w:val="fr-CA"/>
              </w:rPr>
              <w:noBreakHyphen/>
              <w:t>intérêts – Dommages</w:t>
            </w:r>
            <w:r w:rsidRPr="007858DA">
              <w:rPr>
                <w:rFonts w:eastAsia="Calibri" w:cs="Times New Roman"/>
                <w:sz w:val="20"/>
                <w:szCs w:val="20"/>
                <w:lang w:val="fr-CA"/>
              </w:rPr>
              <w:noBreakHyphen/>
              <w:t>intérêts non pécuniaires – Procédure civile – Appels – Le demandeur a subi des blessures dans un accident de la route et il s’est vu accorder des dommages</w:t>
            </w:r>
            <w:r w:rsidRPr="007858DA">
              <w:rPr>
                <w:rFonts w:eastAsia="Calibri" w:cs="Times New Roman"/>
                <w:sz w:val="20"/>
                <w:szCs w:val="20"/>
                <w:lang w:val="fr-CA"/>
              </w:rPr>
              <w:noBreakHyphen/>
              <w:t>intérêts – Il a été ordonné au demandeur de verser un cautionnement pour frais dans son appel du jugement en dommages</w:t>
            </w:r>
            <w:r w:rsidRPr="007858DA">
              <w:rPr>
                <w:rFonts w:eastAsia="Calibri" w:cs="Times New Roman"/>
                <w:sz w:val="20"/>
                <w:szCs w:val="20"/>
                <w:lang w:val="fr-CA"/>
              </w:rPr>
              <w:noBreakHyphen/>
              <w:t>intérêts – La Cour d'appel a</w:t>
            </w:r>
            <w:r w:rsidRPr="007858DA">
              <w:rPr>
                <w:rFonts w:eastAsia="Calibri" w:cs="Times New Roman"/>
                <w:sz w:val="20"/>
                <w:szCs w:val="20"/>
                <w:lang w:val="fr-CA"/>
              </w:rPr>
              <w:noBreakHyphen/>
              <w:t>t</w:t>
            </w:r>
            <w:r w:rsidRPr="007858DA">
              <w:rPr>
                <w:rFonts w:eastAsia="Calibri" w:cs="Times New Roman"/>
                <w:sz w:val="20"/>
                <w:szCs w:val="20"/>
                <w:lang w:val="fr-CA"/>
              </w:rPr>
              <w:noBreakHyphen/>
              <w:t>elle commis une erreur de fait ou de droit? – Le juge de première instance avait</w:t>
            </w:r>
            <w:r w:rsidRPr="007858DA">
              <w:rPr>
                <w:rFonts w:eastAsia="Calibri" w:cs="Times New Roman"/>
                <w:sz w:val="20"/>
                <w:szCs w:val="20"/>
                <w:lang w:val="fr-CA"/>
              </w:rPr>
              <w:noBreakHyphen/>
              <w:t>il un parti pris?</w:t>
            </w:r>
          </w:p>
        </w:tc>
      </w:tr>
      <w:tr w:rsidR="00C8743C" w:rsidRPr="00C4248C" w:rsidTr="00D41649">
        <w:tc>
          <w:tcPr>
            <w:tcW w:w="5000" w:type="pct"/>
            <w:gridSpan w:val="3"/>
          </w:tcPr>
          <w:p w:rsidR="00C8743C" w:rsidRPr="007858DA" w:rsidRDefault="00C8743C" w:rsidP="00D41649">
            <w:pPr>
              <w:jc w:val="both"/>
              <w:rPr>
                <w:rFonts w:eastAsia="Calibri" w:cs="Times New Roman"/>
                <w:sz w:val="20"/>
                <w:szCs w:val="20"/>
                <w:lang w:val="fr-CA"/>
              </w:rPr>
            </w:pPr>
          </w:p>
        </w:tc>
      </w:tr>
      <w:tr w:rsidR="00C8743C" w:rsidRPr="007858DA" w:rsidTr="00D41649">
        <w:tc>
          <w:tcPr>
            <w:tcW w:w="5000" w:type="pct"/>
            <w:gridSpan w:val="3"/>
          </w:tcPr>
          <w:p w:rsidR="00C8743C" w:rsidRPr="007858DA" w:rsidRDefault="00C8743C" w:rsidP="00D41649">
            <w:pPr>
              <w:jc w:val="both"/>
              <w:rPr>
                <w:rFonts w:eastAsia="Calibri" w:cs="Times New Roman"/>
                <w:sz w:val="20"/>
                <w:szCs w:val="20"/>
                <w:lang w:val="fr-CA"/>
              </w:rPr>
            </w:pPr>
            <w:r w:rsidRPr="007858DA">
              <w:rPr>
                <w:rFonts w:eastAsia="Calibri" w:cs="Times New Roman"/>
                <w:sz w:val="20"/>
                <w:szCs w:val="20"/>
                <w:lang w:val="fr-CA"/>
              </w:rPr>
              <w:t>En 2007, M. Pearlman a été impliqué dans un accident de la route et a intenté une action en dommages</w:t>
            </w:r>
            <w:r w:rsidRPr="007858DA">
              <w:rPr>
                <w:rFonts w:eastAsia="Calibri" w:cs="Times New Roman"/>
                <w:sz w:val="20"/>
                <w:szCs w:val="20"/>
                <w:lang w:val="fr-CA"/>
              </w:rPr>
              <w:noBreakHyphen/>
              <w:t>intérêts contre l'autre conducteur.  La responsabilité a été admise et le juge du procès lui a accordé 20 000 $ en dommages</w:t>
            </w:r>
            <w:r w:rsidRPr="007858DA">
              <w:rPr>
                <w:rFonts w:eastAsia="Calibri" w:cs="Times New Roman"/>
                <w:sz w:val="20"/>
                <w:szCs w:val="20"/>
                <w:lang w:val="fr-CA"/>
              </w:rPr>
              <w:noBreakHyphen/>
              <w:t>intérêts non pécuniaires.  Monsieur Pearlman a voulu interjeter appel du jugement et a présenté une requête pour se voir reconnaître le statut de partie sans ressources.  Les intimés ont présenté une requête pour l’obliger à verser un cautionnement pour frais.  La requête pour se voir reconnaître le statut de partie sans ressources a été rejetée et la requête en cautionnement pour frais a été accueillie.  Monsieur Pearlman a demandé le réexamen de l'ordonnance.</w:t>
            </w:r>
          </w:p>
          <w:p w:rsidR="00C8743C" w:rsidRPr="007858DA" w:rsidRDefault="00C8743C" w:rsidP="00D41649">
            <w:pPr>
              <w:jc w:val="both"/>
              <w:rPr>
                <w:rFonts w:eastAsia="Calibri" w:cs="Times New Roman"/>
                <w:sz w:val="20"/>
                <w:szCs w:val="20"/>
                <w:lang w:val="fr-CA"/>
              </w:rPr>
            </w:pPr>
          </w:p>
        </w:tc>
      </w:tr>
      <w:tr w:rsidR="00C8743C" w:rsidRPr="00C4248C" w:rsidTr="00D41649">
        <w:tc>
          <w:tcPr>
            <w:tcW w:w="2427" w:type="pct"/>
          </w:tcPr>
          <w:p w:rsidR="00C8743C" w:rsidRPr="007858DA" w:rsidRDefault="00C8743C" w:rsidP="00D41649">
            <w:pPr>
              <w:jc w:val="both"/>
              <w:rPr>
                <w:rFonts w:eastAsia="Calibri" w:cs="Times New Roman"/>
                <w:sz w:val="20"/>
                <w:szCs w:val="20"/>
                <w:lang w:val="fr-CA"/>
              </w:rPr>
            </w:pPr>
            <w:r w:rsidRPr="007858DA">
              <w:rPr>
                <w:rFonts w:eastAsia="Calibri" w:cs="Times New Roman"/>
                <w:sz w:val="20"/>
                <w:szCs w:val="20"/>
                <w:lang w:val="fr-CA"/>
              </w:rPr>
              <w:t>12 décembre 2011</w:t>
            </w:r>
          </w:p>
          <w:p w:rsidR="00C8743C" w:rsidRPr="007858DA" w:rsidRDefault="00C8743C" w:rsidP="00D41649">
            <w:pPr>
              <w:jc w:val="both"/>
              <w:rPr>
                <w:rFonts w:eastAsia="Calibri" w:cs="Times New Roman"/>
                <w:sz w:val="20"/>
                <w:szCs w:val="20"/>
                <w:lang w:val="fr-CA"/>
              </w:rPr>
            </w:pPr>
            <w:r w:rsidRPr="007858DA">
              <w:rPr>
                <w:rFonts w:eastAsia="Calibri" w:cs="Times New Roman"/>
                <w:sz w:val="20"/>
                <w:szCs w:val="20"/>
                <w:lang w:val="fr-CA"/>
              </w:rPr>
              <w:t>Cour suprême de la Colombie</w:t>
            </w:r>
            <w:r w:rsidRPr="007858DA">
              <w:rPr>
                <w:rFonts w:eastAsia="Calibri" w:cs="Times New Roman"/>
                <w:sz w:val="20"/>
                <w:szCs w:val="20"/>
                <w:lang w:val="fr-CA"/>
              </w:rPr>
              <w:noBreakHyphen/>
              <w:t xml:space="preserve">Britannique </w:t>
            </w:r>
          </w:p>
          <w:p w:rsidR="00C8743C" w:rsidRPr="007858DA" w:rsidRDefault="00C8743C" w:rsidP="00D41649">
            <w:pPr>
              <w:jc w:val="both"/>
              <w:rPr>
                <w:rFonts w:eastAsia="Calibri" w:cs="Times New Roman"/>
                <w:sz w:val="20"/>
                <w:szCs w:val="20"/>
                <w:lang w:val="fr-CA"/>
              </w:rPr>
            </w:pPr>
            <w:r w:rsidRPr="007858DA">
              <w:rPr>
                <w:rFonts w:eastAsia="Calibri" w:cs="Times New Roman"/>
                <w:sz w:val="20"/>
                <w:szCs w:val="20"/>
                <w:lang w:val="fr-CA"/>
              </w:rPr>
              <w:t>2011 BCSC 1696</w:t>
            </w:r>
          </w:p>
          <w:p w:rsidR="00C8743C" w:rsidRPr="007858DA" w:rsidRDefault="00C8743C" w:rsidP="00D41649">
            <w:pPr>
              <w:jc w:val="both"/>
              <w:rPr>
                <w:rFonts w:eastAsia="Calibri" w:cs="Times New Roman"/>
                <w:sz w:val="20"/>
                <w:szCs w:val="20"/>
                <w:lang w:val="fr-CA"/>
              </w:rPr>
            </w:pPr>
          </w:p>
        </w:tc>
        <w:tc>
          <w:tcPr>
            <w:tcW w:w="243" w:type="pct"/>
          </w:tcPr>
          <w:p w:rsidR="00C8743C" w:rsidRPr="007858DA" w:rsidRDefault="00C8743C" w:rsidP="00D41649">
            <w:pPr>
              <w:jc w:val="both"/>
              <w:rPr>
                <w:rFonts w:eastAsia="Calibri" w:cs="Times New Roman"/>
                <w:sz w:val="20"/>
                <w:szCs w:val="20"/>
                <w:lang w:val="fr-CA"/>
              </w:rPr>
            </w:pPr>
          </w:p>
        </w:tc>
        <w:tc>
          <w:tcPr>
            <w:tcW w:w="2330" w:type="pct"/>
          </w:tcPr>
          <w:p w:rsidR="00C8743C" w:rsidRPr="007858DA" w:rsidRDefault="00C8743C" w:rsidP="00D41649">
            <w:pPr>
              <w:jc w:val="both"/>
              <w:rPr>
                <w:rFonts w:eastAsia="Calibri" w:cs="Times New Roman"/>
                <w:sz w:val="20"/>
                <w:szCs w:val="20"/>
                <w:lang w:val="fr-CA"/>
              </w:rPr>
            </w:pPr>
            <w:r w:rsidRPr="007858DA">
              <w:rPr>
                <w:rFonts w:eastAsia="Calibri" w:cs="Times New Roman"/>
                <w:sz w:val="20"/>
                <w:szCs w:val="20"/>
                <w:lang w:val="fr-CA"/>
              </w:rPr>
              <w:t>Le demandeur se voit accorder 20 000 $ en dommages</w:t>
            </w:r>
            <w:r w:rsidRPr="007858DA">
              <w:rPr>
                <w:rFonts w:eastAsia="Calibri" w:cs="Times New Roman"/>
                <w:sz w:val="20"/>
                <w:szCs w:val="20"/>
                <w:lang w:val="fr-CA"/>
              </w:rPr>
              <w:noBreakHyphen/>
              <w:t>intérêts non pécuniaires</w:t>
            </w:r>
          </w:p>
          <w:p w:rsidR="00C8743C" w:rsidRPr="007858DA" w:rsidRDefault="00C8743C" w:rsidP="00D41649">
            <w:pPr>
              <w:jc w:val="both"/>
              <w:rPr>
                <w:rFonts w:eastAsia="Calibri" w:cs="Times New Roman"/>
                <w:sz w:val="20"/>
                <w:szCs w:val="20"/>
                <w:lang w:val="fr-CA"/>
              </w:rPr>
            </w:pPr>
          </w:p>
          <w:p w:rsidR="00C8743C" w:rsidRPr="007858DA" w:rsidRDefault="00C8743C" w:rsidP="00D41649">
            <w:pPr>
              <w:jc w:val="both"/>
              <w:rPr>
                <w:rFonts w:eastAsia="Calibri" w:cs="Times New Roman"/>
                <w:sz w:val="20"/>
                <w:szCs w:val="20"/>
                <w:lang w:val="fr-CA"/>
              </w:rPr>
            </w:pPr>
          </w:p>
        </w:tc>
      </w:tr>
      <w:tr w:rsidR="00C8743C" w:rsidRPr="00C4248C" w:rsidTr="00D41649">
        <w:tc>
          <w:tcPr>
            <w:tcW w:w="2427" w:type="pct"/>
          </w:tcPr>
          <w:p w:rsidR="00C8743C" w:rsidRPr="007858DA" w:rsidRDefault="00C8743C" w:rsidP="00D41649">
            <w:pPr>
              <w:jc w:val="both"/>
              <w:rPr>
                <w:rFonts w:eastAsia="Calibri" w:cs="Times New Roman"/>
                <w:sz w:val="20"/>
                <w:szCs w:val="20"/>
                <w:lang w:val="fr-CA"/>
              </w:rPr>
            </w:pPr>
            <w:r w:rsidRPr="007858DA">
              <w:rPr>
                <w:rFonts w:eastAsia="Calibri" w:cs="Times New Roman"/>
                <w:sz w:val="20"/>
                <w:szCs w:val="20"/>
                <w:lang w:val="fr-CA"/>
              </w:rPr>
              <w:t>12 mars 2012</w:t>
            </w:r>
          </w:p>
          <w:p w:rsidR="00C8743C" w:rsidRPr="007858DA" w:rsidRDefault="00C8743C" w:rsidP="00D41649">
            <w:pPr>
              <w:jc w:val="both"/>
              <w:rPr>
                <w:rFonts w:eastAsia="Calibri" w:cs="Times New Roman"/>
                <w:sz w:val="20"/>
                <w:szCs w:val="20"/>
                <w:lang w:val="fr-CA"/>
              </w:rPr>
            </w:pPr>
            <w:r w:rsidRPr="007858DA">
              <w:rPr>
                <w:rFonts w:eastAsia="Calibri" w:cs="Times New Roman"/>
                <w:sz w:val="20"/>
                <w:szCs w:val="20"/>
                <w:lang w:val="fr-CA"/>
              </w:rPr>
              <w:t>Cour d'appel de la Colombie</w:t>
            </w:r>
            <w:r w:rsidRPr="007858DA">
              <w:rPr>
                <w:rFonts w:eastAsia="Calibri" w:cs="Times New Roman"/>
                <w:sz w:val="20"/>
                <w:szCs w:val="20"/>
                <w:lang w:val="fr-CA"/>
              </w:rPr>
              <w:noBreakHyphen/>
              <w:t xml:space="preserve">Britannique </w:t>
            </w:r>
          </w:p>
          <w:p w:rsidR="00C8743C" w:rsidRPr="007858DA" w:rsidRDefault="00C8743C" w:rsidP="00D41649">
            <w:pPr>
              <w:jc w:val="both"/>
              <w:rPr>
                <w:rFonts w:eastAsia="Calibri" w:cs="Times New Roman"/>
                <w:sz w:val="20"/>
                <w:szCs w:val="20"/>
                <w:lang w:val="fr-CA"/>
              </w:rPr>
            </w:pPr>
            <w:r w:rsidRPr="007858DA">
              <w:rPr>
                <w:rFonts w:eastAsia="Calibri" w:cs="Times New Roman"/>
                <w:sz w:val="20"/>
                <w:szCs w:val="20"/>
                <w:lang w:val="fr-CA"/>
              </w:rPr>
              <w:t>(Vancouver)</w:t>
            </w:r>
          </w:p>
          <w:p w:rsidR="00C8743C" w:rsidRPr="007858DA" w:rsidRDefault="00C8743C" w:rsidP="00D41649">
            <w:pPr>
              <w:jc w:val="both"/>
              <w:rPr>
                <w:rFonts w:eastAsia="Calibri" w:cs="Times New Roman"/>
                <w:sz w:val="20"/>
                <w:szCs w:val="20"/>
                <w:lang w:val="fr-CA"/>
              </w:rPr>
            </w:pPr>
            <w:r w:rsidRPr="007858DA">
              <w:rPr>
                <w:rFonts w:eastAsia="Calibri" w:cs="Times New Roman"/>
                <w:sz w:val="20"/>
                <w:szCs w:val="20"/>
                <w:lang w:val="fr-CA"/>
              </w:rPr>
              <w:t>(Juge Newbury)</w:t>
            </w:r>
          </w:p>
        </w:tc>
        <w:tc>
          <w:tcPr>
            <w:tcW w:w="243" w:type="pct"/>
          </w:tcPr>
          <w:p w:rsidR="00C8743C" w:rsidRPr="007858DA" w:rsidRDefault="00C8743C" w:rsidP="00D41649">
            <w:pPr>
              <w:jc w:val="both"/>
              <w:rPr>
                <w:rFonts w:eastAsia="Calibri" w:cs="Times New Roman"/>
                <w:sz w:val="20"/>
                <w:szCs w:val="20"/>
                <w:lang w:val="fr-CA"/>
              </w:rPr>
            </w:pPr>
          </w:p>
        </w:tc>
        <w:tc>
          <w:tcPr>
            <w:tcW w:w="2330" w:type="pct"/>
          </w:tcPr>
          <w:p w:rsidR="00C8743C" w:rsidRPr="007858DA" w:rsidRDefault="00C8743C" w:rsidP="00D41649">
            <w:pPr>
              <w:jc w:val="both"/>
              <w:rPr>
                <w:rFonts w:eastAsia="Calibri" w:cs="Times New Roman"/>
                <w:sz w:val="20"/>
                <w:szCs w:val="20"/>
                <w:lang w:val="fr-CA"/>
              </w:rPr>
            </w:pPr>
            <w:r w:rsidRPr="007858DA">
              <w:rPr>
                <w:rFonts w:eastAsia="Calibri" w:cs="Times New Roman"/>
                <w:sz w:val="20"/>
                <w:szCs w:val="20"/>
                <w:lang w:val="fr-CA"/>
              </w:rPr>
              <w:t>Requête du demandeur pour se voir reconnaître le statut de partie sans ressources, rejetée; requête des intimés pour obliger le demandeur à verser un cautionnement pour frais en appel, accueillie</w:t>
            </w:r>
          </w:p>
          <w:p w:rsidR="00C8743C" w:rsidRPr="007858DA" w:rsidRDefault="00C8743C" w:rsidP="00D41649">
            <w:pPr>
              <w:jc w:val="both"/>
              <w:rPr>
                <w:rFonts w:eastAsia="Calibri" w:cs="Times New Roman"/>
                <w:sz w:val="20"/>
                <w:szCs w:val="20"/>
                <w:lang w:val="fr-CA"/>
              </w:rPr>
            </w:pPr>
          </w:p>
        </w:tc>
      </w:tr>
      <w:tr w:rsidR="00C8743C" w:rsidRPr="00C4248C" w:rsidTr="00753572">
        <w:trPr>
          <w:cantSplit/>
        </w:trPr>
        <w:tc>
          <w:tcPr>
            <w:tcW w:w="2427" w:type="pct"/>
          </w:tcPr>
          <w:p w:rsidR="00C8743C" w:rsidRPr="007858DA" w:rsidRDefault="00C8743C" w:rsidP="00D41649">
            <w:pPr>
              <w:jc w:val="both"/>
              <w:rPr>
                <w:rFonts w:eastAsia="Calibri" w:cs="Times New Roman"/>
                <w:sz w:val="20"/>
                <w:szCs w:val="20"/>
                <w:lang w:val="fr-CA"/>
              </w:rPr>
            </w:pPr>
            <w:r w:rsidRPr="007858DA">
              <w:rPr>
                <w:rFonts w:eastAsia="Calibri" w:cs="Times New Roman"/>
                <w:sz w:val="20"/>
                <w:szCs w:val="20"/>
                <w:lang w:val="fr-CA"/>
              </w:rPr>
              <w:t>26 octobre 2012</w:t>
            </w:r>
          </w:p>
          <w:p w:rsidR="00C8743C" w:rsidRPr="007858DA" w:rsidRDefault="00C8743C" w:rsidP="00D41649">
            <w:pPr>
              <w:jc w:val="both"/>
              <w:rPr>
                <w:rFonts w:eastAsia="Calibri" w:cs="Times New Roman"/>
                <w:sz w:val="20"/>
                <w:szCs w:val="20"/>
                <w:lang w:val="fr-CA"/>
              </w:rPr>
            </w:pPr>
            <w:r w:rsidRPr="007858DA">
              <w:rPr>
                <w:rFonts w:eastAsia="Calibri" w:cs="Times New Roman"/>
                <w:sz w:val="20"/>
                <w:szCs w:val="20"/>
                <w:lang w:val="fr-CA"/>
              </w:rPr>
              <w:t>Cour d'appel de la Colombie</w:t>
            </w:r>
            <w:r w:rsidRPr="007858DA">
              <w:rPr>
                <w:rFonts w:eastAsia="Calibri" w:cs="Times New Roman"/>
                <w:sz w:val="20"/>
                <w:szCs w:val="20"/>
                <w:lang w:val="fr-CA"/>
              </w:rPr>
              <w:noBreakHyphen/>
              <w:t xml:space="preserve">Britannique </w:t>
            </w:r>
          </w:p>
          <w:p w:rsidR="00C8743C" w:rsidRPr="007858DA" w:rsidRDefault="00C8743C" w:rsidP="00D41649">
            <w:pPr>
              <w:jc w:val="both"/>
              <w:rPr>
                <w:rFonts w:eastAsia="Calibri" w:cs="Times New Roman"/>
                <w:sz w:val="20"/>
                <w:szCs w:val="20"/>
                <w:lang w:val="fr-CA"/>
              </w:rPr>
            </w:pPr>
            <w:r w:rsidRPr="007858DA">
              <w:rPr>
                <w:rFonts w:eastAsia="Calibri" w:cs="Times New Roman"/>
                <w:sz w:val="20"/>
                <w:szCs w:val="20"/>
                <w:lang w:val="fr-CA"/>
              </w:rPr>
              <w:t>(Vancouver)</w:t>
            </w:r>
          </w:p>
          <w:p w:rsidR="00C8743C" w:rsidRPr="007858DA" w:rsidRDefault="00C8743C" w:rsidP="00D41649">
            <w:pPr>
              <w:jc w:val="both"/>
              <w:rPr>
                <w:rFonts w:eastAsia="Calibri" w:cs="Times New Roman"/>
                <w:sz w:val="20"/>
                <w:szCs w:val="20"/>
                <w:lang w:val="fr-CA"/>
              </w:rPr>
            </w:pPr>
            <w:r w:rsidRPr="007858DA">
              <w:rPr>
                <w:rFonts w:eastAsia="Calibri" w:cs="Times New Roman"/>
                <w:sz w:val="20"/>
                <w:szCs w:val="20"/>
                <w:lang w:val="fr-CA"/>
              </w:rPr>
              <w:t>(Juges Saunders, Tysoe et Neilson)</w:t>
            </w:r>
          </w:p>
          <w:p w:rsidR="00C8743C" w:rsidRPr="007858DA" w:rsidRDefault="00C8743C" w:rsidP="00D41649">
            <w:pPr>
              <w:jc w:val="both"/>
              <w:rPr>
                <w:rFonts w:eastAsia="Calibri" w:cs="Times New Roman"/>
                <w:sz w:val="20"/>
                <w:szCs w:val="20"/>
                <w:lang w:val="fr-CA"/>
              </w:rPr>
            </w:pPr>
            <w:r w:rsidRPr="007858DA">
              <w:rPr>
                <w:rFonts w:eastAsia="Calibri" w:cs="Times New Roman"/>
                <w:sz w:val="20"/>
                <w:szCs w:val="20"/>
                <w:lang w:val="fr-CA"/>
              </w:rPr>
              <w:t>2012 BCCA 429</w:t>
            </w:r>
          </w:p>
          <w:p w:rsidR="00C8743C" w:rsidRPr="007858DA" w:rsidRDefault="00C8743C" w:rsidP="00D41649">
            <w:pPr>
              <w:jc w:val="both"/>
              <w:rPr>
                <w:rFonts w:eastAsia="Calibri" w:cs="Times New Roman"/>
                <w:sz w:val="20"/>
                <w:szCs w:val="20"/>
                <w:lang w:val="fr-CA"/>
              </w:rPr>
            </w:pPr>
          </w:p>
        </w:tc>
        <w:tc>
          <w:tcPr>
            <w:tcW w:w="243" w:type="pct"/>
          </w:tcPr>
          <w:p w:rsidR="00C8743C" w:rsidRPr="007858DA" w:rsidRDefault="00C8743C" w:rsidP="00D41649">
            <w:pPr>
              <w:jc w:val="both"/>
              <w:rPr>
                <w:rFonts w:eastAsia="Calibri" w:cs="Times New Roman"/>
                <w:sz w:val="20"/>
                <w:szCs w:val="20"/>
                <w:lang w:val="fr-CA"/>
              </w:rPr>
            </w:pPr>
          </w:p>
        </w:tc>
        <w:tc>
          <w:tcPr>
            <w:tcW w:w="2330" w:type="pct"/>
          </w:tcPr>
          <w:p w:rsidR="00C8743C" w:rsidRPr="007858DA" w:rsidRDefault="00C8743C" w:rsidP="00D41649">
            <w:pPr>
              <w:jc w:val="both"/>
              <w:rPr>
                <w:rFonts w:eastAsia="Calibri" w:cs="Times New Roman"/>
                <w:sz w:val="20"/>
                <w:szCs w:val="20"/>
                <w:lang w:val="fr-CA"/>
              </w:rPr>
            </w:pPr>
            <w:r w:rsidRPr="007858DA">
              <w:rPr>
                <w:rFonts w:eastAsia="Calibri" w:cs="Times New Roman"/>
                <w:sz w:val="20"/>
                <w:szCs w:val="20"/>
                <w:lang w:val="fr-CA"/>
              </w:rPr>
              <w:t>Requête du demandeur en réexamen de l'ordonnance de cautionnement pour frais, rejetée</w:t>
            </w:r>
          </w:p>
          <w:p w:rsidR="00C8743C" w:rsidRPr="007858DA" w:rsidRDefault="00C8743C" w:rsidP="00D41649">
            <w:pPr>
              <w:jc w:val="both"/>
              <w:rPr>
                <w:rFonts w:eastAsia="Calibri" w:cs="Times New Roman"/>
                <w:sz w:val="20"/>
                <w:szCs w:val="20"/>
                <w:lang w:val="fr-CA"/>
              </w:rPr>
            </w:pPr>
          </w:p>
          <w:p w:rsidR="00C8743C" w:rsidRPr="007858DA" w:rsidRDefault="00C8743C" w:rsidP="00D41649">
            <w:pPr>
              <w:jc w:val="both"/>
              <w:rPr>
                <w:rFonts w:eastAsia="Calibri" w:cs="Times New Roman"/>
                <w:sz w:val="20"/>
                <w:szCs w:val="20"/>
                <w:lang w:val="fr-CA"/>
              </w:rPr>
            </w:pPr>
          </w:p>
        </w:tc>
      </w:tr>
      <w:tr w:rsidR="00C8743C" w:rsidRPr="007858DA" w:rsidTr="00753572">
        <w:trPr>
          <w:cantSplit/>
        </w:trPr>
        <w:tc>
          <w:tcPr>
            <w:tcW w:w="2427" w:type="pct"/>
          </w:tcPr>
          <w:p w:rsidR="00C8743C" w:rsidRPr="007858DA" w:rsidRDefault="00C8743C" w:rsidP="00D41649">
            <w:pPr>
              <w:jc w:val="both"/>
              <w:rPr>
                <w:rFonts w:eastAsia="Calibri" w:cs="Times New Roman"/>
                <w:sz w:val="20"/>
                <w:szCs w:val="20"/>
                <w:lang w:val="fr-CA"/>
              </w:rPr>
            </w:pPr>
            <w:r w:rsidRPr="007858DA">
              <w:rPr>
                <w:rFonts w:eastAsia="Calibri" w:cs="Times New Roman"/>
                <w:sz w:val="20"/>
                <w:szCs w:val="20"/>
                <w:lang w:val="fr-CA"/>
              </w:rPr>
              <w:t>20 décembre 2012</w:t>
            </w:r>
          </w:p>
          <w:p w:rsidR="00C8743C" w:rsidRPr="007858DA" w:rsidRDefault="00C8743C" w:rsidP="00D41649">
            <w:pPr>
              <w:jc w:val="both"/>
              <w:rPr>
                <w:rFonts w:eastAsia="Calibri" w:cs="Times New Roman"/>
                <w:sz w:val="20"/>
                <w:szCs w:val="20"/>
                <w:lang w:val="fr-CA"/>
              </w:rPr>
            </w:pPr>
            <w:r w:rsidRPr="007858DA">
              <w:rPr>
                <w:rFonts w:eastAsia="Calibri" w:cs="Times New Roman"/>
                <w:sz w:val="20"/>
                <w:szCs w:val="20"/>
                <w:lang w:val="fr-CA"/>
              </w:rPr>
              <w:t>Cour suprême du Canada</w:t>
            </w:r>
          </w:p>
        </w:tc>
        <w:tc>
          <w:tcPr>
            <w:tcW w:w="243" w:type="pct"/>
          </w:tcPr>
          <w:p w:rsidR="00C8743C" w:rsidRPr="007858DA" w:rsidRDefault="00C8743C" w:rsidP="00D41649">
            <w:pPr>
              <w:jc w:val="both"/>
              <w:rPr>
                <w:rFonts w:eastAsia="Calibri" w:cs="Times New Roman"/>
                <w:sz w:val="20"/>
                <w:szCs w:val="20"/>
                <w:lang w:val="fr-CA"/>
              </w:rPr>
            </w:pPr>
          </w:p>
        </w:tc>
        <w:tc>
          <w:tcPr>
            <w:tcW w:w="2330" w:type="pct"/>
          </w:tcPr>
          <w:p w:rsidR="00C8743C" w:rsidRPr="007858DA" w:rsidRDefault="00C8743C" w:rsidP="00D41649">
            <w:pPr>
              <w:jc w:val="both"/>
              <w:rPr>
                <w:rFonts w:eastAsia="Calibri" w:cs="Times New Roman"/>
                <w:sz w:val="20"/>
                <w:szCs w:val="20"/>
                <w:lang w:val="fr-CA"/>
              </w:rPr>
            </w:pPr>
            <w:r w:rsidRPr="007858DA">
              <w:rPr>
                <w:rFonts w:eastAsia="Calibri" w:cs="Times New Roman"/>
                <w:sz w:val="20"/>
                <w:szCs w:val="20"/>
                <w:lang w:val="fr-CA"/>
              </w:rPr>
              <w:t>Demande d'autorisation d'appel, déposée</w:t>
            </w:r>
          </w:p>
          <w:p w:rsidR="00C8743C" w:rsidRPr="007858DA" w:rsidRDefault="00C8743C" w:rsidP="00D41649">
            <w:pPr>
              <w:jc w:val="both"/>
              <w:rPr>
                <w:rFonts w:eastAsia="Calibri" w:cs="Times New Roman"/>
                <w:sz w:val="20"/>
                <w:szCs w:val="20"/>
                <w:lang w:val="fr-CA"/>
              </w:rPr>
            </w:pPr>
          </w:p>
        </w:tc>
      </w:tr>
    </w:tbl>
    <w:p w:rsidR="00C8743C" w:rsidRPr="007858DA" w:rsidRDefault="00C8743C" w:rsidP="00C8743C">
      <w:pPr>
        <w:rPr>
          <w:rFonts w:cs="Times New Roman"/>
          <w:sz w:val="20"/>
          <w:szCs w:val="20"/>
        </w:rPr>
      </w:pPr>
    </w:p>
    <w:p w:rsidR="00C8743C" w:rsidRPr="007858DA" w:rsidRDefault="00B74DD2" w:rsidP="00C8743C">
      <w:pPr>
        <w:rPr>
          <w:rFonts w:cs="Times New Roman"/>
          <w:sz w:val="20"/>
          <w:szCs w:val="20"/>
        </w:rPr>
      </w:pPr>
      <w:r w:rsidRPr="00B74DD2">
        <w:rPr>
          <w:rFonts w:cs="Times New Roman"/>
          <w:sz w:val="20"/>
          <w:szCs w:val="20"/>
          <w:lang w:val="fr-CA"/>
        </w:rPr>
        <w:pict>
          <v:rect id="_x0000_i1059" style="width:2in;height:1pt" o:hrpct="0" o:hralign="center" o:hrstd="t" o:hrnoshade="t" o:hr="t" fillcolor="black [3213]" stroked="f"/>
        </w:pict>
      </w:r>
    </w:p>
    <w:p w:rsidR="00C8743C" w:rsidRPr="007858DA" w:rsidRDefault="00C8743C" w:rsidP="00C8743C">
      <w:pPr>
        <w:rPr>
          <w:rFonts w:cs="Times New Roman"/>
          <w:sz w:val="20"/>
          <w:szCs w:val="20"/>
        </w:rPr>
      </w:pPr>
    </w:p>
    <w:p w:rsidR="00C8743C" w:rsidRPr="007858DA" w:rsidRDefault="00C8743C" w:rsidP="008D292F">
      <w:pPr>
        <w:rPr>
          <w:rFonts w:cs="Times New Roman"/>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4"/>
          <w:headerReference w:type="default" r:id="rId25"/>
          <w:footerReference w:type="even" r:id="rId26"/>
          <w:footerReference w:type="default" r:id="rId27"/>
          <w:headerReference w:type="first" r:id="rId28"/>
          <w:footerReference w:type="first" r:id="rId2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3971E9" w:rsidRPr="003971E9" w:rsidRDefault="003971E9" w:rsidP="003971E9">
      <w:pPr>
        <w:tabs>
          <w:tab w:val="left" w:pos="-1440"/>
          <w:tab w:val="left" w:pos="-720"/>
        </w:tabs>
        <w:jc w:val="both"/>
        <w:rPr>
          <w:rFonts w:eastAsia="Times New Roman" w:cs="Times New Roman"/>
          <w:sz w:val="20"/>
          <w:szCs w:val="20"/>
          <w:lang w:val="fr-CA" w:eastAsia="en-CA"/>
        </w:rPr>
      </w:pPr>
      <w:r w:rsidRPr="003971E9">
        <w:rPr>
          <w:rFonts w:eastAsia="Times New Roman" w:cs="Times New Roman"/>
          <w:sz w:val="20"/>
          <w:szCs w:val="20"/>
          <w:lang w:val="fr-CA" w:eastAsia="en-CA"/>
        </w:rPr>
        <w:t>21.03.2013</w:t>
      </w:r>
    </w:p>
    <w:p w:rsidR="003971E9" w:rsidRPr="003971E9" w:rsidRDefault="003971E9" w:rsidP="003971E9">
      <w:pPr>
        <w:tabs>
          <w:tab w:val="left" w:pos="-1440"/>
          <w:tab w:val="left" w:pos="-720"/>
        </w:tabs>
        <w:jc w:val="both"/>
        <w:rPr>
          <w:rFonts w:eastAsia="Times New Roman" w:cs="Times New Roman"/>
          <w:sz w:val="20"/>
          <w:szCs w:val="20"/>
          <w:lang w:val="fr-CA" w:eastAsia="en-CA"/>
        </w:rPr>
      </w:pPr>
    </w:p>
    <w:p w:rsidR="003971E9" w:rsidRPr="003971E9" w:rsidRDefault="003971E9" w:rsidP="003971E9">
      <w:pPr>
        <w:tabs>
          <w:tab w:val="left" w:pos="-1440"/>
          <w:tab w:val="left" w:pos="-720"/>
        </w:tabs>
        <w:jc w:val="both"/>
        <w:rPr>
          <w:rFonts w:eastAsia="Times New Roman" w:cs="Times New Roman"/>
          <w:sz w:val="20"/>
          <w:szCs w:val="20"/>
          <w:lang w:val="fr-CA" w:eastAsia="en-CA"/>
        </w:rPr>
      </w:pPr>
      <w:r w:rsidRPr="003971E9">
        <w:rPr>
          <w:rFonts w:eastAsia="Times New Roman" w:cs="Times New Roman"/>
          <w:sz w:val="20"/>
          <w:szCs w:val="20"/>
          <w:lang w:val="fr-CA" w:eastAsia="en-CA"/>
        </w:rPr>
        <w:t>Before / Devant :   FISH J. / LE JUGE FISH</w:t>
      </w:r>
    </w:p>
    <w:p w:rsidR="003971E9" w:rsidRPr="003971E9" w:rsidRDefault="003971E9" w:rsidP="003971E9">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3971E9" w:rsidRPr="00C4248C" w:rsidTr="00081392">
        <w:tc>
          <w:tcPr>
            <w:tcW w:w="4338" w:type="dxa"/>
            <w:gridSpan w:val="2"/>
          </w:tcPr>
          <w:p w:rsidR="003971E9" w:rsidRPr="003971E9" w:rsidRDefault="003971E9" w:rsidP="003971E9">
            <w:pPr>
              <w:jc w:val="both"/>
              <w:rPr>
                <w:b/>
              </w:rPr>
            </w:pPr>
            <w:r w:rsidRPr="003971E9">
              <w:rPr>
                <w:b/>
                <w:lang w:val="en-US"/>
              </w:rPr>
              <w:t xml:space="preserve">Order on intervention with respect to oral argument </w:t>
            </w:r>
            <w:r w:rsidR="00B74DD2" w:rsidRPr="003971E9">
              <w:rPr>
                <w:b/>
                <w:lang w:val="en-US"/>
              </w:rPr>
              <w:fldChar w:fldCharType="begin"/>
            </w:r>
            <w:r w:rsidRPr="003971E9">
              <w:rPr>
                <w:b/>
              </w:rPr>
              <w:instrText xml:space="preserve"> SEQ CHAPTER \h \r 1</w:instrText>
            </w:r>
            <w:r w:rsidR="00B74DD2" w:rsidRPr="003971E9">
              <w:rPr>
                <w:b/>
                <w:lang w:val="en-US"/>
              </w:rPr>
              <w:fldChar w:fldCharType="end"/>
            </w:r>
          </w:p>
        </w:tc>
        <w:tc>
          <w:tcPr>
            <w:tcW w:w="1170" w:type="dxa"/>
          </w:tcPr>
          <w:p w:rsidR="003971E9" w:rsidRPr="003971E9" w:rsidRDefault="003971E9" w:rsidP="003971E9"/>
          <w:p w:rsidR="003971E9" w:rsidRPr="003971E9" w:rsidRDefault="003971E9" w:rsidP="003971E9"/>
          <w:p w:rsidR="003971E9" w:rsidRPr="003971E9" w:rsidRDefault="003971E9" w:rsidP="003971E9"/>
        </w:tc>
        <w:tc>
          <w:tcPr>
            <w:tcW w:w="4327" w:type="dxa"/>
          </w:tcPr>
          <w:p w:rsidR="003971E9" w:rsidRPr="003971E9" w:rsidRDefault="003971E9" w:rsidP="003971E9">
            <w:pPr>
              <w:jc w:val="both"/>
              <w:rPr>
                <w:b/>
                <w:lang w:val="fr-CA"/>
              </w:rPr>
            </w:pPr>
            <w:r w:rsidRPr="003971E9">
              <w:rPr>
                <w:b/>
                <w:lang w:val="fr-CA"/>
              </w:rPr>
              <w:t>Ordonnance relative à la présentation d’une plaidoirie orale par l’intervenant</w:t>
            </w:r>
            <w:r w:rsidR="00B74DD2" w:rsidRPr="003971E9">
              <w:rPr>
                <w:b/>
                <w:lang w:val="en-US"/>
              </w:rPr>
              <w:fldChar w:fldCharType="begin"/>
            </w:r>
            <w:r w:rsidRPr="003971E9">
              <w:rPr>
                <w:b/>
                <w:lang w:val="fr-CA"/>
              </w:rPr>
              <w:instrText xml:space="preserve"> SEQ CHAPTER \h \r 1</w:instrText>
            </w:r>
            <w:r w:rsidR="00B74DD2" w:rsidRPr="003971E9">
              <w:rPr>
                <w:b/>
                <w:lang w:val="en-US"/>
              </w:rPr>
              <w:fldChar w:fldCharType="end"/>
            </w:r>
          </w:p>
        </w:tc>
      </w:tr>
      <w:tr w:rsidR="003971E9" w:rsidRPr="003971E9" w:rsidTr="00081392">
        <w:tc>
          <w:tcPr>
            <w:tcW w:w="1368" w:type="dxa"/>
          </w:tcPr>
          <w:p w:rsidR="003971E9" w:rsidRPr="003971E9" w:rsidRDefault="003971E9" w:rsidP="003971E9">
            <w:r w:rsidRPr="003971E9">
              <w:t>RE:</w:t>
            </w:r>
          </w:p>
        </w:tc>
        <w:tc>
          <w:tcPr>
            <w:tcW w:w="2970" w:type="dxa"/>
          </w:tcPr>
          <w:p w:rsidR="003971E9" w:rsidRPr="003971E9" w:rsidRDefault="003971E9" w:rsidP="003971E9">
            <w:pPr>
              <w:rPr>
                <w:lang w:val="fr-CA"/>
              </w:rPr>
            </w:pPr>
            <w:r w:rsidRPr="003971E9">
              <w:rPr>
                <w:lang w:val="fr-CA"/>
              </w:rPr>
              <w:t xml:space="preserve">Attorney General of Canada </w:t>
            </w:r>
          </w:p>
        </w:tc>
        <w:tc>
          <w:tcPr>
            <w:tcW w:w="1170" w:type="dxa"/>
          </w:tcPr>
          <w:p w:rsidR="003971E9" w:rsidRPr="003971E9" w:rsidRDefault="003971E9" w:rsidP="003971E9">
            <w:pPr>
              <w:rPr>
                <w:lang w:val="fr-CA"/>
              </w:rPr>
            </w:pPr>
          </w:p>
        </w:tc>
        <w:tc>
          <w:tcPr>
            <w:tcW w:w="4327" w:type="dxa"/>
          </w:tcPr>
          <w:p w:rsidR="003971E9" w:rsidRPr="003971E9" w:rsidRDefault="003971E9" w:rsidP="003971E9">
            <w:pPr>
              <w:rPr>
                <w:lang w:val="fr-CA"/>
              </w:rPr>
            </w:pPr>
          </w:p>
        </w:tc>
      </w:tr>
      <w:tr w:rsidR="003971E9" w:rsidRPr="003971E9" w:rsidTr="00081392">
        <w:tc>
          <w:tcPr>
            <w:tcW w:w="1368" w:type="dxa"/>
          </w:tcPr>
          <w:p w:rsidR="003971E9" w:rsidRPr="003971E9" w:rsidRDefault="003971E9" w:rsidP="003971E9">
            <w:pPr>
              <w:rPr>
                <w:lang w:val="fr-CA"/>
              </w:rPr>
            </w:pPr>
          </w:p>
        </w:tc>
        <w:tc>
          <w:tcPr>
            <w:tcW w:w="2970" w:type="dxa"/>
          </w:tcPr>
          <w:p w:rsidR="003971E9" w:rsidRPr="003971E9" w:rsidRDefault="003971E9" w:rsidP="003971E9">
            <w:pPr>
              <w:rPr>
                <w:lang w:val="fr-CA"/>
              </w:rPr>
            </w:pPr>
          </w:p>
        </w:tc>
        <w:tc>
          <w:tcPr>
            <w:tcW w:w="1170" w:type="dxa"/>
          </w:tcPr>
          <w:p w:rsidR="003971E9" w:rsidRPr="003971E9" w:rsidRDefault="003971E9" w:rsidP="003971E9">
            <w:pPr>
              <w:rPr>
                <w:lang w:val="fr-CA"/>
              </w:rPr>
            </w:pPr>
          </w:p>
        </w:tc>
        <w:tc>
          <w:tcPr>
            <w:tcW w:w="4327" w:type="dxa"/>
          </w:tcPr>
          <w:p w:rsidR="003971E9" w:rsidRPr="003971E9" w:rsidRDefault="003971E9" w:rsidP="003971E9">
            <w:pPr>
              <w:rPr>
                <w:lang w:val="fr-CA"/>
              </w:rPr>
            </w:pPr>
          </w:p>
        </w:tc>
      </w:tr>
      <w:tr w:rsidR="003971E9" w:rsidRPr="003971E9" w:rsidTr="00081392">
        <w:tc>
          <w:tcPr>
            <w:tcW w:w="1368" w:type="dxa"/>
          </w:tcPr>
          <w:p w:rsidR="003971E9" w:rsidRPr="003971E9" w:rsidRDefault="003971E9" w:rsidP="003971E9">
            <w:r w:rsidRPr="003971E9">
              <w:t>IN / DANS :</w:t>
            </w:r>
          </w:p>
        </w:tc>
        <w:tc>
          <w:tcPr>
            <w:tcW w:w="2970" w:type="dxa"/>
          </w:tcPr>
          <w:p w:rsidR="003971E9" w:rsidRPr="003971E9" w:rsidRDefault="003971E9" w:rsidP="003971E9">
            <w:pPr>
              <w:rPr>
                <w:lang w:val="en-US"/>
              </w:rPr>
            </w:pPr>
            <w:r w:rsidRPr="003971E9">
              <w:rPr>
                <w:lang w:val="en-US"/>
              </w:rPr>
              <w:t>Her Majesty the Queen</w:t>
            </w:r>
          </w:p>
          <w:p w:rsidR="003971E9" w:rsidRPr="003971E9" w:rsidRDefault="003971E9" w:rsidP="003971E9">
            <w:pPr>
              <w:rPr>
                <w:lang w:val="en-US"/>
              </w:rPr>
            </w:pPr>
          </w:p>
          <w:p w:rsidR="003971E9" w:rsidRPr="003971E9" w:rsidRDefault="003971E9" w:rsidP="003971E9">
            <w:pPr>
              <w:rPr>
                <w:lang w:val="en-US"/>
              </w:rPr>
            </w:pPr>
            <w:r w:rsidRPr="003971E9">
              <w:rPr>
                <w:lang w:val="en-US"/>
              </w:rPr>
              <w:tab/>
              <w:t>v. (34650)</w:t>
            </w:r>
          </w:p>
          <w:p w:rsidR="003971E9" w:rsidRPr="003971E9" w:rsidRDefault="003971E9" w:rsidP="003971E9">
            <w:pPr>
              <w:rPr>
                <w:lang w:val="en-US"/>
              </w:rPr>
            </w:pPr>
          </w:p>
          <w:p w:rsidR="003971E9" w:rsidRPr="003971E9" w:rsidRDefault="003971E9" w:rsidP="003971E9">
            <w:pPr>
              <w:rPr>
                <w:lang w:val="en-US"/>
              </w:rPr>
            </w:pPr>
            <w:r w:rsidRPr="003971E9">
              <w:rPr>
                <w:lang w:val="en-US"/>
              </w:rPr>
              <w:t>Ernest Fenwick MacIntosh (Crim.) (N.S.)</w:t>
            </w:r>
          </w:p>
        </w:tc>
        <w:tc>
          <w:tcPr>
            <w:tcW w:w="1170" w:type="dxa"/>
          </w:tcPr>
          <w:p w:rsidR="003971E9" w:rsidRPr="003971E9" w:rsidRDefault="003971E9" w:rsidP="003971E9">
            <w:pPr>
              <w:rPr>
                <w:lang w:val="en-US"/>
              </w:rPr>
            </w:pPr>
          </w:p>
        </w:tc>
        <w:tc>
          <w:tcPr>
            <w:tcW w:w="4327" w:type="dxa"/>
          </w:tcPr>
          <w:p w:rsidR="003971E9" w:rsidRPr="003971E9" w:rsidRDefault="003971E9" w:rsidP="003971E9">
            <w:pPr>
              <w:rPr>
                <w:lang w:val="en-US"/>
              </w:rPr>
            </w:pPr>
          </w:p>
        </w:tc>
      </w:tr>
    </w:tbl>
    <w:p w:rsidR="003971E9" w:rsidRPr="003971E9" w:rsidRDefault="003971E9" w:rsidP="003971E9">
      <w:pPr>
        <w:tabs>
          <w:tab w:val="left" w:pos="-1440"/>
          <w:tab w:val="left" w:pos="-720"/>
        </w:tabs>
        <w:jc w:val="both"/>
        <w:rPr>
          <w:rFonts w:eastAsia="Times New Roman" w:cs="Times New Roman"/>
          <w:sz w:val="20"/>
          <w:szCs w:val="20"/>
          <w:lang w:val="en-US" w:eastAsia="en-CA"/>
        </w:rPr>
      </w:pPr>
    </w:p>
    <w:p w:rsidR="003971E9" w:rsidRPr="003971E9" w:rsidRDefault="003971E9" w:rsidP="003971E9">
      <w:pPr>
        <w:widowControl w:val="0"/>
        <w:autoSpaceDE w:val="0"/>
        <w:autoSpaceDN w:val="0"/>
        <w:adjustRightInd w:val="0"/>
        <w:spacing w:line="230" w:lineRule="auto"/>
        <w:jc w:val="both"/>
        <w:rPr>
          <w:rFonts w:eastAsiaTheme="minorEastAsia" w:cs="Times New Roman"/>
          <w:sz w:val="20"/>
          <w:szCs w:val="20"/>
          <w:lang w:val="en-US"/>
        </w:rPr>
      </w:pPr>
      <w:r w:rsidRPr="003971E9">
        <w:rPr>
          <w:rFonts w:eastAsiaTheme="minorEastAsia" w:cs="Times New Roman"/>
          <w:b/>
          <w:bCs/>
          <w:sz w:val="20"/>
          <w:szCs w:val="20"/>
          <w:lang w:val="en-US"/>
        </w:rPr>
        <w:t>FURTHER TO THE ORDER</w:t>
      </w:r>
      <w:r w:rsidRPr="003971E9">
        <w:rPr>
          <w:rFonts w:eastAsiaTheme="minorEastAsia" w:cs="Times New Roman"/>
          <w:sz w:val="20"/>
          <w:szCs w:val="20"/>
          <w:lang w:val="en-US"/>
        </w:rPr>
        <w:t xml:space="preserve"> dated January 23, 2013, granting leave to intervene to the </w:t>
      </w:r>
      <w:r w:rsidRPr="003971E9">
        <w:rPr>
          <w:rFonts w:eastAsiaTheme="minorEastAsia" w:cs="Times New Roman"/>
          <w:sz w:val="20"/>
          <w:szCs w:val="20"/>
        </w:rPr>
        <w:t>Attorney General of Canada</w:t>
      </w:r>
      <w:r w:rsidRPr="003971E9">
        <w:rPr>
          <w:rFonts w:eastAsiaTheme="minorEastAsia" w:cs="Times New Roman"/>
          <w:sz w:val="20"/>
          <w:szCs w:val="20"/>
          <w:lang w:val="en-US"/>
        </w:rPr>
        <w:t>;</w:t>
      </w:r>
    </w:p>
    <w:p w:rsidR="003971E9" w:rsidRPr="003971E9" w:rsidRDefault="003971E9" w:rsidP="003971E9">
      <w:pPr>
        <w:widowControl w:val="0"/>
        <w:autoSpaceDE w:val="0"/>
        <w:autoSpaceDN w:val="0"/>
        <w:adjustRightInd w:val="0"/>
        <w:spacing w:line="230" w:lineRule="auto"/>
        <w:jc w:val="both"/>
        <w:rPr>
          <w:rFonts w:eastAsiaTheme="minorEastAsia" w:cs="Times New Roman"/>
          <w:sz w:val="20"/>
          <w:szCs w:val="20"/>
          <w:lang w:val="en-US"/>
        </w:rPr>
      </w:pPr>
    </w:p>
    <w:p w:rsidR="003971E9" w:rsidRPr="003971E9" w:rsidRDefault="003971E9" w:rsidP="003971E9">
      <w:pPr>
        <w:widowControl w:val="0"/>
        <w:autoSpaceDE w:val="0"/>
        <w:autoSpaceDN w:val="0"/>
        <w:adjustRightInd w:val="0"/>
        <w:spacing w:line="230" w:lineRule="auto"/>
        <w:jc w:val="both"/>
        <w:rPr>
          <w:rFonts w:eastAsiaTheme="minorEastAsia" w:cs="Times New Roman"/>
          <w:sz w:val="20"/>
          <w:szCs w:val="20"/>
          <w:lang w:val="en-US"/>
        </w:rPr>
      </w:pPr>
      <w:r w:rsidRPr="003971E9">
        <w:rPr>
          <w:rFonts w:eastAsiaTheme="minorEastAsia" w:cs="Times New Roman"/>
          <w:b/>
          <w:bCs/>
          <w:sz w:val="20"/>
          <w:szCs w:val="20"/>
          <w:lang w:val="en-US"/>
        </w:rPr>
        <w:t xml:space="preserve">IT IS HEREBY FURTHER ORDERED THAT </w:t>
      </w:r>
      <w:r w:rsidRPr="003971E9">
        <w:rPr>
          <w:rFonts w:eastAsiaTheme="minorEastAsia" w:cs="Times New Roman"/>
          <w:sz w:val="20"/>
          <w:szCs w:val="20"/>
          <w:lang w:val="en-US"/>
        </w:rPr>
        <w:t>the said intervener is granted permission to present oral argument not exceeding ten (10) minutes at the hearing of the appeal.</w:t>
      </w:r>
    </w:p>
    <w:p w:rsidR="003971E9" w:rsidRPr="003971E9" w:rsidRDefault="003971E9" w:rsidP="003971E9">
      <w:pPr>
        <w:widowControl w:val="0"/>
        <w:autoSpaceDE w:val="0"/>
        <w:autoSpaceDN w:val="0"/>
        <w:adjustRightInd w:val="0"/>
        <w:spacing w:line="230" w:lineRule="auto"/>
        <w:jc w:val="both"/>
        <w:rPr>
          <w:rFonts w:eastAsiaTheme="minorEastAsia" w:cs="Times New Roman"/>
          <w:sz w:val="20"/>
          <w:szCs w:val="20"/>
          <w:lang w:val="en-US"/>
        </w:rPr>
      </w:pPr>
    </w:p>
    <w:p w:rsidR="003971E9" w:rsidRPr="003971E9" w:rsidRDefault="003971E9" w:rsidP="003971E9">
      <w:pPr>
        <w:widowControl w:val="0"/>
        <w:autoSpaceDE w:val="0"/>
        <w:autoSpaceDN w:val="0"/>
        <w:adjustRightInd w:val="0"/>
        <w:spacing w:line="230" w:lineRule="auto"/>
        <w:jc w:val="both"/>
        <w:rPr>
          <w:rFonts w:eastAsiaTheme="minorEastAsia" w:cs="Times New Roman"/>
          <w:sz w:val="20"/>
          <w:szCs w:val="20"/>
          <w:lang w:val="en-US"/>
        </w:rPr>
      </w:pPr>
    </w:p>
    <w:p w:rsidR="003971E9" w:rsidRPr="003971E9" w:rsidRDefault="003971E9" w:rsidP="003971E9">
      <w:pPr>
        <w:widowControl w:val="0"/>
        <w:autoSpaceDE w:val="0"/>
        <w:autoSpaceDN w:val="0"/>
        <w:adjustRightInd w:val="0"/>
        <w:spacing w:line="233" w:lineRule="auto"/>
        <w:jc w:val="both"/>
        <w:rPr>
          <w:rFonts w:eastAsiaTheme="minorEastAsia" w:cs="Times New Roman"/>
          <w:sz w:val="20"/>
          <w:szCs w:val="20"/>
          <w:lang w:val="en-US"/>
        </w:rPr>
      </w:pPr>
    </w:p>
    <w:p w:rsidR="003971E9" w:rsidRPr="003971E9" w:rsidRDefault="003971E9" w:rsidP="003971E9">
      <w:pPr>
        <w:widowControl w:val="0"/>
        <w:autoSpaceDE w:val="0"/>
        <w:autoSpaceDN w:val="0"/>
        <w:adjustRightInd w:val="0"/>
        <w:spacing w:line="230" w:lineRule="auto"/>
        <w:jc w:val="both"/>
        <w:rPr>
          <w:rFonts w:eastAsiaTheme="minorEastAsia" w:cs="Times New Roman"/>
          <w:sz w:val="20"/>
          <w:szCs w:val="20"/>
          <w:lang w:val="fr-CA"/>
        </w:rPr>
      </w:pPr>
      <w:r w:rsidRPr="003971E9">
        <w:rPr>
          <w:rFonts w:eastAsiaTheme="minorEastAsia" w:cs="Times New Roman"/>
          <w:b/>
          <w:bCs/>
          <w:sz w:val="20"/>
          <w:szCs w:val="20"/>
          <w:lang w:val="fr-CA"/>
        </w:rPr>
        <w:t xml:space="preserve">À LA SUITE DE L’ORDONNANCE </w:t>
      </w:r>
      <w:r w:rsidRPr="003971E9">
        <w:rPr>
          <w:rFonts w:eastAsiaTheme="minorEastAsia" w:cs="Times New Roman"/>
          <w:bCs/>
          <w:sz w:val="20"/>
          <w:szCs w:val="20"/>
          <w:lang w:val="fr-CA"/>
        </w:rPr>
        <w:t xml:space="preserve">datée du 23 janvier 2013 autorisant le procureur général du Canada à intervenir; </w:t>
      </w:r>
    </w:p>
    <w:p w:rsidR="003971E9" w:rsidRPr="003971E9" w:rsidRDefault="003971E9" w:rsidP="003971E9">
      <w:pPr>
        <w:widowControl w:val="0"/>
        <w:autoSpaceDE w:val="0"/>
        <w:autoSpaceDN w:val="0"/>
        <w:adjustRightInd w:val="0"/>
        <w:spacing w:line="230" w:lineRule="auto"/>
        <w:jc w:val="both"/>
        <w:rPr>
          <w:rFonts w:eastAsiaTheme="minorEastAsia" w:cs="Times New Roman"/>
          <w:sz w:val="20"/>
          <w:szCs w:val="20"/>
          <w:lang w:val="fr-CA"/>
        </w:rPr>
      </w:pPr>
    </w:p>
    <w:p w:rsidR="003971E9" w:rsidRPr="003971E9" w:rsidRDefault="003971E9" w:rsidP="003971E9">
      <w:pPr>
        <w:widowControl w:val="0"/>
        <w:autoSpaceDE w:val="0"/>
        <w:autoSpaceDN w:val="0"/>
        <w:adjustRightInd w:val="0"/>
        <w:spacing w:line="230" w:lineRule="auto"/>
        <w:jc w:val="both"/>
        <w:rPr>
          <w:rFonts w:eastAsiaTheme="minorEastAsia" w:cs="Times New Roman"/>
          <w:bCs/>
          <w:sz w:val="20"/>
          <w:szCs w:val="20"/>
          <w:lang w:val="fr-FR"/>
        </w:rPr>
      </w:pPr>
      <w:r w:rsidRPr="003971E9">
        <w:rPr>
          <w:rFonts w:eastAsiaTheme="minorEastAsia" w:cs="Times New Roman"/>
          <w:b/>
          <w:bCs/>
          <w:sz w:val="20"/>
          <w:szCs w:val="20"/>
          <w:lang w:val="fr-FR"/>
        </w:rPr>
        <w:t xml:space="preserve">IL EST EN OUTRE ORDONNÉ QUE </w:t>
      </w:r>
      <w:r w:rsidRPr="003971E9">
        <w:rPr>
          <w:rFonts w:eastAsiaTheme="minorEastAsia" w:cs="Times New Roman"/>
          <w:bCs/>
          <w:sz w:val="20"/>
          <w:szCs w:val="20"/>
          <w:lang w:val="fr-FR"/>
        </w:rPr>
        <w:t xml:space="preserve">cet intervenant pourra présenter une plaidoirie orale d’au plus dix (10) minutes lors de l’audition de l’appel. </w:t>
      </w:r>
    </w:p>
    <w:p w:rsidR="003971E9" w:rsidRPr="003971E9" w:rsidRDefault="003971E9" w:rsidP="003971E9">
      <w:pPr>
        <w:widowControl w:val="0"/>
        <w:autoSpaceDE w:val="0"/>
        <w:autoSpaceDN w:val="0"/>
        <w:adjustRightInd w:val="0"/>
        <w:spacing w:line="230" w:lineRule="auto"/>
        <w:jc w:val="both"/>
        <w:rPr>
          <w:rFonts w:eastAsiaTheme="minorEastAsia" w:cs="Times New Roman"/>
          <w:sz w:val="20"/>
          <w:szCs w:val="20"/>
          <w:lang w:val="fr-CA"/>
        </w:rPr>
      </w:pPr>
    </w:p>
    <w:p w:rsidR="003971E9" w:rsidRPr="003971E9" w:rsidRDefault="00B74DD2" w:rsidP="003971E9">
      <w:pPr>
        <w:tabs>
          <w:tab w:val="left" w:pos="-1440"/>
          <w:tab w:val="left" w:pos="-720"/>
        </w:tabs>
        <w:jc w:val="both"/>
        <w:rPr>
          <w:rFonts w:eastAsia="Times New Roman" w:cs="Times New Roman"/>
          <w:sz w:val="20"/>
          <w:szCs w:val="20"/>
          <w:lang w:val="fr-CA" w:eastAsia="en-CA"/>
        </w:rPr>
      </w:pPr>
      <w:r w:rsidRPr="00B74DD2">
        <w:rPr>
          <w:rFonts w:eastAsia="Times New Roman" w:cs="Times New Roman"/>
          <w:sz w:val="20"/>
          <w:szCs w:val="20"/>
          <w:lang w:val="fr-CA" w:eastAsia="en-CA"/>
        </w:rPr>
        <w:pict>
          <v:rect id="_x0000_i1062" style="width:2in;height:1pt" o:hrpct="0" o:hralign="center" o:hrstd="t" o:hrnoshade="t" o:hr="t" fillcolor="black [3213]" stroked="f"/>
        </w:pict>
      </w:r>
    </w:p>
    <w:p w:rsidR="003971E9" w:rsidRPr="003971E9" w:rsidRDefault="003971E9" w:rsidP="003971E9">
      <w:pPr>
        <w:tabs>
          <w:tab w:val="left" w:pos="-1440"/>
          <w:tab w:val="left" w:pos="-720"/>
        </w:tabs>
        <w:jc w:val="both"/>
        <w:rPr>
          <w:rFonts w:eastAsia="Times New Roman" w:cs="Times New Roman"/>
          <w:sz w:val="20"/>
          <w:szCs w:val="20"/>
          <w:lang w:val="fr-CA" w:eastAsia="en-CA"/>
        </w:rPr>
      </w:pPr>
    </w:p>
    <w:p w:rsidR="003971E9" w:rsidRPr="003971E9" w:rsidRDefault="003971E9" w:rsidP="003971E9">
      <w:pPr>
        <w:tabs>
          <w:tab w:val="left" w:pos="-1440"/>
          <w:tab w:val="left" w:pos="-720"/>
        </w:tabs>
        <w:jc w:val="both"/>
        <w:rPr>
          <w:rFonts w:eastAsia="Times New Roman" w:cs="Times New Roman"/>
          <w:sz w:val="20"/>
          <w:szCs w:val="20"/>
          <w:lang w:val="fr-CA" w:eastAsia="en-CA"/>
        </w:rPr>
      </w:pPr>
      <w:r w:rsidRPr="003971E9">
        <w:rPr>
          <w:rFonts w:eastAsia="Times New Roman" w:cs="Times New Roman"/>
          <w:sz w:val="20"/>
          <w:szCs w:val="20"/>
          <w:lang w:val="fr-CA" w:eastAsia="en-CA"/>
        </w:rPr>
        <w:t>26.03.2013</w:t>
      </w:r>
    </w:p>
    <w:p w:rsidR="003971E9" w:rsidRPr="003971E9" w:rsidRDefault="003971E9" w:rsidP="003971E9">
      <w:pPr>
        <w:tabs>
          <w:tab w:val="left" w:pos="-1440"/>
          <w:tab w:val="left" w:pos="-720"/>
        </w:tabs>
        <w:jc w:val="both"/>
        <w:rPr>
          <w:rFonts w:eastAsia="Times New Roman" w:cs="Times New Roman"/>
          <w:sz w:val="20"/>
          <w:szCs w:val="20"/>
          <w:lang w:val="fr-CA" w:eastAsia="en-CA"/>
        </w:rPr>
      </w:pPr>
    </w:p>
    <w:p w:rsidR="003971E9" w:rsidRPr="003971E9" w:rsidRDefault="003971E9" w:rsidP="003971E9">
      <w:pPr>
        <w:tabs>
          <w:tab w:val="left" w:pos="-1440"/>
          <w:tab w:val="left" w:pos="-720"/>
        </w:tabs>
        <w:jc w:val="both"/>
        <w:rPr>
          <w:rFonts w:eastAsia="Times New Roman" w:cs="Times New Roman"/>
          <w:sz w:val="20"/>
          <w:szCs w:val="20"/>
          <w:lang w:val="fr-CA" w:eastAsia="en-CA"/>
        </w:rPr>
      </w:pPr>
      <w:r w:rsidRPr="003971E9">
        <w:rPr>
          <w:rFonts w:eastAsia="Times New Roman" w:cs="Times New Roman"/>
          <w:sz w:val="20"/>
          <w:szCs w:val="20"/>
          <w:lang w:val="fr-CA" w:eastAsia="en-CA"/>
        </w:rPr>
        <w:t>Before / Devant :   ROTHSTEIN J. / LE JUGE ROTHSTEIN</w:t>
      </w:r>
    </w:p>
    <w:p w:rsidR="003971E9" w:rsidRPr="003971E9" w:rsidRDefault="003971E9" w:rsidP="003971E9">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3971E9" w:rsidRPr="00C4248C" w:rsidTr="00081392">
        <w:tc>
          <w:tcPr>
            <w:tcW w:w="4338" w:type="dxa"/>
            <w:gridSpan w:val="2"/>
          </w:tcPr>
          <w:p w:rsidR="003971E9" w:rsidRPr="003971E9" w:rsidRDefault="003971E9" w:rsidP="003971E9">
            <w:pPr>
              <w:jc w:val="both"/>
              <w:rPr>
                <w:b/>
              </w:rPr>
            </w:pPr>
            <w:r w:rsidRPr="003971E9">
              <w:rPr>
                <w:b/>
                <w:lang w:val="en-US"/>
              </w:rPr>
              <w:t xml:space="preserve">Order on interventions with respect to oral argument </w:t>
            </w:r>
            <w:r w:rsidR="00B74DD2" w:rsidRPr="003971E9">
              <w:rPr>
                <w:b/>
                <w:lang w:val="en-US"/>
              </w:rPr>
              <w:fldChar w:fldCharType="begin"/>
            </w:r>
            <w:r w:rsidRPr="003971E9">
              <w:rPr>
                <w:b/>
              </w:rPr>
              <w:instrText xml:space="preserve"> SEQ CHAPTER \h \r 1</w:instrText>
            </w:r>
            <w:r w:rsidR="00B74DD2" w:rsidRPr="003971E9">
              <w:rPr>
                <w:b/>
                <w:lang w:val="en-US"/>
              </w:rPr>
              <w:fldChar w:fldCharType="end"/>
            </w:r>
          </w:p>
        </w:tc>
        <w:tc>
          <w:tcPr>
            <w:tcW w:w="1170" w:type="dxa"/>
          </w:tcPr>
          <w:p w:rsidR="003971E9" w:rsidRPr="003971E9" w:rsidRDefault="003971E9" w:rsidP="003971E9"/>
          <w:p w:rsidR="003971E9" w:rsidRPr="003971E9" w:rsidRDefault="003971E9" w:rsidP="003971E9"/>
          <w:p w:rsidR="003971E9" w:rsidRPr="003971E9" w:rsidRDefault="003971E9" w:rsidP="003971E9"/>
        </w:tc>
        <w:tc>
          <w:tcPr>
            <w:tcW w:w="4327" w:type="dxa"/>
          </w:tcPr>
          <w:p w:rsidR="003971E9" w:rsidRPr="003971E9" w:rsidRDefault="003971E9" w:rsidP="003971E9">
            <w:pPr>
              <w:jc w:val="both"/>
              <w:rPr>
                <w:b/>
                <w:lang w:val="fr-CA"/>
              </w:rPr>
            </w:pPr>
            <w:r w:rsidRPr="003971E9">
              <w:rPr>
                <w:b/>
                <w:lang w:val="fr-CA"/>
              </w:rPr>
              <w:t>Ordonnance relative à la présentation d’une plaidoirie orale par les intervenants</w:t>
            </w:r>
            <w:r w:rsidR="00B74DD2" w:rsidRPr="003971E9">
              <w:rPr>
                <w:b/>
                <w:lang w:val="en-US"/>
              </w:rPr>
              <w:fldChar w:fldCharType="begin"/>
            </w:r>
            <w:r w:rsidRPr="003971E9">
              <w:rPr>
                <w:b/>
                <w:lang w:val="fr-CA"/>
              </w:rPr>
              <w:instrText xml:space="preserve"> SEQ CHAPTER \h \r 1</w:instrText>
            </w:r>
            <w:r w:rsidR="00B74DD2" w:rsidRPr="003971E9">
              <w:rPr>
                <w:b/>
                <w:lang w:val="en-US"/>
              </w:rPr>
              <w:fldChar w:fldCharType="end"/>
            </w:r>
          </w:p>
        </w:tc>
      </w:tr>
      <w:tr w:rsidR="003971E9" w:rsidRPr="003971E9" w:rsidTr="00081392">
        <w:tc>
          <w:tcPr>
            <w:tcW w:w="1368" w:type="dxa"/>
          </w:tcPr>
          <w:p w:rsidR="003971E9" w:rsidRPr="003971E9" w:rsidRDefault="003971E9" w:rsidP="003971E9">
            <w:r w:rsidRPr="003971E9">
              <w:t>RE:</w:t>
            </w:r>
          </w:p>
        </w:tc>
        <w:tc>
          <w:tcPr>
            <w:tcW w:w="2970" w:type="dxa"/>
          </w:tcPr>
          <w:p w:rsidR="003971E9" w:rsidRPr="003971E9" w:rsidRDefault="003971E9" w:rsidP="003971E9">
            <w:r w:rsidRPr="003971E9">
              <w:rPr>
                <w:lang w:val="fr-CA"/>
              </w:rPr>
              <w:t>Procureur général de l'Ontario</w:t>
            </w:r>
            <w:r w:rsidRPr="003971E9">
              <w:rPr>
                <w:lang w:val="en-US"/>
              </w:rPr>
              <w:t>;</w:t>
            </w:r>
          </w:p>
        </w:tc>
        <w:tc>
          <w:tcPr>
            <w:tcW w:w="1170" w:type="dxa"/>
          </w:tcPr>
          <w:p w:rsidR="003971E9" w:rsidRPr="003971E9" w:rsidRDefault="003971E9" w:rsidP="003971E9"/>
        </w:tc>
        <w:tc>
          <w:tcPr>
            <w:tcW w:w="4327" w:type="dxa"/>
          </w:tcPr>
          <w:p w:rsidR="003971E9" w:rsidRPr="003971E9" w:rsidRDefault="003971E9" w:rsidP="003971E9"/>
        </w:tc>
      </w:tr>
      <w:tr w:rsidR="003971E9" w:rsidRPr="00C4248C" w:rsidTr="00081392">
        <w:tc>
          <w:tcPr>
            <w:tcW w:w="1368" w:type="dxa"/>
          </w:tcPr>
          <w:p w:rsidR="003971E9" w:rsidRPr="003971E9" w:rsidRDefault="003971E9" w:rsidP="003971E9"/>
        </w:tc>
        <w:tc>
          <w:tcPr>
            <w:tcW w:w="2970" w:type="dxa"/>
          </w:tcPr>
          <w:p w:rsidR="003971E9" w:rsidRPr="003971E9" w:rsidRDefault="003971E9" w:rsidP="003971E9">
            <w:pPr>
              <w:rPr>
                <w:lang w:val="fr-CA"/>
              </w:rPr>
            </w:pPr>
            <w:r w:rsidRPr="003971E9">
              <w:rPr>
                <w:lang w:val="fr-CA"/>
              </w:rPr>
              <w:t>Commissaire aux langues officielles du Canada;</w:t>
            </w:r>
          </w:p>
        </w:tc>
        <w:tc>
          <w:tcPr>
            <w:tcW w:w="1170" w:type="dxa"/>
          </w:tcPr>
          <w:p w:rsidR="003971E9" w:rsidRPr="003971E9" w:rsidRDefault="003971E9" w:rsidP="003971E9">
            <w:pPr>
              <w:rPr>
                <w:lang w:val="fr-CA"/>
              </w:rPr>
            </w:pPr>
          </w:p>
        </w:tc>
        <w:tc>
          <w:tcPr>
            <w:tcW w:w="4327" w:type="dxa"/>
          </w:tcPr>
          <w:p w:rsidR="003971E9" w:rsidRPr="003971E9" w:rsidRDefault="003971E9" w:rsidP="003971E9">
            <w:pPr>
              <w:rPr>
                <w:lang w:val="fr-CA"/>
              </w:rPr>
            </w:pPr>
          </w:p>
        </w:tc>
      </w:tr>
      <w:tr w:rsidR="003971E9" w:rsidRPr="00C4248C" w:rsidTr="00081392">
        <w:tc>
          <w:tcPr>
            <w:tcW w:w="1368" w:type="dxa"/>
          </w:tcPr>
          <w:p w:rsidR="003971E9" w:rsidRPr="003971E9" w:rsidRDefault="003971E9" w:rsidP="003971E9">
            <w:pPr>
              <w:rPr>
                <w:lang w:val="fr-CA"/>
              </w:rPr>
            </w:pPr>
          </w:p>
        </w:tc>
        <w:tc>
          <w:tcPr>
            <w:tcW w:w="2970" w:type="dxa"/>
          </w:tcPr>
          <w:p w:rsidR="003971E9" w:rsidRPr="003971E9" w:rsidRDefault="003971E9" w:rsidP="003971E9">
            <w:pPr>
              <w:rPr>
                <w:lang w:val="fr-CA"/>
              </w:rPr>
            </w:pPr>
            <w:r w:rsidRPr="003971E9">
              <w:rPr>
                <w:lang w:val="fr-CA"/>
              </w:rPr>
              <w:t>Association des juristes d'expression française de la Colombie-Britannique</w:t>
            </w:r>
          </w:p>
        </w:tc>
        <w:tc>
          <w:tcPr>
            <w:tcW w:w="1170" w:type="dxa"/>
          </w:tcPr>
          <w:p w:rsidR="003971E9" w:rsidRPr="003971E9" w:rsidRDefault="003971E9" w:rsidP="003971E9">
            <w:pPr>
              <w:rPr>
                <w:lang w:val="fr-CA"/>
              </w:rPr>
            </w:pPr>
          </w:p>
        </w:tc>
        <w:tc>
          <w:tcPr>
            <w:tcW w:w="4327" w:type="dxa"/>
          </w:tcPr>
          <w:p w:rsidR="003971E9" w:rsidRPr="003971E9" w:rsidRDefault="003971E9" w:rsidP="003971E9">
            <w:pPr>
              <w:rPr>
                <w:lang w:val="fr-CA"/>
              </w:rPr>
            </w:pPr>
          </w:p>
        </w:tc>
      </w:tr>
      <w:tr w:rsidR="003971E9" w:rsidRPr="00C4248C" w:rsidTr="00081392">
        <w:tc>
          <w:tcPr>
            <w:tcW w:w="1368" w:type="dxa"/>
          </w:tcPr>
          <w:p w:rsidR="003971E9" w:rsidRPr="003971E9" w:rsidRDefault="003971E9" w:rsidP="003971E9">
            <w:pPr>
              <w:rPr>
                <w:lang w:val="fr-CA"/>
              </w:rPr>
            </w:pPr>
          </w:p>
        </w:tc>
        <w:tc>
          <w:tcPr>
            <w:tcW w:w="2970" w:type="dxa"/>
          </w:tcPr>
          <w:p w:rsidR="003971E9" w:rsidRPr="003971E9" w:rsidRDefault="003971E9" w:rsidP="003971E9">
            <w:pPr>
              <w:rPr>
                <w:lang w:val="fr-CA"/>
              </w:rPr>
            </w:pPr>
          </w:p>
        </w:tc>
        <w:tc>
          <w:tcPr>
            <w:tcW w:w="1170" w:type="dxa"/>
          </w:tcPr>
          <w:p w:rsidR="003971E9" w:rsidRPr="003971E9" w:rsidRDefault="003971E9" w:rsidP="003971E9">
            <w:pPr>
              <w:rPr>
                <w:lang w:val="fr-CA"/>
              </w:rPr>
            </w:pPr>
          </w:p>
        </w:tc>
        <w:tc>
          <w:tcPr>
            <w:tcW w:w="4327" w:type="dxa"/>
          </w:tcPr>
          <w:p w:rsidR="003971E9" w:rsidRPr="003971E9" w:rsidRDefault="003971E9" w:rsidP="003971E9">
            <w:pPr>
              <w:rPr>
                <w:lang w:val="fr-CA"/>
              </w:rPr>
            </w:pPr>
          </w:p>
        </w:tc>
      </w:tr>
      <w:tr w:rsidR="003971E9" w:rsidRPr="00C4248C" w:rsidTr="00081392">
        <w:tc>
          <w:tcPr>
            <w:tcW w:w="1368" w:type="dxa"/>
          </w:tcPr>
          <w:p w:rsidR="003971E9" w:rsidRPr="003971E9" w:rsidRDefault="003971E9" w:rsidP="003971E9">
            <w:r w:rsidRPr="003971E9">
              <w:t>IN / DANS :</w:t>
            </w:r>
          </w:p>
        </w:tc>
        <w:tc>
          <w:tcPr>
            <w:tcW w:w="2970" w:type="dxa"/>
          </w:tcPr>
          <w:p w:rsidR="003971E9" w:rsidRPr="003971E9" w:rsidRDefault="003971E9" w:rsidP="003971E9">
            <w:pPr>
              <w:rPr>
                <w:lang w:val="fr-CA"/>
              </w:rPr>
            </w:pPr>
            <w:r w:rsidRPr="003971E9">
              <w:rPr>
                <w:lang w:val="fr-CA"/>
              </w:rPr>
              <w:t>Conseil Scolaire Francophone de la Colombie-Britannique</w:t>
            </w:r>
          </w:p>
          <w:p w:rsidR="003971E9" w:rsidRPr="003971E9" w:rsidRDefault="003971E9" w:rsidP="003971E9">
            <w:pPr>
              <w:rPr>
                <w:lang w:val="fr-CA"/>
              </w:rPr>
            </w:pPr>
          </w:p>
          <w:p w:rsidR="003971E9" w:rsidRPr="003971E9" w:rsidRDefault="003971E9" w:rsidP="003971E9">
            <w:pPr>
              <w:rPr>
                <w:lang w:val="fr-CA"/>
              </w:rPr>
            </w:pPr>
            <w:r w:rsidRPr="003971E9">
              <w:rPr>
                <w:lang w:val="fr-CA"/>
              </w:rPr>
              <w:tab/>
              <w:t>c. (34908)</w:t>
            </w:r>
          </w:p>
          <w:p w:rsidR="003971E9" w:rsidRPr="003971E9" w:rsidRDefault="003971E9" w:rsidP="003971E9">
            <w:pPr>
              <w:rPr>
                <w:lang w:val="fr-CA"/>
              </w:rPr>
            </w:pPr>
          </w:p>
          <w:p w:rsidR="003971E9" w:rsidRPr="003971E9" w:rsidRDefault="003971E9" w:rsidP="003971E9">
            <w:pPr>
              <w:rPr>
                <w:lang w:val="fr-CA"/>
              </w:rPr>
            </w:pPr>
            <w:r w:rsidRPr="003971E9">
              <w:rPr>
                <w:lang w:val="fr-CA"/>
              </w:rPr>
              <w:t>Sa Majesté La Reine du chef de la province de Colombie-Britannique (C.-B.)</w:t>
            </w:r>
          </w:p>
        </w:tc>
        <w:tc>
          <w:tcPr>
            <w:tcW w:w="1170" w:type="dxa"/>
          </w:tcPr>
          <w:p w:rsidR="003971E9" w:rsidRPr="003971E9" w:rsidRDefault="003971E9" w:rsidP="003971E9">
            <w:pPr>
              <w:rPr>
                <w:lang w:val="fr-CA"/>
              </w:rPr>
            </w:pPr>
          </w:p>
        </w:tc>
        <w:tc>
          <w:tcPr>
            <w:tcW w:w="4327" w:type="dxa"/>
          </w:tcPr>
          <w:p w:rsidR="003971E9" w:rsidRPr="003971E9" w:rsidRDefault="003971E9" w:rsidP="003971E9">
            <w:pPr>
              <w:rPr>
                <w:lang w:val="fr-CA"/>
              </w:rPr>
            </w:pPr>
          </w:p>
        </w:tc>
      </w:tr>
    </w:tbl>
    <w:p w:rsidR="003971E9" w:rsidRPr="003971E9" w:rsidRDefault="003971E9" w:rsidP="003971E9">
      <w:pPr>
        <w:tabs>
          <w:tab w:val="left" w:pos="-1440"/>
          <w:tab w:val="left" w:pos="-720"/>
        </w:tabs>
        <w:jc w:val="both"/>
        <w:rPr>
          <w:rFonts w:eastAsia="Times New Roman" w:cs="Times New Roman"/>
          <w:sz w:val="20"/>
          <w:szCs w:val="20"/>
          <w:lang w:val="fr-CA" w:eastAsia="en-CA"/>
        </w:rPr>
      </w:pPr>
    </w:p>
    <w:p w:rsidR="003971E9" w:rsidRPr="003971E9" w:rsidRDefault="003971E9" w:rsidP="008B1E45">
      <w:pPr>
        <w:spacing w:line="230" w:lineRule="auto"/>
        <w:ind w:left="-23"/>
        <w:jc w:val="both"/>
        <w:rPr>
          <w:rFonts w:eastAsia="Times New Roman" w:cs="Times New Roman"/>
          <w:sz w:val="20"/>
          <w:szCs w:val="20"/>
          <w:lang w:val="fr-CA" w:eastAsia="en-CA"/>
        </w:rPr>
      </w:pPr>
      <w:r w:rsidRPr="003971E9">
        <w:rPr>
          <w:rFonts w:eastAsia="Times New Roman" w:cs="Times New Roman"/>
          <w:b/>
          <w:sz w:val="20"/>
          <w:szCs w:val="20"/>
          <w:lang w:val="fr-CA" w:eastAsia="en-CA"/>
        </w:rPr>
        <w:t>À LA SUITE DE L’ORDONNANCE</w:t>
      </w:r>
      <w:r w:rsidRPr="003971E9">
        <w:rPr>
          <w:rFonts w:eastAsia="Times New Roman" w:cs="Times New Roman"/>
          <w:sz w:val="20"/>
          <w:szCs w:val="20"/>
          <w:lang w:val="fr-CA" w:eastAsia="en-CA"/>
        </w:rPr>
        <w:t xml:space="preserve"> datée du 27 février 2013 autorisant</w:t>
      </w:r>
      <w:r w:rsidRPr="003971E9">
        <w:rPr>
          <w:rFonts w:eastAsia="Times New Roman" w:cs="Times New Roman"/>
          <w:bCs/>
          <w:sz w:val="20"/>
          <w:szCs w:val="20"/>
          <w:lang w:val="fr-CA" w:eastAsia="en-CA"/>
        </w:rPr>
        <w:t xml:space="preserve"> le Procureur général de l'Ontario,</w:t>
      </w:r>
      <w:r w:rsidRPr="003971E9">
        <w:rPr>
          <w:rFonts w:eastAsia="Times New Roman" w:cs="Times New Roman"/>
          <w:sz w:val="20"/>
          <w:szCs w:val="20"/>
          <w:lang w:val="fr-CA" w:eastAsia="en-CA"/>
        </w:rPr>
        <w:t xml:space="preserve"> le Commissaire aux langues officielles du Canada et l’Association des juristes d'expression française de la Colombie-Britannique</w:t>
      </w:r>
      <w:r w:rsidRPr="003971E9">
        <w:rPr>
          <w:rFonts w:eastAsia="Times New Roman" w:cs="Times New Roman"/>
          <w:i/>
          <w:sz w:val="20"/>
          <w:szCs w:val="20"/>
          <w:lang w:val="fr-CA" w:eastAsia="en-CA"/>
        </w:rPr>
        <w:t xml:space="preserve"> </w:t>
      </w:r>
      <w:r w:rsidRPr="003971E9">
        <w:rPr>
          <w:rFonts w:eastAsia="Times New Roman" w:cs="Times New Roman"/>
          <w:sz w:val="20"/>
          <w:szCs w:val="20"/>
          <w:lang w:val="fr-CA" w:eastAsia="en-CA"/>
        </w:rPr>
        <w:t>à intervenir;</w:t>
      </w:r>
    </w:p>
    <w:p w:rsidR="003971E9" w:rsidRPr="003971E9" w:rsidRDefault="003971E9" w:rsidP="008B1E45">
      <w:pPr>
        <w:spacing w:line="230" w:lineRule="auto"/>
        <w:ind w:left="-23"/>
        <w:jc w:val="both"/>
        <w:rPr>
          <w:rFonts w:eastAsia="Times New Roman" w:cs="Times New Roman"/>
          <w:sz w:val="20"/>
          <w:szCs w:val="20"/>
          <w:lang w:val="fr-CA" w:eastAsia="en-CA"/>
        </w:rPr>
      </w:pPr>
    </w:p>
    <w:p w:rsidR="003971E9" w:rsidRPr="003971E9" w:rsidRDefault="003971E9" w:rsidP="008B1E45">
      <w:pPr>
        <w:spacing w:line="230" w:lineRule="auto"/>
        <w:ind w:left="-23"/>
        <w:jc w:val="both"/>
        <w:rPr>
          <w:rFonts w:eastAsia="Times New Roman" w:cs="Times New Roman"/>
          <w:sz w:val="20"/>
          <w:szCs w:val="20"/>
          <w:lang w:val="fr-CA" w:eastAsia="en-CA"/>
        </w:rPr>
      </w:pPr>
      <w:r w:rsidRPr="003971E9">
        <w:rPr>
          <w:rFonts w:eastAsia="Times New Roman" w:cs="Times New Roman"/>
          <w:b/>
          <w:sz w:val="20"/>
          <w:szCs w:val="20"/>
          <w:lang w:val="fr-CA" w:eastAsia="en-CA"/>
        </w:rPr>
        <w:t>IL EST EN OUTRE ORDONNÉ CE QUI SUIT</w:t>
      </w:r>
      <w:r w:rsidRPr="003971E9">
        <w:rPr>
          <w:rFonts w:eastAsia="Times New Roman" w:cs="Times New Roman"/>
          <w:sz w:val="20"/>
          <w:szCs w:val="20"/>
          <w:lang w:val="fr-CA" w:eastAsia="en-CA"/>
        </w:rPr>
        <w:t xml:space="preserve"> : chaque intervenant est autorisé à présenter une plaidoirie orale d'au plus dix (10) minutes lors de l'audition de l’appel.</w:t>
      </w:r>
    </w:p>
    <w:p w:rsidR="003971E9" w:rsidRPr="003971E9" w:rsidRDefault="003971E9" w:rsidP="008B1E45">
      <w:pPr>
        <w:spacing w:line="233" w:lineRule="auto"/>
        <w:jc w:val="both"/>
        <w:rPr>
          <w:rFonts w:eastAsia="Times New Roman" w:cs="Times New Roman"/>
          <w:sz w:val="20"/>
          <w:szCs w:val="20"/>
          <w:lang w:val="fr-CA" w:eastAsia="en-CA"/>
        </w:rPr>
      </w:pPr>
    </w:p>
    <w:p w:rsidR="003971E9" w:rsidRPr="003971E9" w:rsidRDefault="003971E9" w:rsidP="008B1E45">
      <w:pPr>
        <w:spacing w:line="233" w:lineRule="auto"/>
        <w:jc w:val="both"/>
        <w:rPr>
          <w:rFonts w:eastAsia="Times New Roman" w:cs="Times New Roman"/>
          <w:sz w:val="20"/>
          <w:szCs w:val="20"/>
          <w:lang w:val="fr-CA" w:eastAsia="en-CA"/>
        </w:rPr>
      </w:pPr>
    </w:p>
    <w:p w:rsidR="003971E9" w:rsidRPr="003971E9" w:rsidRDefault="003971E9" w:rsidP="008B1E45">
      <w:pPr>
        <w:spacing w:line="233" w:lineRule="auto"/>
        <w:jc w:val="both"/>
        <w:rPr>
          <w:rFonts w:eastAsia="Times New Roman" w:cs="Times New Roman"/>
          <w:sz w:val="20"/>
          <w:szCs w:val="20"/>
          <w:lang w:val="fr-CA" w:eastAsia="en-CA"/>
        </w:rPr>
      </w:pPr>
    </w:p>
    <w:p w:rsidR="003971E9" w:rsidRPr="003971E9" w:rsidRDefault="003971E9" w:rsidP="008B1E45">
      <w:pPr>
        <w:spacing w:line="230" w:lineRule="auto"/>
        <w:jc w:val="both"/>
        <w:rPr>
          <w:rFonts w:eastAsia="Times New Roman" w:cs="Times New Roman"/>
          <w:sz w:val="20"/>
          <w:szCs w:val="20"/>
          <w:lang w:val="en-US" w:eastAsia="en-CA"/>
        </w:rPr>
      </w:pPr>
      <w:r w:rsidRPr="003971E9">
        <w:rPr>
          <w:rFonts w:eastAsia="Times New Roman" w:cs="Times New Roman"/>
          <w:b/>
          <w:bCs/>
          <w:sz w:val="20"/>
          <w:szCs w:val="20"/>
          <w:lang w:val="en-US" w:eastAsia="en-CA"/>
        </w:rPr>
        <w:t>FURTHER TO THE ORDER</w:t>
      </w:r>
      <w:r w:rsidRPr="003971E9">
        <w:rPr>
          <w:rFonts w:eastAsia="Times New Roman" w:cs="Times New Roman"/>
          <w:b/>
          <w:sz w:val="20"/>
          <w:szCs w:val="20"/>
          <w:lang w:val="en-US" w:eastAsia="en-CA"/>
        </w:rPr>
        <w:t xml:space="preserve"> </w:t>
      </w:r>
      <w:r w:rsidRPr="003971E9">
        <w:rPr>
          <w:rFonts w:eastAsia="Times New Roman" w:cs="Times New Roman"/>
          <w:sz w:val="20"/>
          <w:szCs w:val="20"/>
          <w:lang w:val="en-US" w:eastAsia="en-CA"/>
        </w:rPr>
        <w:t xml:space="preserve">dated February 27, 2013, granting leave to intervene to </w:t>
      </w:r>
      <w:r w:rsidRPr="003971E9">
        <w:rPr>
          <w:rFonts w:eastAsia="Times New Roman" w:cs="Times New Roman"/>
          <w:sz w:val="20"/>
          <w:szCs w:val="20"/>
          <w:lang w:eastAsia="en-CA"/>
        </w:rPr>
        <w:t>the Attorney General of Ontario, the</w:t>
      </w:r>
      <w:r w:rsidRPr="003971E9">
        <w:rPr>
          <w:rFonts w:eastAsia="Times New Roman" w:cs="Times New Roman"/>
          <w:sz w:val="20"/>
          <w:szCs w:val="20"/>
          <w:lang w:val="en-US" w:eastAsia="en-CA"/>
        </w:rPr>
        <w:t xml:space="preserve"> Commissioner of Official Languages of Canada and the Association des juristes d'expression française de la Colombie-Britannique;</w:t>
      </w:r>
    </w:p>
    <w:p w:rsidR="003971E9" w:rsidRPr="003971E9" w:rsidRDefault="003971E9" w:rsidP="008B1E45">
      <w:pPr>
        <w:spacing w:line="230" w:lineRule="auto"/>
        <w:jc w:val="both"/>
        <w:rPr>
          <w:rFonts w:eastAsia="Times New Roman" w:cs="Times New Roman"/>
          <w:sz w:val="20"/>
          <w:szCs w:val="20"/>
          <w:lang w:val="en-US" w:eastAsia="en-CA"/>
        </w:rPr>
      </w:pPr>
    </w:p>
    <w:p w:rsidR="003971E9" w:rsidRPr="003971E9" w:rsidRDefault="003971E9" w:rsidP="008B1E45">
      <w:pPr>
        <w:spacing w:line="230" w:lineRule="auto"/>
        <w:jc w:val="both"/>
        <w:rPr>
          <w:rFonts w:eastAsia="Times New Roman" w:cs="Times New Roman"/>
          <w:sz w:val="20"/>
          <w:szCs w:val="20"/>
          <w:lang w:val="en-US" w:eastAsia="en-CA"/>
        </w:rPr>
      </w:pPr>
      <w:r w:rsidRPr="003971E9">
        <w:rPr>
          <w:rFonts w:eastAsia="Times New Roman" w:cs="Times New Roman"/>
          <w:b/>
          <w:bCs/>
          <w:sz w:val="20"/>
          <w:szCs w:val="20"/>
          <w:lang w:val="en-US" w:eastAsia="en-CA"/>
        </w:rPr>
        <w:t xml:space="preserve">IT IS HEREBY FURTHER ORDERED THAT </w:t>
      </w:r>
      <w:r w:rsidRPr="003971E9">
        <w:rPr>
          <w:rFonts w:eastAsia="Times New Roman" w:cs="Times New Roman"/>
          <w:sz w:val="20"/>
          <w:szCs w:val="20"/>
          <w:lang w:val="en-US" w:eastAsia="en-CA"/>
        </w:rPr>
        <w:t>the said interveners are each granted permission to present oral argument not exceeding ten (10) minutes at the hearing of the appeal.</w:t>
      </w:r>
    </w:p>
    <w:p w:rsidR="003971E9" w:rsidRPr="003971E9" w:rsidRDefault="003971E9" w:rsidP="008B1E45">
      <w:pPr>
        <w:spacing w:line="233" w:lineRule="auto"/>
        <w:jc w:val="both"/>
        <w:rPr>
          <w:rFonts w:eastAsia="Times New Roman" w:cs="Times New Roman"/>
          <w:sz w:val="20"/>
          <w:szCs w:val="20"/>
          <w:lang w:val="en-US" w:eastAsia="en-CA"/>
        </w:rPr>
      </w:pPr>
    </w:p>
    <w:p w:rsidR="003971E9" w:rsidRPr="003971E9" w:rsidRDefault="00B74DD2" w:rsidP="003971E9">
      <w:pPr>
        <w:tabs>
          <w:tab w:val="left" w:pos="-1440"/>
          <w:tab w:val="left" w:pos="-720"/>
        </w:tabs>
        <w:jc w:val="both"/>
        <w:rPr>
          <w:rFonts w:eastAsia="Times New Roman" w:cs="Times New Roman"/>
          <w:sz w:val="20"/>
          <w:szCs w:val="20"/>
          <w:lang w:val="fr-CA" w:eastAsia="en-CA"/>
        </w:rPr>
      </w:pPr>
      <w:r w:rsidRPr="00B74DD2">
        <w:rPr>
          <w:rFonts w:eastAsia="Times New Roman" w:cs="Times New Roman"/>
          <w:sz w:val="20"/>
          <w:szCs w:val="20"/>
          <w:lang w:val="fr-CA" w:eastAsia="en-CA"/>
        </w:rPr>
        <w:pict>
          <v:rect id="_x0000_i1063" style="width:2in;height:1pt" o:hrpct="0" o:hralign="center" o:hrstd="t" o:hrnoshade="t" o:hr="t" fillcolor="black [3213]" stroked="f"/>
        </w:pict>
      </w:r>
    </w:p>
    <w:p w:rsidR="003971E9" w:rsidRPr="003971E9" w:rsidRDefault="003971E9" w:rsidP="003971E9">
      <w:pPr>
        <w:tabs>
          <w:tab w:val="left" w:pos="-1440"/>
          <w:tab w:val="left" w:pos="-720"/>
        </w:tabs>
        <w:jc w:val="both"/>
        <w:rPr>
          <w:rFonts w:eastAsia="Times New Roman" w:cs="Times New Roman"/>
          <w:sz w:val="20"/>
          <w:szCs w:val="20"/>
          <w:lang w:val="fr-CA" w:eastAsia="en-CA"/>
        </w:rPr>
      </w:pPr>
    </w:p>
    <w:p w:rsidR="003971E9" w:rsidRPr="003971E9" w:rsidRDefault="003971E9" w:rsidP="003971E9">
      <w:pPr>
        <w:tabs>
          <w:tab w:val="left" w:pos="-1440"/>
          <w:tab w:val="left" w:pos="-720"/>
        </w:tabs>
        <w:jc w:val="both"/>
        <w:rPr>
          <w:rFonts w:eastAsia="Times New Roman" w:cs="Times New Roman"/>
          <w:sz w:val="20"/>
          <w:szCs w:val="20"/>
          <w:lang w:val="fr-CA" w:eastAsia="en-CA"/>
        </w:rPr>
      </w:pPr>
      <w:r w:rsidRPr="003971E9">
        <w:rPr>
          <w:rFonts w:eastAsia="Times New Roman" w:cs="Times New Roman"/>
          <w:sz w:val="20"/>
          <w:szCs w:val="20"/>
          <w:lang w:val="fr-CA" w:eastAsia="en-CA"/>
        </w:rPr>
        <w:t>26.03.2013</w:t>
      </w:r>
    </w:p>
    <w:p w:rsidR="003971E9" w:rsidRPr="003971E9" w:rsidRDefault="003971E9" w:rsidP="003971E9">
      <w:pPr>
        <w:tabs>
          <w:tab w:val="left" w:pos="-1440"/>
          <w:tab w:val="left" w:pos="-720"/>
        </w:tabs>
        <w:jc w:val="both"/>
        <w:rPr>
          <w:rFonts w:eastAsia="Times New Roman" w:cs="Times New Roman"/>
          <w:sz w:val="20"/>
          <w:szCs w:val="20"/>
          <w:lang w:val="fr-CA" w:eastAsia="en-CA"/>
        </w:rPr>
      </w:pPr>
    </w:p>
    <w:p w:rsidR="003971E9" w:rsidRPr="003971E9" w:rsidRDefault="003971E9" w:rsidP="003971E9">
      <w:pPr>
        <w:tabs>
          <w:tab w:val="left" w:pos="-1440"/>
          <w:tab w:val="left" w:pos="-720"/>
        </w:tabs>
        <w:jc w:val="both"/>
        <w:rPr>
          <w:rFonts w:eastAsia="Times New Roman" w:cs="Times New Roman"/>
          <w:sz w:val="20"/>
          <w:szCs w:val="20"/>
          <w:lang w:val="fr-CA" w:eastAsia="en-CA"/>
        </w:rPr>
      </w:pPr>
      <w:r w:rsidRPr="003971E9">
        <w:rPr>
          <w:rFonts w:eastAsia="Times New Roman" w:cs="Times New Roman"/>
          <w:sz w:val="20"/>
          <w:szCs w:val="20"/>
          <w:lang w:val="fr-CA" w:eastAsia="en-CA"/>
        </w:rPr>
        <w:t>Before / Devant :   CROMWELL J. / LE JUGE CROMWELL</w:t>
      </w:r>
    </w:p>
    <w:p w:rsidR="003971E9" w:rsidRPr="003971E9" w:rsidRDefault="003971E9" w:rsidP="003971E9">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3971E9" w:rsidRPr="00C4248C" w:rsidTr="00081392">
        <w:tc>
          <w:tcPr>
            <w:tcW w:w="4338" w:type="dxa"/>
            <w:gridSpan w:val="2"/>
          </w:tcPr>
          <w:p w:rsidR="003971E9" w:rsidRPr="003971E9" w:rsidRDefault="003971E9" w:rsidP="003971E9">
            <w:pPr>
              <w:jc w:val="both"/>
              <w:rPr>
                <w:b/>
              </w:rPr>
            </w:pPr>
            <w:r w:rsidRPr="003971E9">
              <w:rPr>
                <w:b/>
                <w:lang w:val="en-US"/>
              </w:rPr>
              <w:t xml:space="preserve">Order on intervention with respect to oral argument </w:t>
            </w:r>
            <w:r w:rsidR="00B74DD2" w:rsidRPr="003971E9">
              <w:rPr>
                <w:b/>
                <w:lang w:val="en-US"/>
              </w:rPr>
              <w:fldChar w:fldCharType="begin"/>
            </w:r>
            <w:r w:rsidRPr="003971E9">
              <w:rPr>
                <w:b/>
              </w:rPr>
              <w:instrText xml:space="preserve"> SEQ CHAPTER \h \r 1</w:instrText>
            </w:r>
            <w:r w:rsidR="00B74DD2" w:rsidRPr="003971E9">
              <w:rPr>
                <w:b/>
                <w:lang w:val="en-US"/>
              </w:rPr>
              <w:fldChar w:fldCharType="end"/>
            </w:r>
          </w:p>
        </w:tc>
        <w:tc>
          <w:tcPr>
            <w:tcW w:w="1170" w:type="dxa"/>
          </w:tcPr>
          <w:p w:rsidR="003971E9" w:rsidRPr="003971E9" w:rsidRDefault="003971E9" w:rsidP="003971E9"/>
          <w:p w:rsidR="003971E9" w:rsidRPr="003971E9" w:rsidRDefault="003971E9" w:rsidP="003971E9"/>
          <w:p w:rsidR="003971E9" w:rsidRPr="003971E9" w:rsidRDefault="003971E9" w:rsidP="003971E9"/>
        </w:tc>
        <w:tc>
          <w:tcPr>
            <w:tcW w:w="4327" w:type="dxa"/>
          </w:tcPr>
          <w:p w:rsidR="003971E9" w:rsidRPr="003971E9" w:rsidRDefault="003971E9" w:rsidP="003971E9">
            <w:pPr>
              <w:jc w:val="both"/>
              <w:rPr>
                <w:b/>
                <w:lang w:val="fr-CA"/>
              </w:rPr>
            </w:pPr>
            <w:r w:rsidRPr="003971E9">
              <w:rPr>
                <w:b/>
                <w:lang w:val="fr-CA"/>
              </w:rPr>
              <w:t>Ordonnance relative à la présentation d’une plaidoirie orale par l’intervenant</w:t>
            </w:r>
            <w:r w:rsidR="00B74DD2" w:rsidRPr="003971E9">
              <w:rPr>
                <w:b/>
                <w:lang w:val="en-US"/>
              </w:rPr>
              <w:fldChar w:fldCharType="begin"/>
            </w:r>
            <w:r w:rsidRPr="003971E9">
              <w:rPr>
                <w:b/>
                <w:lang w:val="fr-CA"/>
              </w:rPr>
              <w:instrText xml:space="preserve"> SEQ CHAPTER \h \r 1</w:instrText>
            </w:r>
            <w:r w:rsidR="00B74DD2" w:rsidRPr="003971E9">
              <w:rPr>
                <w:b/>
                <w:lang w:val="en-US"/>
              </w:rPr>
              <w:fldChar w:fldCharType="end"/>
            </w:r>
          </w:p>
        </w:tc>
      </w:tr>
      <w:tr w:rsidR="003971E9" w:rsidRPr="003971E9" w:rsidTr="00081392">
        <w:tc>
          <w:tcPr>
            <w:tcW w:w="1368" w:type="dxa"/>
          </w:tcPr>
          <w:p w:rsidR="003971E9" w:rsidRPr="003971E9" w:rsidRDefault="003971E9" w:rsidP="003971E9">
            <w:r w:rsidRPr="003971E9">
              <w:t>RE:</w:t>
            </w:r>
          </w:p>
        </w:tc>
        <w:tc>
          <w:tcPr>
            <w:tcW w:w="2970" w:type="dxa"/>
          </w:tcPr>
          <w:p w:rsidR="003971E9" w:rsidRPr="003971E9" w:rsidRDefault="003971E9" w:rsidP="003971E9">
            <w:pPr>
              <w:rPr>
                <w:lang w:val="fr-CA"/>
              </w:rPr>
            </w:pPr>
            <w:r w:rsidRPr="003971E9">
              <w:rPr>
                <w:lang w:val="fr-CA"/>
              </w:rPr>
              <w:t>Procureur général du Québec</w:t>
            </w:r>
          </w:p>
        </w:tc>
        <w:tc>
          <w:tcPr>
            <w:tcW w:w="1170" w:type="dxa"/>
          </w:tcPr>
          <w:p w:rsidR="003971E9" w:rsidRPr="003971E9" w:rsidRDefault="003971E9" w:rsidP="003971E9">
            <w:pPr>
              <w:rPr>
                <w:lang w:val="fr-CA"/>
              </w:rPr>
            </w:pPr>
          </w:p>
        </w:tc>
        <w:tc>
          <w:tcPr>
            <w:tcW w:w="4327" w:type="dxa"/>
          </w:tcPr>
          <w:p w:rsidR="003971E9" w:rsidRPr="003971E9" w:rsidRDefault="003971E9" w:rsidP="003971E9">
            <w:pPr>
              <w:rPr>
                <w:lang w:val="fr-CA"/>
              </w:rPr>
            </w:pPr>
          </w:p>
        </w:tc>
      </w:tr>
      <w:tr w:rsidR="003971E9" w:rsidRPr="003971E9" w:rsidTr="00081392">
        <w:tc>
          <w:tcPr>
            <w:tcW w:w="1368" w:type="dxa"/>
          </w:tcPr>
          <w:p w:rsidR="003971E9" w:rsidRPr="003971E9" w:rsidRDefault="003971E9" w:rsidP="003971E9">
            <w:pPr>
              <w:rPr>
                <w:lang w:val="fr-CA"/>
              </w:rPr>
            </w:pPr>
          </w:p>
        </w:tc>
        <w:tc>
          <w:tcPr>
            <w:tcW w:w="2970" w:type="dxa"/>
          </w:tcPr>
          <w:p w:rsidR="003971E9" w:rsidRPr="003971E9" w:rsidRDefault="003971E9" w:rsidP="003971E9">
            <w:pPr>
              <w:rPr>
                <w:lang w:val="fr-CA"/>
              </w:rPr>
            </w:pPr>
          </w:p>
        </w:tc>
        <w:tc>
          <w:tcPr>
            <w:tcW w:w="1170" w:type="dxa"/>
          </w:tcPr>
          <w:p w:rsidR="003971E9" w:rsidRPr="003971E9" w:rsidRDefault="003971E9" w:rsidP="003971E9">
            <w:pPr>
              <w:rPr>
                <w:lang w:val="fr-CA"/>
              </w:rPr>
            </w:pPr>
          </w:p>
        </w:tc>
        <w:tc>
          <w:tcPr>
            <w:tcW w:w="4327" w:type="dxa"/>
          </w:tcPr>
          <w:p w:rsidR="003971E9" w:rsidRPr="003971E9" w:rsidRDefault="003971E9" w:rsidP="003971E9">
            <w:pPr>
              <w:rPr>
                <w:lang w:val="fr-CA"/>
              </w:rPr>
            </w:pPr>
          </w:p>
        </w:tc>
      </w:tr>
      <w:tr w:rsidR="003971E9" w:rsidRPr="003971E9" w:rsidTr="00081392">
        <w:tc>
          <w:tcPr>
            <w:tcW w:w="1368" w:type="dxa"/>
          </w:tcPr>
          <w:p w:rsidR="003971E9" w:rsidRPr="003971E9" w:rsidRDefault="003971E9" w:rsidP="003971E9">
            <w:r w:rsidRPr="003971E9">
              <w:t>IN / DANS :</w:t>
            </w:r>
          </w:p>
        </w:tc>
        <w:tc>
          <w:tcPr>
            <w:tcW w:w="2970" w:type="dxa"/>
          </w:tcPr>
          <w:p w:rsidR="003971E9" w:rsidRPr="003971E9" w:rsidRDefault="003971E9" w:rsidP="003971E9">
            <w:pPr>
              <w:rPr>
                <w:lang w:val="fr-CA"/>
              </w:rPr>
            </w:pPr>
            <w:r w:rsidRPr="003971E9">
              <w:rPr>
                <w:lang w:val="fr-CA"/>
              </w:rPr>
              <w:t>Régie des rentes du Québec</w:t>
            </w:r>
          </w:p>
          <w:p w:rsidR="003971E9" w:rsidRPr="003971E9" w:rsidRDefault="003971E9" w:rsidP="003971E9">
            <w:pPr>
              <w:rPr>
                <w:lang w:val="fr-CA"/>
              </w:rPr>
            </w:pPr>
          </w:p>
          <w:p w:rsidR="003971E9" w:rsidRPr="003971E9" w:rsidRDefault="003971E9" w:rsidP="003971E9">
            <w:pPr>
              <w:rPr>
                <w:lang w:val="fr-CA"/>
              </w:rPr>
            </w:pPr>
            <w:r w:rsidRPr="003971E9">
              <w:rPr>
                <w:lang w:val="fr-CA"/>
              </w:rPr>
              <w:tab/>
              <w:t>c. (34505)</w:t>
            </w:r>
          </w:p>
          <w:p w:rsidR="003971E9" w:rsidRPr="003971E9" w:rsidRDefault="003971E9" w:rsidP="003971E9">
            <w:pPr>
              <w:rPr>
                <w:lang w:val="fr-CA"/>
              </w:rPr>
            </w:pPr>
          </w:p>
          <w:p w:rsidR="003971E9" w:rsidRPr="003971E9" w:rsidRDefault="003971E9" w:rsidP="003971E9">
            <w:pPr>
              <w:rPr>
                <w:lang w:val="en-US"/>
              </w:rPr>
            </w:pPr>
            <w:r w:rsidRPr="003971E9">
              <w:rPr>
                <w:lang w:val="en-US"/>
              </w:rPr>
              <w:t>Canada Bread Company Ltd. (Qc)</w:t>
            </w:r>
          </w:p>
        </w:tc>
        <w:tc>
          <w:tcPr>
            <w:tcW w:w="1170" w:type="dxa"/>
          </w:tcPr>
          <w:p w:rsidR="003971E9" w:rsidRPr="003971E9" w:rsidRDefault="003971E9" w:rsidP="003971E9">
            <w:pPr>
              <w:rPr>
                <w:lang w:val="en-US"/>
              </w:rPr>
            </w:pPr>
          </w:p>
        </w:tc>
        <w:tc>
          <w:tcPr>
            <w:tcW w:w="4327" w:type="dxa"/>
          </w:tcPr>
          <w:p w:rsidR="003971E9" w:rsidRPr="003971E9" w:rsidRDefault="003971E9" w:rsidP="003971E9">
            <w:pPr>
              <w:rPr>
                <w:lang w:val="en-US"/>
              </w:rPr>
            </w:pPr>
          </w:p>
        </w:tc>
      </w:tr>
    </w:tbl>
    <w:p w:rsidR="003971E9" w:rsidRPr="003971E9" w:rsidRDefault="003971E9" w:rsidP="003971E9">
      <w:pPr>
        <w:tabs>
          <w:tab w:val="left" w:pos="-1440"/>
          <w:tab w:val="left" w:pos="-720"/>
        </w:tabs>
        <w:jc w:val="both"/>
        <w:rPr>
          <w:rFonts w:eastAsia="Times New Roman" w:cs="Times New Roman"/>
          <w:sz w:val="20"/>
          <w:szCs w:val="20"/>
          <w:lang w:val="en-US" w:eastAsia="en-CA"/>
        </w:rPr>
      </w:pPr>
    </w:p>
    <w:p w:rsidR="003971E9" w:rsidRPr="003971E9" w:rsidRDefault="003971E9" w:rsidP="003971E9">
      <w:pPr>
        <w:spacing w:line="230" w:lineRule="auto"/>
        <w:jc w:val="both"/>
        <w:rPr>
          <w:rFonts w:eastAsia="Times New Roman" w:cs="Times New Roman"/>
          <w:sz w:val="20"/>
          <w:szCs w:val="20"/>
          <w:lang w:val="fr-CA" w:eastAsia="en-CA"/>
        </w:rPr>
      </w:pPr>
      <w:r w:rsidRPr="003971E9">
        <w:rPr>
          <w:rFonts w:eastAsia="Times New Roman" w:cs="Times New Roman"/>
          <w:b/>
          <w:sz w:val="20"/>
          <w:szCs w:val="20"/>
          <w:lang w:val="fr-CA" w:eastAsia="en-CA"/>
        </w:rPr>
        <w:t>À LA SUITE DE L'ORDONNANCE</w:t>
      </w:r>
      <w:r w:rsidRPr="003971E9">
        <w:rPr>
          <w:rFonts w:eastAsia="Times New Roman" w:cs="Times New Roman"/>
          <w:sz w:val="20"/>
          <w:szCs w:val="20"/>
          <w:lang w:val="fr-CA" w:eastAsia="en-CA"/>
        </w:rPr>
        <w:t xml:space="preserve"> datée du 24 août 2012 autorisant le Procureur général du Québec à intervenir;</w:t>
      </w:r>
    </w:p>
    <w:p w:rsidR="003971E9" w:rsidRPr="003971E9" w:rsidRDefault="003971E9" w:rsidP="003971E9">
      <w:pPr>
        <w:spacing w:line="230" w:lineRule="auto"/>
        <w:rPr>
          <w:rFonts w:eastAsia="Times New Roman" w:cs="Times New Roman"/>
          <w:b/>
          <w:sz w:val="20"/>
          <w:szCs w:val="20"/>
          <w:lang w:val="fr-CA" w:eastAsia="en-CA"/>
        </w:rPr>
      </w:pPr>
    </w:p>
    <w:p w:rsidR="003971E9" w:rsidRPr="003971E9" w:rsidRDefault="003971E9" w:rsidP="003971E9">
      <w:pPr>
        <w:spacing w:line="230" w:lineRule="auto"/>
        <w:jc w:val="both"/>
        <w:rPr>
          <w:rFonts w:eastAsia="Times New Roman" w:cs="Times New Roman"/>
          <w:sz w:val="20"/>
          <w:szCs w:val="20"/>
          <w:lang w:val="fr-CA" w:eastAsia="en-CA"/>
        </w:rPr>
      </w:pPr>
      <w:r w:rsidRPr="003971E9">
        <w:rPr>
          <w:rFonts w:eastAsia="Times New Roman" w:cs="Times New Roman"/>
          <w:b/>
          <w:sz w:val="20"/>
          <w:szCs w:val="20"/>
          <w:lang w:val="fr-CA" w:eastAsia="en-CA"/>
        </w:rPr>
        <w:t>IL EST EN OUTRE ORDONNÉ CE QUI SUIT</w:t>
      </w:r>
      <w:r w:rsidRPr="003971E9">
        <w:rPr>
          <w:rFonts w:eastAsia="Times New Roman" w:cs="Times New Roman"/>
          <w:sz w:val="20"/>
          <w:szCs w:val="20"/>
          <w:lang w:val="fr-CA" w:eastAsia="en-CA"/>
        </w:rPr>
        <w:t xml:space="preserve"> : ledit intervenant est autorisé à présenter une plaidoirie orale d'au plus dix (10) minutes lors de l'audition de l'appel.</w:t>
      </w:r>
    </w:p>
    <w:p w:rsidR="003971E9" w:rsidRPr="003971E9" w:rsidRDefault="003971E9" w:rsidP="003971E9">
      <w:pPr>
        <w:spacing w:line="233" w:lineRule="auto"/>
        <w:rPr>
          <w:rFonts w:eastAsia="Times New Roman" w:cs="Times New Roman"/>
          <w:sz w:val="20"/>
          <w:szCs w:val="20"/>
          <w:lang w:val="fr-CA" w:eastAsia="en-CA"/>
        </w:rPr>
      </w:pPr>
    </w:p>
    <w:p w:rsidR="003971E9" w:rsidRPr="003971E9" w:rsidRDefault="003971E9" w:rsidP="003971E9">
      <w:pPr>
        <w:spacing w:line="233" w:lineRule="auto"/>
        <w:jc w:val="both"/>
        <w:rPr>
          <w:rFonts w:eastAsia="Times New Roman" w:cs="Times New Roman"/>
          <w:sz w:val="20"/>
          <w:szCs w:val="20"/>
          <w:lang w:val="fr-CA" w:eastAsia="en-CA"/>
        </w:rPr>
      </w:pPr>
    </w:p>
    <w:p w:rsidR="003971E9" w:rsidRPr="003971E9" w:rsidRDefault="003971E9" w:rsidP="003971E9">
      <w:pPr>
        <w:spacing w:line="233" w:lineRule="auto"/>
        <w:jc w:val="both"/>
        <w:rPr>
          <w:rFonts w:eastAsia="Times New Roman" w:cs="Times New Roman"/>
          <w:sz w:val="20"/>
          <w:szCs w:val="20"/>
          <w:lang w:val="fr-CA" w:eastAsia="en-CA"/>
        </w:rPr>
      </w:pPr>
    </w:p>
    <w:p w:rsidR="003971E9" w:rsidRPr="003971E9" w:rsidRDefault="003971E9" w:rsidP="003971E9">
      <w:pPr>
        <w:spacing w:line="230" w:lineRule="auto"/>
        <w:jc w:val="both"/>
        <w:rPr>
          <w:rFonts w:eastAsia="Times New Roman" w:cs="Times New Roman"/>
          <w:sz w:val="20"/>
          <w:szCs w:val="20"/>
          <w:lang w:eastAsia="fr-FR"/>
        </w:rPr>
      </w:pPr>
      <w:r w:rsidRPr="003971E9">
        <w:rPr>
          <w:rFonts w:eastAsia="Times New Roman" w:cs="Times New Roman"/>
          <w:b/>
          <w:sz w:val="20"/>
          <w:szCs w:val="20"/>
          <w:lang w:eastAsia="fr-FR"/>
        </w:rPr>
        <w:t xml:space="preserve">FURTHER TO THE ORDER </w:t>
      </w:r>
      <w:r w:rsidRPr="003971E9">
        <w:rPr>
          <w:rFonts w:eastAsia="Times New Roman" w:cs="Times New Roman"/>
          <w:sz w:val="20"/>
          <w:szCs w:val="20"/>
          <w:lang w:eastAsia="fr-FR"/>
        </w:rPr>
        <w:t>dated August 24, 2012 granting leave to intervene to the Attorney General of Quebec;</w:t>
      </w:r>
    </w:p>
    <w:p w:rsidR="003971E9" w:rsidRPr="003971E9" w:rsidRDefault="003971E9" w:rsidP="003971E9">
      <w:pPr>
        <w:spacing w:line="230" w:lineRule="auto"/>
        <w:rPr>
          <w:rFonts w:eastAsia="Times New Roman" w:cs="Times New Roman"/>
          <w:b/>
          <w:sz w:val="20"/>
          <w:szCs w:val="20"/>
          <w:lang w:eastAsia="fr-FR"/>
        </w:rPr>
      </w:pPr>
    </w:p>
    <w:p w:rsidR="003971E9" w:rsidRPr="003971E9" w:rsidRDefault="003971E9" w:rsidP="003971E9">
      <w:pPr>
        <w:spacing w:line="233" w:lineRule="auto"/>
        <w:jc w:val="both"/>
        <w:rPr>
          <w:rFonts w:eastAsia="Times New Roman" w:cs="Times New Roman"/>
          <w:sz w:val="20"/>
          <w:szCs w:val="20"/>
          <w:lang w:val="en-US" w:eastAsia="en-CA"/>
        </w:rPr>
      </w:pPr>
      <w:r w:rsidRPr="003971E9">
        <w:rPr>
          <w:rFonts w:eastAsia="Times New Roman" w:cs="Times New Roman"/>
          <w:b/>
          <w:sz w:val="20"/>
          <w:szCs w:val="20"/>
          <w:lang w:eastAsia="fr-FR"/>
        </w:rPr>
        <w:t xml:space="preserve">IT IS HEREBY FURTHER ORDERED THAT </w:t>
      </w:r>
      <w:r w:rsidRPr="003971E9">
        <w:rPr>
          <w:rFonts w:eastAsia="Times New Roman" w:cs="Times New Roman"/>
          <w:sz w:val="20"/>
          <w:szCs w:val="20"/>
          <w:lang w:eastAsia="fr-FR"/>
        </w:rPr>
        <w:t>the said intervener is granted permission to present oral argument not exceeding ten (10) minutes at the hearing of the appeal.</w:t>
      </w:r>
    </w:p>
    <w:p w:rsidR="003971E9" w:rsidRPr="003971E9" w:rsidRDefault="003971E9" w:rsidP="003971E9">
      <w:pPr>
        <w:spacing w:line="233" w:lineRule="auto"/>
        <w:jc w:val="both"/>
        <w:rPr>
          <w:rFonts w:eastAsia="Times New Roman" w:cs="Times New Roman"/>
          <w:sz w:val="20"/>
          <w:szCs w:val="20"/>
          <w:lang w:val="en-US" w:eastAsia="en-CA"/>
        </w:rPr>
      </w:pPr>
    </w:p>
    <w:p w:rsidR="0010587F" w:rsidRPr="003B3977" w:rsidRDefault="00B74DD2" w:rsidP="0010587F">
      <w:pPr>
        <w:tabs>
          <w:tab w:val="left" w:pos="-1440"/>
          <w:tab w:val="left" w:pos="-720"/>
        </w:tabs>
        <w:jc w:val="both"/>
        <w:rPr>
          <w:sz w:val="20"/>
          <w:szCs w:val="20"/>
          <w:lang w:val="fr-CA"/>
        </w:rPr>
      </w:pPr>
      <w:r w:rsidRPr="00B74DD2">
        <w:rPr>
          <w:sz w:val="20"/>
          <w:szCs w:val="20"/>
          <w:lang w:val="fr-CA"/>
        </w:rPr>
        <w:pict>
          <v:rect id="_x0000_i1064" style="width:2in;height:1pt" o:hrpct="0" o:hralign="center" o:hrstd="t" o:hrnoshade="t" o:hr="t" fillcolor="black [3213]" stroked="f"/>
        </w:pict>
      </w:r>
    </w:p>
    <w:p w:rsidR="0010587F" w:rsidRPr="003B3977" w:rsidRDefault="0010587F"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C4248C"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32DB7" w:rsidRPr="00C50A5C" w:rsidRDefault="00732DB7" w:rsidP="00732DB7">
      <w:pPr>
        <w:widowControl w:val="0"/>
        <w:rPr>
          <w:sz w:val="20"/>
          <w:szCs w:val="20"/>
        </w:rPr>
      </w:pPr>
      <w:r w:rsidRPr="00C50A5C">
        <w:rPr>
          <w:sz w:val="20"/>
          <w:szCs w:val="20"/>
        </w:rPr>
        <w:t>2</w:t>
      </w:r>
      <w:r w:rsidR="00972708">
        <w:rPr>
          <w:sz w:val="20"/>
          <w:szCs w:val="20"/>
        </w:rPr>
        <w:t>8</w:t>
      </w:r>
      <w:r w:rsidRPr="00C50A5C">
        <w:rPr>
          <w:sz w:val="20"/>
          <w:szCs w:val="20"/>
        </w:rPr>
        <w:t>.0</w:t>
      </w:r>
      <w:r w:rsidR="00972708">
        <w:rPr>
          <w:sz w:val="20"/>
          <w:szCs w:val="20"/>
        </w:rPr>
        <w:t>3</w:t>
      </w:r>
      <w:r w:rsidRPr="00C50A5C">
        <w:rPr>
          <w:sz w:val="20"/>
          <w:szCs w:val="20"/>
        </w:rPr>
        <w:t>.201</w:t>
      </w:r>
      <w:r w:rsidR="00972708">
        <w:rPr>
          <w:sz w:val="20"/>
          <w:szCs w:val="20"/>
        </w:rPr>
        <w:t>3</w:t>
      </w:r>
    </w:p>
    <w:p w:rsidR="00732DB7" w:rsidRPr="00C50A5C" w:rsidRDefault="00732DB7" w:rsidP="00732DB7">
      <w:pPr>
        <w:widowControl w:val="0"/>
        <w:rPr>
          <w:sz w:val="20"/>
          <w:szCs w:val="20"/>
        </w:rPr>
      </w:pPr>
    </w:p>
    <w:p w:rsidR="00732DB7" w:rsidRPr="00C50A5C" w:rsidRDefault="00732DB7" w:rsidP="00732DB7">
      <w:pPr>
        <w:widowControl w:val="0"/>
        <w:ind w:left="720" w:hanging="720"/>
        <w:rPr>
          <w:b/>
          <w:sz w:val="20"/>
          <w:szCs w:val="20"/>
        </w:rPr>
      </w:pPr>
      <w:r w:rsidRPr="00C50A5C">
        <w:rPr>
          <w:sz w:val="20"/>
          <w:szCs w:val="20"/>
        </w:rPr>
        <w:t xml:space="preserve">Coram: </w:t>
      </w:r>
      <w:r w:rsidRPr="00C50A5C">
        <w:rPr>
          <w:sz w:val="20"/>
          <w:szCs w:val="20"/>
        </w:rPr>
        <w:tab/>
      </w:r>
      <w:r w:rsidRPr="00C50A5C">
        <w:rPr>
          <w:sz w:val="20"/>
          <w:szCs w:val="20"/>
          <w:u w:val="single"/>
        </w:rPr>
        <w:t xml:space="preserve">McLachlin C.J. and LeBel, </w:t>
      </w:r>
      <w:r w:rsidR="00D41649">
        <w:rPr>
          <w:sz w:val="20"/>
          <w:szCs w:val="20"/>
          <w:u w:val="single"/>
        </w:rPr>
        <w:t xml:space="preserve">Fish, </w:t>
      </w:r>
      <w:r w:rsidRPr="00C50A5C">
        <w:rPr>
          <w:sz w:val="20"/>
          <w:szCs w:val="20"/>
          <w:u w:val="single"/>
        </w:rPr>
        <w:t xml:space="preserve">Abella, </w:t>
      </w:r>
      <w:r w:rsidR="00D41649">
        <w:rPr>
          <w:sz w:val="20"/>
          <w:szCs w:val="20"/>
          <w:u w:val="single"/>
        </w:rPr>
        <w:t xml:space="preserve">Rothstein, </w:t>
      </w:r>
      <w:r w:rsidRPr="00C50A5C">
        <w:rPr>
          <w:sz w:val="20"/>
          <w:szCs w:val="20"/>
          <w:u w:val="single"/>
        </w:rPr>
        <w:t>Cro</w:t>
      </w:r>
      <w:r w:rsidR="00972708">
        <w:rPr>
          <w:sz w:val="20"/>
          <w:szCs w:val="20"/>
          <w:u w:val="single"/>
        </w:rPr>
        <w:t>mwell</w:t>
      </w:r>
      <w:r w:rsidRPr="00C50A5C">
        <w:rPr>
          <w:sz w:val="20"/>
          <w:szCs w:val="20"/>
          <w:u w:val="single"/>
        </w:rPr>
        <w:t xml:space="preserve">, </w:t>
      </w:r>
      <w:r w:rsidR="00972708">
        <w:rPr>
          <w:sz w:val="20"/>
          <w:szCs w:val="20"/>
          <w:u w:val="single"/>
        </w:rPr>
        <w:t>M</w:t>
      </w:r>
      <w:r w:rsidRPr="00C50A5C">
        <w:rPr>
          <w:sz w:val="20"/>
          <w:szCs w:val="20"/>
          <w:u w:val="single"/>
        </w:rPr>
        <w:t>o</w:t>
      </w:r>
      <w:r w:rsidR="00972708">
        <w:rPr>
          <w:sz w:val="20"/>
          <w:szCs w:val="20"/>
          <w:u w:val="single"/>
        </w:rPr>
        <w:t>ldav</w:t>
      </w:r>
      <w:r w:rsidRPr="00C50A5C">
        <w:rPr>
          <w:sz w:val="20"/>
          <w:szCs w:val="20"/>
          <w:u w:val="single"/>
        </w:rPr>
        <w:t>e</w:t>
      </w:r>
      <w:r w:rsidR="00972708">
        <w:rPr>
          <w:sz w:val="20"/>
          <w:szCs w:val="20"/>
          <w:u w:val="single"/>
        </w:rPr>
        <w:t>r, Karakatsa</w:t>
      </w:r>
      <w:r w:rsidRPr="00C50A5C">
        <w:rPr>
          <w:sz w:val="20"/>
          <w:szCs w:val="20"/>
          <w:u w:val="single"/>
        </w:rPr>
        <w:t>n</w:t>
      </w:r>
      <w:r w:rsidR="00972708">
        <w:rPr>
          <w:sz w:val="20"/>
          <w:szCs w:val="20"/>
          <w:u w:val="single"/>
        </w:rPr>
        <w:t>is</w:t>
      </w:r>
      <w:r w:rsidRPr="00C50A5C">
        <w:rPr>
          <w:sz w:val="20"/>
          <w:szCs w:val="20"/>
          <w:u w:val="single"/>
        </w:rPr>
        <w:t xml:space="preserve"> and </w:t>
      </w:r>
      <w:r w:rsidR="00972708">
        <w:rPr>
          <w:sz w:val="20"/>
          <w:szCs w:val="20"/>
          <w:u w:val="single"/>
        </w:rPr>
        <w:t>Wagn</w:t>
      </w:r>
      <w:r w:rsidRPr="00C50A5C">
        <w:rPr>
          <w:sz w:val="20"/>
          <w:szCs w:val="20"/>
          <w:u w:val="single"/>
        </w:rPr>
        <w:t>e</w:t>
      </w:r>
      <w:r w:rsidR="00972708">
        <w:rPr>
          <w:sz w:val="20"/>
          <w:szCs w:val="20"/>
          <w:u w:val="single"/>
        </w:rPr>
        <w:t>r</w:t>
      </w:r>
      <w:r w:rsidRPr="00C50A5C">
        <w:rPr>
          <w:sz w:val="20"/>
          <w:szCs w:val="20"/>
          <w:u w:val="single"/>
        </w:rPr>
        <w:t xml:space="preserve"> JJ.</w:t>
      </w:r>
      <w:r w:rsidRPr="00C50A5C">
        <w:rPr>
          <w:sz w:val="20"/>
          <w:szCs w:val="20"/>
        </w:rPr>
        <w:t xml:space="preserve"> </w:t>
      </w:r>
    </w:p>
    <w:p w:rsidR="00732DB7" w:rsidRPr="00C50A5C" w:rsidRDefault="00732DB7" w:rsidP="00732DB7">
      <w:pPr>
        <w:widowControl w:val="0"/>
        <w:rPr>
          <w:b/>
          <w:sz w:val="20"/>
          <w:szCs w:val="20"/>
        </w:rPr>
      </w:pPr>
    </w:p>
    <w:tbl>
      <w:tblPr>
        <w:tblW w:w="0" w:type="auto"/>
        <w:tblLayout w:type="fixed"/>
        <w:tblCellMar>
          <w:left w:w="0" w:type="dxa"/>
          <w:right w:w="0" w:type="dxa"/>
        </w:tblCellMar>
        <w:tblLook w:val="0000"/>
      </w:tblPr>
      <w:tblGrid>
        <w:gridCol w:w="4380"/>
        <w:gridCol w:w="720"/>
        <w:gridCol w:w="4380"/>
      </w:tblGrid>
      <w:tr w:rsidR="00732DB7" w:rsidRPr="00C50A5C" w:rsidTr="00697C62">
        <w:tc>
          <w:tcPr>
            <w:tcW w:w="4380" w:type="dxa"/>
            <w:tcMar>
              <w:left w:w="0" w:type="dxa"/>
              <w:right w:w="0" w:type="dxa"/>
            </w:tcMar>
          </w:tcPr>
          <w:p w:rsidR="00732DB7" w:rsidRPr="00C50A5C" w:rsidRDefault="00972708" w:rsidP="00C1697B">
            <w:pPr>
              <w:widowControl w:val="0"/>
              <w:jc w:val="both"/>
              <w:rPr>
                <w:b/>
                <w:sz w:val="20"/>
                <w:szCs w:val="20"/>
              </w:rPr>
            </w:pPr>
            <w:r>
              <w:rPr>
                <w:b/>
                <w:sz w:val="20"/>
                <w:szCs w:val="20"/>
              </w:rPr>
              <w:t>T</w:t>
            </w:r>
            <w:r w:rsidR="00732DB7" w:rsidRPr="00C50A5C">
              <w:rPr>
                <w:b/>
                <w:sz w:val="20"/>
                <w:szCs w:val="20"/>
              </w:rPr>
              <w:t>i</w:t>
            </w:r>
            <w:r>
              <w:rPr>
                <w:b/>
                <w:sz w:val="20"/>
                <w:szCs w:val="20"/>
              </w:rPr>
              <w:t>ss</w:t>
            </w:r>
            <w:r w:rsidR="00732DB7" w:rsidRPr="00C50A5C">
              <w:rPr>
                <w:b/>
                <w:sz w:val="20"/>
                <w:szCs w:val="20"/>
              </w:rPr>
              <w:t>a</w:t>
            </w:r>
            <w:r>
              <w:rPr>
                <w:b/>
                <w:sz w:val="20"/>
                <w:szCs w:val="20"/>
              </w:rPr>
              <w:t xml:space="preserve"> Amaratu</w:t>
            </w:r>
            <w:r w:rsidR="00732DB7" w:rsidRPr="00C50A5C">
              <w:rPr>
                <w:b/>
                <w:sz w:val="20"/>
                <w:szCs w:val="20"/>
              </w:rPr>
              <w:t>n</w:t>
            </w:r>
            <w:r>
              <w:rPr>
                <w:b/>
                <w:sz w:val="20"/>
                <w:szCs w:val="20"/>
              </w:rPr>
              <w:t>g</w:t>
            </w:r>
            <w:r w:rsidR="00732DB7" w:rsidRPr="00C50A5C">
              <w:rPr>
                <w:b/>
                <w:sz w:val="20"/>
                <w:szCs w:val="20"/>
              </w:rPr>
              <w:t>a</w:t>
            </w:r>
          </w:p>
          <w:p w:rsidR="00732DB7" w:rsidRPr="00C50A5C" w:rsidRDefault="00732DB7" w:rsidP="00C1697B">
            <w:pPr>
              <w:widowControl w:val="0"/>
              <w:jc w:val="both"/>
              <w:rPr>
                <w:b/>
                <w:sz w:val="20"/>
                <w:szCs w:val="20"/>
              </w:rPr>
            </w:pPr>
          </w:p>
          <w:p w:rsidR="00732DB7" w:rsidRPr="00C50A5C" w:rsidRDefault="00732DB7" w:rsidP="00C1697B">
            <w:pPr>
              <w:widowControl w:val="0"/>
              <w:tabs>
                <w:tab w:val="left" w:pos="736"/>
              </w:tabs>
              <w:jc w:val="both"/>
              <w:rPr>
                <w:b/>
                <w:sz w:val="20"/>
                <w:szCs w:val="20"/>
              </w:rPr>
            </w:pPr>
            <w:r w:rsidRPr="00C50A5C">
              <w:rPr>
                <w:b/>
                <w:sz w:val="20"/>
                <w:szCs w:val="20"/>
              </w:rPr>
              <w:tab/>
              <w:t>v. (3</w:t>
            </w:r>
            <w:r w:rsidR="00972708">
              <w:rPr>
                <w:b/>
                <w:sz w:val="20"/>
                <w:szCs w:val="20"/>
              </w:rPr>
              <w:t>450</w:t>
            </w:r>
            <w:r w:rsidRPr="00C50A5C">
              <w:rPr>
                <w:b/>
                <w:sz w:val="20"/>
                <w:szCs w:val="20"/>
              </w:rPr>
              <w:t>1)</w:t>
            </w:r>
          </w:p>
          <w:p w:rsidR="00732DB7" w:rsidRPr="00C50A5C" w:rsidRDefault="00732DB7" w:rsidP="00C1697B">
            <w:pPr>
              <w:widowControl w:val="0"/>
              <w:jc w:val="both"/>
              <w:rPr>
                <w:b/>
                <w:sz w:val="20"/>
                <w:szCs w:val="20"/>
              </w:rPr>
            </w:pPr>
          </w:p>
          <w:p w:rsidR="00732DB7" w:rsidRPr="00972708" w:rsidRDefault="00972708" w:rsidP="00972708">
            <w:pPr>
              <w:widowControl w:val="0"/>
              <w:jc w:val="both"/>
              <w:rPr>
                <w:sz w:val="20"/>
                <w:szCs w:val="20"/>
              </w:rPr>
            </w:pPr>
            <w:r>
              <w:rPr>
                <w:b/>
                <w:sz w:val="20"/>
                <w:szCs w:val="20"/>
              </w:rPr>
              <w:t>Northwest Atl</w:t>
            </w:r>
            <w:r w:rsidR="00732DB7" w:rsidRPr="00C50A5C">
              <w:rPr>
                <w:b/>
                <w:sz w:val="20"/>
                <w:szCs w:val="20"/>
              </w:rPr>
              <w:t>an</w:t>
            </w:r>
            <w:r>
              <w:rPr>
                <w:b/>
                <w:sz w:val="20"/>
                <w:szCs w:val="20"/>
              </w:rPr>
              <w:t>t</w:t>
            </w:r>
            <w:r w:rsidR="00732DB7" w:rsidRPr="00C50A5C">
              <w:rPr>
                <w:b/>
                <w:sz w:val="20"/>
                <w:szCs w:val="20"/>
              </w:rPr>
              <w:t>i</w:t>
            </w:r>
            <w:r>
              <w:rPr>
                <w:b/>
                <w:sz w:val="20"/>
                <w:szCs w:val="20"/>
              </w:rPr>
              <w:t>c F</w:t>
            </w:r>
            <w:r w:rsidR="00732DB7" w:rsidRPr="00C50A5C">
              <w:rPr>
                <w:b/>
                <w:sz w:val="20"/>
                <w:szCs w:val="20"/>
              </w:rPr>
              <w:t>i</w:t>
            </w:r>
            <w:r>
              <w:rPr>
                <w:b/>
                <w:sz w:val="20"/>
                <w:szCs w:val="20"/>
              </w:rPr>
              <w:t>sheries Org</w:t>
            </w:r>
            <w:r w:rsidR="00732DB7" w:rsidRPr="00C50A5C">
              <w:rPr>
                <w:b/>
                <w:sz w:val="20"/>
                <w:szCs w:val="20"/>
              </w:rPr>
              <w:t>ani</w:t>
            </w:r>
            <w:r>
              <w:rPr>
                <w:b/>
                <w:sz w:val="20"/>
                <w:szCs w:val="20"/>
              </w:rPr>
              <w:t>zation, a body corporate</w:t>
            </w:r>
            <w:r w:rsidR="00732DB7" w:rsidRPr="00C50A5C">
              <w:rPr>
                <w:b/>
                <w:sz w:val="20"/>
                <w:szCs w:val="20"/>
              </w:rPr>
              <w:t xml:space="preserve"> (</w:t>
            </w:r>
            <w:r>
              <w:rPr>
                <w:b/>
                <w:sz w:val="20"/>
                <w:szCs w:val="20"/>
              </w:rPr>
              <w:t>N</w:t>
            </w:r>
            <w:r w:rsidR="00732DB7" w:rsidRPr="00C50A5C">
              <w:rPr>
                <w:b/>
                <w:sz w:val="20"/>
                <w:szCs w:val="20"/>
              </w:rPr>
              <w:t>.</w:t>
            </w:r>
            <w:r>
              <w:rPr>
                <w:b/>
                <w:sz w:val="20"/>
                <w:szCs w:val="20"/>
              </w:rPr>
              <w:t>S</w:t>
            </w:r>
            <w:r w:rsidR="00732DB7" w:rsidRPr="00C50A5C">
              <w:rPr>
                <w:b/>
                <w:sz w:val="20"/>
                <w:szCs w:val="20"/>
              </w:rPr>
              <w:t>.) (Civil) (By Leave)</w:t>
            </w:r>
          </w:p>
        </w:tc>
        <w:tc>
          <w:tcPr>
            <w:tcW w:w="720" w:type="dxa"/>
            <w:tcMar>
              <w:left w:w="0" w:type="dxa"/>
              <w:right w:w="0" w:type="dxa"/>
            </w:tcMar>
          </w:tcPr>
          <w:p w:rsidR="00732DB7" w:rsidRPr="00972708" w:rsidRDefault="00732DB7" w:rsidP="00732DB7">
            <w:pPr>
              <w:widowControl w:val="0"/>
              <w:jc w:val="center"/>
              <w:rPr>
                <w:sz w:val="20"/>
                <w:szCs w:val="20"/>
              </w:rPr>
            </w:pPr>
          </w:p>
        </w:tc>
        <w:tc>
          <w:tcPr>
            <w:tcW w:w="4380" w:type="dxa"/>
            <w:tcMar>
              <w:left w:w="0" w:type="dxa"/>
              <w:right w:w="0" w:type="dxa"/>
            </w:tcMar>
          </w:tcPr>
          <w:p w:rsidR="00732DB7" w:rsidRDefault="00851BA9" w:rsidP="00851BA9">
            <w:pPr>
              <w:widowControl w:val="0"/>
              <w:jc w:val="both"/>
              <w:rPr>
                <w:sz w:val="20"/>
                <w:szCs w:val="20"/>
              </w:rPr>
            </w:pPr>
            <w:r w:rsidRPr="00851BA9">
              <w:rPr>
                <w:sz w:val="20"/>
                <w:szCs w:val="20"/>
              </w:rPr>
              <w:t>David A. Copp</w:t>
            </w:r>
            <w:r>
              <w:rPr>
                <w:sz w:val="20"/>
                <w:szCs w:val="20"/>
              </w:rPr>
              <w:t xml:space="preserve"> f</w:t>
            </w:r>
            <w:r w:rsidRPr="00851BA9">
              <w:rPr>
                <w:sz w:val="20"/>
                <w:szCs w:val="20"/>
              </w:rPr>
              <w:t xml:space="preserve">or the </w:t>
            </w:r>
            <w:r>
              <w:rPr>
                <w:sz w:val="20"/>
                <w:szCs w:val="20"/>
              </w:rPr>
              <w:t>a</w:t>
            </w:r>
            <w:r w:rsidRPr="00851BA9">
              <w:rPr>
                <w:sz w:val="20"/>
                <w:szCs w:val="20"/>
              </w:rPr>
              <w:t>ppellant</w:t>
            </w:r>
            <w:r>
              <w:rPr>
                <w:sz w:val="20"/>
                <w:szCs w:val="20"/>
              </w:rPr>
              <w:t>.</w:t>
            </w:r>
          </w:p>
          <w:p w:rsidR="00851BA9" w:rsidRDefault="00851BA9" w:rsidP="00851BA9">
            <w:pPr>
              <w:widowControl w:val="0"/>
              <w:jc w:val="both"/>
              <w:rPr>
                <w:sz w:val="20"/>
                <w:szCs w:val="20"/>
              </w:rPr>
            </w:pPr>
          </w:p>
          <w:p w:rsidR="00851BA9" w:rsidRDefault="00851BA9" w:rsidP="00851BA9">
            <w:pPr>
              <w:widowControl w:val="0"/>
              <w:jc w:val="both"/>
              <w:rPr>
                <w:sz w:val="20"/>
                <w:szCs w:val="20"/>
              </w:rPr>
            </w:pPr>
            <w:r w:rsidRPr="00851BA9">
              <w:rPr>
                <w:sz w:val="20"/>
                <w:szCs w:val="20"/>
              </w:rPr>
              <w:t>Ewa Krajewska</w:t>
            </w:r>
            <w:r>
              <w:rPr>
                <w:sz w:val="20"/>
                <w:szCs w:val="20"/>
              </w:rPr>
              <w:t xml:space="preserve"> and </w:t>
            </w:r>
            <w:r w:rsidRPr="00851BA9">
              <w:rPr>
                <w:sz w:val="20"/>
                <w:szCs w:val="20"/>
              </w:rPr>
              <w:t>Heather K. Pessione</w:t>
            </w:r>
            <w:r>
              <w:rPr>
                <w:sz w:val="20"/>
                <w:szCs w:val="20"/>
              </w:rPr>
              <w:t xml:space="preserve"> f</w:t>
            </w:r>
            <w:r w:rsidRPr="00851BA9">
              <w:rPr>
                <w:sz w:val="20"/>
                <w:szCs w:val="20"/>
              </w:rPr>
              <w:t xml:space="preserve">or the </w:t>
            </w:r>
            <w:r>
              <w:rPr>
                <w:sz w:val="20"/>
                <w:szCs w:val="20"/>
              </w:rPr>
              <w:t>i</w:t>
            </w:r>
            <w:r w:rsidRPr="00851BA9">
              <w:rPr>
                <w:sz w:val="20"/>
                <w:szCs w:val="20"/>
              </w:rPr>
              <w:t>ntervener</w:t>
            </w:r>
            <w:r>
              <w:rPr>
                <w:sz w:val="20"/>
                <w:szCs w:val="20"/>
              </w:rPr>
              <w:t xml:space="preserve"> </w:t>
            </w:r>
            <w:r w:rsidRPr="00851BA9">
              <w:rPr>
                <w:sz w:val="20"/>
                <w:szCs w:val="20"/>
              </w:rPr>
              <w:t>Canadian Civil Liberties Association</w:t>
            </w:r>
            <w:r>
              <w:rPr>
                <w:sz w:val="20"/>
                <w:szCs w:val="20"/>
              </w:rPr>
              <w:t>.</w:t>
            </w:r>
          </w:p>
          <w:p w:rsidR="00851BA9" w:rsidRDefault="00851BA9" w:rsidP="00851BA9">
            <w:pPr>
              <w:widowControl w:val="0"/>
              <w:jc w:val="both"/>
              <w:rPr>
                <w:sz w:val="20"/>
                <w:szCs w:val="20"/>
              </w:rPr>
            </w:pPr>
          </w:p>
          <w:p w:rsidR="00851BA9" w:rsidRPr="00C50A5C" w:rsidRDefault="00851BA9" w:rsidP="00851BA9">
            <w:pPr>
              <w:widowControl w:val="0"/>
              <w:jc w:val="both"/>
              <w:rPr>
                <w:sz w:val="20"/>
                <w:szCs w:val="20"/>
              </w:rPr>
            </w:pPr>
            <w:r>
              <w:rPr>
                <w:sz w:val="20"/>
                <w:szCs w:val="20"/>
              </w:rPr>
              <w:t xml:space="preserve">John T. Shanks and </w:t>
            </w:r>
            <w:r w:rsidRPr="00851BA9">
              <w:rPr>
                <w:sz w:val="20"/>
                <w:szCs w:val="20"/>
              </w:rPr>
              <w:t>Rick Dunlop</w:t>
            </w:r>
            <w:r>
              <w:rPr>
                <w:sz w:val="20"/>
                <w:szCs w:val="20"/>
              </w:rPr>
              <w:t xml:space="preserve"> f</w:t>
            </w:r>
            <w:r w:rsidRPr="00851BA9">
              <w:rPr>
                <w:sz w:val="20"/>
                <w:szCs w:val="20"/>
              </w:rPr>
              <w:t xml:space="preserve">or the </w:t>
            </w:r>
            <w:r>
              <w:rPr>
                <w:sz w:val="20"/>
                <w:szCs w:val="20"/>
              </w:rPr>
              <w:t>r</w:t>
            </w:r>
            <w:r w:rsidRPr="00851BA9">
              <w:rPr>
                <w:sz w:val="20"/>
                <w:szCs w:val="20"/>
              </w:rPr>
              <w:t>espondent</w:t>
            </w:r>
            <w:r>
              <w:rPr>
                <w:sz w:val="20"/>
                <w:szCs w:val="20"/>
              </w:rPr>
              <w:t>.</w:t>
            </w:r>
          </w:p>
        </w:tc>
      </w:tr>
    </w:tbl>
    <w:p w:rsidR="00C1697B" w:rsidRDefault="00C1697B" w:rsidP="00C1697B">
      <w:pPr>
        <w:widowControl w:val="0"/>
      </w:pPr>
    </w:p>
    <w:p w:rsidR="00C1697B" w:rsidRPr="0085476B" w:rsidRDefault="00C1697B" w:rsidP="00C1697B">
      <w:pPr>
        <w:widowControl w:val="0"/>
        <w:rPr>
          <w:sz w:val="20"/>
          <w:szCs w:val="20"/>
        </w:rPr>
      </w:pPr>
      <w:r w:rsidRPr="0085476B">
        <w:rPr>
          <w:b/>
          <w:sz w:val="20"/>
          <w:szCs w:val="20"/>
        </w:rPr>
        <w:t xml:space="preserve">RESERVED / </w:t>
      </w:r>
      <w:r w:rsidRPr="0085476B">
        <w:rPr>
          <w:b/>
          <w:sz w:val="20"/>
          <w:szCs w:val="20"/>
          <w:lang w:val="fr-CA"/>
        </w:rPr>
        <w:t>EN DÉLIBÉRÉ</w:t>
      </w:r>
    </w:p>
    <w:p w:rsidR="00C1697B" w:rsidRDefault="00C1697B"/>
    <w:tbl>
      <w:tblPr>
        <w:tblW w:w="0" w:type="auto"/>
        <w:tblLayout w:type="fixed"/>
        <w:tblCellMar>
          <w:left w:w="0" w:type="dxa"/>
          <w:right w:w="0" w:type="dxa"/>
        </w:tblCellMar>
        <w:tblLook w:val="0000"/>
      </w:tblPr>
      <w:tblGrid>
        <w:gridCol w:w="4380"/>
        <w:gridCol w:w="720"/>
        <w:gridCol w:w="4380"/>
      </w:tblGrid>
      <w:tr w:rsidR="00C1697B" w:rsidRPr="00C4248C" w:rsidTr="00C1697B">
        <w:tc>
          <w:tcPr>
            <w:tcW w:w="4380" w:type="dxa"/>
            <w:tcMar>
              <w:left w:w="0" w:type="dxa"/>
              <w:right w:w="0" w:type="dxa"/>
            </w:tcMar>
          </w:tcPr>
          <w:p w:rsidR="00C1697B" w:rsidRPr="00CC4D84" w:rsidRDefault="00C1697B" w:rsidP="00C1697B">
            <w:pPr>
              <w:widowControl w:val="0"/>
              <w:jc w:val="both"/>
              <w:rPr>
                <w:b/>
                <w:sz w:val="20"/>
                <w:szCs w:val="20"/>
                <w:u w:val="single"/>
              </w:rPr>
            </w:pPr>
            <w:r w:rsidRPr="00CC4D84">
              <w:rPr>
                <w:b/>
                <w:sz w:val="20"/>
                <w:szCs w:val="20"/>
                <w:u w:val="single"/>
              </w:rPr>
              <w:t>Nature of the case:</w:t>
            </w:r>
          </w:p>
          <w:p w:rsidR="00C1697B" w:rsidRPr="00C1697B" w:rsidRDefault="00C1697B" w:rsidP="00C1697B">
            <w:pPr>
              <w:widowControl w:val="0"/>
              <w:jc w:val="both"/>
              <w:rPr>
                <w:b/>
                <w:sz w:val="20"/>
                <w:szCs w:val="20"/>
              </w:rPr>
            </w:pPr>
          </w:p>
          <w:p w:rsidR="00C1697B" w:rsidRPr="00C1697B" w:rsidRDefault="00972708" w:rsidP="00C1697B">
            <w:pPr>
              <w:widowControl w:val="0"/>
              <w:jc w:val="both"/>
              <w:rPr>
                <w:b/>
                <w:sz w:val="20"/>
                <w:szCs w:val="20"/>
              </w:rPr>
            </w:pPr>
            <w:r w:rsidRPr="00767B58">
              <w:rPr>
                <w:sz w:val="20"/>
                <w:szCs w:val="20"/>
              </w:rPr>
              <w:t xml:space="preserve">Public international law </w:t>
            </w:r>
            <w:r w:rsidRPr="00767B58">
              <w:rPr>
                <w:sz w:val="20"/>
                <w:szCs w:val="20"/>
              </w:rPr>
              <w:noBreakHyphen/>
              <w:t xml:space="preserve"> Jurisdictional immunity </w:t>
            </w:r>
            <w:r w:rsidRPr="00767B58">
              <w:rPr>
                <w:sz w:val="20"/>
                <w:szCs w:val="20"/>
              </w:rPr>
              <w:noBreakHyphen/>
              <w:t xml:space="preserve"> NAFO asserted immunity from the jurisdiction of Canadian courts with regard to the action brought by the appellant </w:t>
            </w:r>
            <w:r w:rsidRPr="00767B58">
              <w:rPr>
                <w:sz w:val="20"/>
                <w:szCs w:val="20"/>
              </w:rPr>
              <w:noBreakHyphen/>
              <w:t xml:space="preserve"> Court of Appeal concluded Nova Scotia courts had no jurisdiction to adjudicate matters, contrary to the decision of the Supreme Court of Nova Scotia </w:t>
            </w:r>
            <w:r w:rsidRPr="00767B58">
              <w:rPr>
                <w:sz w:val="20"/>
                <w:szCs w:val="20"/>
              </w:rPr>
              <w:noBreakHyphen/>
              <w:t xml:space="preserve"> Whether the Court of Appeal erred in law by interpreting the </w:t>
            </w:r>
            <w:r w:rsidRPr="00767B58">
              <w:rPr>
                <w:i/>
                <w:sz w:val="20"/>
                <w:szCs w:val="20"/>
              </w:rPr>
              <w:t xml:space="preserve">Foreign Missions and International Organizations Act </w:t>
            </w:r>
            <w:r w:rsidRPr="00767B58">
              <w:rPr>
                <w:sz w:val="20"/>
                <w:szCs w:val="20"/>
              </w:rPr>
              <w:t>(“</w:t>
            </w:r>
            <w:r w:rsidRPr="00767B58">
              <w:rPr>
                <w:i/>
                <w:sz w:val="20"/>
                <w:szCs w:val="20"/>
              </w:rPr>
              <w:t>FMIO</w:t>
            </w:r>
            <w:r w:rsidRPr="00767B58">
              <w:rPr>
                <w:sz w:val="20"/>
                <w:szCs w:val="20"/>
              </w:rPr>
              <w:t xml:space="preserve">”) and the NAFO Immunity Order without consideration of the </w:t>
            </w:r>
            <w:r w:rsidRPr="00767B58">
              <w:rPr>
                <w:i/>
                <w:sz w:val="20"/>
                <w:szCs w:val="20"/>
              </w:rPr>
              <w:t xml:space="preserve">International Bill of Human Rights, </w:t>
            </w:r>
            <w:r w:rsidRPr="00767B58">
              <w:rPr>
                <w:sz w:val="20"/>
                <w:szCs w:val="20"/>
              </w:rPr>
              <w:t xml:space="preserve">and without consideration of the obligations of Canada under conventional international law </w:t>
            </w:r>
            <w:r w:rsidRPr="00767B58">
              <w:rPr>
                <w:sz w:val="20"/>
                <w:szCs w:val="20"/>
              </w:rPr>
              <w:noBreakHyphen/>
              <w:t xml:space="preserve"> Whether the Court of Appeal erred in law by interpreting the </w:t>
            </w:r>
            <w:r w:rsidRPr="00767B58">
              <w:rPr>
                <w:i/>
                <w:sz w:val="20"/>
                <w:szCs w:val="20"/>
              </w:rPr>
              <w:t xml:space="preserve">FMIO </w:t>
            </w:r>
            <w:r w:rsidRPr="00767B58">
              <w:rPr>
                <w:sz w:val="20"/>
                <w:szCs w:val="20"/>
              </w:rPr>
              <w:t xml:space="preserve">and the NAFO Immunity Order without consideration of the fundamental principle of common law, </w:t>
            </w:r>
            <w:r w:rsidRPr="00767B58">
              <w:rPr>
                <w:i/>
                <w:sz w:val="20"/>
                <w:szCs w:val="20"/>
              </w:rPr>
              <w:t>Ubi, jus, ibi remedium</w:t>
            </w:r>
            <w:r w:rsidRPr="00767B58">
              <w:rPr>
                <w:sz w:val="20"/>
                <w:szCs w:val="20"/>
              </w:rPr>
              <w:t xml:space="preserve"> </w:t>
            </w:r>
            <w:r w:rsidRPr="00767B58">
              <w:rPr>
                <w:sz w:val="20"/>
                <w:szCs w:val="20"/>
              </w:rPr>
              <w:noBreakHyphen/>
              <w:t xml:space="preserve"> Whether the Court of Appeal erred in law by interpreting the word “required” in s.3(1) of the </w:t>
            </w:r>
            <w:r w:rsidRPr="00767B58">
              <w:rPr>
                <w:i/>
                <w:sz w:val="20"/>
                <w:szCs w:val="20"/>
              </w:rPr>
              <w:t xml:space="preserve">NAFO Immunity Order </w:t>
            </w:r>
            <w:r w:rsidRPr="00767B58">
              <w:rPr>
                <w:sz w:val="20"/>
                <w:szCs w:val="20"/>
              </w:rPr>
              <w:t xml:space="preserve"> broadly, so as to provide immunity from the jurisdiction of the court </w:t>
            </w:r>
            <w:r w:rsidRPr="00767B58">
              <w:rPr>
                <w:sz w:val="20"/>
                <w:szCs w:val="20"/>
              </w:rPr>
              <w:noBreakHyphen/>
              <w:t xml:space="preserve"> Whether the Court of Appeal erred in law by holding that a conclusion by the lower court that “just cause [for the dismissal of the appellant] is not asserted by NAFO” was a palpable and overriding error of fact requiring intervention by the Court of Appeal </w:t>
            </w:r>
            <w:r w:rsidRPr="00767B58">
              <w:rPr>
                <w:sz w:val="20"/>
                <w:szCs w:val="20"/>
              </w:rPr>
              <w:noBreakHyphen/>
              <w:t xml:space="preserve"> Whether the Court of Appeal erred in law by holding, without consideration or reasons, that the NAFO Immunity Order provided immunity to NAFO from the jurisdiction of the court with respect to the concurrent claim of the Appellant for payment of the balance of Separation Indemnity explicitly due under the Staff Rules of NAFO, or alternatively, pursuant to a contract subsequent to the dismissal from service of the Appellant?</w:t>
            </w:r>
          </w:p>
        </w:tc>
        <w:tc>
          <w:tcPr>
            <w:tcW w:w="720" w:type="dxa"/>
            <w:tcMar>
              <w:left w:w="0" w:type="dxa"/>
              <w:right w:w="0" w:type="dxa"/>
            </w:tcMar>
          </w:tcPr>
          <w:p w:rsidR="00C1697B" w:rsidRPr="00C1697B" w:rsidRDefault="00C1697B" w:rsidP="00C1697B">
            <w:pPr>
              <w:widowControl w:val="0"/>
              <w:jc w:val="center"/>
              <w:rPr>
                <w:sz w:val="20"/>
                <w:szCs w:val="20"/>
              </w:rPr>
            </w:pPr>
          </w:p>
        </w:tc>
        <w:tc>
          <w:tcPr>
            <w:tcW w:w="4380" w:type="dxa"/>
            <w:tcMar>
              <w:left w:w="0" w:type="dxa"/>
              <w:right w:w="0" w:type="dxa"/>
            </w:tcMar>
          </w:tcPr>
          <w:p w:rsidR="00C1697B" w:rsidRPr="00CC4D84" w:rsidRDefault="00C1697B" w:rsidP="00C1697B">
            <w:pPr>
              <w:widowControl w:val="0"/>
              <w:jc w:val="both"/>
              <w:rPr>
                <w:b/>
                <w:sz w:val="20"/>
                <w:szCs w:val="20"/>
                <w:u w:val="single"/>
                <w:lang w:val="fr-CA"/>
              </w:rPr>
            </w:pPr>
            <w:r w:rsidRPr="00CC4D84">
              <w:rPr>
                <w:b/>
                <w:sz w:val="20"/>
                <w:szCs w:val="20"/>
                <w:u w:val="single"/>
                <w:lang w:val="fr-CA"/>
              </w:rPr>
              <w:t>Nature de la cause :</w:t>
            </w:r>
          </w:p>
          <w:p w:rsidR="00C1697B" w:rsidRPr="00C1697B" w:rsidRDefault="00C1697B" w:rsidP="00C1697B">
            <w:pPr>
              <w:widowControl w:val="0"/>
              <w:jc w:val="both"/>
              <w:rPr>
                <w:sz w:val="20"/>
                <w:szCs w:val="20"/>
                <w:lang w:val="fr-CA"/>
              </w:rPr>
            </w:pPr>
          </w:p>
          <w:p w:rsidR="00C1697B" w:rsidRPr="00C1697B" w:rsidRDefault="00972708" w:rsidP="00972708">
            <w:pPr>
              <w:widowControl w:val="0"/>
              <w:jc w:val="both"/>
              <w:rPr>
                <w:sz w:val="20"/>
                <w:szCs w:val="20"/>
                <w:lang w:val="fr-CA"/>
              </w:rPr>
            </w:pPr>
            <w:r w:rsidRPr="00DB7801">
              <w:rPr>
                <w:sz w:val="20"/>
                <w:szCs w:val="20"/>
                <w:lang w:val="fr-CA"/>
              </w:rPr>
              <w:t xml:space="preserve">Droit international public </w:t>
            </w:r>
            <w:r w:rsidRPr="00DB7801">
              <w:rPr>
                <w:sz w:val="20"/>
                <w:szCs w:val="20"/>
                <w:lang w:val="fr-CA"/>
              </w:rPr>
              <w:noBreakHyphen/>
              <w:t xml:space="preserve"> Immunité de juridiction </w:t>
            </w:r>
            <w:r w:rsidRPr="00DB7801">
              <w:rPr>
                <w:sz w:val="20"/>
                <w:szCs w:val="20"/>
                <w:lang w:val="fr-CA"/>
              </w:rPr>
              <w:noBreakHyphen/>
              <w:t xml:space="preserve"> L’OPANO a dit échapper à la compétence des tribunaux canadiens en ce qui concerne l’action intentée par l’appelant </w:t>
            </w:r>
            <w:r w:rsidRPr="00DB7801">
              <w:rPr>
                <w:sz w:val="20"/>
                <w:szCs w:val="20"/>
                <w:lang w:val="fr-CA"/>
              </w:rPr>
              <w:noBreakHyphen/>
              <w:t xml:space="preserve"> Selon la Cour d’appel, les tribunaux de la Nouvelle</w:t>
            </w:r>
            <w:r w:rsidRPr="00DB7801">
              <w:rPr>
                <w:sz w:val="20"/>
                <w:szCs w:val="20"/>
                <w:lang w:val="fr-CA"/>
              </w:rPr>
              <w:noBreakHyphen/>
              <w:t xml:space="preserve">Écosse n’avaient pas compétence pour trancher les questions en litige, contrairement à ce qu’a décidé la Cour suprême de cette province </w:t>
            </w:r>
            <w:r w:rsidRPr="00DB7801">
              <w:rPr>
                <w:sz w:val="20"/>
                <w:szCs w:val="20"/>
                <w:lang w:val="fr-CA"/>
              </w:rPr>
              <w:noBreakHyphen/>
              <w:t xml:space="preserve"> La Cour d’appel a</w:t>
            </w:r>
            <w:r w:rsidRPr="00DB7801">
              <w:rPr>
                <w:sz w:val="20"/>
                <w:szCs w:val="20"/>
                <w:lang w:val="fr-CA"/>
              </w:rPr>
              <w:noBreakHyphen/>
              <w:t>t</w:t>
            </w:r>
            <w:r w:rsidRPr="00DB7801">
              <w:rPr>
                <w:sz w:val="20"/>
                <w:szCs w:val="20"/>
                <w:lang w:val="fr-CA"/>
              </w:rPr>
              <w:noBreakHyphen/>
              <w:t xml:space="preserve">elle commis une erreur de droit en interprétant la </w:t>
            </w:r>
            <w:r w:rsidRPr="00DB7801">
              <w:rPr>
                <w:i/>
                <w:sz w:val="20"/>
                <w:szCs w:val="20"/>
                <w:lang w:val="fr-CA"/>
              </w:rPr>
              <w:t xml:space="preserve">Loi sur les missions étrangères et les organisations internationales </w:t>
            </w:r>
            <w:r w:rsidRPr="00DB7801">
              <w:rPr>
                <w:sz w:val="20"/>
                <w:szCs w:val="20"/>
                <w:lang w:val="fr-CA"/>
              </w:rPr>
              <w:t>(« </w:t>
            </w:r>
            <w:r w:rsidRPr="00DB7801">
              <w:rPr>
                <w:i/>
                <w:sz w:val="20"/>
                <w:szCs w:val="20"/>
                <w:lang w:val="fr-CA"/>
              </w:rPr>
              <w:t>LMÉOI </w:t>
            </w:r>
            <w:r w:rsidRPr="00DB7801">
              <w:rPr>
                <w:sz w:val="20"/>
                <w:szCs w:val="20"/>
                <w:lang w:val="fr-CA"/>
              </w:rPr>
              <w:t xml:space="preserve">») et le Décret octroyant une immunité à l’OPANO sans tenir compte de la </w:t>
            </w:r>
            <w:r w:rsidRPr="00DB7801">
              <w:rPr>
                <w:i/>
                <w:sz w:val="20"/>
                <w:szCs w:val="20"/>
                <w:lang w:val="fr-CA"/>
              </w:rPr>
              <w:t xml:space="preserve">Charte internationale des droits de l’homme </w:t>
            </w:r>
            <w:r w:rsidRPr="00DB7801">
              <w:rPr>
                <w:sz w:val="20"/>
                <w:szCs w:val="20"/>
                <w:lang w:val="fr-CA"/>
              </w:rPr>
              <w:t xml:space="preserve">et des obligations du Canada en droit international coutumier? </w:t>
            </w:r>
            <w:r w:rsidRPr="00DB7801">
              <w:rPr>
                <w:sz w:val="20"/>
                <w:szCs w:val="20"/>
                <w:lang w:val="fr-CA"/>
              </w:rPr>
              <w:noBreakHyphen/>
              <w:t xml:space="preserve"> La Cour d’appel a</w:t>
            </w:r>
            <w:r w:rsidRPr="00DB7801">
              <w:rPr>
                <w:sz w:val="20"/>
                <w:szCs w:val="20"/>
                <w:lang w:val="fr-CA"/>
              </w:rPr>
              <w:noBreakHyphen/>
              <w:t>t</w:t>
            </w:r>
            <w:r w:rsidRPr="00DB7801">
              <w:rPr>
                <w:sz w:val="20"/>
                <w:szCs w:val="20"/>
                <w:lang w:val="fr-CA"/>
              </w:rPr>
              <w:noBreakHyphen/>
              <w:t xml:space="preserve">elle commis une erreur de droit en interprétant la </w:t>
            </w:r>
            <w:r w:rsidRPr="00DB7801">
              <w:rPr>
                <w:i/>
                <w:sz w:val="20"/>
                <w:szCs w:val="20"/>
                <w:lang w:val="fr-CA"/>
              </w:rPr>
              <w:t xml:space="preserve">LMÉOI </w:t>
            </w:r>
            <w:r w:rsidRPr="00DB7801">
              <w:rPr>
                <w:sz w:val="20"/>
                <w:szCs w:val="20"/>
                <w:lang w:val="fr-CA"/>
              </w:rPr>
              <w:t xml:space="preserve">et le Décret octroyant une immunité à l’OPANO sans prendre en considération le principe fondamental de la common law : là où il y a un droit, il y a un recours? </w:t>
            </w:r>
            <w:r w:rsidRPr="00DB7801">
              <w:rPr>
                <w:sz w:val="20"/>
                <w:szCs w:val="20"/>
                <w:lang w:val="fr-CA"/>
              </w:rPr>
              <w:noBreakHyphen/>
              <w:t xml:space="preserve"> La Cour d’appel a</w:t>
            </w:r>
            <w:r w:rsidRPr="00DB7801">
              <w:rPr>
                <w:sz w:val="20"/>
                <w:szCs w:val="20"/>
                <w:lang w:val="fr-CA"/>
              </w:rPr>
              <w:noBreakHyphen/>
              <w:t>t</w:t>
            </w:r>
            <w:r w:rsidRPr="00DB7801">
              <w:rPr>
                <w:sz w:val="20"/>
                <w:szCs w:val="20"/>
                <w:lang w:val="fr-CA"/>
              </w:rPr>
              <w:noBreakHyphen/>
              <w:t xml:space="preserve">elle commis une erreur de droit en donnant une interprétation large au mot « exigent » figurant au par. 3(1) du </w:t>
            </w:r>
            <w:r w:rsidRPr="00DB7801">
              <w:rPr>
                <w:i/>
                <w:sz w:val="20"/>
                <w:szCs w:val="20"/>
                <w:lang w:val="fr-CA"/>
              </w:rPr>
              <w:t>Décret octroyant une immunité à l’OPANO</w:t>
            </w:r>
            <w:r w:rsidRPr="00DB7801">
              <w:rPr>
                <w:sz w:val="20"/>
                <w:szCs w:val="20"/>
                <w:lang w:val="fr-CA"/>
              </w:rPr>
              <w:t xml:space="preserve">, de manière à accorder l’immunité de juridiction devant le tribunal? </w:t>
            </w:r>
            <w:r w:rsidRPr="00DB7801">
              <w:rPr>
                <w:sz w:val="20"/>
                <w:szCs w:val="20"/>
                <w:lang w:val="fr-CA"/>
              </w:rPr>
              <w:noBreakHyphen/>
              <w:t xml:space="preserve"> La Cour d’appel a</w:t>
            </w:r>
            <w:r w:rsidRPr="00DB7801">
              <w:rPr>
                <w:sz w:val="20"/>
                <w:szCs w:val="20"/>
                <w:lang w:val="fr-CA"/>
              </w:rPr>
              <w:noBreakHyphen/>
              <w:t>t</w:t>
            </w:r>
            <w:r w:rsidRPr="00DB7801">
              <w:rPr>
                <w:sz w:val="20"/>
                <w:szCs w:val="20"/>
                <w:lang w:val="fr-CA"/>
              </w:rPr>
              <w:noBreakHyphen/>
              <w:t xml:space="preserve">elle commis une erreur de droit en jugeant que la conclusion de la cour inférieure, selon laquelle « l’OPANO n’invoque pas le caractère justifié [du congédiement de l’appelant] », était une erreur de fait manifeste et dominante nécessitant l’intervention de la Cour d’appel? </w:t>
            </w:r>
            <w:r w:rsidRPr="00DB7801">
              <w:rPr>
                <w:sz w:val="20"/>
                <w:szCs w:val="20"/>
                <w:lang w:val="fr-CA"/>
              </w:rPr>
              <w:noBreakHyphen/>
              <w:t xml:space="preserve"> La Cour d’appel a</w:t>
            </w:r>
            <w:r w:rsidRPr="00DB7801">
              <w:rPr>
                <w:sz w:val="20"/>
                <w:szCs w:val="20"/>
                <w:lang w:val="fr-CA"/>
              </w:rPr>
              <w:noBreakHyphen/>
              <w:t>t</w:t>
            </w:r>
            <w:r w:rsidRPr="00DB7801">
              <w:rPr>
                <w:sz w:val="20"/>
                <w:szCs w:val="20"/>
                <w:lang w:val="fr-CA"/>
              </w:rPr>
              <w:noBreakHyphen/>
              <w:t xml:space="preserve">elle commis une erreur de droit en affirmant, sans avoir examiné la question ou sans motifs à l’appui, que le Décret octroyant une immunité à l’OPANO mettait cette dernière à l’abri de la compétence du tribunal relativement à la poursuite de l’appelant visant à obtenir le solde de l’indemnité de départ à laquelle il avait explicitement droit en vertu des </w:t>
            </w:r>
            <w:r w:rsidRPr="00DB7801">
              <w:rPr>
                <w:i/>
                <w:sz w:val="20"/>
                <w:szCs w:val="20"/>
                <w:lang w:val="fr-CA"/>
              </w:rPr>
              <w:t>Staff Rules</w:t>
            </w:r>
            <w:r w:rsidRPr="00DB7801">
              <w:rPr>
                <w:sz w:val="20"/>
                <w:szCs w:val="20"/>
                <w:lang w:val="fr-CA"/>
              </w:rPr>
              <w:t xml:space="preserve"> de l’OPANO ou, subsidiairement, en vertu d’un contrat à la suite de son licenciement?</w:t>
            </w:r>
          </w:p>
        </w:tc>
      </w:tr>
    </w:tbl>
    <w:p w:rsidR="00732DB7" w:rsidRDefault="00732DB7" w:rsidP="00732DB7">
      <w:pPr>
        <w:widowControl w:val="0"/>
        <w:rPr>
          <w:sz w:val="20"/>
          <w:szCs w:val="20"/>
          <w:lang w:val="fr-CA"/>
        </w:rPr>
      </w:pPr>
    </w:p>
    <w:p w:rsidR="002A27D1" w:rsidRDefault="00B74DD2" w:rsidP="002A27D1">
      <w:pPr>
        <w:widowControl w:val="0"/>
        <w:rPr>
          <w:sz w:val="20"/>
          <w:szCs w:val="20"/>
        </w:rPr>
      </w:pPr>
      <w:r w:rsidRPr="00B74DD2">
        <w:rPr>
          <w:sz w:val="20"/>
          <w:szCs w:val="20"/>
          <w:lang w:val="fr-CA"/>
        </w:rPr>
        <w:pict>
          <v:rect id="_x0000_i1067" style="width:2in;height:1pt" o:hrpct="0" o:hralign="center" o:hrstd="t" o:hrnoshade="t" o:hr="t" fillcolor="black [3213]" stroked="f"/>
        </w:pict>
      </w:r>
    </w:p>
    <w:p w:rsidR="00E940EB" w:rsidRPr="00C1697B" w:rsidRDefault="00E940EB" w:rsidP="00732DB7">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C4248C"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202C5F" w:rsidRDefault="00321B75" w:rsidP="00AF1715">
      <w:pPr>
        <w:rPr>
          <w:b/>
          <w:sz w:val="20"/>
          <w:szCs w:val="20"/>
        </w:rPr>
      </w:pPr>
      <w:r>
        <w:rPr>
          <w:b/>
          <w:sz w:val="20"/>
          <w:szCs w:val="20"/>
        </w:rPr>
        <w:t>APRIL 4</w:t>
      </w:r>
      <w:r w:rsidR="00AF1715" w:rsidRPr="003B3977">
        <w:rPr>
          <w:b/>
          <w:sz w:val="20"/>
          <w:szCs w:val="20"/>
        </w:rPr>
        <w:t>, 201</w:t>
      </w:r>
      <w:r>
        <w:rPr>
          <w:b/>
          <w:sz w:val="20"/>
          <w:szCs w:val="20"/>
        </w:rPr>
        <w:t>3</w:t>
      </w:r>
      <w:r w:rsidR="00AF1715" w:rsidRPr="003B3977">
        <w:rPr>
          <w:b/>
          <w:sz w:val="20"/>
          <w:szCs w:val="20"/>
        </w:rPr>
        <w:t xml:space="preserve"> / LE </w:t>
      </w:r>
      <w:r w:rsidRPr="00202C5F">
        <w:rPr>
          <w:b/>
          <w:sz w:val="20"/>
          <w:szCs w:val="20"/>
        </w:rPr>
        <w:t>4</w:t>
      </w:r>
      <w:r w:rsidR="00AF1715" w:rsidRPr="00202C5F">
        <w:rPr>
          <w:b/>
          <w:sz w:val="20"/>
          <w:szCs w:val="20"/>
        </w:rPr>
        <w:t xml:space="preserve"> </w:t>
      </w:r>
      <w:r w:rsidRPr="00202C5F">
        <w:rPr>
          <w:b/>
          <w:sz w:val="20"/>
          <w:szCs w:val="20"/>
        </w:rPr>
        <w:t>AVRIL</w:t>
      </w:r>
      <w:r w:rsidR="00AF1715" w:rsidRPr="00202C5F">
        <w:rPr>
          <w:b/>
          <w:sz w:val="20"/>
          <w:szCs w:val="20"/>
        </w:rPr>
        <w:t xml:space="preserve"> 201</w:t>
      </w:r>
      <w:r w:rsidRPr="00202C5F">
        <w:rPr>
          <w:b/>
          <w:sz w:val="20"/>
          <w:szCs w:val="20"/>
        </w:rPr>
        <w:t>3</w:t>
      </w:r>
    </w:p>
    <w:p w:rsidR="00AF1715" w:rsidRPr="00202C5F" w:rsidRDefault="00AF1715" w:rsidP="00AF1715">
      <w:pPr>
        <w:rPr>
          <w:sz w:val="20"/>
          <w:szCs w:val="20"/>
        </w:rPr>
      </w:pPr>
    </w:p>
    <w:p w:rsidR="00AF1715" w:rsidRPr="00202C5F" w:rsidRDefault="00AF1715" w:rsidP="00AF1715">
      <w:pPr>
        <w:ind w:left="1440" w:hanging="1440"/>
        <w:jc w:val="both"/>
        <w:rPr>
          <w:sz w:val="20"/>
          <w:szCs w:val="20"/>
          <w:lang w:val="en-GB"/>
        </w:rPr>
      </w:pPr>
      <w:r w:rsidRPr="00202C5F">
        <w:rPr>
          <w:b/>
          <w:sz w:val="20"/>
          <w:szCs w:val="20"/>
          <w:lang w:val="en-GB"/>
        </w:rPr>
        <w:t>3</w:t>
      </w:r>
      <w:r w:rsidR="00321B75" w:rsidRPr="00202C5F">
        <w:rPr>
          <w:b/>
          <w:sz w:val="20"/>
          <w:szCs w:val="20"/>
          <w:lang w:val="en-GB"/>
        </w:rPr>
        <w:t>4408</w:t>
      </w:r>
      <w:r w:rsidRPr="00202C5F">
        <w:rPr>
          <w:b/>
          <w:sz w:val="20"/>
          <w:szCs w:val="20"/>
          <w:lang w:val="en-GB"/>
        </w:rPr>
        <w:tab/>
      </w:r>
      <w:r w:rsidR="00321B75" w:rsidRPr="00202C5F">
        <w:rPr>
          <w:b/>
          <w:sz w:val="20"/>
          <w:szCs w:val="20"/>
          <w:u w:val="single"/>
          <w:lang w:val="en-GB"/>
        </w:rPr>
        <w:t xml:space="preserve">Cassidy Alexis Ediger, an infant by her Guardian </w:t>
      </w:r>
      <w:r w:rsidR="00321B75" w:rsidRPr="00202C5F">
        <w:rPr>
          <w:b/>
          <w:i/>
          <w:sz w:val="20"/>
          <w:szCs w:val="20"/>
          <w:u w:val="single"/>
          <w:lang w:val="en-GB"/>
        </w:rPr>
        <w:t>Ad Litem</w:t>
      </w:r>
      <w:r w:rsidR="00321B75" w:rsidRPr="00202C5F">
        <w:rPr>
          <w:b/>
          <w:sz w:val="20"/>
          <w:szCs w:val="20"/>
          <w:u w:val="single"/>
          <w:lang w:val="en-GB"/>
        </w:rPr>
        <w:t>, Carolyn Grace Ediger v. William G. Johnston</w:t>
      </w:r>
      <w:r w:rsidR="00321B75" w:rsidRPr="00202C5F">
        <w:rPr>
          <w:b/>
          <w:sz w:val="20"/>
          <w:szCs w:val="20"/>
          <w:lang w:val="en-GB"/>
        </w:rPr>
        <w:t xml:space="preserve"> </w:t>
      </w:r>
      <w:r w:rsidRPr="00202C5F">
        <w:rPr>
          <w:sz w:val="20"/>
          <w:szCs w:val="20"/>
          <w:lang w:val="en-GB"/>
        </w:rPr>
        <w:t>(B.C.)</w:t>
      </w:r>
    </w:p>
    <w:p w:rsidR="00AF1715" w:rsidRPr="00202C5F" w:rsidRDefault="00AF1715" w:rsidP="00AF1715">
      <w:pPr>
        <w:ind w:left="1440"/>
        <w:jc w:val="both"/>
        <w:rPr>
          <w:sz w:val="20"/>
          <w:szCs w:val="20"/>
        </w:rPr>
      </w:pPr>
      <w:r w:rsidRPr="00202C5F">
        <w:rPr>
          <w:b/>
          <w:sz w:val="20"/>
          <w:szCs w:val="20"/>
        </w:rPr>
        <w:t>201</w:t>
      </w:r>
      <w:r w:rsidR="00321B75" w:rsidRPr="00202C5F">
        <w:rPr>
          <w:b/>
          <w:sz w:val="20"/>
          <w:szCs w:val="20"/>
        </w:rPr>
        <w:t>3</w:t>
      </w:r>
      <w:r w:rsidRPr="00202C5F">
        <w:rPr>
          <w:b/>
          <w:sz w:val="20"/>
          <w:szCs w:val="20"/>
        </w:rPr>
        <w:t xml:space="preserve"> SCC </w:t>
      </w:r>
      <w:r w:rsidR="00321B75" w:rsidRPr="00202C5F">
        <w:rPr>
          <w:b/>
          <w:sz w:val="20"/>
          <w:szCs w:val="20"/>
        </w:rPr>
        <w:t>18</w:t>
      </w:r>
      <w:r w:rsidRPr="00202C5F">
        <w:rPr>
          <w:b/>
          <w:sz w:val="20"/>
          <w:szCs w:val="20"/>
        </w:rPr>
        <w:t xml:space="preserve"> / 201</w:t>
      </w:r>
      <w:r w:rsidR="00321B75" w:rsidRPr="00202C5F">
        <w:rPr>
          <w:b/>
          <w:sz w:val="20"/>
          <w:szCs w:val="20"/>
        </w:rPr>
        <w:t>3</w:t>
      </w:r>
      <w:r w:rsidRPr="00202C5F">
        <w:rPr>
          <w:b/>
          <w:sz w:val="20"/>
          <w:szCs w:val="20"/>
        </w:rPr>
        <w:t xml:space="preserve"> CSC </w:t>
      </w:r>
      <w:r w:rsidR="00321B75" w:rsidRPr="00202C5F">
        <w:rPr>
          <w:b/>
          <w:sz w:val="20"/>
          <w:szCs w:val="20"/>
        </w:rPr>
        <w:t>18</w:t>
      </w:r>
    </w:p>
    <w:p w:rsidR="00AF1715" w:rsidRPr="00202C5F"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b/>
          <w:sz w:val="20"/>
          <w:szCs w:val="20"/>
        </w:rPr>
      </w:pPr>
    </w:p>
    <w:p w:rsidR="00321B75" w:rsidRPr="00202C5F" w:rsidRDefault="00AF1715" w:rsidP="00321B75">
      <w:pPr>
        <w:rPr>
          <w:sz w:val="20"/>
          <w:szCs w:val="20"/>
          <w:u w:val="single"/>
        </w:rPr>
      </w:pPr>
      <w:r w:rsidRPr="00202C5F">
        <w:rPr>
          <w:sz w:val="20"/>
          <w:szCs w:val="20"/>
        </w:rPr>
        <w:t>Coram:</w:t>
      </w:r>
      <w:r w:rsidRPr="00202C5F">
        <w:rPr>
          <w:sz w:val="20"/>
          <w:szCs w:val="20"/>
        </w:rPr>
        <w:tab/>
      </w:r>
      <w:r w:rsidRPr="00202C5F">
        <w:rPr>
          <w:sz w:val="20"/>
          <w:szCs w:val="20"/>
        </w:rPr>
        <w:tab/>
      </w:r>
      <w:r w:rsidR="00321B75" w:rsidRPr="00202C5F">
        <w:rPr>
          <w:sz w:val="20"/>
          <w:szCs w:val="20"/>
          <w:u w:val="single"/>
        </w:rPr>
        <w:t>McLachlin C.J. and LeBel, Rothstein, Cromwell, Moldaver , Karakatsanis and Wagner JJ.</w:t>
      </w:r>
    </w:p>
    <w:p w:rsidR="00AF1715" w:rsidRPr="00202C5F"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202C5F" w:rsidRPr="00202C5F" w:rsidRDefault="00202C5F" w:rsidP="00202C5F">
      <w:pPr>
        <w:jc w:val="both"/>
        <w:rPr>
          <w:sz w:val="20"/>
          <w:szCs w:val="20"/>
        </w:rPr>
      </w:pPr>
      <w:r w:rsidRPr="00202C5F">
        <w:rPr>
          <w:sz w:val="20"/>
          <w:szCs w:val="20"/>
        </w:rPr>
        <w:t>The appeal from the judgment of the Court of Appeal for British Columbia (Vancouver), Number CA037058, 2011 BCCA 253, dated May 30, 2011, heard on December 4, 2012, is allowed with costs to the appellant throughout. The parties’ appeal and cross-appeal on the trial judge’s damages award are remitted to the Court of Appeal to consider that issue.</w:t>
      </w:r>
    </w:p>
    <w:p w:rsidR="00202C5F" w:rsidRPr="00202C5F" w:rsidRDefault="00202C5F" w:rsidP="00202C5F">
      <w:pPr>
        <w:jc w:val="both"/>
        <w:rPr>
          <w:sz w:val="20"/>
          <w:szCs w:val="20"/>
        </w:rPr>
      </w:pPr>
    </w:p>
    <w:p w:rsidR="00202C5F" w:rsidRPr="00202C5F" w:rsidRDefault="00202C5F" w:rsidP="00202C5F">
      <w:pPr>
        <w:jc w:val="both"/>
        <w:rPr>
          <w:sz w:val="20"/>
          <w:szCs w:val="20"/>
          <w:lang w:val="fr-CA"/>
        </w:rPr>
      </w:pPr>
      <w:r w:rsidRPr="00202C5F">
        <w:rPr>
          <w:sz w:val="20"/>
          <w:szCs w:val="20"/>
          <w:lang w:val="fr-CA"/>
        </w:rPr>
        <w:t>L’appel interjeté contre l’arrêt de la Cour d’appel de la Colombie-Britannique (Vancouver), numéro CA037058, 2011 BCCA 253, en date du 30 mai 2011, entendu le 4 décembre 2012, est accueilli avec dépens en faveur de l’appelante devant toutes les cours.  L’appel et l’appel incident des parties sur la question des dommages-int</w:t>
      </w:r>
      <w:r w:rsidRPr="00202C5F">
        <w:rPr>
          <w:rFonts w:cs="Times New Roman"/>
          <w:sz w:val="20"/>
          <w:szCs w:val="20"/>
          <w:lang w:val="fr-CA"/>
        </w:rPr>
        <w:t>é</w:t>
      </w:r>
      <w:r w:rsidRPr="00202C5F">
        <w:rPr>
          <w:sz w:val="20"/>
          <w:szCs w:val="20"/>
          <w:lang w:val="fr-CA"/>
        </w:rPr>
        <w:t>r</w:t>
      </w:r>
      <w:r w:rsidRPr="00202C5F">
        <w:rPr>
          <w:rFonts w:cs="Times New Roman"/>
          <w:sz w:val="20"/>
          <w:szCs w:val="20"/>
          <w:lang w:val="fr-CA"/>
        </w:rPr>
        <w:t>ê</w:t>
      </w:r>
      <w:r w:rsidRPr="00202C5F">
        <w:rPr>
          <w:sz w:val="20"/>
          <w:szCs w:val="20"/>
          <w:lang w:val="fr-CA"/>
        </w:rPr>
        <w:t>ts accord</w:t>
      </w:r>
      <w:r w:rsidRPr="00202C5F">
        <w:rPr>
          <w:rFonts w:cs="Times New Roman"/>
          <w:sz w:val="20"/>
          <w:szCs w:val="20"/>
          <w:lang w:val="fr-CA"/>
        </w:rPr>
        <w:t>é</w:t>
      </w:r>
      <w:r w:rsidRPr="00202C5F">
        <w:rPr>
          <w:sz w:val="20"/>
          <w:szCs w:val="20"/>
          <w:lang w:val="fr-CA"/>
        </w:rPr>
        <w:t>s par la juge de premi</w:t>
      </w:r>
      <w:r w:rsidRPr="00202C5F">
        <w:rPr>
          <w:rFonts w:cs="Times New Roman"/>
          <w:sz w:val="20"/>
          <w:szCs w:val="20"/>
          <w:lang w:val="fr-CA"/>
        </w:rPr>
        <w:t>è</w:t>
      </w:r>
      <w:r w:rsidRPr="00202C5F">
        <w:rPr>
          <w:sz w:val="20"/>
          <w:szCs w:val="20"/>
          <w:lang w:val="fr-CA"/>
        </w:rPr>
        <w:t>re instance sont renvoy</w:t>
      </w:r>
      <w:r w:rsidRPr="00202C5F">
        <w:rPr>
          <w:rFonts w:cs="Times New Roman"/>
          <w:sz w:val="20"/>
          <w:szCs w:val="20"/>
          <w:lang w:val="fr-CA"/>
        </w:rPr>
        <w:t>é</w:t>
      </w:r>
      <w:r w:rsidRPr="00202C5F">
        <w:rPr>
          <w:sz w:val="20"/>
          <w:szCs w:val="20"/>
          <w:lang w:val="fr-CA"/>
        </w:rPr>
        <w:t xml:space="preserve">s </w:t>
      </w:r>
      <w:r w:rsidRPr="00202C5F">
        <w:rPr>
          <w:rFonts w:cs="Times New Roman"/>
          <w:sz w:val="20"/>
          <w:szCs w:val="20"/>
          <w:lang w:val="fr-CA"/>
        </w:rPr>
        <w:t>à</w:t>
      </w:r>
      <w:r w:rsidRPr="00202C5F">
        <w:rPr>
          <w:sz w:val="20"/>
          <w:szCs w:val="20"/>
          <w:lang w:val="fr-CA"/>
        </w:rPr>
        <w:t xml:space="preserve"> la Cour d’appel pour examen.</w:t>
      </w:r>
    </w:p>
    <w:p w:rsidR="00AF1715" w:rsidRPr="003B3977" w:rsidRDefault="00AF1715" w:rsidP="00AF1715">
      <w:pPr>
        <w:rPr>
          <w:sz w:val="20"/>
          <w:szCs w:val="20"/>
          <w:lang w:val="fr-CA"/>
        </w:rPr>
      </w:pPr>
    </w:p>
    <w:p w:rsidR="00AF1715" w:rsidRPr="006C5F7A" w:rsidRDefault="00B74DD2" w:rsidP="00AF1715">
      <w:pPr>
        <w:spacing w:line="0" w:lineRule="atLeast"/>
        <w:rPr>
          <w:rFonts w:cs="Times New Roman"/>
          <w:b/>
          <w:sz w:val="20"/>
          <w:szCs w:val="20"/>
        </w:rPr>
      </w:pPr>
      <w:r w:rsidRPr="00B74DD2">
        <w:rPr>
          <w:rFonts w:cs="Times New Roman"/>
          <w:b/>
          <w:sz w:val="20"/>
          <w:szCs w:val="20"/>
        </w:rPr>
        <w:pict>
          <v:rect id="_x0000_i1070" style="width:144.3pt;height:1pt" o:hrpct="300" o:hralign="center" o:hrstd="t" o:hrnoshade="t" o:hr="t" fillcolor="black [3213]" stroked="f"/>
        </w:pict>
      </w:r>
    </w:p>
    <w:p w:rsidR="00AF1715" w:rsidRPr="006C5F7A" w:rsidRDefault="00AF1715" w:rsidP="00AF1715">
      <w:pPr>
        <w:spacing w:line="0" w:lineRule="atLeast"/>
        <w:rPr>
          <w:rFonts w:cs="Times New Roman"/>
          <w:b/>
          <w:sz w:val="20"/>
          <w:szCs w:val="20"/>
        </w:rPr>
      </w:pPr>
    </w:p>
    <w:p w:rsidR="00321B75" w:rsidRPr="00202C5F" w:rsidRDefault="00321B75" w:rsidP="00321B75">
      <w:pPr>
        <w:rPr>
          <w:b/>
          <w:sz w:val="20"/>
          <w:szCs w:val="20"/>
        </w:rPr>
      </w:pPr>
      <w:r w:rsidRPr="00202C5F">
        <w:rPr>
          <w:b/>
          <w:sz w:val="20"/>
          <w:szCs w:val="20"/>
        </w:rPr>
        <w:t>APRIL 5, 2013 / LE 5 AVRIL 2013</w:t>
      </w:r>
    </w:p>
    <w:p w:rsidR="00AF1715" w:rsidRPr="00202C5F" w:rsidRDefault="00AF1715" w:rsidP="00AF1715">
      <w:pPr>
        <w:spacing w:line="0" w:lineRule="atLeast"/>
        <w:rPr>
          <w:rFonts w:cs="Times New Roman"/>
          <w:b/>
          <w:sz w:val="20"/>
          <w:szCs w:val="20"/>
        </w:rPr>
      </w:pPr>
    </w:p>
    <w:p w:rsidR="00AF1715" w:rsidRPr="00202C5F" w:rsidRDefault="00B74DD2"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cs="Times New Roman"/>
          <w:sz w:val="20"/>
          <w:szCs w:val="20"/>
        </w:rPr>
      </w:pPr>
      <w:r w:rsidRPr="00202C5F">
        <w:rPr>
          <w:rFonts w:cs="Times New Roman"/>
          <w:b/>
          <w:sz w:val="20"/>
          <w:szCs w:val="20"/>
        </w:rPr>
        <w:fldChar w:fldCharType="begin"/>
      </w:r>
      <w:r w:rsidR="00AF1715" w:rsidRPr="00202C5F">
        <w:rPr>
          <w:rFonts w:cs="Times New Roman"/>
          <w:b/>
          <w:sz w:val="20"/>
          <w:szCs w:val="20"/>
        </w:rPr>
        <w:instrText xml:space="preserve"> SEQ CHAPTER \h \r 1</w:instrText>
      </w:r>
      <w:r w:rsidRPr="00202C5F">
        <w:rPr>
          <w:rFonts w:cs="Times New Roman"/>
          <w:b/>
          <w:sz w:val="20"/>
          <w:szCs w:val="20"/>
        </w:rPr>
        <w:fldChar w:fldCharType="end"/>
      </w:r>
      <w:r w:rsidR="00AF1715" w:rsidRPr="00202C5F">
        <w:rPr>
          <w:rFonts w:cs="Times New Roman"/>
          <w:b/>
          <w:sz w:val="20"/>
          <w:szCs w:val="20"/>
        </w:rPr>
        <w:t>33</w:t>
      </w:r>
      <w:r w:rsidR="00321B75" w:rsidRPr="00202C5F">
        <w:rPr>
          <w:rFonts w:cs="Times New Roman"/>
          <w:b/>
          <w:sz w:val="20"/>
          <w:szCs w:val="20"/>
        </w:rPr>
        <w:t>959</w:t>
      </w:r>
      <w:r w:rsidR="00AF1715" w:rsidRPr="00202C5F">
        <w:rPr>
          <w:rFonts w:cs="Times New Roman"/>
          <w:sz w:val="20"/>
          <w:szCs w:val="20"/>
        </w:rPr>
        <w:tab/>
      </w:r>
      <w:r w:rsidR="00AF1715" w:rsidRPr="00202C5F">
        <w:rPr>
          <w:rFonts w:cs="Times New Roman"/>
          <w:sz w:val="20"/>
          <w:szCs w:val="20"/>
        </w:rPr>
        <w:tab/>
      </w:r>
      <w:r w:rsidR="00321B75" w:rsidRPr="00202C5F">
        <w:rPr>
          <w:rFonts w:cs="Times New Roman"/>
          <w:b/>
          <w:sz w:val="20"/>
          <w:szCs w:val="20"/>
          <w:u w:val="single"/>
        </w:rPr>
        <w:t xml:space="preserve">Wayne Penner v. </w:t>
      </w:r>
      <w:r w:rsidR="00202C5F" w:rsidRPr="00202C5F">
        <w:rPr>
          <w:rFonts w:cs="Times New Roman"/>
          <w:b/>
          <w:sz w:val="20"/>
          <w:szCs w:val="20"/>
          <w:u w:val="single"/>
        </w:rPr>
        <w:t>Regional Municipality of Niagara Regional Police Services Board, Gary E. Nicholls, Nathan Parker, Paul Koscinski and Roy Federkow – and – Attorney General of Ontario, Urban Alliance on Race Relations, Criminal Lawyers’ Association (Ontario), British Columbia Civil Liberties Association, Canadian Police Association and Canadian Civil Liberties Association</w:t>
      </w:r>
      <w:r w:rsidR="00202C5F" w:rsidRPr="00202C5F">
        <w:rPr>
          <w:rFonts w:cs="Times New Roman"/>
          <w:b/>
          <w:sz w:val="20"/>
          <w:szCs w:val="20"/>
        </w:rPr>
        <w:t xml:space="preserve"> </w:t>
      </w:r>
      <w:r w:rsidR="00AF1715" w:rsidRPr="00202C5F">
        <w:rPr>
          <w:rFonts w:cs="Times New Roman"/>
          <w:iCs/>
          <w:sz w:val="20"/>
          <w:szCs w:val="20"/>
        </w:rPr>
        <w:t>(</w:t>
      </w:r>
      <w:r w:rsidR="00321B75" w:rsidRPr="00202C5F">
        <w:rPr>
          <w:rFonts w:cs="Times New Roman"/>
          <w:iCs/>
          <w:sz w:val="20"/>
          <w:szCs w:val="20"/>
        </w:rPr>
        <w:t>Ont.</w:t>
      </w:r>
      <w:r w:rsidR="00AF1715" w:rsidRPr="00202C5F">
        <w:rPr>
          <w:rFonts w:cs="Times New Roman"/>
          <w:iCs/>
          <w:sz w:val="20"/>
          <w:szCs w:val="20"/>
        </w:rPr>
        <w:t>)</w:t>
      </w:r>
    </w:p>
    <w:p w:rsidR="00AF1715" w:rsidRPr="00202C5F" w:rsidRDefault="00321B7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jc w:val="both"/>
        <w:rPr>
          <w:rFonts w:cs="Times New Roman"/>
          <w:sz w:val="20"/>
          <w:szCs w:val="20"/>
        </w:rPr>
      </w:pPr>
      <w:r w:rsidRPr="00202C5F">
        <w:rPr>
          <w:rFonts w:cs="Times New Roman"/>
          <w:b/>
          <w:sz w:val="20"/>
          <w:szCs w:val="20"/>
        </w:rPr>
        <w:t>2013</w:t>
      </w:r>
      <w:r w:rsidR="00AF1715" w:rsidRPr="00202C5F">
        <w:rPr>
          <w:rFonts w:cs="Times New Roman"/>
          <w:b/>
          <w:sz w:val="20"/>
          <w:szCs w:val="20"/>
        </w:rPr>
        <w:t xml:space="preserve"> SCC </w:t>
      </w:r>
      <w:r w:rsidRPr="00202C5F">
        <w:rPr>
          <w:rFonts w:cs="Times New Roman"/>
          <w:b/>
          <w:sz w:val="20"/>
          <w:szCs w:val="20"/>
        </w:rPr>
        <w:t>19</w:t>
      </w:r>
      <w:r w:rsidR="00AF1715" w:rsidRPr="00202C5F">
        <w:rPr>
          <w:rFonts w:cs="Times New Roman"/>
          <w:b/>
          <w:sz w:val="20"/>
          <w:szCs w:val="20"/>
        </w:rPr>
        <w:t xml:space="preserve"> / 201</w:t>
      </w:r>
      <w:r w:rsidRPr="00202C5F">
        <w:rPr>
          <w:rFonts w:cs="Times New Roman"/>
          <w:b/>
          <w:sz w:val="20"/>
          <w:szCs w:val="20"/>
        </w:rPr>
        <w:t>3</w:t>
      </w:r>
      <w:r w:rsidR="00AF1715" w:rsidRPr="00202C5F">
        <w:rPr>
          <w:rFonts w:cs="Times New Roman"/>
          <w:b/>
          <w:sz w:val="20"/>
          <w:szCs w:val="20"/>
        </w:rPr>
        <w:t xml:space="preserve"> CSC </w:t>
      </w:r>
      <w:r w:rsidRPr="00202C5F">
        <w:rPr>
          <w:rFonts w:cs="Times New Roman"/>
          <w:b/>
          <w:sz w:val="20"/>
          <w:szCs w:val="20"/>
        </w:rPr>
        <w:t>19</w:t>
      </w:r>
    </w:p>
    <w:p w:rsidR="00AF1715" w:rsidRPr="006C5F7A"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rPr>
      </w:pPr>
    </w:p>
    <w:p w:rsidR="00321B75" w:rsidRPr="00321B75" w:rsidRDefault="00AF1715" w:rsidP="00321B75">
      <w:pPr>
        <w:rPr>
          <w:rFonts w:cs="Times New Roman"/>
          <w:sz w:val="20"/>
          <w:szCs w:val="20"/>
          <w:u w:val="single"/>
        </w:rPr>
      </w:pPr>
      <w:r w:rsidRPr="006C5F7A">
        <w:rPr>
          <w:rFonts w:cs="Times New Roman"/>
          <w:sz w:val="20"/>
          <w:szCs w:val="20"/>
        </w:rPr>
        <w:t>Coram:</w:t>
      </w:r>
      <w:r w:rsidRPr="006C5F7A">
        <w:rPr>
          <w:rFonts w:cs="Times New Roman"/>
          <w:sz w:val="20"/>
          <w:szCs w:val="20"/>
        </w:rPr>
        <w:tab/>
      </w:r>
      <w:r w:rsidRPr="006C5F7A">
        <w:rPr>
          <w:rFonts w:cs="Times New Roman"/>
          <w:sz w:val="20"/>
          <w:szCs w:val="20"/>
        </w:rPr>
        <w:tab/>
      </w:r>
      <w:r w:rsidR="00321B75" w:rsidRPr="00321B75">
        <w:rPr>
          <w:rFonts w:cs="Times New Roman"/>
          <w:sz w:val="20"/>
          <w:szCs w:val="20"/>
          <w:u w:val="single"/>
        </w:rPr>
        <w:t>McLachlin C.J. and LeBel, Fish, Abella, Rothstein, Cromwell and Karakatsanis JJ.</w:t>
      </w:r>
    </w:p>
    <w:p w:rsidR="00202C5F" w:rsidRDefault="00202C5F" w:rsidP="00AF1715">
      <w:pPr>
        <w:tabs>
          <w:tab w:val="left" w:pos="0"/>
          <w:tab w:val="left" w:pos="720"/>
          <w:tab w:val="left" w:pos="2160"/>
          <w:tab w:val="left" w:pos="2880"/>
          <w:tab w:val="left" w:pos="3600"/>
          <w:tab w:val="left" w:pos="4320"/>
          <w:tab w:val="left" w:pos="5040"/>
          <w:tab w:val="left" w:pos="5760"/>
          <w:tab w:val="left" w:pos="6480"/>
          <w:tab w:val="left" w:pos="7200"/>
        </w:tabs>
        <w:ind w:left="1440" w:hanging="1440"/>
        <w:jc w:val="both"/>
        <w:rPr>
          <w:rFonts w:cs="Times New Roman"/>
          <w:sz w:val="20"/>
          <w:szCs w:val="20"/>
          <w:u w:val="single"/>
        </w:rPr>
      </w:pPr>
    </w:p>
    <w:p w:rsidR="00202C5F" w:rsidRPr="00202C5F" w:rsidRDefault="00202C5F" w:rsidP="00202C5F">
      <w:pPr>
        <w:jc w:val="both"/>
        <w:rPr>
          <w:sz w:val="20"/>
          <w:szCs w:val="20"/>
          <w:lang w:val="fr-CA"/>
        </w:rPr>
      </w:pPr>
      <w:r w:rsidRPr="00202C5F">
        <w:rPr>
          <w:sz w:val="20"/>
          <w:szCs w:val="20"/>
        </w:rPr>
        <w:t xml:space="preserve">The appeal from the judgment </w:t>
      </w:r>
      <w:bookmarkStart w:id="2" w:name="BM_1_"/>
      <w:bookmarkEnd w:id="2"/>
      <w:r w:rsidRPr="00202C5F">
        <w:rPr>
          <w:sz w:val="20"/>
          <w:szCs w:val="20"/>
        </w:rPr>
        <w:t xml:space="preserve">of the Court of Appeal for Ontario, Number C51277, 2010 ONCA 616, dated September 27, 2010, heard on January 11, 2012, is </w:t>
      </w:r>
      <w:r w:rsidRPr="00202C5F">
        <w:rPr>
          <w:rFonts w:eastAsia="Times New Roman" w:cs="Times New Roman"/>
          <w:sz w:val="20"/>
          <w:szCs w:val="20"/>
        </w:rPr>
        <w:t>allowed with costs throughout</w:t>
      </w:r>
      <w:r w:rsidRPr="00202C5F">
        <w:rPr>
          <w:sz w:val="20"/>
          <w:szCs w:val="20"/>
        </w:rPr>
        <w:t xml:space="preserve">.  </w:t>
      </w:r>
      <w:r w:rsidRPr="00202C5F">
        <w:rPr>
          <w:sz w:val="20"/>
          <w:szCs w:val="20"/>
          <w:lang w:val="fr-CA"/>
        </w:rPr>
        <w:t>LeBel, Abella and Rothstein JJ. are dissenting.</w:t>
      </w:r>
    </w:p>
    <w:p w:rsidR="00202C5F" w:rsidRDefault="00202C5F" w:rsidP="00202C5F">
      <w:pPr>
        <w:jc w:val="both"/>
        <w:rPr>
          <w:sz w:val="20"/>
          <w:szCs w:val="20"/>
          <w:lang w:val="fr-CA"/>
        </w:rPr>
      </w:pPr>
    </w:p>
    <w:p w:rsidR="00202C5F" w:rsidRPr="00202C5F" w:rsidRDefault="00202C5F" w:rsidP="00202C5F">
      <w:pPr>
        <w:jc w:val="both"/>
        <w:rPr>
          <w:sz w:val="20"/>
          <w:szCs w:val="20"/>
          <w:lang w:val="fr-CA"/>
        </w:rPr>
      </w:pPr>
      <w:r w:rsidRPr="00202C5F">
        <w:rPr>
          <w:sz w:val="20"/>
          <w:szCs w:val="20"/>
          <w:lang w:val="fr-CA"/>
        </w:rPr>
        <w:t>L’appel interjeté contre l’arrêt de la Cour d’appel de l’Ontario, numéro C51277, 2010 ONCA 616, en date du 27 septembre 2010, entendu le 11 janvier 2012, est accueilli avec dépens devant toutes les cours.  Les juges LeBel, Abella et Rothstein sont dissidents.</w:t>
      </w:r>
    </w:p>
    <w:p w:rsidR="00AF1715" w:rsidRPr="00202C5F"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AF1715" w:rsidRPr="006C5F7A" w:rsidRDefault="00B74DD2" w:rsidP="00AF1715">
      <w:pPr>
        <w:spacing w:line="0" w:lineRule="atLeast"/>
        <w:rPr>
          <w:rFonts w:cs="Times New Roman"/>
          <w:b/>
          <w:sz w:val="20"/>
          <w:szCs w:val="20"/>
        </w:rPr>
      </w:pPr>
      <w:r w:rsidRPr="00B74DD2">
        <w:rPr>
          <w:rFonts w:cs="Times New Roman"/>
          <w:b/>
          <w:sz w:val="20"/>
          <w:szCs w:val="20"/>
        </w:rPr>
        <w:pict>
          <v:rect id="_x0000_i1071" style="width:144.3pt;height:1pt" o:hrpct="300" o:hralign="center" o:hrstd="t" o:hrnoshade="t" o:hr="t" fillcolor="black [3213]" stroked="f"/>
        </w:pict>
      </w:r>
    </w:p>
    <w:p w:rsidR="00AF1715" w:rsidRPr="006C5F7A"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cs="Times New Roman"/>
          <w:sz w:val="20"/>
          <w:szCs w:val="20"/>
        </w:rPr>
      </w:pPr>
    </w:p>
    <w:p w:rsidR="00AF1715" w:rsidRPr="006C5F7A"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42"/>
          <w:headerReference w:type="default" r:id="rId43"/>
          <w:footerReference w:type="even" r:id="rId44"/>
          <w:footerReference w:type="default" r:id="rId45"/>
          <w:headerReference w:type="first" r:id="rId46"/>
          <w:footerReference w:type="first" r:id="rId47"/>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5C6840" w:rsidRPr="003B3977" w:rsidRDefault="000773E9" w:rsidP="008B1E45">
      <w:pPr>
        <w:jc w:val="both"/>
        <w:rPr>
          <w:rFonts w:cs="Times New Roman"/>
          <w:sz w:val="20"/>
          <w:szCs w:val="20"/>
        </w:rPr>
      </w:pPr>
      <w:r w:rsidRPr="000773E9">
        <w:rPr>
          <w:rFonts w:cs="Times New Roman"/>
          <w:i/>
          <w:sz w:val="20"/>
          <w:szCs w:val="20"/>
        </w:rPr>
        <w:t>Cassidy Alexis Ediger, an infant by her Guardian Ad Litem, Carolyn Grace Ediger</w:t>
      </w:r>
      <w:r>
        <w:rPr>
          <w:rFonts w:cs="Times New Roman"/>
          <w:i/>
          <w:sz w:val="20"/>
          <w:szCs w:val="20"/>
        </w:rPr>
        <w:t xml:space="preserve"> v. </w:t>
      </w:r>
      <w:r w:rsidRPr="000773E9">
        <w:rPr>
          <w:rFonts w:cs="Times New Roman"/>
          <w:i/>
          <w:sz w:val="20"/>
          <w:szCs w:val="20"/>
        </w:rPr>
        <w:t>William G. Johnston</w:t>
      </w:r>
      <w:r w:rsidR="005C6840" w:rsidRPr="003B3977">
        <w:rPr>
          <w:rFonts w:cs="Times New Roman"/>
          <w:i/>
          <w:sz w:val="20"/>
          <w:szCs w:val="20"/>
        </w:rPr>
        <w:t xml:space="preserve"> </w:t>
      </w:r>
      <w:r w:rsidR="005C6840" w:rsidRPr="003B3977">
        <w:rPr>
          <w:rFonts w:cs="Times New Roman"/>
          <w:sz w:val="20"/>
          <w:szCs w:val="20"/>
        </w:rPr>
        <w:t>(</w:t>
      </w:r>
      <w:r>
        <w:rPr>
          <w:rFonts w:cs="Times New Roman"/>
          <w:sz w:val="20"/>
          <w:szCs w:val="20"/>
        </w:rPr>
        <w:t>B.C.</w:t>
      </w:r>
      <w:r w:rsidR="005C6840" w:rsidRPr="003B3977">
        <w:rPr>
          <w:rFonts w:cs="Times New Roman"/>
          <w:sz w:val="20"/>
          <w:szCs w:val="20"/>
        </w:rPr>
        <w:t>) (3</w:t>
      </w:r>
      <w:r>
        <w:rPr>
          <w:rFonts w:cs="Times New Roman"/>
          <w:sz w:val="20"/>
          <w:szCs w:val="20"/>
        </w:rPr>
        <w:t>440</w:t>
      </w:r>
      <w:r w:rsidR="005C6840" w:rsidRPr="003B3977">
        <w:rPr>
          <w:rFonts w:cs="Times New Roman"/>
          <w:sz w:val="20"/>
          <w:szCs w:val="20"/>
        </w:rPr>
        <w:t>8)</w:t>
      </w:r>
    </w:p>
    <w:p w:rsidR="005C6840" w:rsidRPr="003B3977" w:rsidRDefault="005C6840" w:rsidP="005C6840">
      <w:pPr>
        <w:jc w:val="both"/>
        <w:rPr>
          <w:rFonts w:cs="Times New Roman"/>
          <w:b/>
          <w:sz w:val="20"/>
          <w:szCs w:val="20"/>
        </w:rPr>
      </w:pPr>
      <w:r w:rsidRPr="003B3977">
        <w:rPr>
          <w:rFonts w:cs="Times New Roman"/>
          <w:b/>
          <w:sz w:val="20"/>
          <w:szCs w:val="20"/>
        </w:rPr>
        <w:t>Indexed as:  </w:t>
      </w:r>
      <w:r w:rsidR="000773E9" w:rsidRPr="000773E9">
        <w:rPr>
          <w:rFonts w:cs="Times New Roman"/>
          <w:b/>
          <w:sz w:val="20"/>
          <w:szCs w:val="20"/>
        </w:rPr>
        <w:t xml:space="preserve">Ediger </w:t>
      </w:r>
      <w:r w:rsidR="000773E9" w:rsidRPr="000773E9">
        <w:rPr>
          <w:rFonts w:cs="Times New Roman"/>
          <w:b/>
          <w:i/>
          <w:sz w:val="20"/>
          <w:szCs w:val="20"/>
        </w:rPr>
        <w:t>v.</w:t>
      </w:r>
      <w:r w:rsidR="000773E9" w:rsidRPr="000773E9">
        <w:rPr>
          <w:rFonts w:cs="Times New Roman"/>
          <w:b/>
          <w:sz w:val="20"/>
          <w:szCs w:val="20"/>
        </w:rPr>
        <w:t xml:space="preserve"> Johnston </w:t>
      </w:r>
      <w:r w:rsidRPr="003B3977">
        <w:rPr>
          <w:rStyle w:val="SCCRespondentForIndexChar"/>
          <w:rFonts w:eastAsiaTheme="minorHAnsi"/>
          <w:sz w:val="20"/>
        </w:rPr>
        <w:t xml:space="preserve">/ </w:t>
      </w:r>
      <w:r w:rsidRPr="003B3977">
        <w:rPr>
          <w:rFonts w:cs="Times New Roman"/>
          <w:b/>
          <w:sz w:val="20"/>
          <w:szCs w:val="20"/>
        </w:rPr>
        <w:t>Répertorié : </w:t>
      </w:r>
      <w:r w:rsidR="000773E9">
        <w:rPr>
          <w:rFonts w:cs="Times New Roman"/>
          <w:b/>
          <w:sz w:val="20"/>
          <w:szCs w:val="20"/>
        </w:rPr>
        <w:t xml:space="preserve">Ediger </w:t>
      </w:r>
      <w:r w:rsidR="000773E9" w:rsidRPr="000773E9">
        <w:rPr>
          <w:rFonts w:cs="Times New Roman"/>
          <w:b/>
          <w:i/>
          <w:sz w:val="20"/>
          <w:szCs w:val="20"/>
        </w:rPr>
        <w:t>c.</w:t>
      </w:r>
      <w:r w:rsidR="000773E9" w:rsidRPr="000773E9">
        <w:rPr>
          <w:rFonts w:cs="Times New Roman"/>
          <w:b/>
          <w:sz w:val="20"/>
          <w:szCs w:val="20"/>
        </w:rPr>
        <w:t xml:space="preserve"> Johnston</w:t>
      </w:r>
      <w:r w:rsidR="000773E9" w:rsidRPr="000773E9">
        <w:rPr>
          <w:rStyle w:val="SCCAppellantForIndexChar"/>
          <w:rFonts w:eastAsiaTheme="minorHAnsi"/>
          <w:sz w:val="20"/>
          <w:lang w:val="en-CA" w:eastAsia="en-US"/>
        </w:rPr>
        <w:t xml:space="preserve"> </w:t>
      </w:r>
    </w:p>
    <w:p w:rsidR="005C6840" w:rsidRPr="000773E9" w:rsidRDefault="005C6840" w:rsidP="005C6840">
      <w:pPr>
        <w:pStyle w:val="SCCSystemYear"/>
        <w:jc w:val="both"/>
        <w:rPr>
          <w:sz w:val="20"/>
        </w:rPr>
      </w:pPr>
      <w:r w:rsidRPr="000773E9">
        <w:rPr>
          <w:sz w:val="20"/>
        </w:rPr>
        <w:t>Neutral citation:  201</w:t>
      </w:r>
      <w:r w:rsidR="00F761A3" w:rsidRPr="000773E9">
        <w:rPr>
          <w:sz w:val="20"/>
        </w:rPr>
        <w:t>3</w:t>
      </w:r>
      <w:r w:rsidRPr="000773E9">
        <w:rPr>
          <w:sz w:val="20"/>
        </w:rPr>
        <w:t xml:space="preserve"> SCC </w:t>
      </w:r>
      <w:r w:rsidR="007F387B" w:rsidRPr="000773E9">
        <w:rPr>
          <w:sz w:val="20"/>
        </w:rPr>
        <w:t>1</w:t>
      </w:r>
      <w:r w:rsidR="000773E9">
        <w:rPr>
          <w:sz w:val="20"/>
        </w:rPr>
        <w:t>8</w:t>
      </w:r>
      <w:r w:rsidRPr="000773E9">
        <w:rPr>
          <w:sz w:val="20"/>
        </w:rPr>
        <w:t xml:space="preserve"> / Référence neutre : 201</w:t>
      </w:r>
      <w:r w:rsidR="00F761A3" w:rsidRPr="000773E9">
        <w:rPr>
          <w:sz w:val="20"/>
        </w:rPr>
        <w:t>3</w:t>
      </w:r>
      <w:r w:rsidRPr="000773E9">
        <w:rPr>
          <w:sz w:val="20"/>
        </w:rPr>
        <w:t xml:space="preserve"> CSC </w:t>
      </w:r>
      <w:r w:rsidR="007F387B" w:rsidRPr="000773E9">
        <w:rPr>
          <w:sz w:val="20"/>
        </w:rPr>
        <w:t>1</w:t>
      </w:r>
      <w:r w:rsidR="000773E9">
        <w:rPr>
          <w:sz w:val="20"/>
        </w:rPr>
        <w:t>8</w:t>
      </w:r>
    </w:p>
    <w:p w:rsidR="005C6840" w:rsidRPr="003B3977" w:rsidRDefault="005C6840" w:rsidP="005C6840">
      <w:pPr>
        <w:rPr>
          <w:rFonts w:cs="Times New Roman"/>
          <w:sz w:val="20"/>
          <w:szCs w:val="20"/>
          <w:lang w:val="fr-CA"/>
        </w:rPr>
      </w:pPr>
      <w:r w:rsidRPr="000773E9">
        <w:rPr>
          <w:rFonts w:cs="Times New Roman"/>
          <w:sz w:val="20"/>
          <w:szCs w:val="20"/>
          <w:lang w:val="fr-CA"/>
        </w:rPr>
        <w:t xml:space="preserve">Hearing:  </w:t>
      </w:r>
      <w:r w:rsidR="000773E9" w:rsidRPr="000773E9">
        <w:rPr>
          <w:rFonts w:cs="Times New Roman"/>
          <w:sz w:val="20"/>
          <w:szCs w:val="20"/>
          <w:lang w:val="fr-CA"/>
        </w:rPr>
        <w:t>December 4</w:t>
      </w:r>
      <w:r w:rsidRPr="003B3977">
        <w:rPr>
          <w:rFonts w:cs="Times New Roman"/>
          <w:sz w:val="20"/>
          <w:szCs w:val="20"/>
          <w:lang w:val="fr-CA"/>
        </w:rPr>
        <w:t>, 201</w:t>
      </w:r>
      <w:r w:rsidR="000773E9">
        <w:rPr>
          <w:rFonts w:cs="Times New Roman"/>
          <w:sz w:val="20"/>
          <w:szCs w:val="20"/>
          <w:lang w:val="fr-CA"/>
        </w:rPr>
        <w:t>2</w:t>
      </w:r>
      <w:r w:rsidRPr="003B3977">
        <w:rPr>
          <w:rFonts w:cs="Times New Roman"/>
          <w:sz w:val="20"/>
          <w:szCs w:val="20"/>
          <w:lang w:val="fr-CA"/>
        </w:rPr>
        <w:t xml:space="preserve"> / Judgment:  </w:t>
      </w:r>
      <w:r w:rsidR="000773E9">
        <w:rPr>
          <w:rFonts w:cs="Times New Roman"/>
          <w:sz w:val="20"/>
          <w:szCs w:val="20"/>
          <w:lang w:val="fr-CA"/>
        </w:rPr>
        <w:t>April 4, 2013</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0773E9">
        <w:rPr>
          <w:rFonts w:cs="Times New Roman"/>
          <w:sz w:val="20"/>
          <w:szCs w:val="20"/>
          <w:lang w:val="fr-CA"/>
        </w:rPr>
        <w:t>4 décembre</w:t>
      </w:r>
      <w:r w:rsidRPr="003B3977">
        <w:rPr>
          <w:rFonts w:cs="Times New Roman"/>
          <w:sz w:val="20"/>
          <w:szCs w:val="20"/>
          <w:lang w:val="fr-CA"/>
        </w:rPr>
        <w:t xml:space="preserve"> 201</w:t>
      </w:r>
      <w:r w:rsidR="000773E9">
        <w:rPr>
          <w:rFonts w:cs="Times New Roman"/>
          <w:sz w:val="20"/>
          <w:szCs w:val="20"/>
          <w:lang w:val="fr-CA"/>
        </w:rPr>
        <w:t>2</w:t>
      </w:r>
      <w:r w:rsidRPr="003B3977">
        <w:rPr>
          <w:rFonts w:cs="Times New Roman"/>
          <w:sz w:val="20"/>
          <w:szCs w:val="20"/>
          <w:lang w:val="fr-CA"/>
        </w:rPr>
        <w:t xml:space="preserve"> / Jugement : Le </w:t>
      </w:r>
      <w:r w:rsidR="000773E9">
        <w:rPr>
          <w:rFonts w:cs="Times New Roman"/>
          <w:sz w:val="20"/>
          <w:szCs w:val="20"/>
          <w:lang w:val="fr-CA"/>
        </w:rPr>
        <w:t xml:space="preserve">4 avril </w:t>
      </w:r>
      <w:r w:rsidRPr="003B3977">
        <w:rPr>
          <w:rFonts w:cs="Times New Roman"/>
          <w:sz w:val="20"/>
          <w:szCs w:val="20"/>
          <w:lang w:val="fr-CA"/>
        </w:rPr>
        <w:t>201</w:t>
      </w:r>
      <w:r w:rsidR="000773E9">
        <w:rPr>
          <w:rFonts w:cs="Times New Roman"/>
          <w:sz w:val="20"/>
          <w:szCs w:val="20"/>
          <w:lang w:val="fr-CA"/>
        </w:rPr>
        <w:t>3</w:t>
      </w:r>
    </w:p>
    <w:p w:rsidR="005C6840" w:rsidRPr="003B3977" w:rsidRDefault="00B74DD2" w:rsidP="005C6840">
      <w:pPr>
        <w:rPr>
          <w:rFonts w:cs="Times New Roman"/>
          <w:sz w:val="20"/>
          <w:szCs w:val="20"/>
          <w:lang w:val="fr-CA"/>
        </w:rPr>
      </w:pPr>
      <w:r w:rsidRPr="00B74DD2">
        <w:rPr>
          <w:rFonts w:cs="Times New Roman"/>
          <w:i/>
          <w:sz w:val="20"/>
          <w:szCs w:val="20"/>
        </w:rPr>
        <w:pict>
          <v:rect id="_x0000_i1074"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5C6840" w:rsidRPr="003B3977" w:rsidRDefault="005C6840" w:rsidP="005C6840">
      <w:pPr>
        <w:rPr>
          <w:rFonts w:cs="Times New Roman"/>
          <w:sz w:val="20"/>
          <w:szCs w:val="20"/>
        </w:rPr>
      </w:pPr>
      <w:r w:rsidRPr="003B3977">
        <w:rPr>
          <w:rFonts w:cs="Times New Roman"/>
          <w:sz w:val="20"/>
          <w:szCs w:val="20"/>
        </w:rPr>
        <w:t xml:space="preserve">Present:  </w:t>
      </w:r>
      <w:r w:rsidR="000773E9" w:rsidRPr="000773E9">
        <w:rPr>
          <w:rFonts w:cs="Times New Roman"/>
          <w:sz w:val="20"/>
          <w:szCs w:val="20"/>
        </w:rPr>
        <w:t>McLachlin C.J. and LeBel, Rothstein, Cromwell, Moldaver, Karakatsanis and Wagner JJ.</w:t>
      </w:r>
    </w:p>
    <w:p w:rsidR="005C6840" w:rsidRPr="000773E9" w:rsidRDefault="005C6840" w:rsidP="000773E9">
      <w:pPr>
        <w:jc w:val="both"/>
        <w:rPr>
          <w:rFonts w:cs="Times New Roman"/>
          <w:sz w:val="20"/>
          <w:szCs w:val="20"/>
        </w:rPr>
      </w:pPr>
    </w:p>
    <w:p w:rsidR="000773E9" w:rsidRDefault="000773E9" w:rsidP="000773E9">
      <w:pPr>
        <w:pStyle w:val="SCCNormalDoubleSpacing"/>
        <w:spacing w:line="240" w:lineRule="auto"/>
        <w:rPr>
          <w:i/>
          <w:sz w:val="20"/>
        </w:rPr>
      </w:pPr>
      <w:r w:rsidRPr="000773E9">
        <w:rPr>
          <w:sz w:val="20"/>
        </w:rPr>
        <w:tab/>
      </w:r>
      <w:r w:rsidRPr="000773E9">
        <w:rPr>
          <w:i/>
          <w:sz w:val="20"/>
        </w:rPr>
        <w:t>Torts — Negligence — Causation — Doctor attempted mid</w:t>
      </w:r>
      <w:r w:rsidRPr="000773E9">
        <w:rPr>
          <w:i/>
          <w:sz w:val="20"/>
        </w:rPr>
        <w:noBreakHyphen/>
        <w:t>level forceps delivery of baby — Baby’s umbilical cord became compressed causing bradycardia and brain injury — Doctor did not arrange for back</w:t>
      </w:r>
      <w:r w:rsidRPr="000773E9">
        <w:rPr>
          <w:i/>
          <w:sz w:val="20"/>
        </w:rPr>
        <w:noBreakHyphen/>
        <w:t>up Caesarean section delivery or advise mother of mid</w:t>
      </w:r>
      <w:r w:rsidRPr="000773E9">
        <w:rPr>
          <w:i/>
          <w:sz w:val="20"/>
        </w:rPr>
        <w:noBreakHyphen/>
        <w:t>level forceps delivery risks prior to attempting forceps delivery — Whether doctor’s attempted forceps delivery caused bradycardia — Whether doctor’s failure to arrange for back</w:t>
      </w:r>
      <w:r w:rsidRPr="000773E9">
        <w:rPr>
          <w:i/>
          <w:sz w:val="20"/>
        </w:rPr>
        <w:noBreakHyphen/>
        <w:t>up Caesarean section delivery or to advise mother of mid</w:t>
      </w:r>
      <w:r w:rsidRPr="000773E9">
        <w:rPr>
          <w:i/>
          <w:sz w:val="20"/>
        </w:rPr>
        <w:noBreakHyphen/>
        <w:t>level forceps delivery risks prior to attempting forceps delivery caused baby’s injury.</w:t>
      </w:r>
    </w:p>
    <w:p w:rsidR="000773E9" w:rsidRPr="000773E9" w:rsidRDefault="000773E9" w:rsidP="000773E9">
      <w:pPr>
        <w:pStyle w:val="SCCNormalDoubleSpacing"/>
        <w:spacing w:line="240" w:lineRule="auto"/>
        <w:rPr>
          <w:i/>
          <w:sz w:val="20"/>
        </w:rPr>
      </w:pPr>
    </w:p>
    <w:p w:rsidR="000773E9" w:rsidRPr="000773E9" w:rsidRDefault="000773E9" w:rsidP="000773E9">
      <w:pPr>
        <w:pStyle w:val="SCCNormalDoubleSpacing"/>
        <w:spacing w:line="240" w:lineRule="auto"/>
        <w:rPr>
          <w:sz w:val="20"/>
        </w:rPr>
      </w:pPr>
      <w:r w:rsidRPr="000773E9">
        <w:rPr>
          <w:sz w:val="20"/>
        </w:rPr>
        <w:tab/>
        <w:t>C suffered from persistent bradycardia during her birth, which led to her severe and permanent brain damage.  After C’s mother’s labour did not progress as anticipated, the doctor decided to attempt to deliver C using a mid</w:t>
      </w:r>
      <w:r w:rsidRPr="000773E9">
        <w:rPr>
          <w:sz w:val="20"/>
        </w:rPr>
        <w:noBreakHyphen/>
        <w:t>level forceps procedure. Prior to initiating the procedure, the doctor did not inform C’s mother of the material risks of a mid</w:t>
      </w:r>
      <w:r w:rsidRPr="000773E9">
        <w:rPr>
          <w:sz w:val="20"/>
        </w:rPr>
        <w:noBreakHyphen/>
        <w:t>level forceps delivery, which included bradycardia, and did not inquire into the immediate availability of surgical back</w:t>
      </w:r>
      <w:r w:rsidRPr="000773E9">
        <w:rPr>
          <w:sz w:val="20"/>
        </w:rPr>
        <w:noBreakHyphen/>
        <w:t>up to perform an emergency Caesarean section in the event of bradycardia.  After the doctor applied the forceps, he decided to abandon the procedure and left the labour room to make arrangements for a Caesarean section. In the minutes that followed, C’s umbilical cord became obstructed, leading to persistent bradycardia.  C was delivered by Caesarian section approximately 18 minutes after the onset of the bradycardia and now suffers from spastic quadriplegia and cerebral palsy.  The trial judge found that the doctor’s application of the forceps likely caused the obstruction of C’s umbilical cord that led to the bradycardia because the forceps displaced C’s head and left a space into which the cord fell and became compressed upon a subsequent maternal contraction.  The trial judge found that the doctor breached the standard of care, which required him to have surgical back</w:t>
      </w:r>
      <w:r w:rsidRPr="000773E9">
        <w:rPr>
          <w:sz w:val="20"/>
        </w:rPr>
        <w:noBreakHyphen/>
        <w:t>up immediately available before attempting the mid</w:t>
      </w:r>
      <w:r w:rsidRPr="000773E9">
        <w:rPr>
          <w:sz w:val="20"/>
        </w:rPr>
        <w:noBreakHyphen/>
        <w:t>level forceps procedure and to obtain the mother’s informed consent for that procedure.  The doctor, however, successfully appealed from the trial judge’s finding that his breaches of the standard of care caused C’s injury.</w:t>
      </w:r>
    </w:p>
    <w:p w:rsidR="000773E9" w:rsidRDefault="000773E9" w:rsidP="000773E9">
      <w:pPr>
        <w:pStyle w:val="SCCNormalDoubleSpacing"/>
        <w:spacing w:line="240" w:lineRule="auto"/>
        <w:rPr>
          <w:rStyle w:val="QuoteChar"/>
          <w:sz w:val="20"/>
        </w:rPr>
      </w:pPr>
    </w:p>
    <w:p w:rsidR="000773E9" w:rsidRPr="000773E9" w:rsidRDefault="000773E9" w:rsidP="000773E9">
      <w:pPr>
        <w:pStyle w:val="SCCNormalDoubleSpacing"/>
        <w:spacing w:line="240" w:lineRule="auto"/>
        <w:rPr>
          <w:sz w:val="20"/>
        </w:rPr>
      </w:pPr>
      <w:r w:rsidRPr="000773E9">
        <w:rPr>
          <w:rStyle w:val="QuoteChar"/>
          <w:sz w:val="20"/>
        </w:rPr>
        <w:tab/>
        <w:t>Held:</w:t>
      </w:r>
      <w:r w:rsidRPr="000773E9">
        <w:rPr>
          <w:sz w:val="20"/>
        </w:rPr>
        <w:t xml:space="preserve">  The appeal should be allowed.</w:t>
      </w:r>
    </w:p>
    <w:p w:rsidR="000773E9" w:rsidRDefault="000773E9" w:rsidP="000773E9">
      <w:pPr>
        <w:pStyle w:val="SCCNormalDoubleSpacing"/>
        <w:spacing w:line="240" w:lineRule="auto"/>
        <w:rPr>
          <w:sz w:val="20"/>
        </w:rPr>
      </w:pPr>
    </w:p>
    <w:p w:rsidR="000773E9" w:rsidRDefault="000773E9" w:rsidP="000773E9">
      <w:pPr>
        <w:pStyle w:val="SCCNormalDoubleSpacing"/>
        <w:spacing w:line="240" w:lineRule="auto"/>
        <w:rPr>
          <w:sz w:val="20"/>
        </w:rPr>
      </w:pPr>
      <w:r w:rsidRPr="000773E9">
        <w:rPr>
          <w:sz w:val="20"/>
        </w:rPr>
        <w:tab/>
        <w:t>The sole issue here is causation: Did the doctor’s breaches of the standard of care cause C’s injury?  Because causation is a factual inquiry, the standard of review for the trial judge’s causation findings is palpable and overriding error</w:t>
      </w:r>
      <w:bookmarkStart w:id="3" w:name="OLE_LINK1"/>
      <w:bookmarkStart w:id="4" w:name="OLE_LINK2"/>
      <w:r w:rsidRPr="000773E9">
        <w:rPr>
          <w:sz w:val="20"/>
        </w:rPr>
        <w:t xml:space="preserve">.  There was no such error here.  </w:t>
      </w:r>
    </w:p>
    <w:p w:rsidR="000773E9" w:rsidRPr="000773E9" w:rsidRDefault="000773E9" w:rsidP="000773E9">
      <w:pPr>
        <w:pStyle w:val="SCCNormalDoubleSpacing"/>
        <w:spacing w:line="240" w:lineRule="auto"/>
        <w:rPr>
          <w:sz w:val="20"/>
        </w:rPr>
      </w:pPr>
    </w:p>
    <w:p w:rsidR="000773E9" w:rsidRPr="000773E9" w:rsidRDefault="000773E9" w:rsidP="000773E9">
      <w:pPr>
        <w:pStyle w:val="SCCNormalDoubleSpacing"/>
        <w:spacing w:line="240" w:lineRule="auto"/>
        <w:rPr>
          <w:sz w:val="20"/>
        </w:rPr>
      </w:pPr>
      <w:r w:rsidRPr="000773E9">
        <w:rPr>
          <w:sz w:val="20"/>
        </w:rPr>
        <w:tab/>
        <w:t xml:space="preserve">Contrary to the Court of Appeal’s conclusion, the trial judge did not err by failing to account for the delay between the end of the forceps attempt and the onset of bradycardia.  The trial judge accepted expert testimony that the doctor’s attempt to position the forceps may have displaced the baby’s head such that her umbilical cord would become compressed upon a subsequent maternal contraction, leading to bradycardia.  It was open to the trial judge to do so.  This theory explained the delay between the failed forceps attempt and the onset of bradycardia. </w:t>
      </w:r>
    </w:p>
    <w:p w:rsidR="000773E9" w:rsidRDefault="000773E9" w:rsidP="000773E9">
      <w:pPr>
        <w:pStyle w:val="SCCNormalDoubleSpacing"/>
        <w:spacing w:line="240" w:lineRule="auto"/>
        <w:rPr>
          <w:sz w:val="20"/>
        </w:rPr>
      </w:pPr>
    </w:p>
    <w:p w:rsidR="000773E9" w:rsidRDefault="000773E9" w:rsidP="000773E9">
      <w:pPr>
        <w:pStyle w:val="SCCNormalDoubleSpacing"/>
        <w:spacing w:line="240" w:lineRule="auto"/>
        <w:rPr>
          <w:sz w:val="20"/>
        </w:rPr>
      </w:pPr>
      <w:r w:rsidRPr="000773E9">
        <w:rPr>
          <w:sz w:val="20"/>
        </w:rPr>
        <w:tab/>
        <w:t>The trial judge also did not err when she concluded that the doctor’s failure to have surgical back</w:t>
      </w:r>
      <w:r w:rsidRPr="000773E9">
        <w:rPr>
          <w:sz w:val="20"/>
        </w:rPr>
        <w:noBreakHyphen/>
        <w:t>up immediately available was a “but for” cause of C’s injury.  Although the issue here is causation, the dispute turns on a proper understanding of the “immediately available” standard of care set forth by the trial judge.  The doctor argues that the standard required only that he ensure prior to the forceps procedure that an anaesthetist would be available.  The doctor argues that satisfying this standard would have made no difference in the time it took to deliver C.  The problem with the doctor’s interpretation of the standard of care is that it is unresponsive to the risk in question.  Considering the trial judge’s reasons in their entirety, it is clear that the trial judge contemplated a standard of care that required the doctor to take reasonable precautions responsive to the recognized risk of bradycardia and the severe damage to the baby that results when bradycardia persists.</w:t>
      </w:r>
    </w:p>
    <w:p w:rsidR="000773E9" w:rsidRPr="000773E9" w:rsidRDefault="000773E9" w:rsidP="000773E9">
      <w:pPr>
        <w:pStyle w:val="SCCNormalDoubleSpacing"/>
        <w:spacing w:line="240" w:lineRule="auto"/>
        <w:rPr>
          <w:sz w:val="20"/>
        </w:rPr>
      </w:pPr>
    </w:p>
    <w:p w:rsidR="000773E9" w:rsidRPr="000773E9" w:rsidRDefault="000773E9" w:rsidP="000773E9">
      <w:pPr>
        <w:pStyle w:val="SCCNormalDoubleSpacing"/>
        <w:spacing w:line="240" w:lineRule="auto"/>
        <w:rPr>
          <w:sz w:val="20"/>
        </w:rPr>
      </w:pPr>
      <w:r w:rsidRPr="000773E9">
        <w:rPr>
          <w:sz w:val="20"/>
        </w:rPr>
        <w:tab/>
        <w:t>It is beyond dispute that the doctor did not take precautions to ensure that, in the event of bradycardia, C could have been delivered by Caesarean section without injury.  He took no steps before beginning the mid</w:t>
      </w:r>
      <w:r w:rsidRPr="000773E9">
        <w:rPr>
          <w:sz w:val="20"/>
        </w:rPr>
        <w:noBreakHyphen/>
        <w:t>level forceps procedure to have surgical back</w:t>
      </w:r>
      <w:r w:rsidRPr="000773E9">
        <w:rPr>
          <w:sz w:val="20"/>
        </w:rPr>
        <w:noBreakHyphen/>
        <w:t>up immediately available even though there was no urgency that precluded him from doing so.  He did not even inquire into the availability of an anaesthetist.  That fell below the standard of care.</w:t>
      </w:r>
    </w:p>
    <w:bookmarkEnd w:id="3"/>
    <w:bookmarkEnd w:id="4"/>
    <w:p w:rsidR="000773E9" w:rsidRDefault="000773E9" w:rsidP="000773E9">
      <w:pPr>
        <w:pStyle w:val="SCCNormalDoubleSpacing"/>
        <w:spacing w:line="240" w:lineRule="auto"/>
        <w:rPr>
          <w:sz w:val="20"/>
        </w:rPr>
      </w:pPr>
    </w:p>
    <w:p w:rsidR="000773E9" w:rsidRPr="000773E9" w:rsidRDefault="000773E9" w:rsidP="000773E9">
      <w:pPr>
        <w:pStyle w:val="SCCNormalDoubleSpacing"/>
        <w:spacing w:line="240" w:lineRule="auto"/>
        <w:rPr>
          <w:sz w:val="20"/>
        </w:rPr>
      </w:pPr>
      <w:r w:rsidRPr="000773E9">
        <w:rPr>
          <w:sz w:val="20"/>
        </w:rPr>
        <w:tab/>
        <w:t>Because the trial judge did not err in finding that the doctor’s breach of the duty to have surgical back</w:t>
      </w:r>
      <w:r w:rsidRPr="000773E9">
        <w:rPr>
          <w:sz w:val="20"/>
        </w:rPr>
        <w:noBreakHyphen/>
        <w:t>up immediately available caused C’s injury, it is not necessary to consider whether the doctor’s breach of the duty to obtain the mother’s informed consent also caused C’s injury.  However, the trial judge’s informed consent analysis further confirms that the duty to have back</w:t>
      </w:r>
      <w:r w:rsidRPr="000773E9">
        <w:rPr>
          <w:sz w:val="20"/>
        </w:rPr>
        <w:noBreakHyphen/>
        <w:t xml:space="preserve">up surgical staff “immediately available” required more than simply ensuring that an anaesthetist was available. </w:t>
      </w:r>
    </w:p>
    <w:p w:rsidR="000773E9" w:rsidRPr="000773E9" w:rsidRDefault="000773E9" w:rsidP="000773E9">
      <w:pPr>
        <w:jc w:val="both"/>
        <w:rPr>
          <w:rFonts w:cs="Times New Roman"/>
          <w:sz w:val="20"/>
          <w:szCs w:val="20"/>
        </w:rPr>
      </w:pPr>
    </w:p>
    <w:p w:rsidR="000773E9" w:rsidRDefault="000773E9" w:rsidP="000773E9">
      <w:pPr>
        <w:pStyle w:val="SCCNormalDoubleSpacing"/>
        <w:spacing w:line="240" w:lineRule="auto"/>
        <w:rPr>
          <w:sz w:val="20"/>
        </w:rPr>
      </w:pPr>
      <w:r w:rsidRPr="000773E9">
        <w:rPr>
          <w:sz w:val="20"/>
        </w:rPr>
        <w:tab/>
        <w:t>APPEAL from a judgment of the Court of Appeal for British Columbia (Saunders, Smith and Groberman JJ.A.), 2011 BCCA 253, 19 B.C.L.R. (5th) 60, 305 B.C.A.C. 271, 515 W.A.C. 271, 333 D.L.R. (4th) 633, [2011] 8 W.W.R. 466, 82 C.C.L.T. (3d) 228, [2011] B.C.J. No. 974 (QL), 2011 CarswellBC 1279, setting aside a decision of Holmes J., 2009 BCSC 386, 65 C.C.L.T. (3d) 1, [2009] B.C.J. No. 564 (QL), 2009 CarswellBC 773.  Appeal allowed.</w:t>
      </w:r>
    </w:p>
    <w:p w:rsidR="000773E9" w:rsidRPr="000773E9" w:rsidRDefault="000773E9" w:rsidP="000773E9">
      <w:pPr>
        <w:pStyle w:val="SCCNormalDoubleSpacing"/>
        <w:spacing w:line="240" w:lineRule="auto"/>
        <w:rPr>
          <w:sz w:val="20"/>
        </w:rPr>
      </w:pPr>
    </w:p>
    <w:p w:rsidR="000773E9" w:rsidRDefault="000773E9" w:rsidP="000773E9">
      <w:pPr>
        <w:pStyle w:val="SCCNormalDoubleSpacing"/>
        <w:spacing w:line="240" w:lineRule="auto"/>
        <w:rPr>
          <w:rStyle w:val="SCCCounselPartyRoleChar"/>
          <w:sz w:val="20"/>
        </w:rPr>
      </w:pPr>
      <w:r w:rsidRPr="000773E9">
        <w:rPr>
          <w:rStyle w:val="SCCCounselNameChar"/>
          <w:sz w:val="20"/>
        </w:rPr>
        <w:tab/>
        <w:t>Vincent R. K. Orchard</w:t>
      </w:r>
      <w:r w:rsidRPr="000773E9">
        <w:rPr>
          <w:rStyle w:val="SCCCounselSeparatorChar"/>
          <w:sz w:val="20"/>
          <w:lang w:val="en-US"/>
        </w:rPr>
        <w:t xml:space="preserve">, </w:t>
      </w:r>
      <w:r w:rsidRPr="000773E9">
        <w:rPr>
          <w:rStyle w:val="SCCCounselSeparatorChar"/>
          <w:i/>
          <w:sz w:val="20"/>
          <w:lang w:val="en-US"/>
        </w:rPr>
        <w:t>Q.C.</w:t>
      </w:r>
      <w:r w:rsidRPr="000773E9">
        <w:rPr>
          <w:rStyle w:val="SCCCounselSeparatorChar"/>
          <w:sz w:val="20"/>
          <w:lang w:val="en-US"/>
        </w:rPr>
        <w:t xml:space="preserve">, </w:t>
      </w:r>
      <w:r w:rsidRPr="000773E9">
        <w:rPr>
          <w:rStyle w:val="SCCCounselSeparatorChar"/>
          <w:i/>
          <w:sz w:val="20"/>
          <w:lang w:val="en-US"/>
        </w:rPr>
        <w:t>Steven Hoyer</w:t>
      </w:r>
      <w:r w:rsidRPr="000773E9">
        <w:rPr>
          <w:rStyle w:val="SCCCounselSeparatorChar"/>
          <w:sz w:val="20"/>
          <w:lang w:val="en-US"/>
        </w:rPr>
        <w:t xml:space="preserve">, </w:t>
      </w:r>
      <w:r w:rsidRPr="000773E9">
        <w:rPr>
          <w:rStyle w:val="SCCCounselSeparatorChar"/>
          <w:i/>
          <w:sz w:val="20"/>
          <w:lang w:val="en-US"/>
        </w:rPr>
        <w:t>Susanne Raab</w:t>
      </w:r>
      <w:r w:rsidRPr="000773E9">
        <w:rPr>
          <w:rStyle w:val="SCCCounselSeparatorChar"/>
          <w:sz w:val="20"/>
          <w:lang w:val="en-US"/>
        </w:rPr>
        <w:t xml:space="preserve"> and </w:t>
      </w:r>
      <w:r w:rsidRPr="000773E9">
        <w:rPr>
          <w:rStyle w:val="SCCCounselNameChar"/>
          <w:sz w:val="20"/>
        </w:rPr>
        <w:t>Paul T. McGivern</w:t>
      </w:r>
      <w:r w:rsidRPr="000773E9">
        <w:rPr>
          <w:rStyle w:val="SCCCounselPartyRoleChar"/>
          <w:sz w:val="20"/>
        </w:rPr>
        <w:t>, for the appellant.</w:t>
      </w:r>
    </w:p>
    <w:p w:rsidR="000773E9" w:rsidRPr="000773E9" w:rsidRDefault="000773E9" w:rsidP="000773E9">
      <w:pPr>
        <w:pStyle w:val="SCCNormalDoubleSpacing"/>
        <w:spacing w:line="240" w:lineRule="auto"/>
        <w:rPr>
          <w:sz w:val="20"/>
        </w:rPr>
      </w:pPr>
    </w:p>
    <w:p w:rsidR="000773E9" w:rsidRDefault="000773E9" w:rsidP="000773E9">
      <w:pPr>
        <w:pStyle w:val="SCCNormalDoubleSpacing"/>
        <w:spacing w:line="240" w:lineRule="auto"/>
        <w:rPr>
          <w:rStyle w:val="SCCCounselPartyRoleChar"/>
          <w:sz w:val="20"/>
        </w:rPr>
      </w:pPr>
      <w:r w:rsidRPr="000773E9">
        <w:rPr>
          <w:rStyle w:val="SCCCounselNameChar"/>
          <w:sz w:val="20"/>
        </w:rPr>
        <w:tab/>
        <w:t>James M. Lepp, Q.C.</w:t>
      </w:r>
      <w:r w:rsidRPr="000773E9">
        <w:rPr>
          <w:rStyle w:val="SCCCounselSeparatorChar"/>
          <w:sz w:val="20"/>
          <w:lang w:val="en-US"/>
        </w:rPr>
        <w:t xml:space="preserve">, </w:t>
      </w:r>
      <w:r w:rsidRPr="000773E9">
        <w:rPr>
          <w:rStyle w:val="SCCCounselNameChar"/>
          <w:sz w:val="20"/>
        </w:rPr>
        <w:t>Michael G. Thomas</w:t>
      </w:r>
      <w:r w:rsidRPr="000773E9">
        <w:rPr>
          <w:rStyle w:val="SCCCounselSeparatorChar"/>
          <w:sz w:val="20"/>
          <w:lang w:val="en-US"/>
        </w:rPr>
        <w:t xml:space="preserve"> and </w:t>
      </w:r>
      <w:r w:rsidRPr="000773E9">
        <w:rPr>
          <w:rStyle w:val="SCCCounselNameChar"/>
          <w:sz w:val="20"/>
        </w:rPr>
        <w:t>Daniel J. Reid</w:t>
      </w:r>
      <w:r w:rsidRPr="000773E9">
        <w:rPr>
          <w:rStyle w:val="SCCCounselPartyRoleChar"/>
          <w:sz w:val="20"/>
        </w:rPr>
        <w:t>, for the respondent.</w:t>
      </w:r>
    </w:p>
    <w:p w:rsidR="000773E9" w:rsidRPr="000773E9" w:rsidRDefault="000773E9" w:rsidP="000773E9">
      <w:pPr>
        <w:pStyle w:val="SCCNormalDoubleSpacing"/>
        <w:spacing w:line="240" w:lineRule="auto"/>
        <w:rPr>
          <w:sz w:val="20"/>
        </w:rPr>
      </w:pPr>
    </w:p>
    <w:p w:rsidR="000773E9" w:rsidRPr="000773E9" w:rsidRDefault="000773E9" w:rsidP="000773E9">
      <w:pPr>
        <w:pStyle w:val="SCCLawFirm"/>
        <w:spacing w:line="240" w:lineRule="auto"/>
        <w:rPr>
          <w:sz w:val="20"/>
        </w:rPr>
      </w:pPr>
      <w:r w:rsidRPr="000773E9">
        <w:rPr>
          <w:sz w:val="20"/>
        </w:rPr>
        <w:tab/>
        <w:t>Solicitors for the appellant:  Borden Ladner Gervais, Vancouver.</w:t>
      </w:r>
    </w:p>
    <w:p w:rsidR="000773E9" w:rsidRDefault="000773E9" w:rsidP="000773E9">
      <w:pPr>
        <w:jc w:val="both"/>
        <w:rPr>
          <w:sz w:val="20"/>
          <w:szCs w:val="20"/>
        </w:rPr>
      </w:pPr>
    </w:p>
    <w:p w:rsidR="000773E9" w:rsidRPr="000773E9" w:rsidRDefault="000773E9" w:rsidP="000773E9">
      <w:pPr>
        <w:jc w:val="both"/>
        <w:rPr>
          <w:rFonts w:cs="Times New Roman"/>
          <w:i/>
          <w:sz w:val="20"/>
          <w:szCs w:val="20"/>
        </w:rPr>
      </w:pPr>
      <w:r w:rsidRPr="000773E9">
        <w:rPr>
          <w:sz w:val="20"/>
          <w:szCs w:val="20"/>
        </w:rPr>
        <w:tab/>
      </w:r>
      <w:r w:rsidRPr="000773E9">
        <w:rPr>
          <w:i/>
          <w:sz w:val="20"/>
          <w:szCs w:val="20"/>
        </w:rPr>
        <w:t>Solicitors for the respondent:  Harper Grey, Vancouver.</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Pr="003B3977" w:rsidRDefault="00DD0B49" w:rsidP="00DD0B49">
      <w:pPr>
        <w:rPr>
          <w:rFonts w:cs="Times New Roman"/>
          <w:sz w:val="20"/>
          <w:szCs w:val="20"/>
          <w:lang w:val="fr-CA"/>
        </w:rPr>
      </w:pPr>
    </w:p>
    <w:p w:rsidR="005C6840" w:rsidRDefault="005C6840" w:rsidP="000773E9">
      <w:pPr>
        <w:jc w:val="both"/>
        <w:rPr>
          <w:rFonts w:cs="Times New Roman"/>
          <w:sz w:val="20"/>
          <w:szCs w:val="20"/>
          <w:lang w:val="fr-CA"/>
        </w:rPr>
      </w:pPr>
      <w:r w:rsidRPr="003B3977">
        <w:rPr>
          <w:rFonts w:cs="Times New Roman"/>
          <w:sz w:val="20"/>
          <w:szCs w:val="20"/>
          <w:lang w:val="fr-CA"/>
        </w:rPr>
        <w:t>Présents : </w:t>
      </w:r>
      <w:r w:rsidR="000773E9" w:rsidRPr="000773E9">
        <w:rPr>
          <w:rFonts w:cs="Times New Roman"/>
          <w:sz w:val="20"/>
          <w:szCs w:val="20"/>
          <w:lang w:val="fr-CA"/>
        </w:rPr>
        <w:t>La juge en chef McLachlin et les juges LeBel, Rothstein, Cromwell, Moldaver, Karakatsanis et Wagner</w:t>
      </w:r>
    </w:p>
    <w:p w:rsidR="000773E9" w:rsidRPr="000773E9" w:rsidRDefault="000773E9" w:rsidP="000773E9">
      <w:pPr>
        <w:jc w:val="both"/>
        <w:rPr>
          <w:rFonts w:cs="Times New Roman"/>
          <w:sz w:val="20"/>
          <w:szCs w:val="20"/>
          <w:lang w:val="fr-CA"/>
        </w:rPr>
      </w:pPr>
    </w:p>
    <w:p w:rsidR="000773E9" w:rsidRDefault="000773E9" w:rsidP="000773E9">
      <w:pPr>
        <w:pStyle w:val="SCCNormalDoubleSpacing"/>
        <w:spacing w:line="240" w:lineRule="auto"/>
        <w:rPr>
          <w:i/>
          <w:sz w:val="20"/>
          <w:lang w:val="fr-FR"/>
        </w:rPr>
      </w:pPr>
      <w:r w:rsidRPr="000773E9">
        <w:rPr>
          <w:sz w:val="20"/>
          <w:lang w:val="fr-CA"/>
        </w:rPr>
        <w:tab/>
      </w:r>
      <w:r w:rsidRPr="000773E9">
        <w:rPr>
          <w:i/>
          <w:sz w:val="20"/>
          <w:lang w:val="fr-FR"/>
        </w:rPr>
        <w:t>Responsabilité délictuelle — Négligence — Lien de causalité — Tentative par un médecin d’accouchement par forceps moyen — Compression du cordon ombilical causant une bradycardie et des lésions cérébrales — Omission du médecin de prendre des dispositions pour un accouchement par césarienne en cas de complications et d’aviser la mère des risques d’un accouchement par forceps moyen avant de tenter l’accouchement par forceps — La tentative par le médecin d’accouchement par forceps a</w:t>
      </w:r>
      <w:r w:rsidRPr="000773E9">
        <w:rPr>
          <w:i/>
          <w:sz w:val="20"/>
          <w:lang w:val="fr-FR"/>
        </w:rPr>
        <w:noBreakHyphen/>
        <w:t>t</w:t>
      </w:r>
      <w:r w:rsidRPr="000773E9">
        <w:rPr>
          <w:i/>
          <w:sz w:val="20"/>
          <w:lang w:val="fr-FR"/>
        </w:rPr>
        <w:noBreakHyphen/>
        <w:t>elle causé la bradycardie? — L’omission du médecin de prendre des dispositions pour un accouchement par césarienne en cas de complications ou d’aviser la mère des risques d’un accouchement par forceps moyen avant de tenter l’accouchement par forceps a</w:t>
      </w:r>
      <w:r w:rsidRPr="000773E9">
        <w:rPr>
          <w:i/>
          <w:sz w:val="20"/>
          <w:lang w:val="fr-FR"/>
        </w:rPr>
        <w:noBreakHyphen/>
        <w:t>t</w:t>
      </w:r>
      <w:r w:rsidRPr="000773E9">
        <w:rPr>
          <w:i/>
          <w:sz w:val="20"/>
          <w:lang w:val="fr-FR"/>
        </w:rPr>
        <w:noBreakHyphen/>
        <w:t>elle causé les lésions subies par le bébé?</w:t>
      </w:r>
    </w:p>
    <w:p w:rsidR="000773E9" w:rsidRPr="000773E9" w:rsidRDefault="000773E9" w:rsidP="000773E9">
      <w:pPr>
        <w:pStyle w:val="SCCNormalDoubleSpacing"/>
        <w:spacing w:line="240" w:lineRule="auto"/>
        <w:rPr>
          <w:i/>
          <w:sz w:val="20"/>
          <w:lang w:val="fr-FR"/>
        </w:rPr>
      </w:pPr>
    </w:p>
    <w:p w:rsidR="000773E9" w:rsidRPr="000773E9" w:rsidRDefault="000773E9" w:rsidP="000773E9">
      <w:pPr>
        <w:pStyle w:val="SCCNormalDoubleSpacing"/>
        <w:spacing w:line="240" w:lineRule="auto"/>
        <w:rPr>
          <w:sz w:val="20"/>
          <w:lang w:val="fr-FR"/>
        </w:rPr>
      </w:pPr>
      <w:r w:rsidRPr="000773E9">
        <w:rPr>
          <w:sz w:val="20"/>
          <w:lang w:val="fr-FR"/>
        </w:rPr>
        <w:tab/>
        <w:t>À sa naissance, C a été victime d’une bradycardie prolongée qui lui a causé de graves lésions cérébrales permanentes.  Le travail de la mère de C ne progressant pas comme il l’aurait dû, le médecin a décidé de tenter de mettre C au monde en utilisant la méthode d’accouchement par forceps moyen.  Avant cette tentative, le médecin n’a pas informé la mère de C des risques importants associés à un accouchement par forceps moyen, et notamment du risque de bradycardie, et il n’a pas vérifié si une équipe chirurgicale de secours serait disponible sans délai pour pratiquer une césarienne d’urgence en cas de bradycardie.  Après avoir appliqué le forceps, le médecin a décidé d’abandonner cette méthode et il est</w:t>
      </w:r>
      <w:r w:rsidRPr="000773E9">
        <w:rPr>
          <w:sz w:val="20"/>
          <w:lang w:val="fr-CA"/>
        </w:rPr>
        <w:t xml:space="preserve"> sorti de la salle de travail pour prendre les dispositions nécessaires en vue d’une césarienne</w:t>
      </w:r>
      <w:r w:rsidRPr="000773E9">
        <w:rPr>
          <w:sz w:val="20"/>
          <w:lang w:val="fr-FR"/>
        </w:rPr>
        <w:t>.  Dans les minutes qui ont suivi, le cordon ombilical de C a été obstrué, ce qui a causé une bradycardie prolongée.  C est née par césarienne environ 18 minutes après le début de la bradycardie et elle souffre maintenant de tétraplégie spastique et de paralysie cérébrale.  La juge de première instance a conclu que l’application du forceps par le médecin a probablement causé l’obstruction du cordon ombilical de C qui a entraîné la bradycardie, parce que le forceps a déplacé la tête de C et créé un espace dans lequel le cordon est tombé et a été compressé lors d’une contraction utérine ultérieure.  La juge de première instance a conclu que le médecin n’avait pas respecté la norme de diligence selon laquelle il devait veiller à ce qu’une équipe chirurgicale de secours soit disponible sans délai avant de tenter l’accouchement par forceps moyen et obtenir le consentement éclairé de la mère à l’application de cette méthode.  Le médecin a toutefois eu gain de cause en appel relativement à la conclusion de la juge de première instance selon laquelle ses manquements à la norme de diligence avaient causé les lésions subies par C.</w:t>
      </w:r>
    </w:p>
    <w:p w:rsidR="000773E9" w:rsidRDefault="000773E9" w:rsidP="000773E9">
      <w:pPr>
        <w:pStyle w:val="SCCNormalDoubleSpacing"/>
        <w:spacing w:line="240" w:lineRule="auto"/>
        <w:rPr>
          <w:rStyle w:val="QuoteChar"/>
          <w:sz w:val="20"/>
          <w:lang w:val="fr-FR"/>
        </w:rPr>
      </w:pPr>
    </w:p>
    <w:p w:rsidR="000773E9" w:rsidRPr="000773E9" w:rsidRDefault="000773E9" w:rsidP="000773E9">
      <w:pPr>
        <w:pStyle w:val="SCCNormalDoubleSpacing"/>
        <w:spacing w:line="240" w:lineRule="auto"/>
        <w:rPr>
          <w:sz w:val="20"/>
          <w:lang w:val="fr-FR"/>
        </w:rPr>
      </w:pPr>
      <w:r w:rsidRPr="000773E9">
        <w:rPr>
          <w:rStyle w:val="QuoteChar"/>
          <w:sz w:val="20"/>
          <w:lang w:val="fr-FR"/>
        </w:rPr>
        <w:tab/>
        <w:t xml:space="preserve">Arrêt : Le pourvoi est accueilli. </w:t>
      </w:r>
    </w:p>
    <w:p w:rsidR="000773E9" w:rsidRDefault="000773E9" w:rsidP="000773E9">
      <w:pPr>
        <w:pStyle w:val="SCCNormalDoubleSpacing"/>
        <w:spacing w:line="240" w:lineRule="auto"/>
        <w:rPr>
          <w:sz w:val="20"/>
          <w:lang w:val="fr-CA"/>
        </w:rPr>
      </w:pPr>
    </w:p>
    <w:p w:rsidR="000773E9" w:rsidRPr="000773E9" w:rsidRDefault="000773E9" w:rsidP="000773E9">
      <w:pPr>
        <w:pStyle w:val="SCCNormalDoubleSpacing"/>
        <w:spacing w:line="240" w:lineRule="auto"/>
        <w:rPr>
          <w:sz w:val="20"/>
          <w:lang w:val="fr-FR"/>
        </w:rPr>
      </w:pPr>
      <w:r w:rsidRPr="000773E9">
        <w:rPr>
          <w:sz w:val="20"/>
          <w:lang w:val="fr-CA"/>
        </w:rPr>
        <w:tab/>
        <w:t>La seule question en litige est celle du lien de causalité : les lésions subies par C ont</w:t>
      </w:r>
      <w:r w:rsidRPr="000773E9">
        <w:rPr>
          <w:sz w:val="20"/>
          <w:lang w:val="fr-CA"/>
        </w:rPr>
        <w:noBreakHyphen/>
        <w:t xml:space="preserve">elles été causées par les manquements du médecin à la norme de diligence? Le lien de causalité étant une question de fait, c’est la norme de contrôle de l’erreur manifeste et dominante qui s’applique à l’examen des conclusions de la juge de première instance sur cette question.  </w:t>
      </w:r>
      <w:r w:rsidRPr="000773E9">
        <w:rPr>
          <w:sz w:val="20"/>
          <w:lang w:val="fr-FR"/>
        </w:rPr>
        <w:t>Or, aucune erreur de ce type n’a été commise en l’espèce.</w:t>
      </w:r>
    </w:p>
    <w:p w:rsidR="000773E9" w:rsidRDefault="000773E9" w:rsidP="000773E9">
      <w:pPr>
        <w:pStyle w:val="SCCNormalDoubleSpacing"/>
        <w:spacing w:line="240" w:lineRule="auto"/>
        <w:rPr>
          <w:sz w:val="20"/>
          <w:lang w:val="fr-FR"/>
        </w:rPr>
      </w:pPr>
    </w:p>
    <w:p w:rsidR="000773E9" w:rsidRPr="000773E9" w:rsidRDefault="000773E9" w:rsidP="000773E9">
      <w:pPr>
        <w:pStyle w:val="SCCNormalDoubleSpacing"/>
        <w:spacing w:line="240" w:lineRule="auto"/>
        <w:rPr>
          <w:sz w:val="20"/>
          <w:lang w:val="fr-FR"/>
        </w:rPr>
      </w:pPr>
      <w:r w:rsidRPr="000773E9">
        <w:rPr>
          <w:sz w:val="20"/>
          <w:lang w:val="fr-FR"/>
        </w:rPr>
        <w:tab/>
        <w:t xml:space="preserve">Contrairement à ce qu’a conclu la Cour d’appel, la juge de première instance n’a pas erronément omis de tenir compte de l’intervalle entre la fin de la tentative d’accouchement par forceps et le début de la bradycardie.  La juge de première instance a retenu le témoignage d’expert selon lequel </w:t>
      </w:r>
      <w:r w:rsidRPr="000773E9">
        <w:rPr>
          <w:sz w:val="20"/>
          <w:lang w:val="fr-CA"/>
        </w:rPr>
        <w:t>il se peut que la tête du bébé ait été déplacée lors de la tentative d’application du forceps, de sorte qu’une compression du cordon ombilical lors d’une contraction utérine ultérieure</w:t>
      </w:r>
      <w:r w:rsidRPr="000773E9">
        <w:rPr>
          <w:sz w:val="20"/>
          <w:lang w:val="fr-FR"/>
        </w:rPr>
        <w:t xml:space="preserve"> ait causé la bradycardie.  La juge de première instance pouvait retenir ce témoignage.  Cette thèse expliquait l’intervalle entre la tentative échouée d’accouchement par forceps et le début de la bradycardie.</w:t>
      </w:r>
    </w:p>
    <w:p w:rsidR="000773E9" w:rsidRDefault="000773E9" w:rsidP="000773E9">
      <w:pPr>
        <w:pStyle w:val="SCCNormalDoubleSpacing"/>
        <w:spacing w:line="240" w:lineRule="auto"/>
        <w:rPr>
          <w:sz w:val="20"/>
          <w:lang w:val="fr-FR"/>
        </w:rPr>
      </w:pPr>
    </w:p>
    <w:p w:rsidR="000773E9" w:rsidRPr="000773E9" w:rsidRDefault="000773E9" w:rsidP="000773E9">
      <w:pPr>
        <w:pStyle w:val="SCCNormalDoubleSpacing"/>
        <w:spacing w:line="240" w:lineRule="auto"/>
        <w:rPr>
          <w:sz w:val="20"/>
          <w:lang w:val="fr-FR"/>
        </w:rPr>
      </w:pPr>
      <w:r w:rsidRPr="000773E9">
        <w:rPr>
          <w:sz w:val="20"/>
          <w:lang w:val="fr-FR"/>
        </w:rPr>
        <w:tab/>
        <w:t xml:space="preserve">La juge de première instance n’a pas non plus commis d’erreur en concluant que l’omission du médecin de veiller à ce qu’une équipe chirurgicale de secours soit disponible sans délai constituait une cause déterminante des lésions subies par C.  </w:t>
      </w:r>
      <w:r w:rsidRPr="000773E9">
        <w:rPr>
          <w:sz w:val="20"/>
          <w:lang w:val="fr-CA"/>
        </w:rPr>
        <w:t xml:space="preserve">Bien que la question à trancher ici soit celle du lien de causalité, le débat porte sur ce qu’il faut entendre par être « disponible sans délai » selon la norme énoncée par la juge de première instance.  </w:t>
      </w:r>
      <w:r w:rsidRPr="000773E9">
        <w:rPr>
          <w:sz w:val="20"/>
          <w:lang w:val="fr-FR"/>
        </w:rPr>
        <w:t xml:space="preserve">Le médecin soutient </w:t>
      </w:r>
      <w:r w:rsidRPr="000773E9">
        <w:rPr>
          <w:sz w:val="20"/>
          <w:lang w:val="fr-CA"/>
        </w:rPr>
        <w:t>que cette norme l’obligeait simplement à s’assurer, avant de tenter l’accouchement par forceps, qu’un anesthésiste serait disponible</w:t>
      </w:r>
      <w:r w:rsidRPr="000773E9">
        <w:rPr>
          <w:sz w:val="20"/>
          <w:lang w:val="fr-FR"/>
        </w:rPr>
        <w:t xml:space="preserve">.  Le médecin prétend que le respect de cette norme n’aurait rien changé au temps nécessaire pour mettre C au monde.  </w:t>
      </w:r>
      <w:r w:rsidRPr="000773E9">
        <w:rPr>
          <w:sz w:val="20"/>
          <w:lang w:val="fr-CA"/>
        </w:rPr>
        <w:t>Le problème que pose la norme de diligence, telle que l’interprète le médecin, tient au fait qu’elle ne pare pas au risque en cause</w:t>
      </w:r>
      <w:r w:rsidRPr="000773E9">
        <w:rPr>
          <w:sz w:val="20"/>
          <w:lang w:val="fr-FR"/>
        </w:rPr>
        <w:t xml:space="preserve">.  Il ressort clairement des motifs de la juge de première instance, considérés globalement, qu’elle </w:t>
      </w:r>
      <w:r w:rsidRPr="000773E9">
        <w:rPr>
          <w:sz w:val="20"/>
          <w:lang w:val="fr-CA"/>
        </w:rPr>
        <w:t xml:space="preserve">envisageait une norme de diligence qui exigeait que le médecin prenne des précautions raisonnables pour parer au risque notoire de bradycardie et au grave préjudice </w:t>
      </w:r>
      <w:r w:rsidRPr="000773E9">
        <w:rPr>
          <w:sz w:val="20"/>
          <w:lang w:val="fr-FR"/>
        </w:rPr>
        <w:t>causé au bébé par une bradycardie prolongée.</w:t>
      </w:r>
    </w:p>
    <w:p w:rsidR="000773E9" w:rsidRDefault="000773E9" w:rsidP="000773E9">
      <w:pPr>
        <w:pStyle w:val="SCCNormalDoubleSpacing"/>
        <w:spacing w:line="240" w:lineRule="auto"/>
        <w:rPr>
          <w:sz w:val="20"/>
          <w:lang w:val="fr-CA"/>
        </w:rPr>
      </w:pPr>
    </w:p>
    <w:p w:rsidR="000773E9" w:rsidRPr="000773E9" w:rsidRDefault="000773E9" w:rsidP="000773E9">
      <w:pPr>
        <w:pStyle w:val="SCCNormalDoubleSpacing"/>
        <w:spacing w:line="240" w:lineRule="auto"/>
        <w:rPr>
          <w:sz w:val="20"/>
          <w:lang w:val="fr-FR"/>
        </w:rPr>
      </w:pPr>
      <w:r w:rsidRPr="000773E9">
        <w:rPr>
          <w:sz w:val="20"/>
          <w:lang w:val="fr-CA"/>
        </w:rPr>
        <w:tab/>
        <w:t xml:space="preserve">Il ne fait aucun doute que le médecin n’a pris aucune précaution pour que, en cas de bradycardie, C puisse être mise au monde par césarienne sans subir de lésion. </w:t>
      </w:r>
      <w:r w:rsidRPr="000773E9">
        <w:rPr>
          <w:sz w:val="20"/>
          <w:lang w:val="fr-FR"/>
        </w:rPr>
        <w:t xml:space="preserve"> Il n’a rien fait avant de commencer l’accouchement par forceps moyen pour qu’une équipe chirurgicale de secours soit disponible sans délai, </w:t>
      </w:r>
      <w:r w:rsidRPr="000773E9">
        <w:rPr>
          <w:sz w:val="20"/>
          <w:lang w:val="fr-CA"/>
        </w:rPr>
        <w:t>alors qu’aucune urgence ne l’empêchait de prendre cette précaution</w:t>
      </w:r>
      <w:r w:rsidRPr="000773E9">
        <w:rPr>
          <w:sz w:val="20"/>
          <w:lang w:val="fr-FR"/>
        </w:rPr>
        <w:t xml:space="preserve">.  </w:t>
      </w:r>
      <w:r w:rsidRPr="000773E9">
        <w:rPr>
          <w:sz w:val="20"/>
          <w:lang w:val="fr-CA"/>
        </w:rPr>
        <w:t>Il n’a même pas vérifié si un anesthésiste était disponible</w:t>
      </w:r>
      <w:r w:rsidRPr="000773E9">
        <w:rPr>
          <w:sz w:val="20"/>
          <w:lang w:val="fr-FR"/>
        </w:rPr>
        <w:t>. En agissant ainsi, il n’a pas respecté la norme de diligence.</w:t>
      </w:r>
    </w:p>
    <w:p w:rsidR="000773E9" w:rsidRDefault="000773E9" w:rsidP="000773E9">
      <w:pPr>
        <w:pStyle w:val="SCCNormalDoubleSpacing"/>
        <w:spacing w:line="240" w:lineRule="auto"/>
        <w:rPr>
          <w:sz w:val="20"/>
          <w:lang w:val="fr-FR"/>
        </w:rPr>
      </w:pPr>
    </w:p>
    <w:p w:rsidR="000773E9" w:rsidRPr="000773E9" w:rsidRDefault="000773E9" w:rsidP="000773E9">
      <w:pPr>
        <w:pStyle w:val="SCCNormalDoubleSpacing"/>
        <w:spacing w:line="240" w:lineRule="auto"/>
        <w:rPr>
          <w:sz w:val="20"/>
          <w:lang w:val="fr-FR"/>
        </w:rPr>
      </w:pPr>
      <w:r w:rsidRPr="000773E9">
        <w:rPr>
          <w:sz w:val="20"/>
          <w:lang w:val="fr-FR"/>
        </w:rPr>
        <w:tab/>
        <w:t xml:space="preserve">Étant donné que la juge de première instance n’a pas commis d’erreur en concluant que le manquement du médecin à son obligation de veiller à ce qu’une équipe chirurgicale de secours soit disponible sans délai a causé les lésions subies par C, il n’est pas nécessaire de </w:t>
      </w:r>
      <w:r w:rsidRPr="000773E9">
        <w:rPr>
          <w:sz w:val="20"/>
          <w:lang w:val="fr-CA"/>
        </w:rPr>
        <w:t>décider si son manquement à son obligation d’obtenir le consentement éclairé de la mère les a causées</w:t>
      </w:r>
      <w:r w:rsidRPr="000773E9">
        <w:rPr>
          <w:sz w:val="20"/>
          <w:lang w:val="fr-FR"/>
        </w:rPr>
        <w:t xml:space="preserve">.  Toutefois, </w:t>
      </w:r>
      <w:r w:rsidRPr="000773E9">
        <w:rPr>
          <w:sz w:val="20"/>
          <w:lang w:val="fr-CA"/>
        </w:rPr>
        <w:t>l’analyse faite par la juge de première instance du consentement éclairé confirme également que l’obligation de veiller à ce qu’une équipe chirurgicale soit « disponible sans délai » n’exigeait pas seulement que le médecin vérifie si un anesthésiste était disponible.</w:t>
      </w:r>
    </w:p>
    <w:p w:rsidR="000773E9" w:rsidRPr="000773E9" w:rsidRDefault="000773E9" w:rsidP="000773E9">
      <w:pPr>
        <w:jc w:val="both"/>
        <w:rPr>
          <w:rFonts w:cs="Times New Roman"/>
          <w:sz w:val="20"/>
          <w:szCs w:val="20"/>
          <w:lang w:val="fr-FR"/>
        </w:rPr>
      </w:pPr>
    </w:p>
    <w:p w:rsidR="000773E9" w:rsidRDefault="000773E9" w:rsidP="000773E9">
      <w:pPr>
        <w:pStyle w:val="SCCNormalDoubleSpacing"/>
        <w:spacing w:line="240" w:lineRule="auto"/>
        <w:rPr>
          <w:sz w:val="20"/>
          <w:lang w:val="fr-CA"/>
        </w:rPr>
      </w:pPr>
      <w:r w:rsidRPr="000773E9">
        <w:rPr>
          <w:sz w:val="20"/>
          <w:lang w:val="fr-CA"/>
        </w:rPr>
        <w:tab/>
        <w:t>POURVOI contre un arrêt de la Cour d’appel de la Colombie</w:t>
      </w:r>
      <w:r w:rsidRPr="000773E9">
        <w:rPr>
          <w:sz w:val="20"/>
          <w:lang w:val="fr-CA"/>
        </w:rPr>
        <w:noBreakHyphen/>
        <w:t>Britannique (les juges Saunders, Smith et Groberman), 2011 BCCA 253, 19 B.C.L.R. (5th) 60, 305 B.C.A.C. 271, 515 W.A.C. 271, 333 D.L.R. (4th) 633, [2011] 8 W.W.R. 466, 82 C.C.L.T. (3d) 228, [2011] B.C.J. No. 974 (QL), 2011 CarswellBC 1279, qui a annulé une décision de la juge Holmes, 2009 BCSC 386, 65 C.C.L.T. (3d) 1, [2009] B.C.J. No. 564 (QL), 2009 CarswellBC 773.  Pourvoi accueilli.</w:t>
      </w:r>
    </w:p>
    <w:p w:rsidR="000773E9" w:rsidRPr="000773E9" w:rsidRDefault="000773E9" w:rsidP="000773E9">
      <w:pPr>
        <w:pStyle w:val="SCCNormalDoubleSpacing"/>
        <w:spacing w:line="240" w:lineRule="auto"/>
        <w:rPr>
          <w:sz w:val="20"/>
          <w:lang w:val="fr-CA"/>
        </w:rPr>
      </w:pPr>
    </w:p>
    <w:p w:rsidR="000773E9" w:rsidRPr="000773E9" w:rsidRDefault="000773E9" w:rsidP="000773E9">
      <w:pPr>
        <w:pStyle w:val="SCCNormalDoubleSpacing"/>
        <w:spacing w:line="240" w:lineRule="auto"/>
        <w:rPr>
          <w:sz w:val="20"/>
          <w:lang w:val="fr-CA"/>
        </w:rPr>
      </w:pPr>
      <w:r w:rsidRPr="000773E9">
        <w:rPr>
          <w:rStyle w:val="SCCCounselNameChar"/>
          <w:sz w:val="20"/>
          <w:lang w:val="fr-CA"/>
        </w:rPr>
        <w:tab/>
        <w:t>Vincent R. K. Orchard</w:t>
      </w:r>
      <w:r w:rsidRPr="000773E9">
        <w:rPr>
          <w:rStyle w:val="SCCCounselSeparatorChar"/>
          <w:sz w:val="20"/>
        </w:rPr>
        <w:t xml:space="preserve">, </w:t>
      </w:r>
      <w:r w:rsidRPr="000773E9">
        <w:rPr>
          <w:rStyle w:val="SCCCounselSeparatorChar"/>
          <w:i/>
          <w:sz w:val="20"/>
        </w:rPr>
        <w:t>c.r.</w:t>
      </w:r>
      <w:r w:rsidRPr="000773E9">
        <w:rPr>
          <w:rStyle w:val="SCCCounselSeparatorChar"/>
          <w:sz w:val="20"/>
        </w:rPr>
        <w:t xml:space="preserve">, </w:t>
      </w:r>
      <w:r w:rsidRPr="000773E9">
        <w:rPr>
          <w:rStyle w:val="SCCCounselNameChar"/>
          <w:sz w:val="20"/>
          <w:lang w:val="fr-CA"/>
        </w:rPr>
        <w:t>Steven Hoyer</w:t>
      </w:r>
      <w:r w:rsidRPr="000773E9">
        <w:rPr>
          <w:rStyle w:val="SCCCounselPartyRoleChar"/>
          <w:sz w:val="20"/>
          <w:lang w:val="fr-CA"/>
        </w:rPr>
        <w:t>,</w:t>
      </w:r>
      <w:r w:rsidRPr="000773E9">
        <w:rPr>
          <w:rStyle w:val="SCCCounselNameChar"/>
          <w:sz w:val="20"/>
          <w:lang w:val="fr-CA"/>
        </w:rPr>
        <w:t xml:space="preserve"> Susanne Raab</w:t>
      </w:r>
      <w:r w:rsidRPr="000773E9">
        <w:rPr>
          <w:rStyle w:val="SCCCounselSeparatorChar"/>
          <w:sz w:val="20"/>
        </w:rPr>
        <w:t xml:space="preserve"> et </w:t>
      </w:r>
      <w:r w:rsidRPr="000773E9">
        <w:rPr>
          <w:rStyle w:val="SCCCounselNameChar"/>
          <w:sz w:val="20"/>
          <w:lang w:val="fr-CA"/>
        </w:rPr>
        <w:t>Paul T. McGivern</w:t>
      </w:r>
      <w:r w:rsidRPr="000773E9">
        <w:rPr>
          <w:rStyle w:val="SCCCounselPartyRoleChar"/>
          <w:sz w:val="20"/>
          <w:lang w:val="fr-CA"/>
        </w:rPr>
        <w:t>, pour l’appelante.</w:t>
      </w:r>
    </w:p>
    <w:p w:rsidR="000773E9" w:rsidRDefault="000773E9" w:rsidP="000773E9">
      <w:pPr>
        <w:pStyle w:val="SCCNormalDoubleSpacing"/>
        <w:spacing w:line="240" w:lineRule="auto"/>
        <w:rPr>
          <w:rStyle w:val="SCCCounselNameChar"/>
          <w:sz w:val="20"/>
          <w:lang w:val="fr-CA"/>
        </w:rPr>
      </w:pPr>
    </w:p>
    <w:p w:rsidR="000773E9" w:rsidRPr="000773E9" w:rsidRDefault="000773E9" w:rsidP="000773E9">
      <w:pPr>
        <w:pStyle w:val="SCCNormalDoubleSpacing"/>
        <w:spacing w:line="240" w:lineRule="auto"/>
        <w:rPr>
          <w:sz w:val="20"/>
          <w:lang w:val="fr-CA"/>
        </w:rPr>
      </w:pPr>
      <w:r w:rsidRPr="000773E9">
        <w:rPr>
          <w:rStyle w:val="SCCCounselNameChar"/>
          <w:sz w:val="20"/>
          <w:lang w:val="fr-CA"/>
        </w:rPr>
        <w:tab/>
        <w:t>James M. Lepp, c.r.</w:t>
      </w:r>
      <w:r w:rsidRPr="000773E9">
        <w:rPr>
          <w:rStyle w:val="SCCCounselSeparatorChar"/>
          <w:sz w:val="20"/>
        </w:rPr>
        <w:t xml:space="preserve">, </w:t>
      </w:r>
      <w:r w:rsidRPr="000773E9">
        <w:rPr>
          <w:rStyle w:val="SCCCounselNameChar"/>
          <w:sz w:val="20"/>
          <w:lang w:val="fr-CA"/>
        </w:rPr>
        <w:t>Michael G. Thomas</w:t>
      </w:r>
      <w:r w:rsidRPr="000773E9">
        <w:rPr>
          <w:rStyle w:val="SCCCounselSeparatorChar"/>
          <w:sz w:val="20"/>
        </w:rPr>
        <w:t xml:space="preserve"> et </w:t>
      </w:r>
      <w:r w:rsidRPr="000773E9">
        <w:rPr>
          <w:rStyle w:val="SCCCounselNameChar"/>
          <w:sz w:val="20"/>
          <w:lang w:val="fr-CA"/>
        </w:rPr>
        <w:t>Daniel J. Reid</w:t>
      </w:r>
      <w:r w:rsidRPr="000773E9">
        <w:rPr>
          <w:rStyle w:val="SCCCounselPartyRoleChar"/>
          <w:sz w:val="20"/>
          <w:lang w:val="fr-CA"/>
        </w:rPr>
        <w:t>, pour l’intimé.</w:t>
      </w:r>
    </w:p>
    <w:p w:rsidR="000773E9" w:rsidRDefault="000773E9" w:rsidP="000773E9">
      <w:pPr>
        <w:pStyle w:val="SCCLawFirm"/>
        <w:spacing w:line="240" w:lineRule="auto"/>
        <w:rPr>
          <w:sz w:val="20"/>
          <w:lang w:val="fr-CA"/>
        </w:rPr>
      </w:pPr>
    </w:p>
    <w:p w:rsidR="000773E9" w:rsidRPr="000773E9" w:rsidRDefault="000773E9" w:rsidP="000773E9">
      <w:pPr>
        <w:pStyle w:val="SCCLawFirm"/>
        <w:spacing w:line="240" w:lineRule="auto"/>
        <w:rPr>
          <w:sz w:val="20"/>
          <w:lang w:val="fr-CA"/>
        </w:rPr>
      </w:pPr>
      <w:r w:rsidRPr="000773E9">
        <w:rPr>
          <w:sz w:val="20"/>
          <w:lang w:val="fr-CA"/>
        </w:rPr>
        <w:tab/>
        <w:t>Procureurs de l’appelante : Borden Ladner Gervais, Vancouver.</w:t>
      </w:r>
    </w:p>
    <w:p w:rsidR="000773E9" w:rsidRDefault="000773E9" w:rsidP="000773E9">
      <w:pPr>
        <w:jc w:val="both"/>
        <w:rPr>
          <w:sz w:val="20"/>
          <w:szCs w:val="20"/>
          <w:lang w:val="fr-CA"/>
        </w:rPr>
      </w:pPr>
    </w:p>
    <w:p w:rsidR="000773E9" w:rsidRDefault="000773E9" w:rsidP="000773E9">
      <w:pPr>
        <w:jc w:val="both"/>
        <w:rPr>
          <w:i/>
          <w:sz w:val="20"/>
          <w:szCs w:val="20"/>
          <w:lang w:val="fr-CA"/>
        </w:rPr>
      </w:pPr>
      <w:r w:rsidRPr="000773E9">
        <w:rPr>
          <w:sz w:val="20"/>
          <w:szCs w:val="20"/>
          <w:lang w:val="fr-CA"/>
        </w:rPr>
        <w:tab/>
      </w:r>
      <w:r w:rsidRPr="000773E9">
        <w:rPr>
          <w:i/>
          <w:sz w:val="20"/>
          <w:szCs w:val="20"/>
          <w:lang w:val="fr-CA"/>
        </w:rPr>
        <w:t>Procureurs de l’intimé : Harper Grey, Vancouver.</w:t>
      </w:r>
    </w:p>
    <w:p w:rsidR="000773E9" w:rsidRPr="000773E9" w:rsidRDefault="000773E9" w:rsidP="000773E9">
      <w:pPr>
        <w:jc w:val="both"/>
        <w:rPr>
          <w:rFonts w:cs="Times New Roman"/>
          <w:i/>
          <w:sz w:val="20"/>
          <w:szCs w:val="20"/>
          <w:lang w:val="fr-CA"/>
        </w:rPr>
      </w:pPr>
    </w:p>
    <w:p w:rsidR="005C6840" w:rsidRDefault="00B74DD2" w:rsidP="000773E9">
      <w:pPr>
        <w:rPr>
          <w:rFonts w:cs="Times New Roman"/>
          <w:sz w:val="20"/>
          <w:szCs w:val="20"/>
          <w:lang w:val="fr-CA"/>
        </w:rPr>
      </w:pPr>
      <w:r w:rsidRPr="00B74DD2">
        <w:rPr>
          <w:rFonts w:cs="Times New Roman"/>
          <w:sz w:val="20"/>
          <w:szCs w:val="20"/>
          <w:lang w:val="fr-CA"/>
        </w:rPr>
        <w:pict>
          <v:rect id="_x0000_i1075" style="width:144.3pt;height:1pt" o:hrpct="300" o:hralign="center" o:hrstd="t" o:hrnoshade="t" o:hr="t" fillcolor="black [3213]" stroked="f"/>
        </w:pict>
      </w:r>
    </w:p>
    <w:p w:rsidR="000444B5" w:rsidRPr="008B1E45" w:rsidRDefault="000444B5" w:rsidP="000444B5">
      <w:pPr>
        <w:pStyle w:val="SCCLsocParty"/>
        <w:tabs>
          <w:tab w:val="right" w:pos="8280"/>
        </w:tabs>
        <w:outlineLvl w:val="0"/>
        <w:rPr>
          <w:b w:val="0"/>
          <w:sz w:val="20"/>
          <w:szCs w:val="20"/>
          <w:lang w:val="fr-CA"/>
        </w:rPr>
      </w:pPr>
      <w:r w:rsidRPr="00C4248C">
        <w:rPr>
          <w:b w:val="0"/>
          <w:i/>
          <w:sz w:val="20"/>
          <w:szCs w:val="20"/>
          <w:lang w:val="fr-CA"/>
        </w:rPr>
        <w:t>Wayne Penner v. Regional Municipality of Niagara Regional Police Services Board</w:t>
      </w:r>
      <w:r w:rsidR="008B1E45" w:rsidRPr="00C4248C">
        <w:rPr>
          <w:b w:val="0"/>
          <w:i/>
          <w:sz w:val="20"/>
          <w:szCs w:val="20"/>
          <w:lang w:val="fr-CA"/>
        </w:rPr>
        <w:t xml:space="preserve"> et al.</w:t>
      </w:r>
      <w:r w:rsidRPr="00C4248C">
        <w:rPr>
          <w:b w:val="0"/>
          <w:i/>
          <w:sz w:val="20"/>
          <w:szCs w:val="20"/>
          <w:lang w:val="fr-CA"/>
        </w:rPr>
        <w:t xml:space="preserve"> </w:t>
      </w:r>
      <w:r w:rsidRPr="00C4248C">
        <w:rPr>
          <w:b w:val="0"/>
          <w:sz w:val="20"/>
          <w:szCs w:val="20"/>
          <w:lang w:val="fr-CA"/>
        </w:rPr>
        <w:t xml:space="preserve">(Ont.) </w:t>
      </w:r>
      <w:r w:rsidRPr="008B1E45">
        <w:rPr>
          <w:b w:val="0"/>
          <w:sz w:val="20"/>
          <w:szCs w:val="20"/>
          <w:lang w:val="fr-CA"/>
        </w:rPr>
        <w:t>(33959)</w:t>
      </w:r>
    </w:p>
    <w:p w:rsidR="008B1E45" w:rsidRPr="00667118" w:rsidRDefault="000444B5" w:rsidP="000444B5">
      <w:pPr>
        <w:jc w:val="both"/>
        <w:rPr>
          <w:rStyle w:val="SCCRespondentForIndexChar"/>
          <w:rFonts w:eastAsiaTheme="minorHAnsi"/>
          <w:sz w:val="20"/>
        </w:rPr>
      </w:pPr>
      <w:r w:rsidRPr="00667118">
        <w:rPr>
          <w:rFonts w:cs="Times New Roman"/>
          <w:b/>
          <w:sz w:val="20"/>
          <w:szCs w:val="20"/>
        </w:rPr>
        <w:t xml:space="preserve">Indexed as:  Penner </w:t>
      </w:r>
      <w:r w:rsidRPr="00667118">
        <w:rPr>
          <w:rFonts w:cs="Times New Roman"/>
          <w:b/>
          <w:i/>
          <w:sz w:val="20"/>
          <w:szCs w:val="20"/>
        </w:rPr>
        <w:t>v.</w:t>
      </w:r>
      <w:r w:rsidRPr="00667118">
        <w:rPr>
          <w:rFonts w:cs="Times New Roman"/>
          <w:b/>
          <w:sz w:val="20"/>
          <w:szCs w:val="20"/>
        </w:rPr>
        <w:t xml:space="preserve"> Niagara (Regional Police Services Board) </w:t>
      </w:r>
      <w:r w:rsidRPr="00667118">
        <w:rPr>
          <w:rStyle w:val="SCCRespondentForIndexChar"/>
          <w:rFonts w:eastAsiaTheme="minorHAnsi"/>
          <w:sz w:val="20"/>
        </w:rPr>
        <w:t xml:space="preserve">/ </w:t>
      </w:r>
    </w:p>
    <w:p w:rsidR="000444B5" w:rsidRPr="000444B5" w:rsidRDefault="000444B5" w:rsidP="000444B5">
      <w:pPr>
        <w:jc w:val="both"/>
        <w:rPr>
          <w:rFonts w:cs="Times New Roman"/>
          <w:b/>
          <w:sz w:val="20"/>
          <w:szCs w:val="20"/>
          <w:lang w:val="fr-CA"/>
        </w:rPr>
      </w:pPr>
      <w:r w:rsidRPr="000444B5">
        <w:rPr>
          <w:rFonts w:cs="Times New Roman"/>
          <w:b/>
          <w:sz w:val="20"/>
          <w:szCs w:val="20"/>
          <w:lang w:val="fr-CA"/>
        </w:rPr>
        <w:t>Répertorié : </w:t>
      </w:r>
      <w:r w:rsidRPr="000444B5">
        <w:rPr>
          <w:b/>
          <w:sz w:val="20"/>
          <w:lang w:val="fr-CA"/>
        </w:rPr>
        <w:t xml:space="preserve">Penner </w:t>
      </w:r>
      <w:r w:rsidRPr="000444B5">
        <w:rPr>
          <w:b/>
          <w:i/>
          <w:sz w:val="20"/>
          <w:lang w:val="fr-CA"/>
        </w:rPr>
        <w:t>c.</w:t>
      </w:r>
      <w:r w:rsidRPr="000444B5">
        <w:rPr>
          <w:b/>
          <w:sz w:val="20"/>
          <w:lang w:val="fr-CA"/>
        </w:rPr>
        <w:t xml:space="preserve"> Niagara (Commission </w:t>
      </w:r>
      <w:r w:rsidRPr="000444B5">
        <w:rPr>
          <w:b/>
          <w:i/>
          <w:sz w:val="20"/>
          <w:lang w:val="fr-CA"/>
        </w:rPr>
        <w:t xml:space="preserve">régionale </w:t>
      </w:r>
      <w:r w:rsidRPr="000444B5">
        <w:rPr>
          <w:b/>
          <w:sz w:val="20"/>
          <w:lang w:val="fr-CA"/>
        </w:rPr>
        <w:t>de services policiers)</w:t>
      </w:r>
      <w:r w:rsidRPr="000444B5">
        <w:rPr>
          <w:rStyle w:val="SCCAppellantForIndexChar"/>
          <w:rFonts w:eastAsiaTheme="minorHAnsi"/>
          <w:sz w:val="20"/>
          <w:lang w:eastAsia="en-US"/>
        </w:rPr>
        <w:t xml:space="preserve"> </w:t>
      </w:r>
    </w:p>
    <w:p w:rsidR="000444B5" w:rsidRPr="000773E9" w:rsidRDefault="000444B5" w:rsidP="000444B5">
      <w:pPr>
        <w:pStyle w:val="SCCSystemYear"/>
        <w:jc w:val="both"/>
        <w:rPr>
          <w:sz w:val="20"/>
        </w:rPr>
      </w:pPr>
      <w:r w:rsidRPr="000773E9">
        <w:rPr>
          <w:sz w:val="20"/>
        </w:rPr>
        <w:t>Neutral citation:  2013 SCC 1</w:t>
      </w:r>
      <w:r>
        <w:rPr>
          <w:sz w:val="20"/>
        </w:rPr>
        <w:t>9</w:t>
      </w:r>
      <w:r w:rsidRPr="000773E9">
        <w:rPr>
          <w:sz w:val="20"/>
        </w:rPr>
        <w:t xml:space="preserve"> / Référence neutre : 2013 CSC 1</w:t>
      </w:r>
      <w:r>
        <w:rPr>
          <w:sz w:val="20"/>
        </w:rPr>
        <w:t>9</w:t>
      </w:r>
    </w:p>
    <w:p w:rsidR="000444B5" w:rsidRPr="003B3977" w:rsidRDefault="000444B5" w:rsidP="000444B5">
      <w:pPr>
        <w:rPr>
          <w:rFonts w:cs="Times New Roman"/>
          <w:sz w:val="20"/>
          <w:szCs w:val="20"/>
          <w:lang w:val="fr-CA"/>
        </w:rPr>
      </w:pPr>
      <w:r w:rsidRPr="000773E9">
        <w:rPr>
          <w:rFonts w:cs="Times New Roman"/>
          <w:sz w:val="20"/>
          <w:szCs w:val="20"/>
          <w:lang w:val="fr-CA"/>
        </w:rPr>
        <w:t xml:space="preserve">Hearing:  </w:t>
      </w:r>
      <w:r>
        <w:rPr>
          <w:rFonts w:cs="Times New Roman"/>
          <w:sz w:val="20"/>
          <w:szCs w:val="20"/>
          <w:lang w:val="fr-CA"/>
        </w:rPr>
        <w:t xml:space="preserve">January 11, 2012 </w:t>
      </w:r>
      <w:r w:rsidRPr="003B3977">
        <w:rPr>
          <w:rFonts w:cs="Times New Roman"/>
          <w:sz w:val="20"/>
          <w:szCs w:val="20"/>
          <w:lang w:val="fr-CA"/>
        </w:rPr>
        <w:t xml:space="preserve">/ Judgment:  </w:t>
      </w:r>
      <w:r>
        <w:rPr>
          <w:rFonts w:cs="Times New Roman"/>
          <w:sz w:val="20"/>
          <w:szCs w:val="20"/>
          <w:lang w:val="fr-CA"/>
        </w:rPr>
        <w:t>April 5, 2013</w:t>
      </w:r>
    </w:p>
    <w:p w:rsidR="000444B5" w:rsidRPr="003B3977" w:rsidRDefault="000444B5" w:rsidP="000444B5">
      <w:pPr>
        <w:rPr>
          <w:rFonts w:cs="Times New Roman"/>
          <w:sz w:val="20"/>
          <w:szCs w:val="20"/>
          <w:lang w:val="fr-CA"/>
        </w:rPr>
      </w:pPr>
      <w:r w:rsidRPr="003B3977">
        <w:rPr>
          <w:rFonts w:cs="Times New Roman"/>
          <w:sz w:val="20"/>
          <w:szCs w:val="20"/>
          <w:lang w:val="fr-CA"/>
        </w:rPr>
        <w:t xml:space="preserve">Audition : Le </w:t>
      </w:r>
      <w:r>
        <w:rPr>
          <w:rFonts w:cs="Times New Roman"/>
          <w:sz w:val="20"/>
          <w:szCs w:val="20"/>
          <w:lang w:val="fr-CA"/>
        </w:rPr>
        <w:t>11 janvier</w:t>
      </w:r>
      <w:r w:rsidRPr="003B3977">
        <w:rPr>
          <w:rFonts w:cs="Times New Roman"/>
          <w:sz w:val="20"/>
          <w:szCs w:val="20"/>
          <w:lang w:val="fr-CA"/>
        </w:rPr>
        <w:t xml:space="preserve"> 201</w:t>
      </w:r>
      <w:r>
        <w:rPr>
          <w:rFonts w:cs="Times New Roman"/>
          <w:sz w:val="20"/>
          <w:szCs w:val="20"/>
          <w:lang w:val="fr-CA"/>
        </w:rPr>
        <w:t>2</w:t>
      </w:r>
      <w:r w:rsidRPr="003B3977">
        <w:rPr>
          <w:rFonts w:cs="Times New Roman"/>
          <w:sz w:val="20"/>
          <w:szCs w:val="20"/>
          <w:lang w:val="fr-CA"/>
        </w:rPr>
        <w:t xml:space="preserve"> / Jugement : Le </w:t>
      </w:r>
      <w:r>
        <w:rPr>
          <w:rFonts w:cs="Times New Roman"/>
          <w:sz w:val="20"/>
          <w:szCs w:val="20"/>
          <w:lang w:val="fr-CA"/>
        </w:rPr>
        <w:t xml:space="preserve">5 avril </w:t>
      </w:r>
      <w:r w:rsidRPr="003B3977">
        <w:rPr>
          <w:rFonts w:cs="Times New Roman"/>
          <w:sz w:val="20"/>
          <w:szCs w:val="20"/>
          <w:lang w:val="fr-CA"/>
        </w:rPr>
        <w:t>201</w:t>
      </w:r>
      <w:r>
        <w:rPr>
          <w:rFonts w:cs="Times New Roman"/>
          <w:sz w:val="20"/>
          <w:szCs w:val="20"/>
          <w:lang w:val="fr-CA"/>
        </w:rPr>
        <w:t>3</w:t>
      </w:r>
    </w:p>
    <w:p w:rsidR="000444B5" w:rsidRPr="003B3977" w:rsidRDefault="00B74DD2" w:rsidP="000444B5">
      <w:pPr>
        <w:rPr>
          <w:rFonts w:cs="Times New Roman"/>
          <w:sz w:val="20"/>
          <w:szCs w:val="20"/>
          <w:lang w:val="fr-CA"/>
        </w:rPr>
      </w:pPr>
      <w:r w:rsidRPr="00B74DD2">
        <w:rPr>
          <w:rFonts w:cs="Times New Roman"/>
          <w:i/>
          <w:sz w:val="20"/>
          <w:szCs w:val="20"/>
        </w:rPr>
        <w:pict>
          <v:rect id="_x0000_i1076" style="width:480.95pt;height:1pt" o:hralign="center" o:hrstd="t" o:hrnoshade="t" o:hr="t" fillcolor="black [3213]" stroked="f"/>
        </w:pict>
      </w:r>
    </w:p>
    <w:p w:rsidR="000444B5" w:rsidRPr="003B3977" w:rsidRDefault="000444B5" w:rsidP="000444B5">
      <w:pPr>
        <w:rPr>
          <w:rFonts w:cs="Times New Roman"/>
          <w:sz w:val="20"/>
          <w:szCs w:val="20"/>
          <w:lang w:val="fr-CA"/>
        </w:rPr>
      </w:pPr>
    </w:p>
    <w:p w:rsidR="000444B5" w:rsidRPr="003B3977" w:rsidRDefault="000444B5" w:rsidP="000444B5">
      <w:pPr>
        <w:rPr>
          <w:rFonts w:cs="Times New Roman"/>
          <w:sz w:val="20"/>
          <w:szCs w:val="20"/>
        </w:rPr>
      </w:pPr>
      <w:r w:rsidRPr="003B3977">
        <w:rPr>
          <w:rFonts w:cs="Times New Roman"/>
          <w:sz w:val="20"/>
          <w:szCs w:val="20"/>
        </w:rPr>
        <w:t xml:space="preserve">Present:  </w:t>
      </w:r>
      <w:r w:rsidRPr="000773E9">
        <w:rPr>
          <w:rFonts w:cs="Times New Roman"/>
          <w:sz w:val="20"/>
          <w:szCs w:val="20"/>
        </w:rPr>
        <w:t>McLachlin C.J. and LeBel,</w:t>
      </w:r>
      <w:r>
        <w:rPr>
          <w:rFonts w:cs="Times New Roman"/>
          <w:sz w:val="20"/>
          <w:szCs w:val="20"/>
        </w:rPr>
        <w:t xml:space="preserve"> Fish, Abella, </w:t>
      </w:r>
      <w:r w:rsidRPr="000773E9">
        <w:rPr>
          <w:rFonts w:cs="Times New Roman"/>
          <w:sz w:val="20"/>
          <w:szCs w:val="20"/>
        </w:rPr>
        <w:t xml:space="preserve"> Rothstein, Cromwell</w:t>
      </w:r>
      <w:r>
        <w:rPr>
          <w:rFonts w:cs="Times New Roman"/>
          <w:sz w:val="20"/>
          <w:szCs w:val="20"/>
        </w:rPr>
        <w:t xml:space="preserve"> and </w:t>
      </w:r>
      <w:r w:rsidRPr="000773E9">
        <w:rPr>
          <w:rFonts w:cs="Times New Roman"/>
          <w:sz w:val="20"/>
          <w:szCs w:val="20"/>
        </w:rPr>
        <w:t>Karakatsanis JJ.</w:t>
      </w:r>
    </w:p>
    <w:p w:rsidR="000444B5" w:rsidRDefault="000444B5" w:rsidP="000444B5">
      <w:pPr>
        <w:jc w:val="both"/>
        <w:rPr>
          <w:rFonts w:cs="Times New Roman"/>
          <w:sz w:val="20"/>
          <w:szCs w:val="20"/>
        </w:rPr>
      </w:pPr>
    </w:p>
    <w:p w:rsidR="000444B5" w:rsidRPr="000444B5" w:rsidRDefault="000444B5" w:rsidP="008B1E45">
      <w:pPr>
        <w:pStyle w:val="SCCNormalDoubleSpacing"/>
        <w:spacing w:line="240" w:lineRule="auto"/>
        <w:rPr>
          <w:i/>
          <w:sz w:val="20"/>
        </w:rPr>
      </w:pPr>
      <w:r w:rsidRPr="000444B5">
        <w:rPr>
          <w:sz w:val="20"/>
        </w:rPr>
        <w:tab/>
      </w:r>
      <w:r w:rsidRPr="000444B5">
        <w:rPr>
          <w:i/>
          <w:sz w:val="20"/>
        </w:rPr>
        <w:t>Civil procedure — Issue estoppel — Administrative law — Police disciplinary proceedings — Complaint alleging police misconduct brought under Police Services Act, R.S.O. 1990, c. P.15</w:t>
      </w:r>
      <w:r w:rsidRPr="000444B5">
        <w:rPr>
          <w:sz w:val="20"/>
        </w:rPr>
        <w:t xml:space="preserve"> </w:t>
      </w:r>
      <w:r w:rsidRPr="000444B5">
        <w:rPr>
          <w:i/>
          <w:sz w:val="20"/>
        </w:rPr>
        <w:t>(</w:t>
      </w:r>
      <w:r w:rsidRPr="000444B5">
        <w:rPr>
          <w:sz w:val="20"/>
        </w:rPr>
        <w:t>“</w:t>
      </w:r>
      <w:r w:rsidRPr="000444B5">
        <w:rPr>
          <w:i/>
          <w:sz w:val="20"/>
        </w:rPr>
        <w:t>PSA</w:t>
      </w:r>
      <w:r w:rsidRPr="000444B5">
        <w:rPr>
          <w:sz w:val="20"/>
        </w:rPr>
        <w:t>”</w:t>
      </w:r>
      <w:r w:rsidRPr="000444B5">
        <w:rPr>
          <w:i/>
          <w:sz w:val="20"/>
        </w:rPr>
        <w:t xml:space="preserve">) — Civil action for damages arising from same incident also commenced — PSA hearing officer finding no misconduct and dismissing complaint — Motion judge and Court of Appeal exercising discretion to apply issue estoppel to bar civil claims on basis of hearing officer’s decision — Whether public policy rule precluding applicability of issue estoppel to police disciplinary hearings should be created — Whether unfairness arises from application of issue estoppel in this case. </w:t>
      </w:r>
    </w:p>
    <w:p w:rsidR="000444B5" w:rsidRDefault="000444B5" w:rsidP="000444B5">
      <w:pPr>
        <w:pStyle w:val="SCCNormalDoubleSpacing"/>
        <w:tabs>
          <w:tab w:val="left" w:pos="1170"/>
        </w:tabs>
        <w:spacing w:line="240" w:lineRule="auto"/>
        <w:rPr>
          <w:sz w:val="20"/>
        </w:rPr>
      </w:pPr>
    </w:p>
    <w:p w:rsidR="000444B5" w:rsidRPr="000444B5" w:rsidRDefault="000444B5" w:rsidP="008B1E45">
      <w:pPr>
        <w:pStyle w:val="SCCNormalDoubleSpacing"/>
        <w:spacing w:line="240" w:lineRule="auto"/>
        <w:rPr>
          <w:sz w:val="20"/>
        </w:rPr>
      </w:pPr>
      <w:r w:rsidRPr="000444B5">
        <w:rPr>
          <w:sz w:val="20"/>
        </w:rPr>
        <w:tab/>
        <w:t xml:space="preserve">P was arrested for disruptive behaviour in an Ontario courtroom.  He filed a complaint against two police officers under the </w:t>
      </w:r>
      <w:r w:rsidRPr="000444B5">
        <w:rPr>
          <w:i/>
          <w:sz w:val="20"/>
        </w:rPr>
        <w:t>PSA</w:t>
      </w:r>
      <w:r w:rsidRPr="000444B5">
        <w:rPr>
          <w:sz w:val="20"/>
        </w:rPr>
        <w:t xml:space="preserve">, alleging unlawful arrest and unnecessary use of force.  He also started a civil action claiming damages arising out of the same incident.  The hearing officer appointed by the Chief of Police under the </w:t>
      </w:r>
      <w:r w:rsidRPr="000444B5">
        <w:rPr>
          <w:i/>
          <w:sz w:val="20"/>
        </w:rPr>
        <w:t>PSA</w:t>
      </w:r>
      <w:r w:rsidRPr="000444B5">
        <w:rPr>
          <w:sz w:val="20"/>
        </w:rPr>
        <w:t xml:space="preserve"> found the police officers not guilty of misconduct and dismissed the complaint. That decision was reversed on appeal by the Ontario Civilian Commission on Police Services on the basis that the arrest was unlawful.  On further appeal, the Ontario Divisional Court concluded that the officers had legal authority to make the arrest and restored the hearing officer’s decision.  The police respondents then successfully moved in the Superior Court of Justice to have many of the claims in the civil action struck on the basis of issue estoppel.  While finding several factors weighed against the application of issue estoppel, the Ontario Court of Appeal concluded that applying the doctrine would not work an injustice in this case and dismissed P’s appeal.</w:t>
      </w:r>
    </w:p>
    <w:p w:rsidR="000444B5" w:rsidRDefault="000444B5" w:rsidP="000444B5">
      <w:pPr>
        <w:pStyle w:val="SCCNormalDoubleSpacing"/>
        <w:tabs>
          <w:tab w:val="left" w:pos="1170"/>
        </w:tabs>
        <w:spacing w:line="240" w:lineRule="auto"/>
        <w:rPr>
          <w:sz w:val="20"/>
        </w:rPr>
      </w:pPr>
    </w:p>
    <w:p w:rsidR="000444B5" w:rsidRPr="000444B5" w:rsidRDefault="000444B5" w:rsidP="008B1E45">
      <w:pPr>
        <w:pStyle w:val="SCCNormalDoubleSpacing"/>
        <w:spacing w:line="240" w:lineRule="auto"/>
        <w:rPr>
          <w:sz w:val="20"/>
        </w:rPr>
      </w:pPr>
      <w:r w:rsidRPr="000444B5">
        <w:rPr>
          <w:sz w:val="20"/>
        </w:rPr>
        <w:tab/>
      </w:r>
      <w:r w:rsidRPr="000444B5">
        <w:rPr>
          <w:rStyle w:val="QuoteChar"/>
          <w:sz w:val="20"/>
        </w:rPr>
        <w:t xml:space="preserve">Held </w:t>
      </w:r>
      <w:r w:rsidRPr="000444B5">
        <w:rPr>
          <w:sz w:val="20"/>
        </w:rPr>
        <w:t>(LeBel, Abella and Rothstein JJ., dissenting)</w:t>
      </w:r>
      <w:r w:rsidRPr="000444B5">
        <w:rPr>
          <w:rStyle w:val="QuoteChar"/>
          <w:sz w:val="20"/>
        </w:rPr>
        <w:t>:</w:t>
      </w:r>
      <w:r w:rsidRPr="000444B5">
        <w:rPr>
          <w:sz w:val="20"/>
        </w:rPr>
        <w:t xml:space="preserve">  The appeal should be allowed. </w:t>
      </w:r>
    </w:p>
    <w:p w:rsidR="000444B5" w:rsidRDefault="000444B5" w:rsidP="000444B5">
      <w:pPr>
        <w:pStyle w:val="SCCNormalDoubleSpacing"/>
        <w:tabs>
          <w:tab w:val="left" w:pos="1170"/>
        </w:tabs>
        <w:spacing w:line="240" w:lineRule="auto"/>
        <w:rPr>
          <w:i/>
          <w:sz w:val="20"/>
        </w:rPr>
      </w:pPr>
    </w:p>
    <w:p w:rsidR="000444B5" w:rsidRPr="000444B5" w:rsidRDefault="000444B5" w:rsidP="008B1E45">
      <w:pPr>
        <w:pStyle w:val="SCCNormalDoubleSpacing"/>
        <w:spacing w:line="240" w:lineRule="auto"/>
        <w:rPr>
          <w:sz w:val="20"/>
        </w:rPr>
      </w:pPr>
      <w:r>
        <w:rPr>
          <w:i/>
          <w:sz w:val="20"/>
        </w:rPr>
        <w:tab/>
      </w:r>
      <w:r w:rsidRPr="000444B5">
        <w:rPr>
          <w:i/>
          <w:sz w:val="20"/>
        </w:rPr>
        <w:t>Per</w:t>
      </w:r>
      <w:r w:rsidRPr="000444B5">
        <w:rPr>
          <w:sz w:val="20"/>
        </w:rPr>
        <w:t xml:space="preserve"> McLachlin C.J. and Fish, </w:t>
      </w:r>
      <w:r w:rsidRPr="000444B5">
        <w:rPr>
          <w:b/>
          <w:sz w:val="20"/>
        </w:rPr>
        <w:t xml:space="preserve">Cromwell </w:t>
      </w:r>
      <w:r w:rsidRPr="000444B5">
        <w:rPr>
          <w:sz w:val="20"/>
        </w:rPr>
        <w:t xml:space="preserve">and </w:t>
      </w:r>
      <w:r w:rsidRPr="000444B5">
        <w:rPr>
          <w:b/>
          <w:sz w:val="20"/>
        </w:rPr>
        <w:t>Karakatsanis</w:t>
      </w:r>
      <w:r w:rsidRPr="000444B5">
        <w:rPr>
          <w:sz w:val="20"/>
        </w:rPr>
        <w:t> JJ.:  It is neither necessary nor desirable to create a rule of public policy excluding police disciplinary hearings from the application of issue estoppel.  The doctrine of issue estoppel allows for the exercise of discretion to ensure that no injustice results; it calls for a case</w:t>
      </w:r>
      <w:r w:rsidRPr="000444B5">
        <w:rPr>
          <w:sz w:val="20"/>
        </w:rPr>
        <w:noBreakHyphen/>
        <w:t>by</w:t>
      </w:r>
      <w:r w:rsidRPr="000444B5">
        <w:rPr>
          <w:sz w:val="20"/>
        </w:rPr>
        <w:noBreakHyphen/>
        <w:t xml:space="preserve">case review of the circumstances to determine whether its application would be unfair or unjust even where, as here, the preconditions for its application have been met.  </w:t>
      </w:r>
      <w:r w:rsidRPr="000444B5">
        <w:rPr>
          <w:sz w:val="20"/>
          <w:lang w:val="en-US"/>
        </w:rPr>
        <w:t>There is no reason to depart from that approach.  However, in the circumstances of this case, it was unfair to P to apply issue estoppel to bar his civil action on the basis of the hearing officer’s decision.  The Court of Appeal erred in its analysis</w:t>
      </w:r>
      <w:r w:rsidRPr="000444B5">
        <w:rPr>
          <w:sz w:val="20"/>
        </w:rPr>
        <w:t xml:space="preserve"> of the significant differences between the purpose and scope of the two proceedings, and failed to consider the reasonable expectations of the parties about the impact of the proceedings on their broader legal rights. </w:t>
      </w:r>
    </w:p>
    <w:p w:rsidR="000444B5" w:rsidRDefault="000444B5" w:rsidP="000444B5">
      <w:pPr>
        <w:pStyle w:val="SCCNormalDoubleSpacing"/>
        <w:tabs>
          <w:tab w:val="left" w:pos="1170"/>
        </w:tabs>
        <w:spacing w:line="240" w:lineRule="auto"/>
        <w:rPr>
          <w:sz w:val="20"/>
          <w:lang w:val="en-US"/>
        </w:rPr>
      </w:pPr>
    </w:p>
    <w:p w:rsidR="000444B5" w:rsidRPr="000444B5" w:rsidRDefault="000444B5" w:rsidP="008B1E45">
      <w:pPr>
        <w:pStyle w:val="SCCNormalDoubleSpacing"/>
        <w:spacing w:line="240" w:lineRule="auto"/>
        <w:rPr>
          <w:sz w:val="20"/>
        </w:rPr>
      </w:pPr>
      <w:r w:rsidRPr="000444B5">
        <w:rPr>
          <w:sz w:val="20"/>
          <w:lang w:val="en-US"/>
        </w:rPr>
        <w:tab/>
      </w:r>
      <w:r w:rsidRPr="000444B5">
        <w:rPr>
          <w:sz w:val="20"/>
        </w:rPr>
        <w:t xml:space="preserve">The legal framework governing the exercise of the discretion not to apply issue estoppel is set out in </w:t>
      </w:r>
      <w:r w:rsidRPr="000444B5">
        <w:rPr>
          <w:i/>
          <w:sz w:val="20"/>
        </w:rPr>
        <w:t>Danyluk v. Ainsworth Technologies</w:t>
      </w:r>
      <w:r w:rsidRPr="000444B5">
        <w:rPr>
          <w:sz w:val="20"/>
        </w:rPr>
        <w:t xml:space="preserve">, 2001 SCC 44, </w:t>
      </w:r>
      <w:r w:rsidRPr="000444B5">
        <w:rPr>
          <w:sz w:val="20"/>
          <w:lang w:val="en-US"/>
        </w:rPr>
        <w:t>[</w:t>
      </w:r>
      <w:r w:rsidRPr="000444B5">
        <w:rPr>
          <w:sz w:val="20"/>
        </w:rPr>
        <w:t xml:space="preserve">2001] 2 S.C.R. 460.  This framework has not been overtaken by this Court’s subsequent jurisprudence.  </w:t>
      </w:r>
      <w:r w:rsidRPr="000444B5">
        <w:rPr>
          <w:sz w:val="20"/>
          <w:lang w:val="en-US"/>
        </w:rPr>
        <w:t>While</w:t>
      </w:r>
      <w:r w:rsidRPr="000444B5">
        <w:rPr>
          <w:sz w:val="20"/>
        </w:rPr>
        <w:t xml:space="preserve"> finality is important both to the parties and to the judicial system, unfairness in applying issue estoppel may nonetheless arise.  First, the prior proceedings may have been unfair.  Second, even where the prior proceedings were conducted fairly, it may be unfair to use the results of that process to preclude the subsequent claim, for example, where there is a significant difference between the purposes, processes or stakes involved in the two proceedings.  The text and purpose of the legislative scheme shape the parties’ reasonable expectations in relation to the scope and effect of the administrative proceedings.  They guide how and to what extent the parties participate in the process.  Where the legislative scheme contemplates multiple proceedings and the purposes of those proceedings are widely divergent, the application of the doctrine might not only upset the parties’ legitimate and reasonable expectations but may also undermine the efficacy and policy goals of the administrative proceedings, by either encouraging more formality and protraction or discouraging access to the administrative proceedings altogether.  These considerations are also relevant to weighing the procedural safeguards available to the parties.  A decision whether to take advantage of those procedural protections available in the prior proceeding cannot be divorced from the party’s reasonable expectations about what is at stake in those proceedings or the fundamentally different purposes between them.  The connections between the relevant considerations must be viewed as a whole. </w:t>
      </w:r>
    </w:p>
    <w:p w:rsidR="000444B5" w:rsidRDefault="000444B5" w:rsidP="000444B5">
      <w:pPr>
        <w:pStyle w:val="SCCNormalDoubleSpacing"/>
        <w:tabs>
          <w:tab w:val="left" w:pos="1170"/>
        </w:tabs>
        <w:spacing w:line="240" w:lineRule="auto"/>
        <w:rPr>
          <w:sz w:val="20"/>
        </w:rPr>
      </w:pPr>
    </w:p>
    <w:p w:rsidR="000444B5" w:rsidRPr="000444B5" w:rsidRDefault="000444B5" w:rsidP="008B1E45">
      <w:pPr>
        <w:pStyle w:val="SCCNormalDoubleSpacing"/>
        <w:spacing w:line="240" w:lineRule="auto"/>
        <w:rPr>
          <w:sz w:val="20"/>
        </w:rPr>
      </w:pPr>
      <w:r w:rsidRPr="000444B5">
        <w:rPr>
          <w:sz w:val="20"/>
        </w:rPr>
        <w:tab/>
        <w:t>In this case, the disciplinary hearing was itself fair and P participated in a meaningful way, however, the Court of Appeal failed to fully analyze the fairness of using the results of that process to preclude P’s civil action.  Nothing in the legislative text gives rise to an expectation that the disciplinary hearing would be conclusive of P’s legal rights in his civil action:  the standards of proof required, and the purposes of the two proceedings, are significantly different; and, unlike a civil action, the disciplinary process provides no remedy or costs for the complainant.  Another important policy consideration arises in this case; the risk of adding to the complexity and length of administrative proceedings by attaching undue weight to their results through applying issue estoppel.  P could have participated more fully by hiring counsel, however that would also have meant that the officers would effectively have been forced to face two prosecutors rather than one.  This would enhance neither the efficacy nor the fairness to the officers in a disciplinary hearing and potential complainants may not come forward with public complaints in order to avoid prejudicing their civil actions.  These are important considerations and the Court of Appeal did not take them into account in assessing the weight of other factors, such as P’s status as a party and the procedural protections afforded by the administrative process.  Finally, the application of issue estoppel had the effect of using the decision of the Chief of Police’s designate to exonerate the Chief in the civil claim and is therefore a serious affront to basic principles of fairness.</w:t>
      </w:r>
    </w:p>
    <w:p w:rsidR="000444B5" w:rsidRDefault="000444B5" w:rsidP="000444B5">
      <w:pPr>
        <w:pStyle w:val="SCCNormalDoubleSpacing"/>
        <w:tabs>
          <w:tab w:val="left" w:pos="1170"/>
        </w:tabs>
        <w:spacing w:line="240" w:lineRule="auto"/>
        <w:rPr>
          <w:i/>
          <w:sz w:val="20"/>
        </w:rPr>
      </w:pPr>
    </w:p>
    <w:p w:rsidR="000444B5" w:rsidRPr="000444B5" w:rsidRDefault="000444B5" w:rsidP="008B1E45">
      <w:pPr>
        <w:pStyle w:val="SCCNormalDoubleSpacing"/>
        <w:spacing w:line="240" w:lineRule="auto"/>
        <w:rPr>
          <w:sz w:val="20"/>
        </w:rPr>
      </w:pPr>
      <w:r w:rsidRPr="000444B5">
        <w:rPr>
          <w:i/>
          <w:sz w:val="20"/>
        </w:rPr>
        <w:tab/>
        <w:t xml:space="preserve">Per </w:t>
      </w:r>
      <w:r w:rsidRPr="000444B5">
        <w:rPr>
          <w:b/>
          <w:sz w:val="20"/>
        </w:rPr>
        <w:t>LeBel</w:t>
      </w:r>
      <w:r w:rsidRPr="000444B5">
        <w:rPr>
          <w:sz w:val="20"/>
        </w:rPr>
        <w:t xml:space="preserve">, </w:t>
      </w:r>
      <w:r w:rsidRPr="000444B5">
        <w:rPr>
          <w:b/>
          <w:sz w:val="20"/>
        </w:rPr>
        <w:t>Abella</w:t>
      </w:r>
      <w:r w:rsidRPr="000444B5">
        <w:rPr>
          <w:sz w:val="20"/>
        </w:rPr>
        <w:t xml:space="preserve"> and Rothstein JJ. (dissenting):  The doctrine of issue estoppel seeks to protect the finality of litigation by precluding the relitigation of issues that have been conclusively determined in a prior proceeding. The finality of litigation is a fundamental principle assuring the fairness and efficacy of the justice system in Canada.  The doctrine of issue estoppel seeks to protect the reasonable expectation of litigants that they can rely on the outcome of a decision made by an authoritative adjudicator, regardless of whether that decision was made in the context of a court or an administrative proceeding.  In applying issue estoppel in the context of administrative adjudicative bodies, differences in the process or procedures used by the administrative tribunal, including procedures that do not mirror traditional court procedures, should not be used as an excuse to override the principle of finality.  The purposes and procedures may vary, but the principle of finality should be maintained.</w:t>
      </w:r>
    </w:p>
    <w:p w:rsidR="000444B5" w:rsidRDefault="000444B5" w:rsidP="000444B5">
      <w:pPr>
        <w:pStyle w:val="SCCNormalDoubleSpacing"/>
        <w:tabs>
          <w:tab w:val="left" w:pos="1170"/>
        </w:tabs>
        <w:spacing w:line="240" w:lineRule="auto"/>
        <w:rPr>
          <w:sz w:val="20"/>
        </w:rPr>
      </w:pPr>
    </w:p>
    <w:p w:rsidR="000444B5" w:rsidRPr="000444B5" w:rsidRDefault="000444B5" w:rsidP="008B1E45">
      <w:pPr>
        <w:pStyle w:val="SCCNormalDoubleSpacing"/>
        <w:spacing w:line="240" w:lineRule="auto"/>
        <w:rPr>
          <w:sz w:val="20"/>
        </w:rPr>
      </w:pPr>
      <w:r w:rsidRPr="000444B5">
        <w:rPr>
          <w:sz w:val="20"/>
        </w:rPr>
        <w:tab/>
        <w:t xml:space="preserve">The applicable approach to issue estoppel in the context of prior administrative proceedings was most recently articulated by this Court in 2011 in </w:t>
      </w:r>
      <w:r w:rsidRPr="000444B5">
        <w:rPr>
          <w:i/>
          <w:sz w:val="20"/>
        </w:rPr>
        <w:t>British Columbia (Workers’ Compensation Board) v. Figliola</w:t>
      </w:r>
      <w:r w:rsidRPr="000444B5">
        <w:rPr>
          <w:sz w:val="20"/>
        </w:rPr>
        <w:t>,</w:t>
      </w:r>
      <w:r w:rsidRPr="000444B5">
        <w:rPr>
          <w:i/>
          <w:sz w:val="20"/>
        </w:rPr>
        <w:t xml:space="preserve"> </w:t>
      </w:r>
      <w:r w:rsidRPr="000444B5">
        <w:rPr>
          <w:sz w:val="20"/>
        </w:rPr>
        <w:t xml:space="preserve">2011 SCC 52, [2011] 3 S.C.R. 422.  This is the precedent that governs the application of the doctrine in this case.  The key relevant aspect of this precedent is that it moved away from the approach to issue estoppel taken in </w:t>
      </w:r>
      <w:r w:rsidRPr="000444B5">
        <w:rPr>
          <w:i/>
          <w:sz w:val="20"/>
        </w:rPr>
        <w:t>Danyluk v. Ainsworth Technologies Inc</w:t>
      </w:r>
      <w:r w:rsidRPr="000444B5">
        <w:rPr>
          <w:sz w:val="20"/>
        </w:rPr>
        <w:t xml:space="preserve">., 2001 SCC 44, [2001] 2 S.C.R. 460, which had held that a different and far wider discretion should apply in the context of administrative tribunals than the “very limited” discretion applied to courts.  </w:t>
      </w:r>
    </w:p>
    <w:p w:rsidR="000444B5" w:rsidRDefault="000444B5" w:rsidP="000444B5">
      <w:pPr>
        <w:pStyle w:val="SCCNormalDoubleSpacing"/>
        <w:tabs>
          <w:tab w:val="left" w:pos="1170"/>
        </w:tabs>
        <w:spacing w:line="240" w:lineRule="auto"/>
        <w:rPr>
          <w:sz w:val="20"/>
        </w:rPr>
      </w:pPr>
    </w:p>
    <w:p w:rsidR="000444B5" w:rsidRPr="000444B5" w:rsidRDefault="000444B5" w:rsidP="008B1E45">
      <w:pPr>
        <w:pStyle w:val="SCCNormalDoubleSpacing"/>
        <w:spacing w:line="240" w:lineRule="auto"/>
        <w:rPr>
          <w:sz w:val="20"/>
        </w:rPr>
      </w:pPr>
      <w:r w:rsidRPr="000444B5">
        <w:rPr>
          <w:sz w:val="20"/>
        </w:rPr>
        <w:tab/>
        <w:t>The twin principles which underlie the doctrine of issue estoppel — that there should be an end to litigation and that the same party shall not be harassed twice for the same cause — are core principles which focus on achieving fairness and preventing injustice</w:t>
      </w:r>
      <w:r w:rsidRPr="000444B5">
        <w:rPr>
          <w:i/>
          <w:sz w:val="20"/>
        </w:rPr>
        <w:t xml:space="preserve"> by preserving the finality of litigation</w:t>
      </w:r>
      <w:r w:rsidRPr="000444B5">
        <w:rPr>
          <w:sz w:val="20"/>
        </w:rPr>
        <w:t xml:space="preserve">.  The ultimate goal of issue estoppel is to protect the fairness </w:t>
      </w:r>
      <w:r w:rsidRPr="000444B5">
        <w:rPr>
          <w:i/>
          <w:sz w:val="20"/>
        </w:rPr>
        <w:t xml:space="preserve">of </w:t>
      </w:r>
      <w:r w:rsidRPr="000444B5">
        <w:rPr>
          <w:sz w:val="20"/>
        </w:rPr>
        <w:t>finality in decision</w:t>
      </w:r>
      <w:r w:rsidRPr="000444B5">
        <w:rPr>
          <w:sz w:val="20"/>
        </w:rPr>
        <w:noBreakHyphen/>
        <w:t>making and the avoidance of the relitigation of issues already decided by a decision</w:t>
      </w:r>
      <w:r w:rsidRPr="000444B5">
        <w:rPr>
          <w:sz w:val="20"/>
        </w:rPr>
        <w:noBreakHyphen/>
        <w:t xml:space="preserve">maker with the authority to resolve them.  As the Court said in </w:t>
      </w:r>
      <w:r w:rsidRPr="000444B5">
        <w:rPr>
          <w:i/>
          <w:sz w:val="20"/>
        </w:rPr>
        <w:t xml:space="preserve">Figliola, </w:t>
      </w:r>
      <w:r w:rsidRPr="000444B5">
        <w:rPr>
          <w:sz w:val="20"/>
        </w:rPr>
        <w:t>this is the case whether we are dealing with courts or administrative tribunals.  An approach that fails to safeguard the finality of litigation undermines these principles and risks uniquely transforming issue estoppel in the case of administrative tribunals into a free</w:t>
      </w:r>
      <w:r w:rsidRPr="000444B5">
        <w:rPr>
          <w:sz w:val="20"/>
        </w:rPr>
        <w:noBreakHyphen/>
        <w:t xml:space="preserve">floating inquiry.  This revives the </w:t>
      </w:r>
      <w:r w:rsidRPr="000444B5">
        <w:rPr>
          <w:i/>
          <w:sz w:val="20"/>
        </w:rPr>
        <w:t>Danyluk</w:t>
      </w:r>
      <w:r w:rsidRPr="000444B5">
        <w:rPr>
          <w:sz w:val="20"/>
        </w:rPr>
        <w:t xml:space="preserve"> approach that the Court refused to apply in </w:t>
      </w:r>
      <w:r w:rsidRPr="000444B5">
        <w:rPr>
          <w:i/>
          <w:sz w:val="20"/>
        </w:rPr>
        <w:t>Figliola</w:t>
      </w:r>
      <w:r w:rsidRPr="000444B5">
        <w:rPr>
          <w:sz w:val="20"/>
        </w:rPr>
        <w:t xml:space="preserve">.  </w:t>
      </w:r>
    </w:p>
    <w:p w:rsidR="000444B5" w:rsidRDefault="000444B5" w:rsidP="000444B5">
      <w:pPr>
        <w:pStyle w:val="SCCNormalDoubleSpacing"/>
        <w:tabs>
          <w:tab w:val="left" w:pos="1170"/>
        </w:tabs>
        <w:spacing w:line="240" w:lineRule="auto"/>
        <w:rPr>
          <w:sz w:val="20"/>
        </w:rPr>
      </w:pPr>
    </w:p>
    <w:p w:rsidR="000444B5" w:rsidRPr="000444B5" w:rsidRDefault="000444B5" w:rsidP="008B1E45">
      <w:pPr>
        <w:pStyle w:val="SCCNormalDoubleSpacing"/>
        <w:spacing w:line="240" w:lineRule="auto"/>
        <w:rPr>
          <w:sz w:val="20"/>
        </w:rPr>
      </w:pPr>
      <w:r w:rsidRPr="000444B5">
        <w:rPr>
          <w:sz w:val="20"/>
        </w:rPr>
        <w:tab/>
        <w:t xml:space="preserve">This Court’s recent affirmation of the principle of finality underlying issue estoppel in </w:t>
      </w:r>
      <w:r w:rsidRPr="000444B5">
        <w:rPr>
          <w:i/>
          <w:sz w:val="20"/>
        </w:rPr>
        <w:t>Figliola</w:t>
      </w:r>
      <w:r w:rsidRPr="000444B5">
        <w:rPr>
          <w:sz w:val="20"/>
        </w:rPr>
        <w:t xml:space="preserve"> is also crucial to preserving the principles underlying our modern approach to administrative law.  The Court’s residual discretion to refuse to apply issue estoppel, should not be used to impose a particular model of adjudication in a manner inconsistent with the principles of deference that lie at the core of administrative law.  Where an adjudicative tribunal has the authority to make a decision, it would run counter to the principles of deference to uniquely broaden the court’s discretion in a way that would, in most cases, permit an unsuccessful party to circumvent judicial review and turn instead to the courts for a re</w:t>
      </w:r>
      <w:r w:rsidRPr="000444B5">
        <w:rPr>
          <w:sz w:val="20"/>
        </w:rPr>
        <w:noBreakHyphen/>
        <w:t xml:space="preserve">adjudication of the merits.  </w:t>
      </w:r>
    </w:p>
    <w:p w:rsidR="000444B5" w:rsidRDefault="000444B5" w:rsidP="000444B5">
      <w:pPr>
        <w:pStyle w:val="SCCNormalDoubleSpacing"/>
        <w:tabs>
          <w:tab w:val="left" w:pos="1170"/>
        </w:tabs>
        <w:spacing w:line="240" w:lineRule="auto"/>
        <w:rPr>
          <w:sz w:val="20"/>
        </w:rPr>
      </w:pPr>
    </w:p>
    <w:p w:rsidR="000444B5" w:rsidRPr="000444B5" w:rsidRDefault="000444B5" w:rsidP="008B1E45">
      <w:pPr>
        <w:pStyle w:val="SCCNormalDoubleSpacing"/>
        <w:spacing w:line="240" w:lineRule="auto"/>
        <w:rPr>
          <w:sz w:val="20"/>
        </w:rPr>
      </w:pPr>
      <w:r w:rsidRPr="000444B5">
        <w:rPr>
          <w:sz w:val="20"/>
        </w:rPr>
        <w:tab/>
        <w:t xml:space="preserve">Under the principles set out in </w:t>
      </w:r>
      <w:r w:rsidRPr="000444B5">
        <w:rPr>
          <w:i/>
          <w:sz w:val="20"/>
        </w:rPr>
        <w:t>Figliola</w:t>
      </w:r>
      <w:r w:rsidRPr="000444B5">
        <w:rPr>
          <w:sz w:val="20"/>
        </w:rPr>
        <w:t xml:space="preserve">, issue estoppel should apply.  The difference between the standard of proof required to establish misconduct under the </w:t>
      </w:r>
      <w:r w:rsidRPr="000444B5">
        <w:rPr>
          <w:i/>
          <w:sz w:val="20"/>
        </w:rPr>
        <w:t>Police Services Act</w:t>
      </w:r>
      <w:r w:rsidRPr="000444B5">
        <w:rPr>
          <w:sz w:val="20"/>
        </w:rPr>
        <w:t xml:space="preserve"> and that required in a civil trial is irrelevant in this case.  The hearing officer made unequivocal findings that there was virtually no evidence to support P’s claims.  That means that there is simply no evidence to support P’s claims whatever standard of proof is applied. P should not be allowed to circumvent the clear findings of the hearing officer and put the parties through a duplicative proceeding which would inevitably yield the same result. </w:t>
      </w:r>
    </w:p>
    <w:p w:rsidR="000444B5" w:rsidRDefault="000444B5" w:rsidP="000444B5">
      <w:pPr>
        <w:pStyle w:val="SCCNormalDoubleSpacing"/>
        <w:tabs>
          <w:tab w:val="left" w:pos="1170"/>
        </w:tabs>
        <w:spacing w:line="240" w:lineRule="auto"/>
        <w:rPr>
          <w:sz w:val="20"/>
        </w:rPr>
      </w:pPr>
    </w:p>
    <w:p w:rsidR="000444B5" w:rsidRPr="000444B5" w:rsidRDefault="000444B5" w:rsidP="008B1E45">
      <w:pPr>
        <w:pStyle w:val="SCCNormalDoubleSpacing"/>
        <w:spacing w:line="240" w:lineRule="auto"/>
        <w:rPr>
          <w:sz w:val="20"/>
        </w:rPr>
      </w:pPr>
      <w:r w:rsidRPr="000444B5">
        <w:rPr>
          <w:sz w:val="20"/>
        </w:rPr>
        <w:tab/>
        <w:t xml:space="preserve">The disciplinary hearing conducted by the hearing officer was conducted in accordance with the requirements prescribed by the statute and principles of procedural fairness.  The hearing officer’s decision was made in circumstances in which P knew the case he had to meet, had a full opportunity to meet it, and lost.  Had he won, the hearing officer’s decision would have been no less binding and the application of issue estoppel would have assisted him in a subsequent civil action for damages by relieving him of having to prove liability.  </w:t>
      </w:r>
    </w:p>
    <w:p w:rsidR="000444B5" w:rsidRDefault="000444B5" w:rsidP="000444B5">
      <w:pPr>
        <w:pStyle w:val="SCCNormalDoubleSpacing"/>
        <w:tabs>
          <w:tab w:val="left" w:pos="1170"/>
        </w:tabs>
        <w:spacing w:line="240" w:lineRule="auto"/>
        <w:rPr>
          <w:sz w:val="20"/>
        </w:rPr>
      </w:pPr>
    </w:p>
    <w:p w:rsidR="000444B5" w:rsidRPr="000444B5" w:rsidRDefault="000444B5" w:rsidP="008B1E45">
      <w:pPr>
        <w:pStyle w:val="SCCNormalDoubleSpacing"/>
        <w:spacing w:line="240" w:lineRule="auto"/>
        <w:rPr>
          <w:sz w:val="20"/>
        </w:rPr>
      </w:pPr>
      <w:r w:rsidRPr="000444B5">
        <w:rPr>
          <w:sz w:val="20"/>
        </w:rPr>
        <w:tab/>
        <w:t>Preventing the courts from applying issue estoppel in the context of these disciplinary proceedings means that decisions would not be final or binding and would be open to relitigation and potentially inconsistent results.  This would undermine public confidence in the reliability of the complaints process and in the integrity of the administrative decision</w:t>
      </w:r>
      <w:r w:rsidRPr="000444B5">
        <w:rPr>
          <w:sz w:val="20"/>
        </w:rPr>
        <w:noBreakHyphen/>
        <w:t xml:space="preserve">making process more broadly.  </w:t>
      </w:r>
    </w:p>
    <w:p w:rsidR="000444B5" w:rsidRDefault="000444B5" w:rsidP="000444B5">
      <w:pPr>
        <w:pStyle w:val="SCCNormalDoubleSpacing"/>
        <w:tabs>
          <w:tab w:val="left" w:pos="1170"/>
        </w:tabs>
        <w:spacing w:line="240" w:lineRule="auto"/>
        <w:rPr>
          <w:sz w:val="20"/>
        </w:rPr>
      </w:pPr>
    </w:p>
    <w:p w:rsidR="000444B5" w:rsidRPr="000444B5" w:rsidRDefault="000444B5" w:rsidP="008B1E45">
      <w:pPr>
        <w:pStyle w:val="SCCNormalDoubleSpacing"/>
        <w:spacing w:line="240" w:lineRule="auto"/>
        <w:rPr>
          <w:sz w:val="20"/>
        </w:rPr>
      </w:pPr>
      <w:r w:rsidRPr="000444B5">
        <w:rPr>
          <w:sz w:val="20"/>
        </w:rPr>
        <w:tab/>
        <w:t xml:space="preserve">Nor does the method used to appoint an adjudicator in this case provide a basis for exercising the discretion in a way that precludes the application of issue estoppel.  The Chief of Police designated an outside prosecutor and an independent adjudicator.  Similar methods of appointment are quite common in other parts of the law and are not seen as an obstacle to independent adjudication. Tenure is not the sole marker and condition of adjudicative independence. </w:t>
      </w:r>
    </w:p>
    <w:p w:rsidR="000444B5" w:rsidRPr="000444B5" w:rsidRDefault="000444B5" w:rsidP="000444B5">
      <w:pPr>
        <w:jc w:val="both"/>
        <w:rPr>
          <w:rFonts w:cs="Times New Roman"/>
          <w:sz w:val="16"/>
          <w:szCs w:val="20"/>
        </w:rPr>
      </w:pPr>
    </w:p>
    <w:p w:rsidR="000444B5" w:rsidRDefault="000444B5" w:rsidP="008B1E45">
      <w:pPr>
        <w:jc w:val="both"/>
        <w:rPr>
          <w:rFonts w:eastAsia="Times New Roman" w:cs="Times New Roman"/>
          <w:sz w:val="20"/>
          <w:szCs w:val="20"/>
          <w:lang w:eastAsia="en-CA"/>
        </w:rPr>
      </w:pPr>
      <w:r w:rsidRPr="000444B5">
        <w:rPr>
          <w:rFonts w:eastAsia="Times New Roman" w:cs="Times New Roman"/>
          <w:sz w:val="20"/>
          <w:szCs w:val="20"/>
          <w:lang w:eastAsia="en-CA"/>
        </w:rPr>
        <w:tab/>
        <w:t>APPEAL from a judgment of the Ontario Court of Appeal (Laskin, Moldaver and Armstrong JJ.A.), 2010 ONCA 616, 102 O.R. (3d) 688, 267 O.A.C. 259, 325 D.L.R. (4th) 488, 94 C.P.C. (6th) 262, [2010] O.J. No. 4046 (QL), 2010 CarswellOnt 7164, affirming a decision of Fedak J., 2009 CarswellOnt 9420.  Appeal allowed, LeBel, Abella and Rothstein JJ. dissenting.</w:t>
      </w:r>
    </w:p>
    <w:p w:rsidR="000444B5" w:rsidRPr="000444B5" w:rsidRDefault="000444B5" w:rsidP="000444B5">
      <w:pPr>
        <w:tabs>
          <w:tab w:val="left" w:pos="1168"/>
        </w:tabs>
        <w:jc w:val="both"/>
        <w:rPr>
          <w:rFonts w:eastAsia="Times New Roman" w:cs="Times New Roman"/>
          <w:sz w:val="20"/>
          <w:szCs w:val="20"/>
          <w:lang w:eastAsia="en-CA"/>
        </w:rPr>
      </w:pPr>
    </w:p>
    <w:p w:rsidR="000444B5" w:rsidRPr="000444B5" w:rsidRDefault="000444B5" w:rsidP="008B1E45">
      <w:pPr>
        <w:jc w:val="both"/>
        <w:outlineLvl w:val="0"/>
        <w:rPr>
          <w:rFonts w:eastAsia="Times New Roman" w:cs="Times New Roman"/>
          <w:sz w:val="20"/>
          <w:szCs w:val="20"/>
          <w:lang w:eastAsia="en-CA"/>
        </w:rPr>
      </w:pPr>
      <w:r w:rsidRPr="000444B5">
        <w:rPr>
          <w:rFonts w:eastAsia="Times New Roman" w:cs="Times New Roman"/>
          <w:i/>
          <w:sz w:val="20"/>
          <w:szCs w:val="20"/>
          <w:lang w:eastAsia="en-CA"/>
        </w:rPr>
        <w:tab/>
        <w:t>Julian N. Falconer</w:t>
      </w:r>
      <w:r w:rsidRPr="000444B5">
        <w:rPr>
          <w:rFonts w:eastAsia="Times New Roman" w:cs="Times New Roman"/>
          <w:sz w:val="20"/>
          <w:szCs w:val="20"/>
          <w:lang w:eastAsia="en-CA"/>
        </w:rPr>
        <w:t xml:space="preserve">, </w:t>
      </w:r>
      <w:r w:rsidRPr="000444B5">
        <w:rPr>
          <w:rFonts w:eastAsia="Times New Roman" w:cs="Times New Roman"/>
          <w:i/>
          <w:sz w:val="20"/>
          <w:szCs w:val="20"/>
          <w:lang w:eastAsia="en-CA"/>
        </w:rPr>
        <w:t>Julian K. Roy</w:t>
      </w:r>
      <w:r w:rsidRPr="000444B5">
        <w:rPr>
          <w:rFonts w:eastAsia="Times New Roman" w:cs="Times New Roman"/>
          <w:sz w:val="20"/>
          <w:szCs w:val="20"/>
          <w:lang w:eastAsia="en-CA"/>
        </w:rPr>
        <w:t xml:space="preserve"> and </w:t>
      </w:r>
      <w:r w:rsidRPr="000444B5">
        <w:rPr>
          <w:rFonts w:eastAsia="Times New Roman" w:cs="Times New Roman"/>
          <w:i/>
          <w:sz w:val="20"/>
          <w:szCs w:val="20"/>
          <w:lang w:eastAsia="en-CA"/>
        </w:rPr>
        <w:t>Sunil S. Mathai</w:t>
      </w:r>
      <w:r w:rsidRPr="000444B5">
        <w:rPr>
          <w:rFonts w:eastAsia="Times New Roman" w:cs="Times New Roman"/>
          <w:sz w:val="20"/>
          <w:szCs w:val="20"/>
          <w:lang w:eastAsia="en-CA"/>
        </w:rPr>
        <w:t>, for the appellant.</w:t>
      </w:r>
    </w:p>
    <w:p w:rsidR="000444B5" w:rsidRDefault="000444B5" w:rsidP="008B1E45">
      <w:pPr>
        <w:jc w:val="both"/>
        <w:rPr>
          <w:rFonts w:eastAsia="Times New Roman" w:cs="Times New Roman"/>
          <w:i/>
          <w:sz w:val="20"/>
          <w:szCs w:val="20"/>
          <w:lang w:eastAsia="en-CA"/>
        </w:rPr>
      </w:pPr>
    </w:p>
    <w:p w:rsidR="000444B5" w:rsidRPr="000444B5" w:rsidRDefault="000444B5" w:rsidP="008B1E45">
      <w:pPr>
        <w:jc w:val="both"/>
        <w:rPr>
          <w:rFonts w:eastAsia="Times New Roman" w:cs="Times New Roman"/>
          <w:sz w:val="20"/>
          <w:szCs w:val="20"/>
          <w:lang w:eastAsia="en-CA"/>
        </w:rPr>
      </w:pPr>
      <w:r w:rsidRPr="000444B5">
        <w:rPr>
          <w:rFonts w:eastAsia="Times New Roman" w:cs="Times New Roman"/>
          <w:i/>
          <w:sz w:val="20"/>
          <w:szCs w:val="20"/>
          <w:lang w:eastAsia="en-CA"/>
        </w:rPr>
        <w:tab/>
        <w:t>Eugene G. Mazzuca</w:t>
      </w:r>
      <w:r w:rsidRPr="000444B5">
        <w:rPr>
          <w:rFonts w:eastAsia="Times New Roman" w:cs="Times New Roman"/>
          <w:sz w:val="20"/>
          <w:szCs w:val="20"/>
          <w:lang w:eastAsia="en-CA"/>
        </w:rPr>
        <w:t xml:space="preserve">, </w:t>
      </w:r>
      <w:r w:rsidRPr="000444B5">
        <w:rPr>
          <w:rFonts w:eastAsia="Times New Roman" w:cs="Times New Roman"/>
          <w:i/>
          <w:sz w:val="20"/>
          <w:szCs w:val="20"/>
          <w:lang w:eastAsia="en-CA"/>
        </w:rPr>
        <w:t>Kerry Nash</w:t>
      </w:r>
      <w:r w:rsidRPr="000444B5">
        <w:rPr>
          <w:rFonts w:eastAsia="Times New Roman" w:cs="Times New Roman"/>
          <w:sz w:val="20"/>
          <w:szCs w:val="20"/>
          <w:lang w:eastAsia="en-CA"/>
        </w:rPr>
        <w:t xml:space="preserve"> and </w:t>
      </w:r>
      <w:r w:rsidRPr="000444B5">
        <w:rPr>
          <w:rFonts w:eastAsia="Times New Roman" w:cs="Times New Roman"/>
          <w:i/>
          <w:sz w:val="20"/>
          <w:szCs w:val="20"/>
          <w:lang w:eastAsia="en-CA"/>
        </w:rPr>
        <w:t>Rafal Szymanski</w:t>
      </w:r>
      <w:r w:rsidRPr="000444B5">
        <w:rPr>
          <w:rFonts w:eastAsia="Times New Roman" w:cs="Times New Roman"/>
          <w:sz w:val="20"/>
          <w:szCs w:val="20"/>
          <w:lang w:eastAsia="en-CA"/>
        </w:rPr>
        <w:t>, for the respondents.</w:t>
      </w:r>
    </w:p>
    <w:p w:rsidR="000444B5" w:rsidRDefault="000444B5" w:rsidP="008B1E45">
      <w:pPr>
        <w:jc w:val="both"/>
        <w:rPr>
          <w:rFonts w:eastAsia="Times New Roman" w:cs="Times New Roman"/>
          <w:i/>
          <w:sz w:val="20"/>
          <w:szCs w:val="20"/>
          <w:lang w:eastAsia="en-CA"/>
        </w:rPr>
      </w:pPr>
    </w:p>
    <w:p w:rsidR="000444B5" w:rsidRPr="000444B5" w:rsidRDefault="000444B5" w:rsidP="008B1E45">
      <w:pPr>
        <w:jc w:val="both"/>
        <w:rPr>
          <w:rFonts w:eastAsia="Times New Roman" w:cs="Times New Roman"/>
          <w:sz w:val="20"/>
          <w:szCs w:val="20"/>
          <w:lang w:eastAsia="en-CA"/>
        </w:rPr>
      </w:pPr>
      <w:r w:rsidRPr="000444B5">
        <w:rPr>
          <w:rFonts w:eastAsia="Times New Roman" w:cs="Times New Roman"/>
          <w:i/>
          <w:sz w:val="20"/>
          <w:szCs w:val="20"/>
          <w:lang w:eastAsia="en-CA"/>
        </w:rPr>
        <w:tab/>
        <w:t>Malliha Wilson</w:t>
      </w:r>
      <w:r w:rsidRPr="000444B5">
        <w:rPr>
          <w:rFonts w:eastAsia="Times New Roman" w:cs="Times New Roman"/>
          <w:sz w:val="20"/>
          <w:szCs w:val="20"/>
          <w:lang w:eastAsia="en-CA"/>
        </w:rPr>
        <w:t xml:space="preserve">, </w:t>
      </w:r>
      <w:r w:rsidRPr="000444B5">
        <w:rPr>
          <w:rFonts w:eastAsia="Times New Roman" w:cs="Times New Roman"/>
          <w:i/>
          <w:sz w:val="20"/>
          <w:szCs w:val="20"/>
          <w:lang w:eastAsia="en-CA"/>
        </w:rPr>
        <w:t>Dennis W. Brown</w:t>
      </w:r>
      <w:r w:rsidRPr="000444B5">
        <w:rPr>
          <w:rFonts w:eastAsia="Times New Roman" w:cs="Times New Roman"/>
          <w:sz w:val="20"/>
          <w:szCs w:val="20"/>
          <w:lang w:eastAsia="en-CA"/>
        </w:rPr>
        <w:t xml:space="preserve">, </w:t>
      </w:r>
      <w:r w:rsidRPr="000444B5">
        <w:rPr>
          <w:rFonts w:eastAsia="Times New Roman" w:cs="Times New Roman"/>
          <w:i/>
          <w:sz w:val="20"/>
          <w:szCs w:val="20"/>
          <w:lang w:eastAsia="en-CA"/>
        </w:rPr>
        <w:t>Q.C.</w:t>
      </w:r>
      <w:r w:rsidRPr="000444B5">
        <w:rPr>
          <w:rFonts w:eastAsia="Times New Roman" w:cs="Times New Roman"/>
          <w:sz w:val="20"/>
          <w:szCs w:val="20"/>
          <w:lang w:eastAsia="en-CA"/>
        </w:rPr>
        <w:t xml:space="preserve">, and </w:t>
      </w:r>
      <w:r w:rsidRPr="000444B5">
        <w:rPr>
          <w:rFonts w:eastAsia="Times New Roman" w:cs="Times New Roman"/>
          <w:i/>
          <w:sz w:val="20"/>
          <w:szCs w:val="20"/>
          <w:lang w:eastAsia="en-CA"/>
        </w:rPr>
        <w:t>Christopher P. Thompson</w:t>
      </w:r>
      <w:r w:rsidRPr="000444B5">
        <w:rPr>
          <w:rFonts w:eastAsia="Times New Roman" w:cs="Times New Roman"/>
          <w:sz w:val="20"/>
          <w:szCs w:val="20"/>
          <w:lang w:eastAsia="en-CA"/>
        </w:rPr>
        <w:t>, for the intervener the Attorney General of Ontario.</w:t>
      </w:r>
    </w:p>
    <w:p w:rsidR="000444B5" w:rsidRDefault="000444B5" w:rsidP="008B1E45">
      <w:pPr>
        <w:jc w:val="both"/>
        <w:rPr>
          <w:rFonts w:eastAsia="Times New Roman" w:cs="Times New Roman"/>
          <w:i/>
          <w:sz w:val="20"/>
          <w:szCs w:val="20"/>
          <w:lang w:eastAsia="en-CA"/>
        </w:rPr>
      </w:pPr>
    </w:p>
    <w:p w:rsidR="000444B5" w:rsidRPr="000444B5" w:rsidRDefault="000444B5" w:rsidP="008B1E45">
      <w:pPr>
        <w:jc w:val="both"/>
        <w:rPr>
          <w:rFonts w:eastAsia="Times New Roman" w:cs="Times New Roman"/>
          <w:sz w:val="20"/>
          <w:szCs w:val="20"/>
          <w:lang w:eastAsia="en-CA"/>
        </w:rPr>
      </w:pPr>
      <w:r w:rsidRPr="000444B5">
        <w:rPr>
          <w:rFonts w:eastAsia="Times New Roman" w:cs="Times New Roman"/>
          <w:i/>
          <w:sz w:val="20"/>
          <w:szCs w:val="20"/>
          <w:lang w:eastAsia="en-CA"/>
        </w:rPr>
        <w:tab/>
        <w:t>Maureen Whelton</w:t>
      </w:r>
      <w:r w:rsidRPr="000444B5">
        <w:rPr>
          <w:rFonts w:eastAsia="Times New Roman" w:cs="Times New Roman"/>
          <w:sz w:val="20"/>
          <w:szCs w:val="20"/>
          <w:lang w:eastAsia="en-CA"/>
        </w:rPr>
        <w:t xml:space="preserve"> and </w:t>
      </w:r>
      <w:r w:rsidRPr="000444B5">
        <w:rPr>
          <w:rFonts w:eastAsia="Times New Roman" w:cs="Times New Roman"/>
          <w:i/>
          <w:sz w:val="20"/>
          <w:szCs w:val="20"/>
          <w:lang w:eastAsia="en-CA"/>
        </w:rPr>
        <w:t>Richard Macklin</w:t>
      </w:r>
      <w:r w:rsidRPr="000444B5">
        <w:rPr>
          <w:rFonts w:eastAsia="Times New Roman" w:cs="Times New Roman"/>
          <w:sz w:val="20"/>
          <w:szCs w:val="20"/>
          <w:lang w:eastAsia="en-CA"/>
        </w:rPr>
        <w:t>, for the intervener the Urban Alliance on Race Relations.</w:t>
      </w:r>
    </w:p>
    <w:p w:rsidR="000444B5" w:rsidRDefault="000444B5" w:rsidP="008B1E45">
      <w:pPr>
        <w:jc w:val="both"/>
        <w:rPr>
          <w:rFonts w:eastAsia="Times New Roman" w:cs="Times New Roman"/>
          <w:i/>
          <w:sz w:val="20"/>
          <w:szCs w:val="20"/>
          <w:lang w:eastAsia="en-CA"/>
        </w:rPr>
      </w:pPr>
    </w:p>
    <w:p w:rsidR="000444B5" w:rsidRPr="000444B5" w:rsidRDefault="000444B5" w:rsidP="008B1E45">
      <w:pPr>
        <w:jc w:val="both"/>
        <w:rPr>
          <w:rFonts w:eastAsia="Times New Roman" w:cs="Times New Roman"/>
          <w:sz w:val="20"/>
          <w:szCs w:val="20"/>
          <w:lang w:eastAsia="en-CA"/>
        </w:rPr>
      </w:pPr>
      <w:r w:rsidRPr="000444B5">
        <w:rPr>
          <w:rFonts w:eastAsia="Times New Roman" w:cs="Times New Roman"/>
          <w:i/>
          <w:sz w:val="20"/>
          <w:szCs w:val="20"/>
          <w:lang w:eastAsia="en-CA"/>
        </w:rPr>
        <w:tab/>
        <w:t>Louis Sokolov</w:t>
      </w:r>
      <w:r w:rsidRPr="000444B5">
        <w:rPr>
          <w:rFonts w:eastAsia="Times New Roman" w:cs="Times New Roman"/>
          <w:sz w:val="20"/>
          <w:szCs w:val="20"/>
          <w:lang w:eastAsia="en-CA"/>
        </w:rPr>
        <w:t xml:space="preserve"> and </w:t>
      </w:r>
      <w:r w:rsidRPr="000444B5">
        <w:rPr>
          <w:rFonts w:eastAsia="Times New Roman" w:cs="Times New Roman"/>
          <w:i/>
          <w:sz w:val="20"/>
          <w:szCs w:val="20"/>
          <w:lang w:eastAsia="en-CA"/>
        </w:rPr>
        <w:t>Daniel Iny</w:t>
      </w:r>
      <w:r w:rsidRPr="000444B5">
        <w:rPr>
          <w:rFonts w:eastAsia="Times New Roman" w:cs="Times New Roman"/>
          <w:sz w:val="20"/>
          <w:szCs w:val="20"/>
          <w:lang w:eastAsia="en-CA"/>
        </w:rPr>
        <w:t>, for the intervener the Criminal Lawyers’ Association (Ontario).</w:t>
      </w:r>
    </w:p>
    <w:p w:rsidR="000444B5" w:rsidRDefault="000444B5" w:rsidP="008B1E45">
      <w:pPr>
        <w:jc w:val="both"/>
        <w:rPr>
          <w:rFonts w:eastAsia="Times New Roman" w:cs="Times New Roman"/>
          <w:i/>
          <w:sz w:val="20"/>
          <w:szCs w:val="20"/>
          <w:lang w:eastAsia="en-CA"/>
        </w:rPr>
      </w:pPr>
    </w:p>
    <w:p w:rsidR="000444B5" w:rsidRPr="000444B5" w:rsidRDefault="000444B5" w:rsidP="008B1E45">
      <w:pPr>
        <w:jc w:val="both"/>
        <w:rPr>
          <w:rFonts w:eastAsia="Times New Roman" w:cs="Times New Roman"/>
          <w:sz w:val="20"/>
          <w:szCs w:val="20"/>
          <w:lang w:eastAsia="en-CA"/>
        </w:rPr>
      </w:pPr>
      <w:r w:rsidRPr="000444B5">
        <w:rPr>
          <w:rFonts w:eastAsia="Times New Roman" w:cs="Times New Roman"/>
          <w:i/>
          <w:sz w:val="20"/>
          <w:szCs w:val="20"/>
          <w:lang w:eastAsia="en-CA"/>
        </w:rPr>
        <w:tab/>
        <w:t>Robert D. Holmes</w:t>
      </w:r>
      <w:r w:rsidRPr="000444B5">
        <w:rPr>
          <w:rFonts w:eastAsia="Times New Roman" w:cs="Times New Roman"/>
          <w:sz w:val="20"/>
          <w:szCs w:val="20"/>
          <w:lang w:eastAsia="en-CA"/>
        </w:rPr>
        <w:t xml:space="preserve">, </w:t>
      </w:r>
      <w:r w:rsidRPr="000444B5">
        <w:rPr>
          <w:rFonts w:eastAsia="Times New Roman" w:cs="Times New Roman"/>
          <w:i/>
          <w:sz w:val="20"/>
          <w:szCs w:val="20"/>
          <w:lang w:eastAsia="en-CA"/>
        </w:rPr>
        <w:t>Q.C.</w:t>
      </w:r>
      <w:r w:rsidRPr="000444B5">
        <w:rPr>
          <w:rFonts w:eastAsia="Times New Roman" w:cs="Times New Roman"/>
          <w:sz w:val="20"/>
          <w:szCs w:val="20"/>
          <w:lang w:eastAsia="en-CA"/>
        </w:rPr>
        <w:t>, for the intervener the British Columbia Civil Liberties Association.</w:t>
      </w:r>
    </w:p>
    <w:p w:rsidR="000444B5" w:rsidRDefault="000444B5" w:rsidP="008B1E45">
      <w:pPr>
        <w:jc w:val="both"/>
        <w:rPr>
          <w:rFonts w:eastAsia="Times New Roman" w:cs="Times New Roman"/>
          <w:i/>
          <w:sz w:val="20"/>
          <w:szCs w:val="20"/>
          <w:lang w:eastAsia="en-CA"/>
        </w:rPr>
      </w:pPr>
    </w:p>
    <w:p w:rsidR="000444B5" w:rsidRPr="000444B5" w:rsidRDefault="000444B5" w:rsidP="008B1E45">
      <w:pPr>
        <w:jc w:val="both"/>
        <w:rPr>
          <w:rFonts w:eastAsia="Times New Roman" w:cs="Times New Roman"/>
          <w:sz w:val="20"/>
          <w:szCs w:val="20"/>
          <w:lang w:eastAsia="en-CA"/>
        </w:rPr>
      </w:pPr>
      <w:r w:rsidRPr="000444B5">
        <w:rPr>
          <w:rFonts w:eastAsia="Times New Roman" w:cs="Times New Roman"/>
          <w:i/>
          <w:sz w:val="20"/>
          <w:szCs w:val="20"/>
          <w:lang w:eastAsia="en-CA"/>
        </w:rPr>
        <w:tab/>
        <w:t>Ian J. Roland</w:t>
      </w:r>
      <w:r w:rsidRPr="000444B5">
        <w:rPr>
          <w:rFonts w:eastAsia="Times New Roman" w:cs="Times New Roman"/>
          <w:sz w:val="20"/>
          <w:szCs w:val="20"/>
          <w:lang w:eastAsia="en-CA"/>
        </w:rPr>
        <w:t xml:space="preserve"> and </w:t>
      </w:r>
      <w:r w:rsidRPr="000444B5">
        <w:rPr>
          <w:rFonts w:eastAsia="Times New Roman" w:cs="Times New Roman"/>
          <w:i/>
          <w:sz w:val="20"/>
          <w:szCs w:val="20"/>
          <w:lang w:eastAsia="en-CA"/>
        </w:rPr>
        <w:t>Michael Fenrick</w:t>
      </w:r>
      <w:r w:rsidRPr="000444B5">
        <w:rPr>
          <w:rFonts w:eastAsia="Times New Roman" w:cs="Times New Roman"/>
          <w:sz w:val="20"/>
          <w:szCs w:val="20"/>
          <w:lang w:eastAsia="en-CA"/>
        </w:rPr>
        <w:t>, for the intervener the Canadian Police Association.</w:t>
      </w:r>
    </w:p>
    <w:p w:rsidR="000444B5" w:rsidRDefault="000444B5" w:rsidP="008B1E45">
      <w:pPr>
        <w:jc w:val="both"/>
        <w:rPr>
          <w:rFonts w:eastAsia="Times New Roman" w:cs="Times New Roman"/>
          <w:i/>
          <w:sz w:val="20"/>
          <w:szCs w:val="20"/>
          <w:lang w:eastAsia="en-CA"/>
        </w:rPr>
      </w:pPr>
    </w:p>
    <w:p w:rsidR="000444B5" w:rsidRPr="000444B5" w:rsidRDefault="000444B5" w:rsidP="008B1E45">
      <w:pPr>
        <w:jc w:val="both"/>
        <w:rPr>
          <w:rFonts w:eastAsia="Times New Roman" w:cs="Times New Roman"/>
          <w:sz w:val="20"/>
          <w:szCs w:val="20"/>
          <w:lang w:eastAsia="en-CA"/>
        </w:rPr>
      </w:pPr>
      <w:r w:rsidRPr="000444B5">
        <w:rPr>
          <w:rFonts w:eastAsia="Times New Roman" w:cs="Times New Roman"/>
          <w:i/>
          <w:sz w:val="20"/>
          <w:szCs w:val="20"/>
          <w:lang w:eastAsia="en-CA"/>
        </w:rPr>
        <w:tab/>
        <w:t>Tim Gleason</w:t>
      </w:r>
      <w:r w:rsidRPr="000444B5">
        <w:rPr>
          <w:rFonts w:eastAsia="Times New Roman" w:cs="Times New Roman"/>
          <w:sz w:val="20"/>
          <w:szCs w:val="20"/>
          <w:lang w:eastAsia="en-CA"/>
        </w:rPr>
        <w:t xml:space="preserve"> and </w:t>
      </w:r>
      <w:r w:rsidRPr="000444B5">
        <w:rPr>
          <w:rFonts w:eastAsia="Times New Roman" w:cs="Times New Roman"/>
          <w:i/>
          <w:sz w:val="20"/>
          <w:szCs w:val="20"/>
          <w:lang w:eastAsia="en-CA"/>
        </w:rPr>
        <w:t>Sean Dewart</w:t>
      </w:r>
      <w:r w:rsidRPr="000444B5">
        <w:rPr>
          <w:rFonts w:eastAsia="Times New Roman" w:cs="Times New Roman"/>
          <w:sz w:val="20"/>
          <w:szCs w:val="20"/>
          <w:lang w:eastAsia="en-CA"/>
        </w:rPr>
        <w:t>, for the intervener the Canadian Civil Liberties Association.</w:t>
      </w:r>
    </w:p>
    <w:p w:rsidR="000444B5" w:rsidRDefault="000444B5" w:rsidP="008B1E45">
      <w:pPr>
        <w:jc w:val="both"/>
        <w:outlineLvl w:val="0"/>
        <w:rPr>
          <w:rFonts w:eastAsia="Times New Roman" w:cs="Times New Roman"/>
          <w:i/>
          <w:sz w:val="20"/>
          <w:szCs w:val="20"/>
          <w:lang w:eastAsia="en-CA"/>
        </w:rPr>
      </w:pPr>
    </w:p>
    <w:p w:rsidR="000444B5" w:rsidRPr="000444B5" w:rsidRDefault="000444B5" w:rsidP="008B1E45">
      <w:pPr>
        <w:jc w:val="both"/>
        <w:outlineLvl w:val="0"/>
        <w:rPr>
          <w:rFonts w:eastAsia="Times New Roman" w:cs="Times New Roman"/>
          <w:i/>
          <w:sz w:val="20"/>
          <w:szCs w:val="20"/>
          <w:lang w:eastAsia="en-CA"/>
        </w:rPr>
      </w:pPr>
      <w:r w:rsidRPr="000444B5">
        <w:rPr>
          <w:rFonts w:eastAsia="Times New Roman" w:cs="Times New Roman"/>
          <w:i/>
          <w:sz w:val="20"/>
          <w:szCs w:val="20"/>
          <w:lang w:eastAsia="en-CA"/>
        </w:rPr>
        <w:tab/>
        <w:t>Solicitors for the appellant:  Falconer Charney, Toronto.</w:t>
      </w:r>
    </w:p>
    <w:p w:rsidR="000444B5" w:rsidRDefault="000444B5" w:rsidP="008B1E45">
      <w:pPr>
        <w:jc w:val="both"/>
        <w:outlineLvl w:val="0"/>
        <w:rPr>
          <w:rFonts w:eastAsia="Times New Roman" w:cs="Times New Roman"/>
          <w:i/>
          <w:sz w:val="20"/>
          <w:szCs w:val="20"/>
          <w:lang w:eastAsia="en-CA"/>
        </w:rPr>
      </w:pPr>
    </w:p>
    <w:p w:rsidR="000444B5" w:rsidRPr="000444B5" w:rsidRDefault="000444B5" w:rsidP="008B1E45">
      <w:pPr>
        <w:jc w:val="both"/>
        <w:outlineLvl w:val="0"/>
        <w:rPr>
          <w:rFonts w:eastAsia="Times New Roman" w:cs="Times New Roman"/>
          <w:i/>
          <w:sz w:val="20"/>
          <w:szCs w:val="20"/>
          <w:lang w:eastAsia="en-CA"/>
        </w:rPr>
      </w:pPr>
      <w:r w:rsidRPr="000444B5">
        <w:rPr>
          <w:rFonts w:eastAsia="Times New Roman" w:cs="Times New Roman"/>
          <w:i/>
          <w:sz w:val="20"/>
          <w:szCs w:val="20"/>
          <w:lang w:eastAsia="en-CA"/>
        </w:rPr>
        <w:tab/>
        <w:t>Solicitors for the respondents:  Blaney McMurtry, Toronto.</w:t>
      </w:r>
    </w:p>
    <w:p w:rsidR="000444B5" w:rsidRDefault="000444B5" w:rsidP="008B1E45">
      <w:pPr>
        <w:jc w:val="both"/>
        <w:rPr>
          <w:rFonts w:eastAsia="Times New Roman" w:cs="Times New Roman"/>
          <w:i/>
          <w:sz w:val="20"/>
          <w:szCs w:val="20"/>
          <w:lang w:eastAsia="en-CA"/>
        </w:rPr>
      </w:pPr>
    </w:p>
    <w:p w:rsidR="000444B5" w:rsidRPr="000444B5" w:rsidRDefault="000444B5" w:rsidP="008B1E45">
      <w:pPr>
        <w:jc w:val="both"/>
        <w:rPr>
          <w:rFonts w:eastAsia="Times New Roman" w:cs="Times New Roman"/>
          <w:i/>
          <w:sz w:val="20"/>
          <w:szCs w:val="20"/>
          <w:lang w:eastAsia="en-CA"/>
        </w:rPr>
      </w:pPr>
      <w:r w:rsidRPr="000444B5">
        <w:rPr>
          <w:rFonts w:eastAsia="Times New Roman" w:cs="Times New Roman"/>
          <w:i/>
          <w:sz w:val="20"/>
          <w:szCs w:val="20"/>
          <w:lang w:eastAsia="en-CA"/>
        </w:rPr>
        <w:tab/>
        <w:t>Solicitor for the intervener the Attorney General of Ontario:  Attorney General of Ontario, Toronto.</w:t>
      </w:r>
    </w:p>
    <w:p w:rsidR="000444B5" w:rsidRDefault="000444B5" w:rsidP="008B1E45">
      <w:pPr>
        <w:jc w:val="both"/>
        <w:rPr>
          <w:rFonts w:eastAsia="Times New Roman" w:cs="Times New Roman"/>
          <w:i/>
          <w:sz w:val="20"/>
          <w:szCs w:val="20"/>
          <w:lang w:eastAsia="en-CA"/>
        </w:rPr>
      </w:pPr>
    </w:p>
    <w:p w:rsidR="000444B5" w:rsidRPr="000444B5" w:rsidRDefault="000444B5" w:rsidP="008B1E45">
      <w:pPr>
        <w:jc w:val="both"/>
        <w:rPr>
          <w:rFonts w:eastAsia="Times New Roman" w:cs="Times New Roman"/>
          <w:i/>
          <w:sz w:val="20"/>
          <w:szCs w:val="20"/>
          <w:lang w:eastAsia="en-CA"/>
        </w:rPr>
      </w:pPr>
      <w:r w:rsidRPr="000444B5">
        <w:rPr>
          <w:rFonts w:eastAsia="Times New Roman" w:cs="Times New Roman"/>
          <w:i/>
          <w:sz w:val="20"/>
          <w:szCs w:val="20"/>
          <w:lang w:eastAsia="en-CA"/>
        </w:rPr>
        <w:tab/>
        <w:t>Solicitors for the intervener the Urban Alliance on Race Relations:  Stevensons, Toronto.</w:t>
      </w:r>
    </w:p>
    <w:p w:rsidR="000444B5" w:rsidRDefault="000444B5" w:rsidP="008B1E45">
      <w:pPr>
        <w:jc w:val="both"/>
        <w:rPr>
          <w:rFonts w:eastAsia="Times New Roman" w:cs="Times New Roman"/>
          <w:i/>
          <w:sz w:val="20"/>
          <w:szCs w:val="20"/>
          <w:lang w:eastAsia="en-CA"/>
        </w:rPr>
      </w:pPr>
    </w:p>
    <w:p w:rsidR="000444B5" w:rsidRPr="000444B5" w:rsidRDefault="000444B5" w:rsidP="008B1E45">
      <w:pPr>
        <w:jc w:val="both"/>
        <w:rPr>
          <w:rFonts w:eastAsia="Times New Roman" w:cs="Times New Roman"/>
          <w:i/>
          <w:sz w:val="20"/>
          <w:szCs w:val="20"/>
          <w:lang w:eastAsia="en-CA"/>
        </w:rPr>
      </w:pPr>
      <w:r w:rsidRPr="000444B5">
        <w:rPr>
          <w:rFonts w:eastAsia="Times New Roman" w:cs="Times New Roman"/>
          <w:i/>
          <w:sz w:val="20"/>
          <w:szCs w:val="20"/>
          <w:lang w:eastAsia="en-CA"/>
        </w:rPr>
        <w:tab/>
        <w:t>Solicitors for the intervener the Criminal Lawyers’ Association (Ontario):  Sack Goldblatt Mitchell, Toronto.</w:t>
      </w:r>
    </w:p>
    <w:p w:rsidR="000444B5" w:rsidRDefault="000444B5" w:rsidP="008B1E45">
      <w:pPr>
        <w:jc w:val="both"/>
        <w:rPr>
          <w:rFonts w:eastAsia="Times New Roman" w:cs="Times New Roman"/>
          <w:i/>
          <w:sz w:val="20"/>
          <w:szCs w:val="20"/>
          <w:lang w:eastAsia="en-CA"/>
        </w:rPr>
      </w:pPr>
    </w:p>
    <w:p w:rsidR="000444B5" w:rsidRPr="000444B5" w:rsidRDefault="000444B5" w:rsidP="008B1E45">
      <w:pPr>
        <w:jc w:val="both"/>
        <w:rPr>
          <w:rFonts w:eastAsia="Times New Roman" w:cs="Times New Roman"/>
          <w:i/>
          <w:sz w:val="20"/>
          <w:szCs w:val="20"/>
          <w:lang w:eastAsia="en-CA"/>
        </w:rPr>
      </w:pPr>
      <w:r w:rsidRPr="000444B5">
        <w:rPr>
          <w:rFonts w:eastAsia="Times New Roman" w:cs="Times New Roman"/>
          <w:i/>
          <w:sz w:val="20"/>
          <w:szCs w:val="20"/>
          <w:lang w:eastAsia="en-CA"/>
        </w:rPr>
        <w:tab/>
        <w:t>Solicitors for the intervener the British Columbia Civil Liberties Association:  Holmes &amp; King, Vancouver.</w:t>
      </w:r>
    </w:p>
    <w:p w:rsidR="000444B5" w:rsidRDefault="000444B5" w:rsidP="008B1E45">
      <w:pPr>
        <w:jc w:val="both"/>
        <w:rPr>
          <w:rFonts w:eastAsia="Times New Roman" w:cs="Times New Roman"/>
          <w:i/>
          <w:sz w:val="20"/>
          <w:szCs w:val="20"/>
          <w:lang w:eastAsia="en-CA"/>
        </w:rPr>
      </w:pPr>
    </w:p>
    <w:p w:rsidR="000444B5" w:rsidRPr="000444B5" w:rsidRDefault="000444B5" w:rsidP="008B1E45">
      <w:pPr>
        <w:jc w:val="both"/>
        <w:rPr>
          <w:rFonts w:eastAsia="Times New Roman" w:cs="Times New Roman"/>
          <w:i/>
          <w:sz w:val="20"/>
          <w:szCs w:val="20"/>
          <w:lang w:eastAsia="en-CA"/>
        </w:rPr>
      </w:pPr>
      <w:r w:rsidRPr="000444B5">
        <w:rPr>
          <w:rFonts w:eastAsia="Times New Roman" w:cs="Times New Roman"/>
          <w:i/>
          <w:sz w:val="20"/>
          <w:szCs w:val="20"/>
          <w:lang w:eastAsia="en-CA"/>
        </w:rPr>
        <w:tab/>
        <w:t>Solicitors for the intervener the Canadian Police Association:  Paliare, Roland, Rosenberg, Rothstein, Toronto.</w:t>
      </w:r>
    </w:p>
    <w:p w:rsidR="000444B5" w:rsidRDefault="000444B5" w:rsidP="000444B5">
      <w:pPr>
        <w:jc w:val="both"/>
        <w:rPr>
          <w:rFonts w:eastAsia="Times New Roman" w:cs="Times New Roman"/>
          <w:sz w:val="20"/>
          <w:szCs w:val="20"/>
          <w:lang w:eastAsia="en-CA"/>
        </w:rPr>
      </w:pPr>
    </w:p>
    <w:p w:rsidR="000444B5" w:rsidRPr="000444B5" w:rsidRDefault="000444B5" w:rsidP="000444B5">
      <w:pPr>
        <w:jc w:val="both"/>
        <w:rPr>
          <w:rFonts w:cs="Times New Roman"/>
          <w:i/>
          <w:sz w:val="16"/>
          <w:szCs w:val="20"/>
        </w:rPr>
      </w:pPr>
      <w:r w:rsidRPr="000444B5">
        <w:rPr>
          <w:rFonts w:eastAsia="Times New Roman" w:cs="Times New Roman"/>
          <w:sz w:val="20"/>
          <w:szCs w:val="20"/>
          <w:lang w:eastAsia="en-CA"/>
        </w:rPr>
        <w:tab/>
      </w:r>
      <w:r w:rsidRPr="000444B5">
        <w:rPr>
          <w:rFonts w:eastAsia="Times New Roman" w:cs="Times New Roman"/>
          <w:i/>
          <w:sz w:val="20"/>
          <w:szCs w:val="20"/>
          <w:lang w:eastAsia="en-CA"/>
        </w:rPr>
        <w:t>Solicitors for the intervener the Canadian Civil Liberties Association:  Dewart Gleason, Toronto.</w:t>
      </w:r>
    </w:p>
    <w:p w:rsidR="000444B5" w:rsidRPr="003B3977" w:rsidRDefault="000444B5" w:rsidP="000444B5">
      <w:pPr>
        <w:rPr>
          <w:rFonts w:cs="Times New Roman"/>
          <w:sz w:val="20"/>
          <w:szCs w:val="20"/>
          <w:lang w:val="fr-CA"/>
        </w:rPr>
      </w:pPr>
      <w:r w:rsidRPr="003B3977">
        <w:rPr>
          <w:rFonts w:cs="Times New Roman"/>
          <w:sz w:val="20"/>
          <w:szCs w:val="20"/>
          <w:lang w:val="fr-CA"/>
        </w:rPr>
        <w:t>________________________</w:t>
      </w:r>
    </w:p>
    <w:p w:rsidR="000444B5" w:rsidRPr="003B3977" w:rsidRDefault="000444B5" w:rsidP="000444B5">
      <w:pPr>
        <w:rPr>
          <w:rFonts w:cs="Times New Roman"/>
          <w:sz w:val="20"/>
          <w:szCs w:val="20"/>
          <w:lang w:val="fr-CA"/>
        </w:rPr>
      </w:pPr>
    </w:p>
    <w:p w:rsidR="000444B5" w:rsidRDefault="000444B5" w:rsidP="000444B5">
      <w:pPr>
        <w:jc w:val="both"/>
        <w:rPr>
          <w:rFonts w:cs="Times New Roman"/>
          <w:sz w:val="20"/>
          <w:szCs w:val="20"/>
          <w:lang w:val="fr-CA"/>
        </w:rPr>
      </w:pPr>
      <w:r w:rsidRPr="003B3977">
        <w:rPr>
          <w:rFonts w:cs="Times New Roman"/>
          <w:sz w:val="20"/>
          <w:szCs w:val="20"/>
          <w:lang w:val="fr-CA"/>
        </w:rPr>
        <w:t>Présents : </w:t>
      </w:r>
      <w:r w:rsidRPr="000773E9">
        <w:rPr>
          <w:rFonts w:cs="Times New Roman"/>
          <w:sz w:val="20"/>
          <w:szCs w:val="20"/>
          <w:lang w:val="fr-CA"/>
        </w:rPr>
        <w:t>La juge en chef McLachlin et les juges LeBel,</w:t>
      </w:r>
      <w:r w:rsidR="00D105F3">
        <w:rPr>
          <w:rFonts w:cs="Times New Roman"/>
          <w:sz w:val="20"/>
          <w:szCs w:val="20"/>
          <w:lang w:val="fr-CA"/>
        </w:rPr>
        <w:t xml:space="preserve"> Fish, Abella, </w:t>
      </w:r>
      <w:r w:rsidRPr="000773E9">
        <w:rPr>
          <w:rFonts w:cs="Times New Roman"/>
          <w:sz w:val="20"/>
          <w:szCs w:val="20"/>
          <w:lang w:val="fr-CA"/>
        </w:rPr>
        <w:t>Rothstein, Cromwell</w:t>
      </w:r>
      <w:r w:rsidR="00D105F3">
        <w:rPr>
          <w:rFonts w:cs="Times New Roman"/>
          <w:sz w:val="20"/>
          <w:szCs w:val="20"/>
          <w:lang w:val="fr-CA"/>
        </w:rPr>
        <w:t xml:space="preserve"> et Karakatsanis</w:t>
      </w:r>
    </w:p>
    <w:p w:rsidR="000444B5" w:rsidRDefault="000444B5" w:rsidP="000444B5">
      <w:pPr>
        <w:jc w:val="both"/>
        <w:rPr>
          <w:rFonts w:cs="Times New Roman"/>
          <w:sz w:val="20"/>
          <w:szCs w:val="20"/>
          <w:lang w:val="fr-CA"/>
        </w:rPr>
      </w:pPr>
    </w:p>
    <w:p w:rsidR="00D105F3" w:rsidRPr="00D105F3" w:rsidRDefault="00D105F3" w:rsidP="005E45BE">
      <w:pPr>
        <w:pStyle w:val="SCCNormalDoubleSpacing"/>
        <w:spacing w:line="240" w:lineRule="auto"/>
        <w:rPr>
          <w:i/>
          <w:sz w:val="20"/>
          <w:lang w:val="fr-CA"/>
        </w:rPr>
      </w:pPr>
      <w:r w:rsidRPr="00912E1C">
        <w:rPr>
          <w:sz w:val="20"/>
          <w:lang w:val="fr-CA"/>
        </w:rPr>
        <w:tab/>
      </w:r>
      <w:r w:rsidRPr="00D105F3">
        <w:rPr>
          <w:i/>
          <w:sz w:val="20"/>
          <w:lang w:val="fr-CA"/>
        </w:rPr>
        <w:t>Procédure civile — Préclusion découlant d’une question déjà tranchée — Droit administratif — Procédures disciplinaires relatives à la police — Plainte alléguant l’inconduite policière déposée en vertu de la Loi sur les services policiers, L.R.O. 1990, ch. P.15</w:t>
      </w:r>
      <w:r w:rsidRPr="00D105F3">
        <w:rPr>
          <w:sz w:val="20"/>
          <w:lang w:val="fr-CA"/>
        </w:rPr>
        <w:t xml:space="preserve"> </w:t>
      </w:r>
      <w:r w:rsidRPr="00D105F3">
        <w:rPr>
          <w:i/>
          <w:sz w:val="20"/>
          <w:lang w:val="fr-CA"/>
        </w:rPr>
        <w:t>(« LSP ») — Action civile en réclamation de dommages</w:t>
      </w:r>
      <w:r w:rsidRPr="00D105F3">
        <w:rPr>
          <w:i/>
          <w:sz w:val="20"/>
          <w:lang w:val="fr-CA"/>
        </w:rPr>
        <w:noBreakHyphen/>
        <w:t>intérêts aussi intentée relativement au même incident — Agent d’audience nommé en application de la LSP conclut à l’absence d’inconduite et rejette la plainte — Exercice par le juge des motions et par la Cour d’appel de leur pouvoir discrétionnaire d’appliquer la préclusion découlant d’une question déjà tranchée pour bloquer les demandes civiles compte tenu de la décision de l’agent d’audience — Faudrait</w:t>
      </w:r>
      <w:r w:rsidRPr="00D105F3">
        <w:rPr>
          <w:i/>
          <w:sz w:val="20"/>
          <w:lang w:val="fr-CA"/>
        </w:rPr>
        <w:noBreakHyphen/>
        <w:t>il créer une règle d’intérêt public pour empêcher l’application de la préclusion découlant d’une question déjà tranchée relativement aux décisions disciplinaires relatives à la police? — L’application de la préclusion découlant d’une question déjà tranchée entraîne</w:t>
      </w:r>
      <w:r w:rsidRPr="00D105F3">
        <w:rPr>
          <w:i/>
          <w:sz w:val="20"/>
          <w:lang w:val="fr-CA"/>
        </w:rPr>
        <w:noBreakHyphen/>
        <w:t>t</w:t>
      </w:r>
      <w:r w:rsidRPr="00D105F3">
        <w:rPr>
          <w:i/>
          <w:sz w:val="20"/>
          <w:lang w:val="fr-CA"/>
        </w:rPr>
        <w:noBreakHyphen/>
        <w:t xml:space="preserve">elle une iniquité en l’espèce? </w:t>
      </w:r>
    </w:p>
    <w:p w:rsidR="00D105F3" w:rsidRDefault="00D105F3" w:rsidP="005E45BE">
      <w:pPr>
        <w:pStyle w:val="SCCNormalDoubleSpacing"/>
        <w:spacing w:line="240" w:lineRule="auto"/>
        <w:rPr>
          <w:sz w:val="20"/>
          <w:lang w:val="fr-CA"/>
        </w:rPr>
      </w:pPr>
    </w:p>
    <w:p w:rsidR="00D105F3" w:rsidRPr="00D105F3" w:rsidRDefault="00D105F3" w:rsidP="005E45BE">
      <w:pPr>
        <w:pStyle w:val="SCCNormalDoubleSpacing"/>
        <w:spacing w:line="240" w:lineRule="auto"/>
        <w:rPr>
          <w:sz w:val="20"/>
          <w:lang w:val="fr-CA"/>
        </w:rPr>
      </w:pPr>
      <w:r w:rsidRPr="00D105F3">
        <w:rPr>
          <w:sz w:val="20"/>
          <w:lang w:val="fr-CA"/>
        </w:rPr>
        <w:tab/>
        <w:t xml:space="preserve">P a été arrêté parce qu’il aurait eu un comportement perturbateur dans une salle d’audience en Ontario.  Il a déposé une plainte contre deux agents de police, en vertu de la </w:t>
      </w:r>
      <w:r w:rsidRPr="00D105F3">
        <w:rPr>
          <w:i/>
          <w:sz w:val="20"/>
          <w:lang w:val="fr-CA"/>
        </w:rPr>
        <w:t>LSP</w:t>
      </w:r>
      <w:r w:rsidRPr="00D105F3">
        <w:rPr>
          <w:sz w:val="20"/>
          <w:lang w:val="fr-CA"/>
        </w:rPr>
        <w:t>, pour arrestation illégale et usage de force injustifiée.  Il a également intenté une action civile en réclamation de dommages</w:t>
      </w:r>
      <w:r w:rsidRPr="00D105F3">
        <w:rPr>
          <w:sz w:val="20"/>
          <w:lang w:val="fr-CA"/>
        </w:rPr>
        <w:noBreakHyphen/>
        <w:t>intérêts à l’égard du même incident.  L’agent d’audience, nommé en vertu de la LSP par le chef de police, a déclaré les agents de police non coupables d’inconduite et a rejeté la plainte.  Cette décision a été infirmée en appel par la Commission civile des services policiers de l’Ontario qui a jugé l’arrestation illégale. Par suite d’un appel supplémentaire, la Cour divisionnaire de l’Ontario a conclu que les agents étaient légalement autorisés à procéder à l’arrestation et a rétabli la décision de l’agent d’audience.  Les policiers intimés ont ensuite eu gain de cause devant la Cour supérieure de justice à qui ils demandaient la radiation de plusieurs des demandes de l’action civile par application de la préclusion découlant d’une question déjà tranchée.  Tout en concluant que plusieurs facteurs militaient contre l’application de la préclusion découlant d’une question déjà tranchée, la Cour d’appel de l’Ontario a conclu que l’application de la doctrine n’emporterait pas d’injustice en l’espèce et a rejeté l’appel de P. </w:t>
      </w:r>
    </w:p>
    <w:p w:rsidR="00D105F3" w:rsidRDefault="00D105F3" w:rsidP="005E45BE">
      <w:pPr>
        <w:pStyle w:val="SCCNormalDoubleSpacing"/>
        <w:spacing w:line="240" w:lineRule="auto"/>
        <w:rPr>
          <w:sz w:val="20"/>
          <w:lang w:val="fr-CA"/>
        </w:rPr>
      </w:pPr>
    </w:p>
    <w:p w:rsidR="00D105F3" w:rsidRPr="00D105F3" w:rsidRDefault="00D105F3" w:rsidP="005E45BE">
      <w:pPr>
        <w:pStyle w:val="SCCNormalDoubleSpacing"/>
        <w:spacing w:line="240" w:lineRule="auto"/>
        <w:rPr>
          <w:sz w:val="20"/>
          <w:lang w:val="fr-CA"/>
        </w:rPr>
      </w:pPr>
      <w:r w:rsidRPr="00D105F3">
        <w:rPr>
          <w:sz w:val="20"/>
          <w:lang w:val="fr-CA"/>
        </w:rPr>
        <w:tab/>
      </w:r>
      <w:r w:rsidRPr="00D105F3">
        <w:rPr>
          <w:i/>
          <w:sz w:val="20"/>
          <w:lang w:val="fr-CA"/>
        </w:rPr>
        <w:t xml:space="preserve">Arrêt </w:t>
      </w:r>
      <w:r w:rsidRPr="00D105F3">
        <w:rPr>
          <w:sz w:val="20"/>
          <w:lang w:val="fr-CA"/>
        </w:rPr>
        <w:t>(les juges LeBel, Abella et Rothstein sont dissidents) </w:t>
      </w:r>
      <w:r w:rsidRPr="00D105F3">
        <w:rPr>
          <w:i/>
          <w:sz w:val="20"/>
          <w:lang w:val="fr-CA"/>
        </w:rPr>
        <w:t>:</w:t>
      </w:r>
      <w:r w:rsidRPr="00D105F3">
        <w:rPr>
          <w:sz w:val="20"/>
          <w:lang w:val="fr-CA"/>
        </w:rPr>
        <w:t xml:space="preserve"> Le pourvoi est accueilli.  </w:t>
      </w:r>
    </w:p>
    <w:p w:rsidR="00D105F3" w:rsidRDefault="00D105F3" w:rsidP="005E45BE">
      <w:pPr>
        <w:pStyle w:val="SCCNormalDoubleSpacing"/>
        <w:spacing w:line="240" w:lineRule="auto"/>
        <w:rPr>
          <w:sz w:val="20"/>
          <w:lang w:val="fr-CA"/>
        </w:rPr>
      </w:pPr>
    </w:p>
    <w:p w:rsidR="00D105F3" w:rsidRPr="00D105F3" w:rsidRDefault="00D105F3" w:rsidP="005E45BE">
      <w:pPr>
        <w:pStyle w:val="SCCNormalDoubleSpacing"/>
        <w:spacing w:line="240" w:lineRule="auto"/>
        <w:rPr>
          <w:sz w:val="20"/>
          <w:lang w:val="fr-CA"/>
        </w:rPr>
      </w:pPr>
      <w:r w:rsidRPr="00D105F3">
        <w:rPr>
          <w:sz w:val="20"/>
          <w:lang w:val="fr-CA"/>
        </w:rPr>
        <w:tab/>
      </w:r>
      <w:r w:rsidRPr="00D105F3">
        <w:rPr>
          <w:i/>
          <w:sz w:val="20"/>
          <w:lang w:val="fr-CA"/>
        </w:rPr>
        <w:t>La</w:t>
      </w:r>
      <w:r w:rsidRPr="00D105F3">
        <w:rPr>
          <w:sz w:val="20"/>
          <w:lang w:val="fr-CA"/>
        </w:rPr>
        <w:t xml:space="preserve"> juge en chef McLachlin et les juges Fish, </w:t>
      </w:r>
      <w:r w:rsidRPr="00D105F3">
        <w:rPr>
          <w:b/>
          <w:sz w:val="20"/>
          <w:lang w:val="fr-CA"/>
        </w:rPr>
        <w:t xml:space="preserve">Cromwell </w:t>
      </w:r>
      <w:r w:rsidRPr="00D105F3">
        <w:rPr>
          <w:sz w:val="20"/>
          <w:lang w:val="fr-CA"/>
        </w:rPr>
        <w:t xml:space="preserve">et </w:t>
      </w:r>
      <w:r w:rsidRPr="00D105F3">
        <w:rPr>
          <w:b/>
          <w:sz w:val="20"/>
          <w:lang w:val="fr-CA"/>
        </w:rPr>
        <w:t>Karakatsanis</w:t>
      </w:r>
      <w:r w:rsidRPr="00D105F3">
        <w:rPr>
          <w:sz w:val="20"/>
          <w:lang w:val="fr-CA"/>
        </w:rPr>
        <w:t> : Il n’est ni nécessaire ni souhaitable de créer une règle d’intérêt public qui exclurait de l’application de la préclusion découlant d’une question déjà tranchée les cas résultant d’audiences disciplinaires de la police.  La doctrine de la préclusion invite les cours à exercer leur pouvoir discrétionnaire pour éviter l’injustice; elle appelle un examen au cas par cas des circonstances pour déterminer s’il résulterait une iniquité ou une injustice de son application même si, comme en l’espèce, les conditions de son application sont réunies.  Il n’y a au</w:t>
      </w:r>
      <w:r w:rsidRPr="00D105F3">
        <w:rPr>
          <w:sz w:val="20"/>
          <w:szCs w:val="24"/>
          <w:lang w:val="fr-CA"/>
        </w:rPr>
        <w:t>cune raison de s’écarter de cette approche.  Toutefois, d</w:t>
      </w:r>
      <w:r w:rsidRPr="00D105F3">
        <w:rPr>
          <w:sz w:val="20"/>
          <w:lang w:val="fr-CA"/>
        </w:rPr>
        <w:t xml:space="preserve">ans les circonstances de l’espèce, il était injuste envers P d’appliquer la préclusion découlant d’une question déjà tranchée pour bloquer son action civile sur le fondement de la décision de l’agent d’audience.  La Cour d’appel a commis une erreur dans son analyse relative aux différences importantes entre les deux instances sur les plans de l’objet et de la portée et elle n’a pas tenu compte des attentes raisonnables des parties relativement à l’incidence des instances sur leurs droits en général.   </w:t>
      </w:r>
    </w:p>
    <w:p w:rsidR="00D105F3" w:rsidRDefault="00D105F3" w:rsidP="005E45BE">
      <w:pPr>
        <w:pStyle w:val="SCCNormalDoubleSpacing"/>
        <w:spacing w:line="240" w:lineRule="auto"/>
        <w:rPr>
          <w:sz w:val="20"/>
          <w:szCs w:val="24"/>
          <w:lang w:val="fr-CA"/>
        </w:rPr>
      </w:pPr>
    </w:p>
    <w:p w:rsidR="00D105F3" w:rsidRPr="00D105F3" w:rsidRDefault="00D105F3" w:rsidP="005E45BE">
      <w:pPr>
        <w:pStyle w:val="SCCNormalDoubleSpacing"/>
        <w:spacing w:line="240" w:lineRule="auto"/>
        <w:rPr>
          <w:sz w:val="20"/>
          <w:lang w:val="fr-CA"/>
        </w:rPr>
      </w:pPr>
      <w:r w:rsidRPr="00D105F3">
        <w:rPr>
          <w:sz w:val="20"/>
          <w:szCs w:val="24"/>
          <w:lang w:val="fr-CA"/>
        </w:rPr>
        <w:tab/>
      </w:r>
      <w:r w:rsidRPr="00D105F3">
        <w:rPr>
          <w:sz w:val="20"/>
          <w:lang w:val="fr-CA"/>
        </w:rPr>
        <w:t xml:space="preserve">Le cadre juridique qui régit l’exercice du pouvoir discrétionnaire de ne pas appliquer la préclusion découlant d’une question déjà tranchée est énoncé dans </w:t>
      </w:r>
      <w:r w:rsidRPr="00D105F3">
        <w:rPr>
          <w:i/>
          <w:sz w:val="20"/>
          <w:lang w:val="fr-CA"/>
        </w:rPr>
        <w:t>Danyluk c. Ainsworth Technologies</w:t>
      </w:r>
      <w:r w:rsidRPr="00D105F3">
        <w:rPr>
          <w:sz w:val="20"/>
          <w:lang w:val="fr-CA"/>
        </w:rPr>
        <w:t xml:space="preserve">, 2001 CSC 44, [2001] 2 R.C.S. 460.  Ce cadre n’a pas été supplanté par la jurisprudence subséquente de la Cour.  </w:t>
      </w:r>
      <w:r w:rsidRPr="00D105F3">
        <w:rPr>
          <w:sz w:val="20"/>
          <w:szCs w:val="24"/>
          <w:lang w:val="fr-CA"/>
        </w:rPr>
        <w:t>S’il est vrai que l</w:t>
      </w:r>
      <w:r w:rsidRPr="00D105F3">
        <w:rPr>
          <w:sz w:val="20"/>
          <w:lang w:val="fr-CA"/>
        </w:rPr>
        <w:t xml:space="preserve">e caractère définitif des décisions est important tant pour les parties que pour le système judiciaire, l’application de la préclusion peut tout de même engendrer une iniquité.  Premièrement, l’instance antérieure a pu être inéquitable.  Deuxièmement, même si l’instance antérieure s’est déroulée de manière juste, il pourrait néanmoins se révéler injuste d’opposer l’issue de la décision en résultant à toute action ultérieure.  Par exemple, ce peut être le cas lorsque les objets, la procédure ou les enjeux des deux instances diffèrent grandement. </w:t>
      </w:r>
      <w:r w:rsidRPr="00D105F3">
        <w:rPr>
          <w:sz w:val="20"/>
          <w:szCs w:val="24"/>
          <w:lang w:val="fr-CA"/>
        </w:rPr>
        <w:t xml:space="preserve"> L</w:t>
      </w:r>
      <w:r w:rsidRPr="00D105F3">
        <w:rPr>
          <w:sz w:val="20"/>
          <w:lang w:val="fr-CA"/>
        </w:rPr>
        <w:t>e libellé et l’objet du régime législatif définissent les attentes raisonnables des parties quant à la portée et à l’effet de l’instance administrative.  Ils définissent le rôle des parties dans le déroulement de l’instance et l’étendue de leur apport.  Lorsque le régime législatif prévoit des instances multiples dont les objets sont fort différents, l’application de la doctrine risque non seulement de bouleverser les attentes légitimes et raisonnables des parties, mais aussi de nuire à l’efficacité et aux objectifs d’intérêt général du régime administratif, en favorisant le formalisme et les lenteurs, ou en décourageant complètement l’exercice d’un recours administratif.</w:t>
      </w:r>
      <w:r w:rsidRPr="00D105F3">
        <w:rPr>
          <w:sz w:val="20"/>
          <w:szCs w:val="24"/>
          <w:lang w:val="fr-CA"/>
        </w:rPr>
        <w:t xml:space="preserve">  </w:t>
      </w:r>
      <w:r w:rsidRPr="00D105F3">
        <w:rPr>
          <w:sz w:val="20"/>
          <w:lang w:val="fr-CA"/>
        </w:rPr>
        <w:t>Ces considérations sont également pertinentes pour évaluer les garanties procédurales dont jouissent les parties.  La décision d’une partie de se prévaloir ou non des garanties procédurales propres à l’instance antérieure ne saurait être examinée sans que le soient également ses attentes raisonnables quant aux enjeux ou aux objets fondamentalement différents des deux types d’instances.  Il convient d’analyser les liens entre les considérations pertinentes à la lumière de l’ensemble.</w:t>
      </w:r>
    </w:p>
    <w:p w:rsidR="00D105F3" w:rsidRDefault="00D105F3" w:rsidP="005E45BE">
      <w:pPr>
        <w:pStyle w:val="SCCNormalDoubleSpacing"/>
        <w:spacing w:line="240" w:lineRule="auto"/>
        <w:rPr>
          <w:sz w:val="20"/>
          <w:szCs w:val="24"/>
          <w:lang w:val="fr-CA"/>
        </w:rPr>
      </w:pPr>
    </w:p>
    <w:p w:rsidR="00D105F3" w:rsidRPr="00D105F3" w:rsidRDefault="00D105F3" w:rsidP="005E45BE">
      <w:pPr>
        <w:pStyle w:val="SCCNormalDoubleSpacing"/>
        <w:spacing w:line="240" w:lineRule="auto"/>
        <w:rPr>
          <w:sz w:val="20"/>
          <w:lang w:val="fr-CA"/>
        </w:rPr>
      </w:pPr>
      <w:r w:rsidRPr="00D105F3">
        <w:rPr>
          <w:sz w:val="20"/>
          <w:szCs w:val="24"/>
          <w:lang w:val="fr-CA"/>
        </w:rPr>
        <w:tab/>
        <w:t xml:space="preserve">En l’espèce, </w:t>
      </w:r>
      <w:r w:rsidRPr="00D105F3">
        <w:rPr>
          <w:sz w:val="20"/>
          <w:lang w:val="fr-CA"/>
        </w:rPr>
        <w:t xml:space="preserve">l’audience disciplinaire était équitable et P a participé utilement au processus. </w:t>
      </w:r>
      <w:r w:rsidRPr="00D105F3">
        <w:rPr>
          <w:sz w:val="20"/>
          <w:szCs w:val="24"/>
          <w:lang w:val="fr-CA"/>
        </w:rPr>
        <w:t xml:space="preserve"> </w:t>
      </w:r>
      <w:r w:rsidRPr="00D105F3">
        <w:rPr>
          <w:sz w:val="20"/>
          <w:lang w:val="fr-CA"/>
        </w:rPr>
        <w:t xml:space="preserve">Toutefois, la Cour d’appel n’a pas analysé de manière exhaustive la question de savoir s’il serait équitable d’opposer l’issue de cette procédure à l’action civile intentée par P.  Le texte législatif ne comporte aucun élément susceptible de donner naissance à une attente raisonnable que l’audience disciplinaire soit concluante quant aux droits que P pourrait faire valoir dans le cadre d’une action civile : les normes de preuve exigée et l’objet des deux différentes procédures sont considérablement différents et, contrairement à l’action civile, le processus disciplinaire ne prévoit ni réparation ni dépens en faveur du plaignant.  </w:t>
      </w:r>
      <w:r w:rsidRPr="00D105F3">
        <w:rPr>
          <w:sz w:val="20"/>
          <w:szCs w:val="24"/>
          <w:lang w:val="fr-CA"/>
        </w:rPr>
        <w:t>Une autre considération importante d’intérêt public se soulève en l’espèce, à savoir le risque de complexité et de longueur accrues des instances administratives du fait qu’une importance excessive soit accordée à leur issue par l’</w:t>
      </w:r>
      <w:r w:rsidRPr="00D105F3">
        <w:rPr>
          <w:sz w:val="20"/>
          <w:lang w:val="fr-CA"/>
        </w:rPr>
        <w:t>application de la préclusion découlant d’une question déjà tranchée</w:t>
      </w:r>
      <w:r w:rsidRPr="00D105F3">
        <w:rPr>
          <w:sz w:val="20"/>
          <w:szCs w:val="24"/>
          <w:lang w:val="fr-CA"/>
        </w:rPr>
        <w:t>.</w:t>
      </w:r>
      <w:r w:rsidRPr="00D105F3">
        <w:rPr>
          <w:sz w:val="20"/>
          <w:lang w:val="fr-CA"/>
        </w:rPr>
        <w:t xml:space="preserve">  P aurait pu participer plus pleinement à l’audience s’il avait retenu les services d’un avocat.  Or, cela aurait signifié également que les agents de police se seraient vus obligés de comparaître devant deux poursuivants.  Cela ne favoriserait ni l’efficacité de l’audience disciplinaire ni l’équité envers les agents de police.  Enfin, des </w:t>
      </w:r>
      <w:r w:rsidRPr="00D105F3">
        <w:rPr>
          <w:sz w:val="20"/>
          <w:szCs w:val="24"/>
          <w:lang w:val="fr-CA"/>
        </w:rPr>
        <w:t xml:space="preserve">plaignants potentiels pourraient s’abstenir tout simplement de déposer des plaintes pour ne pas compromettre leur action civile.  </w:t>
      </w:r>
      <w:r w:rsidRPr="00D105F3">
        <w:rPr>
          <w:sz w:val="20"/>
          <w:lang w:val="fr-CA"/>
        </w:rPr>
        <w:t>Il s’agit de considérations importantes dont la Cour d’appel n’a pas tenu compte lorsqu’elle a apprécié les autres facteurs telles la participation de P à titre de partie et les garanties procédurales de l’instance administrative.  Finalement, l’application de la préclusion a eu pour effet d’utiliser la décision rendue par le délégué du chef de police pour soustraire le chef de police à l’action civile, ce qui choque gravement les principes fondamentaux d’équité.</w:t>
      </w:r>
    </w:p>
    <w:p w:rsidR="00D105F3" w:rsidRDefault="00D105F3" w:rsidP="005E45BE">
      <w:pPr>
        <w:pStyle w:val="SCCNormalDoubleSpacing"/>
        <w:spacing w:line="240" w:lineRule="auto"/>
        <w:rPr>
          <w:i/>
          <w:sz w:val="20"/>
          <w:lang w:val="fr-CA"/>
        </w:rPr>
      </w:pPr>
    </w:p>
    <w:p w:rsidR="00D105F3" w:rsidRPr="00D105F3" w:rsidRDefault="00D105F3" w:rsidP="005E45BE">
      <w:pPr>
        <w:pStyle w:val="SCCNormalDoubleSpacing"/>
        <w:spacing w:line="240" w:lineRule="auto"/>
        <w:rPr>
          <w:sz w:val="20"/>
          <w:lang w:val="fr-CA"/>
        </w:rPr>
      </w:pPr>
      <w:r w:rsidRPr="00D105F3">
        <w:rPr>
          <w:i/>
          <w:sz w:val="20"/>
          <w:lang w:val="fr-CA"/>
        </w:rPr>
        <w:tab/>
        <w:t xml:space="preserve">Les </w:t>
      </w:r>
      <w:r w:rsidRPr="00D105F3">
        <w:rPr>
          <w:sz w:val="20"/>
          <w:lang w:val="fr-CA"/>
        </w:rPr>
        <w:t xml:space="preserve">juges </w:t>
      </w:r>
      <w:r w:rsidRPr="00D105F3">
        <w:rPr>
          <w:b/>
          <w:sz w:val="20"/>
          <w:lang w:val="fr-CA"/>
        </w:rPr>
        <w:t>LeBel</w:t>
      </w:r>
      <w:r w:rsidRPr="00D105F3">
        <w:rPr>
          <w:sz w:val="20"/>
          <w:lang w:val="fr-CA"/>
        </w:rPr>
        <w:t xml:space="preserve">, </w:t>
      </w:r>
      <w:r w:rsidRPr="00D105F3">
        <w:rPr>
          <w:b/>
          <w:sz w:val="20"/>
          <w:lang w:val="fr-CA"/>
        </w:rPr>
        <w:t>Abella</w:t>
      </w:r>
      <w:r w:rsidRPr="00D105F3">
        <w:rPr>
          <w:sz w:val="20"/>
          <w:lang w:val="fr-CA"/>
        </w:rPr>
        <w:t xml:space="preserve"> et Rothstein (dissidents) : La doctrine de la préclusion découlant d’une question déjà tranchée vise à protéger le caractère définitif des décisions en </w:t>
      </w:r>
      <w:r w:rsidRPr="00D105F3">
        <w:rPr>
          <w:sz w:val="20"/>
          <w:szCs w:val="24"/>
          <w:lang w:val="fr-CA"/>
        </w:rPr>
        <w:t xml:space="preserve">empêchant la remise en cause de questions déjà tranchées de manière concluante lors d’une instance antérieure.  </w:t>
      </w:r>
      <w:r w:rsidRPr="00D105F3">
        <w:rPr>
          <w:sz w:val="20"/>
          <w:lang w:val="fr-CA"/>
        </w:rPr>
        <w:t xml:space="preserve">Le caractère définitif des litiges est un principe fondamental qui garantit l’équité et l’efficacité du système de justice au Canada.  La doctrine de la préclusion découlant d’une question déjà tranchée vise à protéger l’attente raisonnable des parties quant à leur capacité de se fier au résultat d’une décision rendue par un décideur habilité à trancher, peu importe que la décision ait été prise dans le contexte d’une procédure judiciaire ou d’une procédure administrative.  </w:t>
      </w:r>
      <w:r w:rsidRPr="00D105F3">
        <w:rPr>
          <w:sz w:val="20"/>
          <w:szCs w:val="24"/>
          <w:lang w:val="fr-CA"/>
        </w:rPr>
        <w:t xml:space="preserve">Lorsqu’on applique la doctrine de la préclusion découlant d’une question déjà tranchée aux entités administratives chargées de trancher des litiges, il est inadmissible d’invoquer les différences entre le processus et les procédures utilisés par ces entités, y compris les procédures qui ne sont pas à l’image celles utilisées par les cours de justice traditionnelles, pour écarter le principe du caractère définitif des décisions.  </w:t>
      </w:r>
      <w:r w:rsidRPr="00D105F3">
        <w:rPr>
          <w:sz w:val="20"/>
          <w:lang w:val="fr-CA"/>
        </w:rPr>
        <w:t>L’objet peut varier d’une instance à l’autre, tout comme les procédures applicables, mais le principe du caractère définitif des litiges doit être maintenu.</w:t>
      </w:r>
    </w:p>
    <w:p w:rsidR="00D105F3" w:rsidRDefault="00D105F3" w:rsidP="005E45BE">
      <w:pPr>
        <w:pStyle w:val="SCCNormalDoubleSpacing"/>
        <w:spacing w:line="240" w:lineRule="auto"/>
        <w:rPr>
          <w:sz w:val="20"/>
          <w:szCs w:val="24"/>
          <w:lang w:val="fr-CA"/>
        </w:rPr>
      </w:pPr>
    </w:p>
    <w:p w:rsidR="00D105F3" w:rsidRPr="00D105F3" w:rsidRDefault="00D105F3" w:rsidP="005E45BE">
      <w:pPr>
        <w:pStyle w:val="SCCNormalDoubleSpacing"/>
        <w:spacing w:line="240" w:lineRule="auto"/>
        <w:rPr>
          <w:sz w:val="20"/>
          <w:szCs w:val="24"/>
          <w:lang w:val="fr-CA"/>
        </w:rPr>
      </w:pPr>
      <w:r w:rsidRPr="00D105F3">
        <w:rPr>
          <w:sz w:val="20"/>
          <w:szCs w:val="24"/>
          <w:lang w:val="fr-CA"/>
        </w:rPr>
        <w:tab/>
        <w:t xml:space="preserve">La Cour s’est penchée sur cette question le plus récemment en 2011, dans l’arrêt </w:t>
      </w:r>
      <w:r w:rsidRPr="00D105F3">
        <w:rPr>
          <w:i/>
          <w:sz w:val="20"/>
          <w:szCs w:val="24"/>
          <w:lang w:val="fr-CA"/>
        </w:rPr>
        <w:t>Colombie</w:t>
      </w:r>
      <w:r w:rsidRPr="00D105F3">
        <w:rPr>
          <w:i/>
          <w:sz w:val="20"/>
          <w:szCs w:val="24"/>
          <w:lang w:val="fr-CA"/>
        </w:rPr>
        <w:noBreakHyphen/>
        <w:t xml:space="preserve">Britannique (Workers’ Compensation Board) c. Figliola, </w:t>
      </w:r>
      <w:r w:rsidRPr="00D105F3">
        <w:rPr>
          <w:sz w:val="20"/>
          <w:szCs w:val="24"/>
          <w:lang w:val="fr-CA"/>
        </w:rPr>
        <w:t xml:space="preserve">2011 CSC 52, [2011] 3 R.C.S. 422.  Ce précédent régit donc l’application de la doctrine en l’espèce.  L’élément essentiel pertinent de ce jugement se retrouve dans la distance qu’il a prise par rapport à l’approche préconisée dans </w:t>
      </w:r>
      <w:r w:rsidRPr="00D105F3">
        <w:rPr>
          <w:i/>
          <w:sz w:val="20"/>
          <w:szCs w:val="24"/>
          <w:lang w:val="fr-CA"/>
        </w:rPr>
        <w:t>Danyluk c. Ainsworth Technologies Inc.</w:t>
      </w:r>
      <w:r w:rsidRPr="00D105F3">
        <w:rPr>
          <w:sz w:val="20"/>
          <w:szCs w:val="24"/>
          <w:lang w:val="fr-CA"/>
        </w:rPr>
        <w:t>, 2001 CSC 44, [2001] 2 R.C.S. 460, où la Cour avait conclu qu’il faut appliquer un pouvoir discrétionnaire différent et beaucoup plus large quant aux décisions des tribunaux administratifs que celui « très limité » qui s’applique quant aux décisions des cours de justice.</w:t>
      </w:r>
    </w:p>
    <w:p w:rsidR="00D105F3" w:rsidRDefault="00D105F3" w:rsidP="005E45BE">
      <w:pPr>
        <w:pStyle w:val="SCCNormalDoubleSpacing"/>
        <w:spacing w:line="240" w:lineRule="auto"/>
        <w:rPr>
          <w:sz w:val="20"/>
          <w:szCs w:val="24"/>
          <w:lang w:val="fr-CA"/>
        </w:rPr>
      </w:pPr>
    </w:p>
    <w:p w:rsidR="00D105F3" w:rsidRPr="00D105F3" w:rsidRDefault="00D105F3" w:rsidP="005E45BE">
      <w:pPr>
        <w:pStyle w:val="SCCNormalDoubleSpacing"/>
        <w:spacing w:line="240" w:lineRule="auto"/>
        <w:rPr>
          <w:sz w:val="20"/>
          <w:lang w:val="fr-CA"/>
        </w:rPr>
      </w:pPr>
      <w:r w:rsidRPr="00D105F3">
        <w:rPr>
          <w:sz w:val="20"/>
          <w:szCs w:val="24"/>
          <w:lang w:val="fr-CA"/>
        </w:rPr>
        <w:tab/>
        <w:t>Les principes jumeaux qui sous</w:t>
      </w:r>
      <w:r w:rsidRPr="00D105F3">
        <w:rPr>
          <w:sz w:val="20"/>
          <w:szCs w:val="24"/>
          <w:lang w:val="fr-CA"/>
        </w:rPr>
        <w:noBreakHyphen/>
        <w:t xml:space="preserve">tendent la doctrine de la préclusion découlant d’une question déjà tranchée — soit que tout litige doit avoir une fin et que la même partie ne soit pas harassée deux fois pour la même cause — constituent des principes fondamentaux qui visent avant tout l’atteinte de l’équité et la prévention de l’injustice </w:t>
      </w:r>
      <w:r w:rsidRPr="00D105F3">
        <w:rPr>
          <w:i/>
          <w:sz w:val="20"/>
          <w:szCs w:val="24"/>
          <w:lang w:val="fr-CA"/>
        </w:rPr>
        <w:t>en préservant le caractère définitif des litiges</w:t>
      </w:r>
      <w:r w:rsidRPr="00D105F3">
        <w:rPr>
          <w:sz w:val="20"/>
          <w:szCs w:val="24"/>
          <w:lang w:val="fr-CA"/>
        </w:rPr>
        <w:t xml:space="preserve">.  L’objectif ultime de la préclusion découlant d’une question déjà tranchée consiste à protéger l’équité </w:t>
      </w:r>
      <w:r w:rsidRPr="00D105F3">
        <w:rPr>
          <w:i/>
          <w:sz w:val="20"/>
          <w:szCs w:val="24"/>
          <w:lang w:val="fr-CA"/>
        </w:rPr>
        <w:t>du</w:t>
      </w:r>
      <w:r w:rsidRPr="00D105F3">
        <w:rPr>
          <w:sz w:val="20"/>
          <w:szCs w:val="24"/>
          <w:lang w:val="fr-CA"/>
        </w:rPr>
        <w:t xml:space="preserve"> caractère définitif de la prise de décision et à éviter de nouvelles procédures quant à des questions déjà jugées </w:t>
      </w:r>
      <w:r w:rsidRPr="00D105F3">
        <w:rPr>
          <w:sz w:val="20"/>
          <w:lang w:val="fr-CA"/>
        </w:rPr>
        <w:t xml:space="preserve">par un décideur habilité à trancher.  Comme la Cour l’a affirmé dans </w:t>
      </w:r>
      <w:r w:rsidRPr="00D105F3">
        <w:rPr>
          <w:i/>
          <w:sz w:val="20"/>
          <w:lang w:val="fr-CA"/>
        </w:rPr>
        <w:t>Figliola</w:t>
      </w:r>
      <w:r w:rsidRPr="00D105F3">
        <w:rPr>
          <w:sz w:val="20"/>
          <w:lang w:val="fr-CA"/>
        </w:rPr>
        <w:t xml:space="preserve">, ce principe tient, peu importe qu’il soit question de cours de justice ou de tribunaux administratifs.  Une approche qui ne protège pas le caractère définitif des décisions </w:t>
      </w:r>
      <w:r w:rsidRPr="00D105F3">
        <w:rPr>
          <w:sz w:val="20"/>
          <w:szCs w:val="24"/>
          <w:lang w:val="fr-CA"/>
        </w:rPr>
        <w:t xml:space="preserve">mine ces principes et risque, en ce qui a trait aux tribunaux administratifs, de transformer la préclusion découlant d’une question déjà tranchée en une enquête dépourvue de tout encadrement.  Cela reviendrait à raviver l’approche préconisée dans </w:t>
      </w:r>
      <w:r w:rsidRPr="00D105F3">
        <w:rPr>
          <w:i/>
          <w:sz w:val="20"/>
          <w:szCs w:val="24"/>
          <w:lang w:val="fr-CA"/>
        </w:rPr>
        <w:t>Danyluk</w:t>
      </w:r>
      <w:r w:rsidRPr="00D105F3">
        <w:rPr>
          <w:sz w:val="20"/>
          <w:szCs w:val="24"/>
          <w:lang w:val="fr-CA"/>
        </w:rPr>
        <w:t xml:space="preserve"> que la Cour a refusé d’appliquer dans </w:t>
      </w:r>
      <w:r w:rsidRPr="00D105F3">
        <w:rPr>
          <w:i/>
          <w:sz w:val="20"/>
          <w:szCs w:val="24"/>
          <w:lang w:val="fr-CA"/>
        </w:rPr>
        <w:t>Figliola</w:t>
      </w:r>
      <w:r w:rsidRPr="00D105F3">
        <w:rPr>
          <w:sz w:val="20"/>
          <w:szCs w:val="24"/>
          <w:lang w:val="fr-CA"/>
        </w:rPr>
        <w:t>.</w:t>
      </w:r>
      <w:r w:rsidRPr="00D105F3">
        <w:rPr>
          <w:sz w:val="20"/>
          <w:lang w:val="fr-CA"/>
        </w:rPr>
        <w:t xml:space="preserve"> </w:t>
      </w:r>
    </w:p>
    <w:p w:rsidR="00D105F3" w:rsidRDefault="00D105F3" w:rsidP="005E45BE">
      <w:pPr>
        <w:pStyle w:val="SCCNormalDoubleSpacing"/>
        <w:spacing w:line="240" w:lineRule="auto"/>
        <w:rPr>
          <w:sz w:val="20"/>
          <w:lang w:val="fr-CA"/>
        </w:rPr>
      </w:pPr>
    </w:p>
    <w:p w:rsidR="00D105F3" w:rsidRPr="00D105F3" w:rsidRDefault="00D105F3" w:rsidP="005E45BE">
      <w:pPr>
        <w:pStyle w:val="SCCNormalDoubleSpacing"/>
        <w:spacing w:line="240" w:lineRule="auto"/>
        <w:rPr>
          <w:sz w:val="20"/>
          <w:lang w:val="fr-CA"/>
        </w:rPr>
      </w:pPr>
      <w:r w:rsidRPr="00D105F3">
        <w:rPr>
          <w:sz w:val="20"/>
          <w:lang w:val="fr-CA"/>
        </w:rPr>
        <w:tab/>
      </w:r>
      <w:r w:rsidRPr="00D105F3">
        <w:rPr>
          <w:sz w:val="20"/>
          <w:szCs w:val="24"/>
          <w:lang w:val="fr-CA"/>
        </w:rPr>
        <w:t xml:space="preserve">La confirmation récente par la Cour, dans </w:t>
      </w:r>
      <w:r w:rsidRPr="00D105F3">
        <w:rPr>
          <w:i/>
          <w:sz w:val="20"/>
          <w:szCs w:val="24"/>
          <w:lang w:val="fr-CA"/>
        </w:rPr>
        <w:t>Figliola</w:t>
      </w:r>
      <w:r w:rsidRPr="00D105F3">
        <w:rPr>
          <w:sz w:val="20"/>
          <w:szCs w:val="24"/>
          <w:lang w:val="fr-CA"/>
        </w:rPr>
        <w:t>, du principe du caractère définitif sous</w:t>
      </w:r>
      <w:r w:rsidRPr="00D105F3">
        <w:rPr>
          <w:sz w:val="20"/>
          <w:szCs w:val="24"/>
          <w:lang w:val="fr-CA"/>
        </w:rPr>
        <w:noBreakHyphen/>
        <w:t>jacent à la doctrine de la préclusion découlant d’une question déjà tranchée est également essentielle pour assurer le respect des principes sous</w:t>
      </w:r>
      <w:r w:rsidRPr="00D105F3">
        <w:rPr>
          <w:sz w:val="20"/>
          <w:szCs w:val="24"/>
          <w:lang w:val="fr-CA"/>
        </w:rPr>
        <w:noBreakHyphen/>
        <w:t>jacents de notre approche moderne du droit administratif</w:t>
      </w:r>
      <w:r w:rsidRPr="00D105F3">
        <w:rPr>
          <w:sz w:val="20"/>
          <w:lang w:val="fr-CA"/>
        </w:rPr>
        <w:t xml:space="preserve">.  </w:t>
      </w:r>
      <w:r w:rsidRPr="00D105F3">
        <w:rPr>
          <w:sz w:val="20"/>
          <w:szCs w:val="24"/>
          <w:lang w:val="fr-CA"/>
        </w:rPr>
        <w:t xml:space="preserve">La Cour ne devrait pas se servir de son pouvoir discrétionnaire résiduel de ne pas appliquer la préclusion découlant d’une question déjà tranchée pour imposer un modèle particulier de décision, à l’encontre du principe de déférence qui est au cœur du droit administratif. </w:t>
      </w:r>
      <w:r w:rsidRPr="00D105F3">
        <w:rPr>
          <w:sz w:val="20"/>
          <w:lang w:val="fr-CA"/>
        </w:rPr>
        <w:t xml:space="preserve"> Lorsqu’un tribunal chargé de trancher des litiges est investi du pouvoir nécessaire de prendre une décision, on contreviendrait aux principes de déférence en élargissant de manière particulière le pouvoir discrétionnaire des cours de justice de telle sorte que, dans la plupart des cas, cela permettrait à la partie perdante de contourner le contrôle judiciaire et de </w:t>
      </w:r>
      <w:r w:rsidRPr="00D105F3">
        <w:rPr>
          <w:sz w:val="20"/>
          <w:szCs w:val="24"/>
          <w:lang w:val="fr-CA"/>
        </w:rPr>
        <w:t>s’adresser plutôt à une cour de justice pour qu’elle se prononce une nouvelle fois sur le fond de l’affaire.</w:t>
      </w:r>
    </w:p>
    <w:p w:rsidR="00D105F3" w:rsidRDefault="00D105F3" w:rsidP="005E45BE">
      <w:pPr>
        <w:pStyle w:val="SCCNormalDoubleSpacing"/>
        <w:spacing w:line="240" w:lineRule="auto"/>
        <w:rPr>
          <w:sz w:val="20"/>
          <w:lang w:val="fr-CA"/>
        </w:rPr>
      </w:pPr>
    </w:p>
    <w:p w:rsidR="00D105F3" w:rsidRPr="00D105F3" w:rsidRDefault="00D105F3" w:rsidP="005E45BE">
      <w:pPr>
        <w:pStyle w:val="SCCNormalDoubleSpacing"/>
        <w:spacing w:line="240" w:lineRule="auto"/>
        <w:rPr>
          <w:sz w:val="20"/>
          <w:lang w:val="fr-CA"/>
        </w:rPr>
      </w:pPr>
      <w:r w:rsidRPr="00D105F3">
        <w:rPr>
          <w:sz w:val="20"/>
          <w:lang w:val="fr-CA"/>
        </w:rPr>
        <w:tab/>
        <w:t xml:space="preserve">Suivant les principes énoncés dans </w:t>
      </w:r>
      <w:r w:rsidRPr="00D105F3">
        <w:rPr>
          <w:i/>
          <w:sz w:val="20"/>
          <w:lang w:val="fr-CA"/>
        </w:rPr>
        <w:t>Figliola</w:t>
      </w:r>
      <w:r w:rsidRPr="00D105F3">
        <w:rPr>
          <w:sz w:val="20"/>
          <w:lang w:val="fr-CA"/>
        </w:rPr>
        <w:t xml:space="preserve">, la préclusion découlant d’une question déjà tranchée devrait s’appliquer.  La différence entre le fardeau de preuve exigé pour établir une inconduite au sens de la </w:t>
      </w:r>
      <w:r w:rsidRPr="00D105F3">
        <w:rPr>
          <w:i/>
          <w:sz w:val="20"/>
          <w:lang w:val="fr-CA"/>
        </w:rPr>
        <w:t>Loi sur les services policiers</w:t>
      </w:r>
      <w:r w:rsidRPr="00D105F3">
        <w:rPr>
          <w:sz w:val="20"/>
          <w:lang w:val="fr-CA"/>
        </w:rPr>
        <w:t xml:space="preserve"> et celui dont il faut s’acquitter dans le cadre d’un procès civil n’est pas pertinente en l’espèce.  L’agent d’audience a tiré des conclusions de fait non équivoques selon lesquelles il n’existait virtuellement aucun élément de preuve pour étayer les allégations de P.  Il n’y a donc tout simplement aucun élément de preuve pour étayer les allégations de P quelque soit le fardeau de preuve appliqué.  P ne devrait pas pouvoir contourner les conclusions claires de l’agent d’audience et faire subir aux parties une nouvelle procédure qui aboutirait inévitablement au même résultat.</w:t>
      </w:r>
    </w:p>
    <w:p w:rsidR="00D105F3" w:rsidRDefault="00D105F3" w:rsidP="005E45BE">
      <w:pPr>
        <w:pStyle w:val="SCCNormalDoubleSpacing"/>
        <w:spacing w:line="240" w:lineRule="auto"/>
        <w:rPr>
          <w:sz w:val="20"/>
          <w:szCs w:val="24"/>
          <w:lang w:val="fr-CA"/>
        </w:rPr>
      </w:pPr>
    </w:p>
    <w:p w:rsidR="00D105F3" w:rsidRPr="00D105F3" w:rsidRDefault="00D105F3" w:rsidP="005E45BE">
      <w:pPr>
        <w:pStyle w:val="SCCNormalDoubleSpacing"/>
        <w:spacing w:line="240" w:lineRule="auto"/>
        <w:rPr>
          <w:sz w:val="20"/>
          <w:lang w:val="fr-CA"/>
        </w:rPr>
      </w:pPr>
      <w:r w:rsidRPr="00D105F3">
        <w:rPr>
          <w:sz w:val="20"/>
          <w:szCs w:val="24"/>
          <w:lang w:val="fr-CA"/>
        </w:rPr>
        <w:tab/>
        <w:t>L’audience disciplinaire menée par l’agent d’audience s’est déroulée conformément aux exigences de la loi et aux principes de l’équité procédurale.  P connaissait le fardeau de preuve qui lui incombait, il a pleinement eu la possibilité d’établir cette preuve et il a été débouté.  S’il avait eu gain de cause, la décision de l’agent d’audience aurait lié tout autant les parties et l’application de la préclusion découlant d’une question déjà tranchée lui aurait été utile dans le cadre d’une action civile subséquente en dommages</w:t>
      </w:r>
      <w:r w:rsidRPr="00D105F3">
        <w:rPr>
          <w:sz w:val="20"/>
          <w:szCs w:val="24"/>
          <w:lang w:val="fr-CA"/>
        </w:rPr>
        <w:noBreakHyphen/>
        <w:t>intérêts en le libérant de l’obligation d’établir le préjudice.</w:t>
      </w:r>
    </w:p>
    <w:p w:rsidR="00D105F3" w:rsidRDefault="00D105F3" w:rsidP="005E45BE">
      <w:pPr>
        <w:pStyle w:val="SCCNormalDoubleSpacing"/>
        <w:spacing w:line="240" w:lineRule="auto"/>
        <w:rPr>
          <w:sz w:val="20"/>
          <w:szCs w:val="24"/>
          <w:lang w:val="fr-CA"/>
        </w:rPr>
      </w:pPr>
    </w:p>
    <w:p w:rsidR="00D105F3" w:rsidRPr="00D105F3" w:rsidRDefault="00D105F3" w:rsidP="005E45BE">
      <w:pPr>
        <w:pStyle w:val="SCCNormalDoubleSpacing"/>
        <w:spacing w:line="240" w:lineRule="auto"/>
        <w:rPr>
          <w:sz w:val="20"/>
          <w:lang w:val="fr-CA"/>
        </w:rPr>
      </w:pPr>
      <w:r w:rsidRPr="00D105F3">
        <w:rPr>
          <w:sz w:val="20"/>
          <w:szCs w:val="24"/>
          <w:lang w:val="fr-CA"/>
        </w:rPr>
        <w:tab/>
        <w:t>Empêcher les tribunaux d’appliquer la préclusion découlant d’une question déjà tranchée dans le contexte de ces procédures disciplinaires signifierait que les décisions ne seraient pas définitives ou ne lieraient pas les parties et qu’elles pourraient être remises en cause et donner lieu à des résultats contradictoires.</w:t>
      </w:r>
      <w:r w:rsidRPr="00D105F3">
        <w:rPr>
          <w:sz w:val="20"/>
          <w:lang w:val="fr-CA"/>
        </w:rPr>
        <w:t xml:space="preserve">  Cela minerait la confiance du public quant à la fiabilité du processus de plainte et à l’intégrité du processus de prise de décision administrative de manière plus large.</w:t>
      </w:r>
    </w:p>
    <w:p w:rsidR="00D105F3" w:rsidRDefault="00D105F3" w:rsidP="005E45BE">
      <w:pPr>
        <w:pStyle w:val="SCCNormalDoubleSpacing"/>
        <w:spacing w:line="240" w:lineRule="auto"/>
        <w:rPr>
          <w:sz w:val="20"/>
          <w:szCs w:val="24"/>
          <w:lang w:val="fr-CA"/>
        </w:rPr>
      </w:pPr>
    </w:p>
    <w:p w:rsidR="00D105F3" w:rsidRPr="00D105F3" w:rsidRDefault="00D105F3" w:rsidP="005E45BE">
      <w:pPr>
        <w:pStyle w:val="SCCNormalDoubleSpacing"/>
        <w:spacing w:line="240" w:lineRule="auto"/>
        <w:rPr>
          <w:sz w:val="20"/>
          <w:szCs w:val="24"/>
          <w:lang w:val="fr-CA"/>
        </w:rPr>
      </w:pPr>
      <w:r w:rsidRPr="00D105F3">
        <w:rPr>
          <w:sz w:val="20"/>
          <w:szCs w:val="24"/>
          <w:lang w:val="fr-CA"/>
        </w:rPr>
        <w:tab/>
        <w:t>La méthode de nomination de l’arbitre en l’espèce ne devrait pas non plus justifier l’exercice par la cour de son pouvoir discrétionnaire de manière à refuser d’appliquer la préclusion découlant d’une question déjà tranchée.  Le chef de police a désigné un poursuivant de l’extérieur et un arbitre indépendant.  Des modes de nomination similaires sont plutôt fréquents dans d’autres domaines du droit et ne sont pas considérés comme un obstacle à l’indépendance du processus décisionnel.  Le mandat de longue durée n’est pas le seul critère ou la seule condition de l’indépendance du processus décisionnel.</w:t>
      </w:r>
    </w:p>
    <w:p w:rsidR="00D105F3" w:rsidRDefault="00D105F3" w:rsidP="00D105F3">
      <w:pPr>
        <w:pStyle w:val="SCCNormalDoubleSpacing"/>
        <w:spacing w:line="240" w:lineRule="auto"/>
        <w:rPr>
          <w:sz w:val="20"/>
          <w:lang w:val="fr-CA"/>
        </w:rPr>
      </w:pPr>
    </w:p>
    <w:p w:rsidR="00D105F3" w:rsidRPr="00D105F3" w:rsidRDefault="00D105F3" w:rsidP="00D105F3">
      <w:pPr>
        <w:pStyle w:val="SCCNormalDoubleSpacing"/>
        <w:spacing w:line="240" w:lineRule="auto"/>
        <w:rPr>
          <w:sz w:val="20"/>
          <w:lang w:val="fr-CA"/>
        </w:rPr>
      </w:pPr>
      <w:r w:rsidRPr="00D105F3">
        <w:rPr>
          <w:sz w:val="20"/>
          <w:lang w:val="fr-CA"/>
        </w:rPr>
        <w:tab/>
        <w:t>POURVOI contre un arrêt de la Cour d’appel de l’Ontario (les juges Laskin, Moldaver et Armstrong), 2010 ONCA 616, 102 O.R. (3d) 700, 267 O.A.C. 259, 325 D.L.R. (4th) 488, 94 C.P.C. (6th) 262, [2010] O.J. No. 4046 (QL), 2010 CarswellOnt 7164, qui a confirmé une décision du juge Fedak, 2009 CarswellOnt 9420.  Pourvoi accueilli, les juges LeBel, Abella et Rothstein sont dissidents.</w:t>
      </w:r>
    </w:p>
    <w:p w:rsidR="00D105F3" w:rsidRDefault="00D105F3" w:rsidP="00D105F3">
      <w:pPr>
        <w:pStyle w:val="SCCNormalDoubleSpacing"/>
        <w:spacing w:line="240" w:lineRule="auto"/>
        <w:rPr>
          <w:i/>
          <w:sz w:val="20"/>
          <w:lang w:val="fr-CA"/>
        </w:rPr>
      </w:pPr>
    </w:p>
    <w:p w:rsidR="00D105F3" w:rsidRPr="00912E1C" w:rsidRDefault="00D105F3" w:rsidP="00D105F3">
      <w:pPr>
        <w:pStyle w:val="SCCNormalDoubleSpacing"/>
        <w:spacing w:line="240" w:lineRule="auto"/>
        <w:rPr>
          <w:sz w:val="20"/>
          <w:lang w:val="fr-CA"/>
        </w:rPr>
      </w:pPr>
      <w:r w:rsidRPr="00D105F3">
        <w:rPr>
          <w:i/>
          <w:sz w:val="20"/>
          <w:lang w:val="fr-CA"/>
        </w:rPr>
        <w:tab/>
      </w:r>
      <w:r w:rsidRPr="00912E1C">
        <w:rPr>
          <w:i/>
          <w:sz w:val="20"/>
          <w:lang w:val="fr-CA"/>
        </w:rPr>
        <w:t>Julian N. Falconer</w:t>
      </w:r>
      <w:r w:rsidRPr="00912E1C">
        <w:rPr>
          <w:sz w:val="20"/>
          <w:lang w:val="fr-CA"/>
        </w:rPr>
        <w:t xml:space="preserve">, </w:t>
      </w:r>
      <w:r w:rsidRPr="00912E1C">
        <w:rPr>
          <w:i/>
          <w:sz w:val="20"/>
          <w:lang w:val="fr-CA"/>
        </w:rPr>
        <w:t>Julian K. Roy</w:t>
      </w:r>
      <w:r w:rsidRPr="00912E1C">
        <w:rPr>
          <w:sz w:val="20"/>
          <w:lang w:val="fr-CA"/>
        </w:rPr>
        <w:t xml:space="preserve"> et </w:t>
      </w:r>
      <w:r w:rsidRPr="00912E1C">
        <w:rPr>
          <w:i/>
          <w:sz w:val="20"/>
          <w:lang w:val="fr-CA"/>
        </w:rPr>
        <w:t>Sunil S. Mathai</w:t>
      </w:r>
      <w:r w:rsidRPr="00912E1C">
        <w:rPr>
          <w:sz w:val="20"/>
          <w:lang w:val="fr-CA"/>
        </w:rPr>
        <w:t>, pour l’appelant.</w:t>
      </w:r>
    </w:p>
    <w:p w:rsidR="00D105F3" w:rsidRPr="00912E1C" w:rsidRDefault="00D105F3" w:rsidP="00D105F3">
      <w:pPr>
        <w:pStyle w:val="SCCNormalDoubleSpacing"/>
        <w:spacing w:line="240" w:lineRule="auto"/>
        <w:rPr>
          <w:i/>
          <w:sz w:val="20"/>
          <w:lang w:val="fr-CA"/>
        </w:rPr>
      </w:pPr>
    </w:p>
    <w:p w:rsidR="00D105F3" w:rsidRPr="00D105F3" w:rsidRDefault="00D105F3" w:rsidP="00D105F3">
      <w:pPr>
        <w:pStyle w:val="SCCNormalDoubleSpacing"/>
        <w:spacing w:line="240" w:lineRule="auto"/>
        <w:rPr>
          <w:sz w:val="20"/>
          <w:lang w:val="fr-CA"/>
        </w:rPr>
      </w:pPr>
      <w:r w:rsidRPr="00912E1C">
        <w:rPr>
          <w:i/>
          <w:sz w:val="20"/>
          <w:lang w:val="fr-CA"/>
        </w:rPr>
        <w:tab/>
      </w:r>
      <w:r w:rsidRPr="00D105F3">
        <w:rPr>
          <w:i/>
          <w:sz w:val="20"/>
          <w:lang w:val="fr-CA"/>
        </w:rPr>
        <w:t>Eugene G. Mazzuca</w:t>
      </w:r>
      <w:r w:rsidRPr="00D105F3">
        <w:rPr>
          <w:sz w:val="20"/>
          <w:lang w:val="fr-CA"/>
        </w:rPr>
        <w:t xml:space="preserve">, </w:t>
      </w:r>
      <w:r w:rsidRPr="00D105F3">
        <w:rPr>
          <w:i/>
          <w:sz w:val="20"/>
          <w:lang w:val="fr-CA"/>
        </w:rPr>
        <w:t>Kerry Nash</w:t>
      </w:r>
      <w:r w:rsidRPr="00D105F3">
        <w:rPr>
          <w:sz w:val="20"/>
          <w:lang w:val="fr-CA"/>
        </w:rPr>
        <w:t xml:space="preserve"> et </w:t>
      </w:r>
      <w:r w:rsidRPr="00D105F3">
        <w:rPr>
          <w:i/>
          <w:sz w:val="20"/>
          <w:lang w:val="fr-CA"/>
        </w:rPr>
        <w:t>Rafal Szymanski</w:t>
      </w:r>
      <w:r w:rsidRPr="00D105F3">
        <w:rPr>
          <w:sz w:val="20"/>
          <w:lang w:val="fr-CA"/>
        </w:rPr>
        <w:t>, pour les intimés.</w:t>
      </w:r>
    </w:p>
    <w:p w:rsidR="00D105F3" w:rsidRDefault="00D105F3" w:rsidP="00D105F3">
      <w:pPr>
        <w:pStyle w:val="SCCNormalDoubleSpacing"/>
        <w:spacing w:line="240" w:lineRule="auto"/>
        <w:rPr>
          <w:i/>
          <w:sz w:val="20"/>
          <w:lang w:val="fr-CA"/>
        </w:rPr>
      </w:pPr>
    </w:p>
    <w:p w:rsidR="00D105F3" w:rsidRPr="00D105F3" w:rsidRDefault="00D105F3" w:rsidP="00D105F3">
      <w:pPr>
        <w:pStyle w:val="SCCNormalDoubleSpacing"/>
        <w:spacing w:line="240" w:lineRule="auto"/>
        <w:rPr>
          <w:sz w:val="20"/>
          <w:lang w:val="fr-CA"/>
        </w:rPr>
      </w:pPr>
      <w:r w:rsidRPr="00D105F3">
        <w:rPr>
          <w:i/>
          <w:sz w:val="20"/>
          <w:lang w:val="fr-CA"/>
        </w:rPr>
        <w:tab/>
        <w:t>Malliha Wilson,</w:t>
      </w:r>
      <w:r w:rsidRPr="00D105F3">
        <w:rPr>
          <w:sz w:val="20"/>
          <w:lang w:val="fr-CA"/>
        </w:rPr>
        <w:t xml:space="preserve"> </w:t>
      </w:r>
      <w:r w:rsidRPr="00D105F3">
        <w:rPr>
          <w:i/>
          <w:sz w:val="20"/>
          <w:lang w:val="fr-CA"/>
        </w:rPr>
        <w:t>Dennis W. Brown, c.r.</w:t>
      </w:r>
      <w:r w:rsidRPr="00D105F3">
        <w:rPr>
          <w:sz w:val="20"/>
          <w:lang w:val="fr-CA"/>
        </w:rPr>
        <w:t xml:space="preserve">, et </w:t>
      </w:r>
      <w:r w:rsidRPr="00D105F3">
        <w:rPr>
          <w:i/>
          <w:sz w:val="20"/>
          <w:lang w:val="fr-CA"/>
        </w:rPr>
        <w:t>Christopher P. Thompson</w:t>
      </w:r>
      <w:r w:rsidRPr="00D105F3">
        <w:rPr>
          <w:sz w:val="20"/>
          <w:lang w:val="fr-CA"/>
        </w:rPr>
        <w:t>, pour l’intervenant le procureur général de l’Ontario.</w:t>
      </w:r>
    </w:p>
    <w:p w:rsidR="00D105F3" w:rsidRDefault="00D105F3" w:rsidP="00D105F3">
      <w:pPr>
        <w:pStyle w:val="SCCNormalDoubleSpacing"/>
        <w:spacing w:line="240" w:lineRule="auto"/>
        <w:rPr>
          <w:i/>
          <w:sz w:val="20"/>
          <w:lang w:val="fr-CA"/>
        </w:rPr>
      </w:pPr>
    </w:p>
    <w:p w:rsidR="00D105F3" w:rsidRPr="00D105F3" w:rsidRDefault="00D105F3" w:rsidP="00D105F3">
      <w:pPr>
        <w:pStyle w:val="SCCNormalDoubleSpacing"/>
        <w:spacing w:line="240" w:lineRule="auto"/>
        <w:rPr>
          <w:sz w:val="20"/>
          <w:lang w:val="fr-CA"/>
        </w:rPr>
      </w:pPr>
      <w:r w:rsidRPr="00D105F3">
        <w:rPr>
          <w:i/>
          <w:sz w:val="20"/>
          <w:lang w:val="fr-CA"/>
        </w:rPr>
        <w:tab/>
        <w:t>Maureen Whelton</w:t>
      </w:r>
      <w:r w:rsidRPr="00D105F3">
        <w:rPr>
          <w:sz w:val="20"/>
          <w:lang w:val="fr-CA"/>
        </w:rPr>
        <w:t xml:space="preserve"> et </w:t>
      </w:r>
      <w:r w:rsidRPr="00D105F3">
        <w:rPr>
          <w:i/>
          <w:sz w:val="20"/>
          <w:lang w:val="fr-CA"/>
        </w:rPr>
        <w:t>Richard Macklin</w:t>
      </w:r>
      <w:r w:rsidRPr="00D105F3">
        <w:rPr>
          <w:sz w:val="20"/>
          <w:lang w:val="fr-CA"/>
        </w:rPr>
        <w:t>, pour l’intervenante l’Alliance urbaine sur les relations interraciales.</w:t>
      </w:r>
    </w:p>
    <w:p w:rsidR="00D105F3" w:rsidRDefault="00D105F3" w:rsidP="00D105F3">
      <w:pPr>
        <w:pStyle w:val="SCCNormalDoubleSpacing"/>
        <w:spacing w:line="240" w:lineRule="auto"/>
        <w:rPr>
          <w:i/>
          <w:sz w:val="20"/>
          <w:lang w:val="fr-CA"/>
        </w:rPr>
      </w:pPr>
    </w:p>
    <w:p w:rsidR="005E45BE" w:rsidRDefault="005E45BE">
      <w:pPr>
        <w:rPr>
          <w:rFonts w:eastAsia="Times New Roman" w:cs="Times New Roman"/>
          <w:i/>
          <w:sz w:val="20"/>
          <w:szCs w:val="20"/>
          <w:lang w:val="fr-CA" w:eastAsia="en-CA"/>
        </w:rPr>
      </w:pPr>
      <w:r>
        <w:rPr>
          <w:i/>
          <w:sz w:val="20"/>
          <w:lang w:val="fr-CA"/>
        </w:rPr>
        <w:br w:type="page"/>
      </w:r>
    </w:p>
    <w:p w:rsidR="00D105F3" w:rsidRPr="00D105F3" w:rsidRDefault="00D105F3" w:rsidP="00D105F3">
      <w:pPr>
        <w:pStyle w:val="SCCNormalDoubleSpacing"/>
        <w:spacing w:line="240" w:lineRule="auto"/>
        <w:rPr>
          <w:sz w:val="20"/>
          <w:lang w:val="fr-CA"/>
        </w:rPr>
      </w:pPr>
      <w:r w:rsidRPr="00D105F3">
        <w:rPr>
          <w:i/>
          <w:sz w:val="20"/>
          <w:lang w:val="fr-CA"/>
        </w:rPr>
        <w:tab/>
        <w:t>Louis Sokolov</w:t>
      </w:r>
      <w:r w:rsidRPr="00D105F3">
        <w:rPr>
          <w:sz w:val="20"/>
          <w:lang w:val="fr-CA"/>
        </w:rPr>
        <w:t xml:space="preserve"> et </w:t>
      </w:r>
      <w:r w:rsidRPr="00D105F3">
        <w:rPr>
          <w:i/>
          <w:sz w:val="20"/>
          <w:lang w:val="fr-CA"/>
        </w:rPr>
        <w:t>Daniel Iny</w:t>
      </w:r>
      <w:r w:rsidRPr="00D105F3">
        <w:rPr>
          <w:sz w:val="20"/>
          <w:lang w:val="fr-CA"/>
        </w:rPr>
        <w:t>, pour l’intervenante Criminal Lawyers’ Association (Ontario).</w:t>
      </w:r>
    </w:p>
    <w:p w:rsidR="00D105F3" w:rsidRDefault="00D105F3" w:rsidP="00D105F3">
      <w:pPr>
        <w:pStyle w:val="SCCNormalDoubleSpacing"/>
        <w:spacing w:line="240" w:lineRule="auto"/>
        <w:rPr>
          <w:i/>
          <w:sz w:val="20"/>
          <w:lang w:val="fr-CA"/>
        </w:rPr>
      </w:pPr>
    </w:p>
    <w:p w:rsidR="00D105F3" w:rsidRPr="00D105F3" w:rsidRDefault="00D105F3" w:rsidP="00D105F3">
      <w:pPr>
        <w:pStyle w:val="SCCNormalDoubleSpacing"/>
        <w:spacing w:line="240" w:lineRule="auto"/>
        <w:rPr>
          <w:sz w:val="20"/>
          <w:lang w:val="fr-CA"/>
        </w:rPr>
      </w:pPr>
      <w:r w:rsidRPr="00D105F3">
        <w:rPr>
          <w:i/>
          <w:sz w:val="20"/>
          <w:lang w:val="fr-CA"/>
        </w:rPr>
        <w:tab/>
        <w:t>Robert D. Holmes, c.r.</w:t>
      </w:r>
      <w:r w:rsidRPr="00D105F3">
        <w:rPr>
          <w:sz w:val="20"/>
          <w:lang w:val="fr-CA"/>
        </w:rPr>
        <w:t>, pour l’intervenante l’Association des libertés civiles de la Colombie</w:t>
      </w:r>
      <w:r w:rsidRPr="00D105F3">
        <w:rPr>
          <w:sz w:val="20"/>
          <w:lang w:val="fr-CA"/>
        </w:rPr>
        <w:noBreakHyphen/>
        <w:t>Britannique.</w:t>
      </w:r>
    </w:p>
    <w:p w:rsidR="00D105F3" w:rsidRDefault="00D105F3" w:rsidP="00D105F3">
      <w:pPr>
        <w:pStyle w:val="SCCNormalDoubleSpacing"/>
        <w:spacing w:line="240" w:lineRule="auto"/>
        <w:rPr>
          <w:i/>
          <w:sz w:val="20"/>
          <w:lang w:val="fr-CA"/>
        </w:rPr>
      </w:pPr>
    </w:p>
    <w:p w:rsidR="00D105F3" w:rsidRPr="00D105F3" w:rsidRDefault="00D105F3" w:rsidP="00D105F3">
      <w:pPr>
        <w:pStyle w:val="SCCNormalDoubleSpacing"/>
        <w:spacing w:line="240" w:lineRule="auto"/>
        <w:rPr>
          <w:sz w:val="20"/>
          <w:lang w:val="fr-CA"/>
        </w:rPr>
      </w:pPr>
      <w:r w:rsidRPr="00D105F3">
        <w:rPr>
          <w:i/>
          <w:sz w:val="20"/>
          <w:lang w:val="fr-CA"/>
        </w:rPr>
        <w:tab/>
        <w:t>Ian J. Roland</w:t>
      </w:r>
      <w:r w:rsidRPr="00D105F3">
        <w:rPr>
          <w:sz w:val="20"/>
          <w:lang w:val="fr-CA"/>
        </w:rPr>
        <w:t xml:space="preserve"> et </w:t>
      </w:r>
      <w:r w:rsidRPr="00D105F3">
        <w:rPr>
          <w:i/>
          <w:sz w:val="20"/>
          <w:lang w:val="fr-CA"/>
        </w:rPr>
        <w:t>Michael Fenrick</w:t>
      </w:r>
      <w:r w:rsidRPr="00D105F3">
        <w:rPr>
          <w:sz w:val="20"/>
          <w:lang w:val="fr-CA"/>
        </w:rPr>
        <w:t>, pour l’intervenante l’Association canadienne des policiers.</w:t>
      </w:r>
    </w:p>
    <w:p w:rsidR="00D105F3" w:rsidRDefault="00D105F3" w:rsidP="00D105F3">
      <w:pPr>
        <w:pStyle w:val="SCCNormalDoubleSpacing"/>
        <w:spacing w:line="240" w:lineRule="auto"/>
        <w:rPr>
          <w:i/>
          <w:sz w:val="20"/>
          <w:lang w:val="fr-CA"/>
        </w:rPr>
      </w:pPr>
    </w:p>
    <w:p w:rsidR="00D105F3" w:rsidRPr="00D105F3" w:rsidRDefault="00D105F3" w:rsidP="00D105F3">
      <w:pPr>
        <w:pStyle w:val="SCCNormalDoubleSpacing"/>
        <w:spacing w:line="240" w:lineRule="auto"/>
        <w:rPr>
          <w:sz w:val="20"/>
          <w:lang w:val="fr-CA"/>
        </w:rPr>
      </w:pPr>
      <w:r w:rsidRPr="00D105F3">
        <w:rPr>
          <w:i/>
          <w:sz w:val="20"/>
          <w:lang w:val="fr-CA"/>
        </w:rPr>
        <w:tab/>
        <w:t xml:space="preserve">Tim Gleason </w:t>
      </w:r>
      <w:r w:rsidRPr="00D105F3">
        <w:rPr>
          <w:sz w:val="20"/>
          <w:lang w:val="fr-CA"/>
        </w:rPr>
        <w:t>et</w:t>
      </w:r>
      <w:r w:rsidRPr="00D105F3">
        <w:rPr>
          <w:i/>
          <w:sz w:val="20"/>
          <w:lang w:val="fr-CA"/>
        </w:rPr>
        <w:t xml:space="preserve"> Sean Dewart</w:t>
      </w:r>
      <w:r w:rsidRPr="00D105F3">
        <w:rPr>
          <w:sz w:val="20"/>
          <w:lang w:val="fr-CA"/>
        </w:rPr>
        <w:t>, pour l’intervenante l’Association canadienne des libertés civiles.</w:t>
      </w:r>
    </w:p>
    <w:p w:rsidR="00D105F3" w:rsidRDefault="00D105F3" w:rsidP="00D105F3">
      <w:pPr>
        <w:pStyle w:val="SCCLawFirm"/>
        <w:spacing w:line="240" w:lineRule="auto"/>
        <w:rPr>
          <w:sz w:val="20"/>
          <w:lang w:val="fr-CA"/>
        </w:rPr>
      </w:pPr>
    </w:p>
    <w:p w:rsidR="00D105F3" w:rsidRPr="00D105F3" w:rsidRDefault="00D105F3" w:rsidP="00D105F3">
      <w:pPr>
        <w:pStyle w:val="SCCLawFirm"/>
        <w:spacing w:line="240" w:lineRule="auto"/>
        <w:rPr>
          <w:sz w:val="20"/>
          <w:lang w:val="fr-CA"/>
        </w:rPr>
      </w:pPr>
      <w:r w:rsidRPr="00D105F3">
        <w:rPr>
          <w:sz w:val="20"/>
          <w:lang w:val="fr-CA"/>
        </w:rPr>
        <w:tab/>
        <w:t>Procureurs de l’appelant : Falconer Charney, Toronto.</w:t>
      </w:r>
    </w:p>
    <w:p w:rsidR="00D105F3" w:rsidRDefault="00D105F3" w:rsidP="00D105F3">
      <w:pPr>
        <w:pStyle w:val="SCCLawFirm"/>
        <w:spacing w:line="240" w:lineRule="auto"/>
        <w:rPr>
          <w:sz w:val="20"/>
          <w:lang w:val="fr-CA"/>
        </w:rPr>
      </w:pPr>
    </w:p>
    <w:p w:rsidR="00D105F3" w:rsidRPr="00D105F3" w:rsidRDefault="00D105F3" w:rsidP="00D105F3">
      <w:pPr>
        <w:pStyle w:val="SCCLawFirm"/>
        <w:spacing w:line="240" w:lineRule="auto"/>
        <w:rPr>
          <w:sz w:val="20"/>
          <w:lang w:val="fr-CA"/>
        </w:rPr>
      </w:pPr>
      <w:r w:rsidRPr="00D105F3">
        <w:rPr>
          <w:sz w:val="20"/>
          <w:lang w:val="fr-CA"/>
        </w:rPr>
        <w:tab/>
        <w:t>Procureurs des intimés : Blaney McMurtry, Toronto.</w:t>
      </w:r>
    </w:p>
    <w:p w:rsidR="00D105F3" w:rsidRDefault="00D105F3" w:rsidP="00D105F3">
      <w:pPr>
        <w:pStyle w:val="SCCLawFirm"/>
        <w:spacing w:line="240" w:lineRule="auto"/>
        <w:rPr>
          <w:sz w:val="20"/>
          <w:lang w:val="fr-CA"/>
        </w:rPr>
      </w:pPr>
    </w:p>
    <w:p w:rsidR="00D105F3" w:rsidRPr="00D105F3" w:rsidRDefault="00D105F3" w:rsidP="00D105F3">
      <w:pPr>
        <w:pStyle w:val="SCCLawFirm"/>
        <w:spacing w:line="240" w:lineRule="auto"/>
        <w:rPr>
          <w:sz w:val="20"/>
          <w:lang w:val="fr-CA"/>
        </w:rPr>
      </w:pPr>
      <w:r w:rsidRPr="00D105F3">
        <w:rPr>
          <w:sz w:val="20"/>
          <w:lang w:val="fr-CA"/>
        </w:rPr>
        <w:tab/>
        <w:t>Procureur de l’intervenant le procureur général de l’Ontario : Procureur général de l’Ontario, Toronto.</w:t>
      </w:r>
    </w:p>
    <w:p w:rsidR="00D105F3" w:rsidRDefault="00D105F3" w:rsidP="00D105F3">
      <w:pPr>
        <w:pStyle w:val="SCCLawFirm"/>
        <w:spacing w:line="240" w:lineRule="auto"/>
        <w:rPr>
          <w:sz w:val="20"/>
          <w:lang w:val="fr-CA"/>
        </w:rPr>
      </w:pPr>
    </w:p>
    <w:p w:rsidR="00D105F3" w:rsidRPr="00D105F3" w:rsidRDefault="00D105F3" w:rsidP="00D105F3">
      <w:pPr>
        <w:pStyle w:val="SCCLawFirm"/>
        <w:spacing w:line="240" w:lineRule="auto"/>
        <w:rPr>
          <w:sz w:val="20"/>
          <w:lang w:val="fr-CA"/>
        </w:rPr>
      </w:pPr>
      <w:r w:rsidRPr="00D105F3">
        <w:rPr>
          <w:sz w:val="20"/>
          <w:lang w:val="fr-CA"/>
        </w:rPr>
        <w:tab/>
        <w:t>Procureurs de l’intervenante l’Alliance urbaine sur les relations interraciales : Stevensons, Toronto.</w:t>
      </w:r>
    </w:p>
    <w:p w:rsidR="00D105F3" w:rsidRDefault="00D105F3" w:rsidP="00D105F3">
      <w:pPr>
        <w:pStyle w:val="SCCLawFirm"/>
        <w:spacing w:line="240" w:lineRule="auto"/>
        <w:rPr>
          <w:sz w:val="20"/>
          <w:lang w:val="fr-CA"/>
        </w:rPr>
      </w:pPr>
    </w:p>
    <w:p w:rsidR="00D105F3" w:rsidRPr="00D105F3" w:rsidRDefault="00D105F3" w:rsidP="00D105F3">
      <w:pPr>
        <w:pStyle w:val="SCCLawFirm"/>
        <w:spacing w:line="240" w:lineRule="auto"/>
        <w:rPr>
          <w:sz w:val="20"/>
          <w:lang w:val="fr-CA"/>
        </w:rPr>
      </w:pPr>
      <w:r w:rsidRPr="00D105F3">
        <w:rPr>
          <w:sz w:val="20"/>
          <w:lang w:val="fr-CA"/>
        </w:rPr>
        <w:tab/>
        <w:t>Procureurs de l’intervenante Criminal Lawyers’ Association (Ontario) : Sack Goldblatt Mitchell, Toronto.</w:t>
      </w:r>
    </w:p>
    <w:p w:rsidR="00D105F3" w:rsidRDefault="00D105F3" w:rsidP="00D105F3">
      <w:pPr>
        <w:pStyle w:val="SCCLawFirm"/>
        <w:spacing w:line="240" w:lineRule="auto"/>
        <w:rPr>
          <w:sz w:val="20"/>
          <w:lang w:val="fr-CA"/>
        </w:rPr>
      </w:pPr>
    </w:p>
    <w:p w:rsidR="00D105F3" w:rsidRPr="00D105F3" w:rsidRDefault="00D105F3" w:rsidP="00D105F3">
      <w:pPr>
        <w:pStyle w:val="SCCLawFirm"/>
        <w:spacing w:line="240" w:lineRule="auto"/>
        <w:rPr>
          <w:sz w:val="20"/>
          <w:lang w:val="fr-CA"/>
        </w:rPr>
      </w:pPr>
      <w:r w:rsidRPr="00D105F3">
        <w:rPr>
          <w:sz w:val="20"/>
          <w:lang w:val="fr-CA"/>
        </w:rPr>
        <w:tab/>
        <w:t>Procureurs de l’intervenante l’Association des libertés civiles de la Colombie</w:t>
      </w:r>
      <w:r w:rsidRPr="00D105F3">
        <w:rPr>
          <w:sz w:val="20"/>
          <w:lang w:val="fr-CA"/>
        </w:rPr>
        <w:noBreakHyphen/>
        <w:t>Britannique : Holmes &amp; King, Vancouver.</w:t>
      </w:r>
    </w:p>
    <w:p w:rsidR="00D105F3" w:rsidRDefault="00D105F3" w:rsidP="00D105F3">
      <w:pPr>
        <w:pStyle w:val="SCCLawFirm"/>
        <w:spacing w:line="240" w:lineRule="auto"/>
        <w:rPr>
          <w:sz w:val="20"/>
          <w:lang w:val="fr-CA"/>
        </w:rPr>
      </w:pPr>
    </w:p>
    <w:p w:rsidR="00D105F3" w:rsidRPr="00D105F3" w:rsidRDefault="00D105F3" w:rsidP="00D105F3">
      <w:pPr>
        <w:pStyle w:val="SCCLawFirm"/>
        <w:spacing w:line="240" w:lineRule="auto"/>
        <w:rPr>
          <w:sz w:val="20"/>
          <w:lang w:val="fr-CA"/>
        </w:rPr>
      </w:pPr>
      <w:r w:rsidRPr="00D105F3">
        <w:rPr>
          <w:sz w:val="20"/>
          <w:lang w:val="fr-CA"/>
        </w:rPr>
        <w:tab/>
        <w:t>Procureurs de l’intervenante l’Association canadienne des policiers : Paliare, Roland, Rosenberg, Rothstein, Toronto.</w:t>
      </w:r>
    </w:p>
    <w:p w:rsidR="00D105F3" w:rsidRDefault="00D105F3" w:rsidP="00D105F3">
      <w:pPr>
        <w:pStyle w:val="SCCLawFirm"/>
        <w:spacing w:line="240" w:lineRule="auto"/>
        <w:rPr>
          <w:sz w:val="20"/>
          <w:lang w:val="fr-CA"/>
        </w:rPr>
      </w:pPr>
    </w:p>
    <w:p w:rsidR="00D105F3" w:rsidRPr="00D105F3" w:rsidRDefault="00D105F3" w:rsidP="00D105F3">
      <w:pPr>
        <w:pStyle w:val="SCCLawFirm"/>
        <w:spacing w:line="240" w:lineRule="auto"/>
        <w:rPr>
          <w:sz w:val="20"/>
          <w:lang w:val="fr-CA"/>
        </w:rPr>
      </w:pPr>
      <w:r w:rsidRPr="00D105F3">
        <w:rPr>
          <w:sz w:val="20"/>
          <w:lang w:val="fr-CA"/>
        </w:rPr>
        <w:tab/>
        <w:t>Procureurs de l’intervenante l’Association canadienne des libertés civiles : Dewart Gleason, Toronto.</w:t>
      </w:r>
    </w:p>
    <w:p w:rsidR="00D105F3" w:rsidRDefault="00D105F3" w:rsidP="000444B5">
      <w:pPr>
        <w:jc w:val="both"/>
        <w:rPr>
          <w:rFonts w:cs="Times New Roman"/>
          <w:sz w:val="20"/>
          <w:szCs w:val="20"/>
          <w:lang w:val="fr-CA"/>
        </w:rPr>
      </w:pPr>
    </w:p>
    <w:p w:rsidR="000444B5" w:rsidRDefault="00B74DD2" w:rsidP="000444B5">
      <w:pPr>
        <w:rPr>
          <w:rFonts w:cs="Times New Roman"/>
          <w:sz w:val="20"/>
          <w:szCs w:val="20"/>
          <w:lang w:val="fr-CA"/>
        </w:rPr>
      </w:pPr>
      <w:r w:rsidRPr="00B74DD2">
        <w:rPr>
          <w:rFonts w:cs="Times New Roman"/>
          <w:sz w:val="20"/>
          <w:szCs w:val="20"/>
          <w:lang w:val="fr-CA"/>
        </w:rPr>
        <w:pict>
          <v:rect id="_x0000_i1077" style="width:144.3pt;height:1pt" o:hrpct="300" o:hralign="center" o:hrstd="t" o:hrnoshade="t" o:hr="t" fillcolor="black [3213]" stroked="f"/>
        </w:pict>
      </w:r>
    </w:p>
    <w:p w:rsidR="000444B5" w:rsidRDefault="000444B5" w:rsidP="000773E9">
      <w:pPr>
        <w:rPr>
          <w:rFonts w:cs="Times New Roman"/>
          <w:sz w:val="20"/>
          <w:szCs w:val="20"/>
          <w:lang w:val="fr-CA"/>
        </w:rPr>
      </w:pPr>
    </w:p>
    <w:p w:rsidR="000444B5" w:rsidRDefault="000444B5" w:rsidP="000773E9">
      <w:pPr>
        <w:rPr>
          <w:rFonts w:cs="Times New Roman"/>
          <w:sz w:val="20"/>
          <w:szCs w:val="20"/>
          <w:lang w:val="fr-CA"/>
        </w:rPr>
      </w:pPr>
    </w:p>
    <w:p w:rsidR="000444B5" w:rsidRDefault="000444B5" w:rsidP="000773E9">
      <w:pPr>
        <w:rPr>
          <w:rFonts w:cs="Times New Roman"/>
          <w:sz w:val="20"/>
          <w:szCs w:val="20"/>
          <w:lang w:val="fr-CA"/>
        </w:rPr>
      </w:pPr>
    </w:p>
    <w:p w:rsidR="000444B5" w:rsidRDefault="000444B5" w:rsidP="000773E9">
      <w:pPr>
        <w:rPr>
          <w:rFonts w:cs="Times New Roman"/>
          <w:sz w:val="20"/>
          <w:szCs w:val="20"/>
          <w:lang w:val="fr-CA"/>
        </w:rPr>
      </w:pPr>
    </w:p>
    <w:p w:rsidR="000444B5" w:rsidRPr="00C50A5C" w:rsidRDefault="000444B5" w:rsidP="000773E9">
      <w:pPr>
        <w:rPr>
          <w:sz w:val="20"/>
          <w:szCs w:val="20"/>
        </w:rPr>
      </w:pPr>
    </w:p>
    <w:p w:rsidR="00102926" w:rsidRPr="00C50A5C" w:rsidRDefault="00102926" w:rsidP="00782AE4">
      <w:pPr>
        <w:jc w:val="both"/>
        <w:rPr>
          <w:sz w:val="20"/>
          <w:szCs w:val="20"/>
        </w:rPr>
        <w:sectPr w:rsidR="00102926" w:rsidRPr="00C50A5C" w:rsidSect="00782AE4">
          <w:headerReference w:type="even" r:id="rId48"/>
          <w:headerReference w:type="default" r:id="rId49"/>
          <w:footerReference w:type="even" r:id="rId50"/>
          <w:footerReference w:type="default" r:id="rId51"/>
          <w:headerReference w:type="first" r:id="rId52"/>
          <w:footerReference w:type="first" r:id="rId53"/>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22323B" w:rsidRPr="00C50A5C" w:rsidTr="0085476B">
        <w:tc>
          <w:tcPr>
            <w:tcW w:w="4320" w:type="dxa"/>
            <w:shd w:val="clear" w:color="auto" w:fill="auto"/>
            <w:tcMar>
              <w:left w:w="0" w:type="dxa"/>
              <w:right w:w="0" w:type="dxa"/>
            </w:tcMar>
          </w:tcPr>
          <w:p w:rsidR="0022323B" w:rsidRPr="00C50A5C" w:rsidRDefault="0022323B" w:rsidP="00F52F18">
            <w:pPr>
              <w:keepNext/>
              <w:keepLines/>
              <w:rPr>
                <w:b/>
                <w:szCs w:val="24"/>
              </w:rPr>
            </w:pPr>
            <w:r w:rsidRPr="00C50A5C">
              <w:rPr>
                <w:b/>
                <w:szCs w:val="24"/>
              </w:rPr>
              <w:t>AGENDA FOR A</w:t>
            </w:r>
            <w:r w:rsidR="00F52F18">
              <w:rPr>
                <w:b/>
                <w:szCs w:val="24"/>
              </w:rPr>
              <w:t>PRIL 2013</w:t>
            </w:r>
          </w:p>
        </w:tc>
        <w:tc>
          <w:tcPr>
            <w:tcW w:w="840" w:type="dxa"/>
            <w:shd w:val="clear" w:color="auto" w:fill="auto"/>
            <w:tcMar>
              <w:left w:w="0" w:type="dxa"/>
              <w:right w:w="0" w:type="dxa"/>
            </w:tcMar>
          </w:tcPr>
          <w:p w:rsidR="0022323B" w:rsidRPr="00C50A5C" w:rsidRDefault="0022323B" w:rsidP="0022323B">
            <w:pPr>
              <w:keepNext/>
              <w:keepLines/>
              <w:jc w:val="center"/>
              <w:rPr>
                <w:b/>
                <w:szCs w:val="24"/>
              </w:rPr>
            </w:pPr>
          </w:p>
          <w:p w:rsidR="0022323B" w:rsidRPr="00C50A5C" w:rsidRDefault="0022323B" w:rsidP="0022323B">
            <w:pPr>
              <w:keepNext/>
              <w:keepLines/>
              <w:jc w:val="center"/>
              <w:rPr>
                <w:b/>
                <w:szCs w:val="24"/>
              </w:rPr>
            </w:pPr>
          </w:p>
        </w:tc>
        <w:tc>
          <w:tcPr>
            <w:tcW w:w="4320" w:type="dxa"/>
            <w:shd w:val="clear" w:color="auto" w:fill="auto"/>
            <w:tcMar>
              <w:left w:w="0" w:type="dxa"/>
              <w:right w:w="0" w:type="dxa"/>
            </w:tcMar>
          </w:tcPr>
          <w:p w:rsidR="0022323B" w:rsidRPr="00C50A5C" w:rsidRDefault="0022323B" w:rsidP="00F52F18">
            <w:pPr>
              <w:keepNext/>
              <w:keepLines/>
              <w:rPr>
                <w:b/>
                <w:szCs w:val="24"/>
                <w:lang w:val="fr-CA"/>
              </w:rPr>
            </w:pPr>
            <w:r w:rsidRPr="00C50A5C">
              <w:rPr>
                <w:b/>
                <w:szCs w:val="24"/>
                <w:lang w:val="fr-CA"/>
              </w:rPr>
              <w:t>CALENDRIER D</w:t>
            </w:r>
            <w:r w:rsidR="00F52F18">
              <w:rPr>
                <w:b/>
                <w:szCs w:val="24"/>
                <w:lang w:val="fr-CA"/>
              </w:rPr>
              <w:t>’AV</w:t>
            </w:r>
            <w:r w:rsidRPr="00C50A5C">
              <w:rPr>
                <w:b/>
                <w:szCs w:val="24"/>
                <w:lang w:val="fr-CA"/>
              </w:rPr>
              <w:t>R</w:t>
            </w:r>
            <w:r w:rsidR="00F52F18">
              <w:rPr>
                <w:b/>
                <w:szCs w:val="24"/>
                <w:lang w:val="fr-CA"/>
              </w:rPr>
              <w:t>IL 2013</w:t>
            </w:r>
          </w:p>
        </w:tc>
      </w:tr>
    </w:tbl>
    <w:p w:rsidR="004B66B4" w:rsidRPr="00DD0B49" w:rsidRDefault="004B66B4" w:rsidP="004B66B4">
      <w:pPr>
        <w:rPr>
          <w:b/>
          <w:sz w:val="20"/>
          <w:szCs w:val="20"/>
        </w:rPr>
      </w:pPr>
    </w:p>
    <w:p w:rsidR="004B66B4" w:rsidRPr="00DD0B49" w:rsidRDefault="004B66B4" w:rsidP="004B66B4">
      <w:pPr>
        <w:rPr>
          <w:b/>
          <w:sz w:val="20"/>
          <w:szCs w:val="20"/>
        </w:rPr>
      </w:pPr>
      <w:r w:rsidRPr="00DD0B49">
        <w:rPr>
          <w:b/>
          <w:sz w:val="20"/>
          <w:szCs w:val="20"/>
        </w:rPr>
        <w:t xml:space="preserve">AGENDA for the weeks of </w:t>
      </w:r>
      <w:r w:rsidR="00F52F18">
        <w:rPr>
          <w:b/>
          <w:sz w:val="20"/>
          <w:szCs w:val="20"/>
        </w:rPr>
        <w:t>April 15</w:t>
      </w:r>
      <w:r w:rsidRPr="00DD0B49">
        <w:rPr>
          <w:b/>
          <w:sz w:val="20"/>
          <w:szCs w:val="20"/>
        </w:rPr>
        <w:t xml:space="preserve"> and </w:t>
      </w:r>
      <w:r w:rsidR="00F52F18">
        <w:rPr>
          <w:b/>
          <w:sz w:val="20"/>
          <w:szCs w:val="20"/>
        </w:rPr>
        <w:t>22</w:t>
      </w:r>
      <w:r w:rsidRPr="00DD0B49">
        <w:rPr>
          <w:b/>
          <w:sz w:val="20"/>
          <w:szCs w:val="20"/>
        </w:rPr>
        <w:t>, 201</w:t>
      </w:r>
      <w:r w:rsidR="00F52F18">
        <w:rPr>
          <w:b/>
          <w:sz w:val="20"/>
          <w:szCs w:val="20"/>
        </w:rPr>
        <w:t>3</w:t>
      </w:r>
      <w:r w:rsidRPr="00DD0B49">
        <w:rPr>
          <w:b/>
          <w:sz w:val="20"/>
          <w:szCs w:val="20"/>
        </w:rPr>
        <w:t>.</w:t>
      </w:r>
    </w:p>
    <w:p w:rsidR="004B66B4" w:rsidRPr="00DD0B49" w:rsidRDefault="004B66B4" w:rsidP="004B66B4">
      <w:pPr>
        <w:rPr>
          <w:sz w:val="20"/>
          <w:szCs w:val="20"/>
          <w:lang w:val="fr-CA"/>
        </w:rPr>
      </w:pPr>
      <w:r w:rsidRPr="00DD0B49">
        <w:rPr>
          <w:b/>
          <w:sz w:val="20"/>
          <w:szCs w:val="20"/>
          <w:lang w:val="fr-CA"/>
        </w:rPr>
        <w:t xml:space="preserve">CALENDRIER de la semaine du </w:t>
      </w:r>
      <w:r w:rsidR="00F52F18">
        <w:rPr>
          <w:b/>
          <w:sz w:val="20"/>
          <w:szCs w:val="20"/>
          <w:lang w:val="fr-CA"/>
        </w:rPr>
        <w:t>15</w:t>
      </w:r>
      <w:r w:rsidRPr="00DD0B49">
        <w:rPr>
          <w:b/>
          <w:sz w:val="20"/>
          <w:szCs w:val="20"/>
          <w:lang w:val="fr-CA"/>
        </w:rPr>
        <w:t xml:space="preserve"> </w:t>
      </w:r>
      <w:r w:rsidR="00F52F18">
        <w:rPr>
          <w:b/>
          <w:sz w:val="20"/>
          <w:szCs w:val="20"/>
          <w:lang w:val="fr-CA"/>
        </w:rPr>
        <w:t>a</w:t>
      </w:r>
      <w:r w:rsidRPr="00DD0B49">
        <w:rPr>
          <w:b/>
          <w:sz w:val="20"/>
          <w:szCs w:val="20"/>
          <w:lang w:val="fr-CA"/>
        </w:rPr>
        <w:t>vr</w:t>
      </w:r>
      <w:r w:rsidR="00F52F18">
        <w:rPr>
          <w:b/>
          <w:sz w:val="20"/>
          <w:szCs w:val="20"/>
          <w:lang w:val="fr-CA"/>
        </w:rPr>
        <w:t>il</w:t>
      </w:r>
      <w:r w:rsidRPr="00DD0B49">
        <w:rPr>
          <w:b/>
          <w:sz w:val="20"/>
          <w:szCs w:val="20"/>
          <w:lang w:val="fr-CA"/>
        </w:rPr>
        <w:t xml:space="preserve"> et celle du </w:t>
      </w:r>
      <w:r w:rsidR="00F52F18">
        <w:rPr>
          <w:b/>
          <w:sz w:val="20"/>
          <w:szCs w:val="20"/>
          <w:lang w:val="fr-CA"/>
        </w:rPr>
        <w:t>22 a</w:t>
      </w:r>
      <w:r w:rsidRPr="00DD0B49">
        <w:rPr>
          <w:b/>
          <w:sz w:val="20"/>
          <w:szCs w:val="20"/>
          <w:lang w:val="fr-CA"/>
        </w:rPr>
        <w:t>vr</w:t>
      </w:r>
      <w:r w:rsidR="00F52F18">
        <w:rPr>
          <w:b/>
          <w:sz w:val="20"/>
          <w:szCs w:val="20"/>
          <w:lang w:val="fr-CA"/>
        </w:rPr>
        <w:t>il</w:t>
      </w:r>
      <w:r w:rsidRPr="00DD0B49">
        <w:rPr>
          <w:b/>
          <w:sz w:val="20"/>
          <w:szCs w:val="20"/>
          <w:lang w:val="fr-CA"/>
        </w:rPr>
        <w:t xml:space="preserve"> 201</w:t>
      </w:r>
      <w:r w:rsidR="00F52F18">
        <w:rPr>
          <w:b/>
          <w:sz w:val="20"/>
          <w:szCs w:val="20"/>
          <w:lang w:val="fr-CA"/>
        </w:rPr>
        <w:t>3</w:t>
      </w:r>
      <w:r w:rsidRPr="00DD0B49">
        <w:rPr>
          <w:b/>
          <w:sz w:val="20"/>
          <w:szCs w:val="20"/>
          <w:lang w:val="fr-CA"/>
        </w:rPr>
        <w:t>.</w:t>
      </w:r>
    </w:p>
    <w:p w:rsidR="004B66B4" w:rsidRPr="00DD0B49" w:rsidRDefault="004B66B4" w:rsidP="004B66B4">
      <w:pPr>
        <w:rPr>
          <w:sz w:val="20"/>
          <w:szCs w:val="20"/>
          <w:lang w:val="fr-CA"/>
        </w:rPr>
      </w:pPr>
    </w:p>
    <w:p w:rsidR="004B66B4" w:rsidRPr="00DD0B49" w:rsidRDefault="004B66B4" w:rsidP="004B66B4">
      <w:pPr>
        <w:rPr>
          <w:sz w:val="20"/>
          <w:szCs w:val="20"/>
        </w:rPr>
      </w:pPr>
      <w:r w:rsidRPr="00DD0B49">
        <w:rPr>
          <w:sz w:val="20"/>
          <w:szCs w:val="20"/>
        </w:rPr>
        <w:t xml:space="preserve">The Court will not be sitting during the weeks of </w:t>
      </w:r>
      <w:r w:rsidR="00907AF7">
        <w:rPr>
          <w:sz w:val="20"/>
          <w:szCs w:val="20"/>
        </w:rPr>
        <w:t>April</w:t>
      </w:r>
      <w:r w:rsidRPr="00DD0B49">
        <w:rPr>
          <w:sz w:val="20"/>
          <w:szCs w:val="20"/>
        </w:rPr>
        <w:t xml:space="preserve"> </w:t>
      </w:r>
      <w:r w:rsidR="00907AF7">
        <w:rPr>
          <w:sz w:val="20"/>
          <w:szCs w:val="20"/>
        </w:rPr>
        <w:t>2</w:t>
      </w:r>
      <w:r w:rsidRPr="00DD0B49">
        <w:rPr>
          <w:sz w:val="20"/>
          <w:szCs w:val="20"/>
        </w:rPr>
        <w:t xml:space="preserve">, </w:t>
      </w:r>
      <w:r w:rsidR="00907AF7">
        <w:rPr>
          <w:sz w:val="20"/>
          <w:szCs w:val="20"/>
        </w:rPr>
        <w:t>8</w:t>
      </w:r>
      <w:r w:rsidRPr="00DD0B49">
        <w:rPr>
          <w:sz w:val="20"/>
          <w:szCs w:val="20"/>
        </w:rPr>
        <w:t xml:space="preserve"> and 29, 201</w:t>
      </w:r>
      <w:r w:rsidR="00907AF7">
        <w:rPr>
          <w:sz w:val="20"/>
          <w:szCs w:val="20"/>
        </w:rPr>
        <w:t>3</w:t>
      </w:r>
      <w:r w:rsidRPr="00DD0B49">
        <w:rPr>
          <w:sz w:val="20"/>
          <w:szCs w:val="20"/>
        </w:rPr>
        <w:t>.</w:t>
      </w:r>
    </w:p>
    <w:p w:rsidR="004B66B4" w:rsidRPr="00DD0B49" w:rsidRDefault="004B66B4" w:rsidP="004B66B4">
      <w:pPr>
        <w:rPr>
          <w:sz w:val="20"/>
          <w:szCs w:val="20"/>
          <w:lang w:val="fr-CA"/>
        </w:rPr>
      </w:pPr>
      <w:r w:rsidRPr="00DD0B49">
        <w:rPr>
          <w:sz w:val="20"/>
          <w:szCs w:val="20"/>
          <w:lang w:val="fr-CA"/>
        </w:rPr>
        <w:t xml:space="preserve">La Cour ne siègera pas pendant les semaines du </w:t>
      </w:r>
      <w:r w:rsidR="00907AF7">
        <w:rPr>
          <w:sz w:val="20"/>
          <w:szCs w:val="20"/>
          <w:lang w:val="fr-CA"/>
        </w:rPr>
        <w:t>2</w:t>
      </w:r>
      <w:r w:rsidRPr="00DD0B49">
        <w:rPr>
          <w:sz w:val="20"/>
          <w:szCs w:val="20"/>
          <w:lang w:val="fr-CA"/>
        </w:rPr>
        <w:t xml:space="preserve">, </w:t>
      </w:r>
      <w:r w:rsidR="00907AF7">
        <w:rPr>
          <w:sz w:val="20"/>
          <w:szCs w:val="20"/>
          <w:lang w:val="fr-CA"/>
        </w:rPr>
        <w:t>8</w:t>
      </w:r>
      <w:r w:rsidRPr="00DD0B49">
        <w:rPr>
          <w:sz w:val="20"/>
          <w:szCs w:val="20"/>
          <w:lang w:val="fr-CA"/>
        </w:rPr>
        <w:t xml:space="preserve"> et du 29 </w:t>
      </w:r>
      <w:r w:rsidR="00907AF7">
        <w:rPr>
          <w:sz w:val="20"/>
          <w:szCs w:val="20"/>
          <w:lang w:val="fr-CA"/>
        </w:rPr>
        <w:t>a</w:t>
      </w:r>
      <w:r w:rsidRPr="00DD0B49">
        <w:rPr>
          <w:sz w:val="20"/>
          <w:szCs w:val="20"/>
          <w:lang w:val="fr-CA"/>
        </w:rPr>
        <w:t>vr</w:t>
      </w:r>
      <w:r w:rsidR="00907AF7">
        <w:rPr>
          <w:sz w:val="20"/>
          <w:szCs w:val="20"/>
          <w:lang w:val="fr-CA"/>
        </w:rPr>
        <w:t>il</w:t>
      </w:r>
      <w:r w:rsidRPr="00DD0B49">
        <w:rPr>
          <w:sz w:val="20"/>
          <w:szCs w:val="20"/>
          <w:lang w:val="fr-CA"/>
        </w:rPr>
        <w:t xml:space="preserve"> 201</w:t>
      </w:r>
      <w:r w:rsidR="00907AF7">
        <w:rPr>
          <w:sz w:val="20"/>
          <w:szCs w:val="20"/>
          <w:lang w:val="fr-CA"/>
        </w:rPr>
        <w:t>3</w:t>
      </w:r>
      <w:r w:rsidRPr="00DD0B49">
        <w:rPr>
          <w:sz w:val="20"/>
          <w:szCs w:val="20"/>
          <w:lang w:val="fr-CA"/>
        </w:rPr>
        <w:t>.</w:t>
      </w:r>
    </w:p>
    <w:p w:rsidR="004B66B4" w:rsidRPr="00DD0B49" w:rsidRDefault="00B74DD2" w:rsidP="004B66B4">
      <w:pPr>
        <w:rPr>
          <w:sz w:val="20"/>
          <w:szCs w:val="20"/>
        </w:rPr>
      </w:pPr>
      <w:r w:rsidRPr="00B74DD2">
        <w:rPr>
          <w:sz w:val="20"/>
          <w:szCs w:val="20"/>
        </w:rPr>
        <w:pict>
          <v:rect id="_x0000_i1080" style="width:480.95pt;height:1pt" o:hralign="center" o:hrstd="t" o:hrnoshade="t" o:hr="t" fillcolor="black [3213]" stroked="f"/>
        </w:pict>
      </w:r>
    </w:p>
    <w:p w:rsidR="004B66B4" w:rsidRDefault="004B66B4" w:rsidP="004B66B4">
      <w:pPr>
        <w:rPr>
          <w:sz w:val="20"/>
          <w:szCs w:val="20"/>
          <w:lang w:val="fr-CA"/>
        </w:rPr>
      </w:pPr>
    </w:p>
    <w:tbl>
      <w:tblPr>
        <w:tblW w:w="9576" w:type="dxa"/>
        <w:tblLayout w:type="fixed"/>
        <w:tblCellMar>
          <w:top w:w="58" w:type="dxa"/>
          <w:left w:w="58" w:type="dxa"/>
          <w:bottom w:w="58" w:type="dxa"/>
          <w:right w:w="58" w:type="dxa"/>
        </w:tblCellMar>
        <w:tblLook w:val="04A0"/>
      </w:tblPr>
      <w:tblGrid>
        <w:gridCol w:w="2398"/>
        <w:gridCol w:w="7178"/>
      </w:tblGrid>
      <w:tr w:rsidR="004E1E0A" w:rsidRPr="00C4248C" w:rsidTr="00907AF7">
        <w:trPr>
          <w:cantSplit/>
        </w:trPr>
        <w:tc>
          <w:tcPr>
            <w:tcW w:w="2398" w:type="dxa"/>
          </w:tcPr>
          <w:p w:rsidR="004E1E0A" w:rsidRPr="003A74F5" w:rsidRDefault="004E1E0A" w:rsidP="00907AF7">
            <w:pPr>
              <w:rPr>
                <w:rFonts w:eastAsia="Calibri" w:cs="Times New Roman"/>
                <w:sz w:val="20"/>
                <w:szCs w:val="20"/>
              </w:rPr>
            </w:pPr>
            <w:r w:rsidRPr="003A74F5">
              <w:rPr>
                <w:rFonts w:eastAsia="Calibri" w:cs="Times New Roman"/>
                <w:sz w:val="20"/>
                <w:szCs w:val="20"/>
              </w:rPr>
              <w:t>DATE OF HEARING /</w:t>
            </w:r>
          </w:p>
          <w:p w:rsidR="004E1E0A" w:rsidRPr="003A74F5" w:rsidRDefault="004E1E0A" w:rsidP="00907AF7">
            <w:pPr>
              <w:rPr>
                <w:rFonts w:eastAsia="Calibri" w:cs="Times New Roman"/>
                <w:sz w:val="20"/>
                <w:szCs w:val="20"/>
              </w:rPr>
            </w:pPr>
            <w:r w:rsidRPr="003A74F5">
              <w:rPr>
                <w:rFonts w:eastAsia="Calibri" w:cs="Times New Roman"/>
                <w:sz w:val="20"/>
                <w:szCs w:val="20"/>
              </w:rPr>
              <w:t>DATE D’AUDITION</w:t>
            </w:r>
          </w:p>
        </w:tc>
        <w:tc>
          <w:tcPr>
            <w:tcW w:w="7178" w:type="dxa"/>
          </w:tcPr>
          <w:p w:rsidR="004E1E0A" w:rsidRPr="003A74F5" w:rsidRDefault="004E1E0A" w:rsidP="00907AF7">
            <w:pPr>
              <w:rPr>
                <w:rFonts w:eastAsia="Calibri" w:cs="Times New Roman"/>
                <w:sz w:val="20"/>
                <w:szCs w:val="20"/>
                <w:lang w:val="fr-CA"/>
              </w:rPr>
            </w:pPr>
            <w:r w:rsidRPr="003A74F5">
              <w:rPr>
                <w:rFonts w:eastAsia="Calibri" w:cs="Times New Roman"/>
                <w:sz w:val="20"/>
                <w:szCs w:val="20"/>
                <w:lang w:val="fr-CA"/>
              </w:rPr>
              <w:t>NAME AND CASE NUMBER /</w:t>
            </w:r>
          </w:p>
          <w:p w:rsidR="004E1E0A" w:rsidRDefault="004E1E0A" w:rsidP="00907AF7">
            <w:pPr>
              <w:rPr>
                <w:sz w:val="20"/>
                <w:szCs w:val="20"/>
                <w:lang w:val="fr-CA"/>
              </w:rPr>
            </w:pPr>
            <w:r w:rsidRPr="003A74F5">
              <w:rPr>
                <w:rFonts w:eastAsia="Calibri" w:cs="Times New Roman"/>
                <w:sz w:val="20"/>
                <w:szCs w:val="20"/>
                <w:lang w:val="fr-CA"/>
              </w:rPr>
              <w:t>NOM DE LA CAUSE ET NUMÉRO</w:t>
            </w:r>
          </w:p>
          <w:p w:rsidR="004E1E0A" w:rsidRPr="003A74F5" w:rsidRDefault="004E1E0A" w:rsidP="00907AF7">
            <w:pPr>
              <w:rPr>
                <w:rFonts w:eastAsia="Calibri" w:cs="Times New Roman"/>
                <w:sz w:val="20"/>
                <w:szCs w:val="20"/>
                <w:lang w:val="fr-CA"/>
              </w:rPr>
            </w:pPr>
          </w:p>
        </w:tc>
      </w:tr>
      <w:tr w:rsidR="004E1E0A" w:rsidRPr="00E572B3" w:rsidTr="00907AF7">
        <w:trPr>
          <w:cantSplit/>
          <w:trHeight w:val="288"/>
        </w:trPr>
        <w:tc>
          <w:tcPr>
            <w:tcW w:w="2398" w:type="dxa"/>
          </w:tcPr>
          <w:p w:rsidR="004E1E0A" w:rsidRPr="003A74F5" w:rsidRDefault="004E1E0A" w:rsidP="00E572B3">
            <w:pPr>
              <w:rPr>
                <w:rFonts w:eastAsia="Calibri" w:cs="Times New Roman"/>
                <w:sz w:val="20"/>
                <w:szCs w:val="20"/>
              </w:rPr>
            </w:pPr>
            <w:r w:rsidRPr="003A74F5">
              <w:rPr>
                <w:rFonts w:eastAsia="Calibri" w:cs="Times New Roman"/>
                <w:sz w:val="20"/>
                <w:szCs w:val="20"/>
              </w:rPr>
              <w:t>201</w:t>
            </w:r>
            <w:r w:rsidR="00E572B3">
              <w:rPr>
                <w:rFonts w:eastAsia="Calibri" w:cs="Times New Roman"/>
                <w:sz w:val="20"/>
                <w:szCs w:val="20"/>
              </w:rPr>
              <w:t>3</w:t>
            </w:r>
            <w:r w:rsidRPr="003A74F5">
              <w:rPr>
                <w:rFonts w:eastAsia="Calibri" w:cs="Times New Roman"/>
                <w:sz w:val="20"/>
                <w:szCs w:val="20"/>
              </w:rPr>
              <w:t>-</w:t>
            </w:r>
            <w:r w:rsidR="00E572B3">
              <w:rPr>
                <w:rFonts w:eastAsia="Calibri" w:cs="Times New Roman"/>
                <w:sz w:val="20"/>
                <w:szCs w:val="20"/>
              </w:rPr>
              <w:t>04</w:t>
            </w:r>
            <w:r w:rsidRPr="003A74F5">
              <w:rPr>
                <w:rFonts w:eastAsia="Calibri" w:cs="Times New Roman"/>
                <w:sz w:val="20"/>
                <w:szCs w:val="20"/>
              </w:rPr>
              <w:t>-</w:t>
            </w:r>
            <w:r w:rsidR="00E572B3">
              <w:rPr>
                <w:rFonts w:eastAsia="Calibri" w:cs="Times New Roman"/>
                <w:sz w:val="20"/>
                <w:szCs w:val="20"/>
              </w:rPr>
              <w:t>15</w:t>
            </w:r>
          </w:p>
        </w:tc>
        <w:tc>
          <w:tcPr>
            <w:tcW w:w="7178" w:type="dxa"/>
          </w:tcPr>
          <w:p w:rsidR="004E1E0A" w:rsidRPr="00E572B3" w:rsidRDefault="00E572B3" w:rsidP="00B44C73">
            <w:pPr>
              <w:jc w:val="both"/>
              <w:rPr>
                <w:rFonts w:eastAsia="Calibri" w:cs="Times New Roman"/>
                <w:sz w:val="20"/>
                <w:szCs w:val="20"/>
                <w:lang w:val="fr-CA"/>
              </w:rPr>
            </w:pPr>
            <w:r w:rsidRPr="00E572B3">
              <w:rPr>
                <w:rFonts w:eastAsia="Calibri" w:cs="Times New Roman"/>
                <w:i/>
                <w:sz w:val="20"/>
                <w:szCs w:val="20"/>
                <w:lang w:val="fr-CA"/>
              </w:rPr>
              <w:t>C</w:t>
            </w:r>
            <w:r w:rsidR="004E1E0A" w:rsidRPr="00E572B3">
              <w:rPr>
                <w:rFonts w:eastAsia="Calibri" w:cs="Times New Roman"/>
                <w:i/>
                <w:sz w:val="20"/>
                <w:szCs w:val="20"/>
                <w:lang w:val="fr-CA"/>
              </w:rPr>
              <w:t>on</w:t>
            </w:r>
            <w:r w:rsidRPr="00E572B3">
              <w:rPr>
                <w:rFonts w:eastAsia="Calibri" w:cs="Times New Roman"/>
                <w:i/>
                <w:sz w:val="20"/>
                <w:szCs w:val="20"/>
                <w:lang w:val="fr-CA"/>
              </w:rPr>
              <w:t>s</w:t>
            </w:r>
            <w:r w:rsidR="004E1E0A" w:rsidRPr="00E572B3">
              <w:rPr>
                <w:rFonts w:eastAsia="Calibri" w:cs="Times New Roman"/>
                <w:i/>
                <w:sz w:val="20"/>
                <w:szCs w:val="20"/>
                <w:lang w:val="fr-CA"/>
              </w:rPr>
              <w:t>e</w:t>
            </w:r>
            <w:r w:rsidRPr="00E572B3">
              <w:rPr>
                <w:rFonts w:eastAsia="Calibri" w:cs="Times New Roman"/>
                <w:i/>
                <w:sz w:val="20"/>
                <w:szCs w:val="20"/>
                <w:lang w:val="fr-CA"/>
              </w:rPr>
              <w:t>il Scolaire Francophone de la Colombie-Britannique et autre</w:t>
            </w:r>
            <w:r>
              <w:rPr>
                <w:rFonts w:eastAsia="Calibri" w:cs="Times New Roman"/>
                <w:i/>
                <w:sz w:val="20"/>
                <w:szCs w:val="20"/>
                <w:lang w:val="fr-CA"/>
              </w:rPr>
              <w:t>s</w:t>
            </w:r>
            <w:r w:rsidR="004E1E0A" w:rsidRPr="00E572B3">
              <w:rPr>
                <w:rFonts w:eastAsia="Calibri" w:cs="Times New Roman"/>
                <w:i/>
                <w:sz w:val="20"/>
                <w:szCs w:val="20"/>
                <w:lang w:val="fr-CA"/>
              </w:rPr>
              <w:t xml:space="preserve"> </w:t>
            </w:r>
            <w:r w:rsidRPr="00E572B3">
              <w:rPr>
                <w:rFonts w:eastAsia="Calibri" w:cs="Times New Roman"/>
                <w:i/>
                <w:sz w:val="20"/>
                <w:szCs w:val="20"/>
                <w:lang w:val="fr-CA"/>
              </w:rPr>
              <w:t>c</w:t>
            </w:r>
            <w:r w:rsidR="004E1E0A" w:rsidRPr="00E572B3">
              <w:rPr>
                <w:rFonts w:eastAsia="Calibri" w:cs="Times New Roman"/>
                <w:i/>
                <w:sz w:val="20"/>
                <w:szCs w:val="20"/>
                <w:lang w:val="fr-CA"/>
              </w:rPr>
              <w:t xml:space="preserve">. </w:t>
            </w:r>
            <w:r>
              <w:rPr>
                <w:rFonts w:eastAsia="Calibri" w:cs="Times New Roman"/>
                <w:i/>
                <w:sz w:val="20"/>
                <w:szCs w:val="20"/>
                <w:lang w:val="fr-CA"/>
              </w:rPr>
              <w:t>Sa Majesté la Reine du chef de la province de Colombie-Britannique et autre</w:t>
            </w:r>
            <w:r w:rsidR="004E1E0A" w:rsidRPr="00E572B3">
              <w:rPr>
                <w:rFonts w:eastAsia="Calibri" w:cs="Times New Roman"/>
                <w:i/>
                <w:sz w:val="20"/>
                <w:szCs w:val="20"/>
                <w:lang w:val="fr-CA"/>
              </w:rPr>
              <w:t xml:space="preserve"> </w:t>
            </w:r>
            <w:r w:rsidR="004E1E0A" w:rsidRPr="00E572B3">
              <w:rPr>
                <w:rFonts w:eastAsia="Calibri" w:cs="Times New Roman"/>
                <w:sz w:val="20"/>
                <w:szCs w:val="20"/>
                <w:lang w:val="fr-CA"/>
              </w:rPr>
              <w:t>(</w:t>
            </w:r>
            <w:r>
              <w:rPr>
                <w:rFonts w:eastAsia="Calibri" w:cs="Times New Roman"/>
                <w:sz w:val="20"/>
                <w:szCs w:val="20"/>
                <w:lang w:val="fr-CA"/>
              </w:rPr>
              <w:t>B</w:t>
            </w:r>
            <w:r w:rsidR="004E1E0A" w:rsidRPr="00E572B3">
              <w:rPr>
                <w:rFonts w:eastAsia="Calibri" w:cs="Times New Roman"/>
                <w:sz w:val="20"/>
                <w:szCs w:val="20"/>
                <w:lang w:val="fr-CA"/>
              </w:rPr>
              <w:t>.C.) (</w:t>
            </w:r>
            <w:r w:rsidRPr="00E572B3">
              <w:rPr>
                <w:rFonts w:eastAsia="Calibri" w:cs="Times New Roman"/>
                <w:sz w:val="20"/>
                <w:szCs w:val="20"/>
                <w:lang w:val="fr-CA"/>
              </w:rPr>
              <w:t>C</w:t>
            </w:r>
            <w:r w:rsidR="004E1E0A" w:rsidRPr="00E572B3">
              <w:rPr>
                <w:rFonts w:eastAsia="Calibri" w:cs="Times New Roman"/>
                <w:sz w:val="20"/>
                <w:szCs w:val="20"/>
                <w:lang w:val="fr-CA"/>
              </w:rPr>
              <w:t>ivil</w:t>
            </w:r>
            <w:r w:rsidRPr="00E572B3">
              <w:rPr>
                <w:rFonts w:eastAsia="Calibri" w:cs="Times New Roman"/>
                <w:sz w:val="20"/>
                <w:szCs w:val="20"/>
                <w:lang w:val="fr-CA"/>
              </w:rPr>
              <w:t>e</w:t>
            </w:r>
            <w:r w:rsidR="004E1E0A" w:rsidRPr="00E572B3">
              <w:rPr>
                <w:rFonts w:eastAsia="Calibri" w:cs="Times New Roman"/>
                <w:sz w:val="20"/>
                <w:szCs w:val="20"/>
                <w:lang w:val="fr-CA"/>
              </w:rPr>
              <w:t>) (</w:t>
            </w:r>
            <w:r w:rsidRPr="00E572B3">
              <w:rPr>
                <w:rFonts w:eastAsia="Calibri" w:cs="Times New Roman"/>
                <w:sz w:val="20"/>
                <w:szCs w:val="20"/>
                <w:lang w:val="fr-CA"/>
              </w:rPr>
              <w:t>Autorisation</w:t>
            </w:r>
            <w:r w:rsidR="004E1E0A" w:rsidRPr="00E572B3">
              <w:rPr>
                <w:rFonts w:eastAsia="Calibri" w:cs="Times New Roman"/>
                <w:sz w:val="20"/>
                <w:szCs w:val="20"/>
                <w:lang w:val="fr-CA"/>
              </w:rPr>
              <w:t>) (34</w:t>
            </w:r>
            <w:r w:rsidRPr="00E572B3">
              <w:rPr>
                <w:rFonts w:eastAsia="Calibri" w:cs="Times New Roman"/>
                <w:sz w:val="20"/>
                <w:szCs w:val="20"/>
                <w:lang w:val="fr-CA"/>
              </w:rPr>
              <w:t>908</w:t>
            </w:r>
            <w:r w:rsidR="004E1E0A" w:rsidRPr="00E572B3">
              <w:rPr>
                <w:rFonts w:eastAsia="Calibri" w:cs="Times New Roman"/>
                <w:sz w:val="20"/>
                <w:szCs w:val="20"/>
                <w:lang w:val="fr-CA"/>
              </w:rPr>
              <w:t>)</w:t>
            </w:r>
          </w:p>
        </w:tc>
      </w:tr>
      <w:tr w:rsidR="004E1E0A" w:rsidRPr="00C4248C" w:rsidTr="00907AF7">
        <w:trPr>
          <w:cantSplit/>
          <w:trHeight w:val="288"/>
        </w:trPr>
        <w:tc>
          <w:tcPr>
            <w:tcW w:w="2398" w:type="dxa"/>
          </w:tcPr>
          <w:p w:rsidR="004E1E0A" w:rsidRPr="003A74F5" w:rsidRDefault="004E1E0A" w:rsidP="00E572B3">
            <w:pPr>
              <w:rPr>
                <w:rFonts w:eastAsia="Calibri" w:cs="Times New Roman"/>
                <w:sz w:val="20"/>
                <w:szCs w:val="20"/>
              </w:rPr>
            </w:pPr>
            <w:r w:rsidRPr="003A74F5">
              <w:rPr>
                <w:rFonts w:eastAsia="Calibri" w:cs="Times New Roman"/>
                <w:sz w:val="20"/>
                <w:szCs w:val="20"/>
              </w:rPr>
              <w:t>201</w:t>
            </w:r>
            <w:r w:rsidR="00E572B3">
              <w:rPr>
                <w:rFonts w:eastAsia="Calibri" w:cs="Times New Roman"/>
                <w:sz w:val="20"/>
                <w:szCs w:val="20"/>
              </w:rPr>
              <w:t>3</w:t>
            </w:r>
            <w:r w:rsidRPr="003A74F5">
              <w:rPr>
                <w:rFonts w:eastAsia="Calibri" w:cs="Times New Roman"/>
                <w:sz w:val="20"/>
                <w:szCs w:val="20"/>
              </w:rPr>
              <w:t>-</w:t>
            </w:r>
            <w:r w:rsidR="00E572B3">
              <w:rPr>
                <w:rFonts w:eastAsia="Calibri" w:cs="Times New Roman"/>
                <w:sz w:val="20"/>
                <w:szCs w:val="20"/>
              </w:rPr>
              <w:t>04</w:t>
            </w:r>
            <w:r w:rsidRPr="003A74F5">
              <w:rPr>
                <w:rFonts w:eastAsia="Calibri" w:cs="Times New Roman"/>
                <w:sz w:val="20"/>
                <w:szCs w:val="20"/>
              </w:rPr>
              <w:t>-</w:t>
            </w:r>
            <w:r w:rsidR="00E572B3">
              <w:rPr>
                <w:rFonts w:eastAsia="Calibri" w:cs="Times New Roman"/>
                <w:sz w:val="20"/>
                <w:szCs w:val="20"/>
              </w:rPr>
              <w:t>16</w:t>
            </w:r>
          </w:p>
        </w:tc>
        <w:tc>
          <w:tcPr>
            <w:tcW w:w="7178" w:type="dxa"/>
          </w:tcPr>
          <w:p w:rsidR="004E1E0A" w:rsidRPr="00C56BE0" w:rsidRDefault="00E572B3" w:rsidP="00B44C73">
            <w:pPr>
              <w:jc w:val="both"/>
              <w:rPr>
                <w:rFonts w:eastAsia="Calibri" w:cs="Times New Roman"/>
                <w:sz w:val="20"/>
                <w:szCs w:val="20"/>
                <w:lang w:val="fr-CA"/>
              </w:rPr>
            </w:pPr>
            <w:r w:rsidRPr="00E572B3">
              <w:rPr>
                <w:rFonts w:eastAsia="Calibri" w:cs="Times New Roman"/>
                <w:i/>
                <w:sz w:val="20"/>
                <w:szCs w:val="20"/>
                <w:lang w:val="fr-CA"/>
              </w:rPr>
              <w:t>Pierre Lévesque</w:t>
            </w:r>
            <w:r w:rsidR="004E1E0A" w:rsidRPr="00E572B3">
              <w:rPr>
                <w:rFonts w:eastAsia="Calibri" w:cs="Times New Roman"/>
                <w:i/>
                <w:sz w:val="20"/>
                <w:szCs w:val="20"/>
                <w:lang w:val="fr-CA"/>
              </w:rPr>
              <w:t xml:space="preserve"> </w:t>
            </w:r>
            <w:r w:rsidRPr="00E572B3">
              <w:rPr>
                <w:rFonts w:eastAsia="Calibri" w:cs="Times New Roman"/>
                <w:i/>
                <w:sz w:val="20"/>
                <w:szCs w:val="20"/>
                <w:lang w:val="fr-CA"/>
              </w:rPr>
              <w:t>c</w:t>
            </w:r>
            <w:r w:rsidR="004E1E0A" w:rsidRPr="00E572B3">
              <w:rPr>
                <w:rFonts w:eastAsia="Calibri" w:cs="Times New Roman"/>
                <w:i/>
                <w:sz w:val="20"/>
                <w:szCs w:val="20"/>
                <w:lang w:val="fr-CA"/>
              </w:rPr>
              <w:t xml:space="preserve">. </w:t>
            </w:r>
            <w:r>
              <w:rPr>
                <w:rFonts w:eastAsia="Calibri" w:cs="Times New Roman"/>
                <w:i/>
                <w:sz w:val="20"/>
                <w:szCs w:val="20"/>
                <w:lang w:val="fr-CA"/>
              </w:rPr>
              <w:t>Sa Majesté la Reine</w:t>
            </w:r>
            <w:r w:rsidRPr="00E572B3">
              <w:rPr>
                <w:rFonts w:eastAsia="Calibri" w:cs="Times New Roman"/>
                <w:sz w:val="20"/>
                <w:szCs w:val="20"/>
                <w:lang w:val="fr-CA"/>
              </w:rPr>
              <w:t xml:space="preserve"> </w:t>
            </w:r>
            <w:r w:rsidR="004E1E0A" w:rsidRPr="00E572B3">
              <w:rPr>
                <w:rFonts w:eastAsia="Calibri" w:cs="Times New Roman"/>
                <w:sz w:val="20"/>
                <w:szCs w:val="20"/>
                <w:lang w:val="fr-CA"/>
              </w:rPr>
              <w:t>(</w:t>
            </w:r>
            <w:r>
              <w:rPr>
                <w:rFonts w:eastAsia="Calibri" w:cs="Times New Roman"/>
                <w:sz w:val="20"/>
                <w:szCs w:val="20"/>
                <w:lang w:val="fr-CA"/>
              </w:rPr>
              <w:t>Qc</w:t>
            </w:r>
            <w:r w:rsidR="004E1E0A" w:rsidRPr="00E572B3">
              <w:rPr>
                <w:rFonts w:eastAsia="Calibri" w:cs="Times New Roman"/>
                <w:sz w:val="20"/>
                <w:szCs w:val="20"/>
                <w:lang w:val="fr-CA"/>
              </w:rPr>
              <w:t xml:space="preserve">) </w:t>
            </w:r>
            <w:r w:rsidR="004E1E0A" w:rsidRPr="00613A12">
              <w:rPr>
                <w:rFonts w:eastAsia="Calibri" w:cs="Times New Roman"/>
                <w:sz w:val="20"/>
                <w:szCs w:val="20"/>
                <w:lang w:val="fr-CA"/>
              </w:rPr>
              <w:t>(Crimin</w:t>
            </w:r>
            <w:r w:rsidRPr="00613A12">
              <w:rPr>
                <w:rFonts w:eastAsia="Calibri" w:cs="Times New Roman"/>
                <w:sz w:val="20"/>
                <w:szCs w:val="20"/>
                <w:lang w:val="fr-CA"/>
              </w:rPr>
              <w:t>e</w:t>
            </w:r>
            <w:r w:rsidR="004E1E0A" w:rsidRPr="00613A12">
              <w:rPr>
                <w:rFonts w:eastAsia="Calibri" w:cs="Times New Roman"/>
                <w:sz w:val="20"/>
                <w:szCs w:val="20"/>
                <w:lang w:val="fr-CA"/>
              </w:rPr>
              <w:t>l</w:t>
            </w:r>
            <w:r w:rsidRPr="00613A12">
              <w:rPr>
                <w:rFonts w:eastAsia="Calibri" w:cs="Times New Roman"/>
                <w:sz w:val="20"/>
                <w:szCs w:val="20"/>
                <w:lang w:val="fr-CA"/>
              </w:rPr>
              <w:t>le</w:t>
            </w:r>
            <w:r w:rsidR="004E1E0A" w:rsidRPr="00613A12">
              <w:rPr>
                <w:rFonts w:eastAsia="Calibri" w:cs="Times New Roman"/>
                <w:sz w:val="20"/>
                <w:szCs w:val="20"/>
                <w:lang w:val="fr-CA"/>
              </w:rPr>
              <w:t>) (A</w:t>
            </w:r>
            <w:r w:rsidRPr="00613A12">
              <w:rPr>
                <w:rFonts w:eastAsia="Calibri" w:cs="Times New Roman"/>
                <w:sz w:val="20"/>
                <w:szCs w:val="20"/>
                <w:lang w:val="fr-CA"/>
              </w:rPr>
              <w:t>utori</w:t>
            </w:r>
            <w:r w:rsidR="004E1E0A" w:rsidRPr="00613A12">
              <w:rPr>
                <w:rFonts w:eastAsia="Calibri" w:cs="Times New Roman"/>
                <w:sz w:val="20"/>
                <w:szCs w:val="20"/>
                <w:lang w:val="fr-CA"/>
              </w:rPr>
              <w:t>s</w:t>
            </w:r>
            <w:r w:rsidRPr="00613A12">
              <w:rPr>
                <w:rFonts w:eastAsia="Calibri" w:cs="Times New Roman"/>
                <w:sz w:val="20"/>
                <w:szCs w:val="20"/>
                <w:lang w:val="fr-CA"/>
              </w:rPr>
              <w:t>a</w:t>
            </w:r>
            <w:r w:rsidR="004E1E0A" w:rsidRPr="00613A12">
              <w:rPr>
                <w:rFonts w:eastAsia="Calibri" w:cs="Times New Roman"/>
                <w:sz w:val="20"/>
                <w:szCs w:val="20"/>
                <w:lang w:val="fr-CA"/>
              </w:rPr>
              <w:t>t</w:t>
            </w:r>
            <w:r w:rsidRPr="00613A12">
              <w:rPr>
                <w:rFonts w:eastAsia="Calibri" w:cs="Times New Roman"/>
                <w:sz w:val="20"/>
                <w:szCs w:val="20"/>
                <w:lang w:val="fr-CA"/>
              </w:rPr>
              <w:t>ion</w:t>
            </w:r>
            <w:r w:rsidR="004E1E0A" w:rsidRPr="00613A12">
              <w:rPr>
                <w:rFonts w:eastAsia="Calibri" w:cs="Times New Roman"/>
                <w:sz w:val="20"/>
                <w:szCs w:val="20"/>
                <w:lang w:val="fr-CA"/>
              </w:rPr>
              <w:t>) (344</w:t>
            </w:r>
            <w:r w:rsidRPr="00613A12">
              <w:rPr>
                <w:rFonts w:eastAsia="Calibri" w:cs="Times New Roman"/>
                <w:sz w:val="20"/>
                <w:szCs w:val="20"/>
                <w:lang w:val="fr-CA"/>
              </w:rPr>
              <w:t>17</w:t>
            </w:r>
            <w:r w:rsidR="004E1E0A" w:rsidRPr="00613A12">
              <w:rPr>
                <w:rFonts w:eastAsia="Calibri" w:cs="Times New Roman"/>
                <w:sz w:val="20"/>
                <w:szCs w:val="20"/>
                <w:lang w:val="fr-CA"/>
              </w:rPr>
              <w:t>)</w:t>
            </w:r>
          </w:p>
        </w:tc>
      </w:tr>
      <w:tr w:rsidR="004E1E0A" w:rsidRPr="00613A12" w:rsidTr="00907AF7">
        <w:trPr>
          <w:cantSplit/>
          <w:trHeight w:val="288"/>
        </w:trPr>
        <w:tc>
          <w:tcPr>
            <w:tcW w:w="2398" w:type="dxa"/>
          </w:tcPr>
          <w:p w:rsidR="004E1E0A" w:rsidRPr="003A74F5" w:rsidRDefault="004E1E0A" w:rsidP="00613A12">
            <w:pPr>
              <w:rPr>
                <w:rFonts w:eastAsia="Calibri" w:cs="Times New Roman"/>
                <w:sz w:val="20"/>
                <w:szCs w:val="20"/>
              </w:rPr>
            </w:pPr>
            <w:r w:rsidRPr="003A74F5">
              <w:rPr>
                <w:rFonts w:eastAsia="Calibri" w:cs="Times New Roman"/>
                <w:sz w:val="20"/>
                <w:szCs w:val="20"/>
              </w:rPr>
              <w:t>201</w:t>
            </w:r>
            <w:r w:rsidR="00613A12">
              <w:rPr>
                <w:rFonts w:eastAsia="Calibri" w:cs="Times New Roman"/>
                <w:sz w:val="20"/>
                <w:szCs w:val="20"/>
              </w:rPr>
              <w:t>3</w:t>
            </w:r>
            <w:r w:rsidRPr="003A74F5">
              <w:rPr>
                <w:rFonts w:eastAsia="Calibri" w:cs="Times New Roman"/>
                <w:sz w:val="20"/>
                <w:szCs w:val="20"/>
              </w:rPr>
              <w:t>-</w:t>
            </w:r>
            <w:r w:rsidR="00613A12">
              <w:rPr>
                <w:rFonts w:eastAsia="Calibri" w:cs="Times New Roman"/>
                <w:sz w:val="20"/>
                <w:szCs w:val="20"/>
              </w:rPr>
              <w:t>04</w:t>
            </w:r>
            <w:r w:rsidRPr="003A74F5">
              <w:rPr>
                <w:rFonts w:eastAsia="Calibri" w:cs="Times New Roman"/>
                <w:sz w:val="20"/>
                <w:szCs w:val="20"/>
              </w:rPr>
              <w:t>-</w:t>
            </w:r>
            <w:r w:rsidR="00613A12">
              <w:rPr>
                <w:rFonts w:eastAsia="Calibri" w:cs="Times New Roman"/>
                <w:sz w:val="20"/>
                <w:szCs w:val="20"/>
              </w:rPr>
              <w:t>16</w:t>
            </w:r>
          </w:p>
        </w:tc>
        <w:tc>
          <w:tcPr>
            <w:tcW w:w="7178" w:type="dxa"/>
          </w:tcPr>
          <w:p w:rsidR="004E1E0A" w:rsidRPr="00613A12" w:rsidRDefault="00613A12" w:rsidP="00B44C73">
            <w:pPr>
              <w:jc w:val="both"/>
              <w:rPr>
                <w:rFonts w:eastAsia="Calibri" w:cs="Times New Roman"/>
                <w:sz w:val="20"/>
                <w:szCs w:val="20"/>
              </w:rPr>
            </w:pPr>
            <w:r w:rsidRPr="00613A12">
              <w:rPr>
                <w:rFonts w:eastAsia="Calibri" w:cs="Times New Roman"/>
                <w:i/>
                <w:sz w:val="20"/>
                <w:szCs w:val="20"/>
              </w:rPr>
              <w:t xml:space="preserve">Matthew James Murphy </w:t>
            </w:r>
            <w:r w:rsidRPr="0085047E">
              <w:rPr>
                <w:rFonts w:eastAsia="Calibri" w:cs="Times New Roman"/>
                <w:i/>
                <w:sz w:val="20"/>
                <w:szCs w:val="20"/>
              </w:rPr>
              <w:t>v. Her Majesty the Queen</w:t>
            </w:r>
            <w:r w:rsidRPr="0085047E">
              <w:rPr>
                <w:rFonts w:eastAsia="Calibri" w:cs="Times New Roman"/>
                <w:sz w:val="20"/>
                <w:szCs w:val="20"/>
              </w:rPr>
              <w:t xml:space="preserve"> (</w:t>
            </w:r>
            <w:r>
              <w:rPr>
                <w:rFonts w:eastAsia="Calibri" w:cs="Times New Roman"/>
                <w:sz w:val="20"/>
                <w:szCs w:val="20"/>
              </w:rPr>
              <w:t>N</w:t>
            </w:r>
            <w:r w:rsidRPr="0085047E">
              <w:rPr>
                <w:rFonts w:eastAsia="Calibri" w:cs="Times New Roman"/>
                <w:sz w:val="20"/>
                <w:szCs w:val="20"/>
              </w:rPr>
              <w:t>.</w:t>
            </w:r>
            <w:r>
              <w:rPr>
                <w:rFonts w:eastAsia="Calibri" w:cs="Times New Roman"/>
                <w:sz w:val="20"/>
                <w:szCs w:val="20"/>
              </w:rPr>
              <w:t>S.</w:t>
            </w:r>
            <w:r w:rsidRPr="0085047E">
              <w:rPr>
                <w:rFonts w:eastAsia="Calibri" w:cs="Times New Roman"/>
                <w:sz w:val="20"/>
                <w:szCs w:val="20"/>
              </w:rPr>
              <w:t xml:space="preserve">) </w:t>
            </w:r>
            <w:r w:rsidRPr="00613A12">
              <w:rPr>
                <w:rFonts w:eastAsia="Calibri" w:cs="Times New Roman"/>
                <w:sz w:val="20"/>
                <w:szCs w:val="20"/>
              </w:rPr>
              <w:t>(Criminal) (As of Right) (34</w:t>
            </w:r>
            <w:r>
              <w:rPr>
                <w:rFonts w:eastAsia="Calibri" w:cs="Times New Roman"/>
                <w:sz w:val="20"/>
                <w:szCs w:val="20"/>
              </w:rPr>
              <w:t>9</w:t>
            </w:r>
            <w:r w:rsidRPr="00613A12">
              <w:rPr>
                <w:rFonts w:eastAsia="Calibri" w:cs="Times New Roman"/>
                <w:sz w:val="20"/>
                <w:szCs w:val="20"/>
              </w:rPr>
              <w:t>80)</w:t>
            </w:r>
          </w:p>
        </w:tc>
      </w:tr>
      <w:tr w:rsidR="004E1E0A" w:rsidRPr="00C4248C" w:rsidTr="00907AF7">
        <w:trPr>
          <w:cantSplit/>
          <w:trHeight w:val="288"/>
        </w:trPr>
        <w:tc>
          <w:tcPr>
            <w:tcW w:w="2398" w:type="dxa"/>
          </w:tcPr>
          <w:p w:rsidR="004E1E0A" w:rsidRPr="00613A12" w:rsidRDefault="004E1E0A" w:rsidP="00613A12">
            <w:pPr>
              <w:rPr>
                <w:rFonts w:eastAsia="Calibri" w:cs="Times New Roman"/>
                <w:sz w:val="20"/>
                <w:szCs w:val="20"/>
              </w:rPr>
            </w:pPr>
            <w:r w:rsidRPr="00613A12">
              <w:rPr>
                <w:rFonts w:eastAsia="Calibri" w:cs="Times New Roman"/>
                <w:sz w:val="20"/>
                <w:szCs w:val="20"/>
              </w:rPr>
              <w:t>201</w:t>
            </w:r>
            <w:r w:rsidR="00613A12">
              <w:rPr>
                <w:rFonts w:eastAsia="Calibri" w:cs="Times New Roman"/>
                <w:sz w:val="20"/>
                <w:szCs w:val="20"/>
              </w:rPr>
              <w:t>3</w:t>
            </w:r>
            <w:r w:rsidRPr="00613A12">
              <w:rPr>
                <w:rFonts w:eastAsia="Calibri" w:cs="Times New Roman"/>
                <w:sz w:val="20"/>
                <w:szCs w:val="20"/>
              </w:rPr>
              <w:t>-</w:t>
            </w:r>
            <w:r w:rsidR="00613A12">
              <w:rPr>
                <w:rFonts w:eastAsia="Calibri" w:cs="Times New Roman"/>
                <w:sz w:val="20"/>
                <w:szCs w:val="20"/>
              </w:rPr>
              <w:t>04</w:t>
            </w:r>
            <w:r w:rsidRPr="00613A12">
              <w:rPr>
                <w:rFonts w:eastAsia="Calibri" w:cs="Times New Roman"/>
                <w:sz w:val="20"/>
                <w:szCs w:val="20"/>
              </w:rPr>
              <w:t>-</w:t>
            </w:r>
            <w:r w:rsidR="00613A12">
              <w:rPr>
                <w:rFonts w:eastAsia="Calibri" w:cs="Times New Roman"/>
                <w:sz w:val="20"/>
                <w:szCs w:val="20"/>
              </w:rPr>
              <w:t>17</w:t>
            </w:r>
          </w:p>
        </w:tc>
        <w:tc>
          <w:tcPr>
            <w:tcW w:w="7178" w:type="dxa"/>
          </w:tcPr>
          <w:p w:rsidR="004E1E0A" w:rsidRPr="00857BA8" w:rsidRDefault="00613A12" w:rsidP="00B44C73">
            <w:pPr>
              <w:jc w:val="both"/>
              <w:rPr>
                <w:rFonts w:eastAsia="Calibri" w:cs="Times New Roman"/>
                <w:sz w:val="20"/>
                <w:szCs w:val="20"/>
                <w:lang w:val="fr-CA"/>
              </w:rPr>
            </w:pPr>
            <w:r w:rsidRPr="00857BA8">
              <w:rPr>
                <w:rFonts w:eastAsia="Calibri" w:cs="Times New Roman"/>
                <w:i/>
                <w:sz w:val="20"/>
                <w:szCs w:val="20"/>
                <w:lang w:val="fr-CA"/>
              </w:rPr>
              <w:t>Régi</w:t>
            </w:r>
            <w:r w:rsidR="004E1E0A" w:rsidRPr="00857BA8">
              <w:rPr>
                <w:rFonts w:eastAsia="Calibri" w:cs="Times New Roman"/>
                <w:i/>
                <w:sz w:val="20"/>
                <w:szCs w:val="20"/>
                <w:lang w:val="fr-CA"/>
              </w:rPr>
              <w:t>e</w:t>
            </w:r>
            <w:r w:rsidRPr="00857BA8">
              <w:rPr>
                <w:rFonts w:eastAsia="Calibri" w:cs="Times New Roman"/>
                <w:i/>
                <w:sz w:val="20"/>
                <w:szCs w:val="20"/>
                <w:lang w:val="fr-CA"/>
              </w:rPr>
              <w:t xml:space="preserve"> des r</w:t>
            </w:r>
            <w:r w:rsidR="004E1E0A" w:rsidRPr="00857BA8">
              <w:rPr>
                <w:rFonts w:eastAsia="Calibri" w:cs="Times New Roman"/>
                <w:i/>
                <w:sz w:val="20"/>
                <w:szCs w:val="20"/>
                <w:lang w:val="fr-CA"/>
              </w:rPr>
              <w:t>en</w:t>
            </w:r>
            <w:r w:rsidRPr="00857BA8">
              <w:rPr>
                <w:rFonts w:eastAsia="Calibri" w:cs="Times New Roman"/>
                <w:i/>
                <w:sz w:val="20"/>
                <w:szCs w:val="20"/>
                <w:lang w:val="fr-CA"/>
              </w:rPr>
              <w:t>tes</w:t>
            </w:r>
            <w:r w:rsidR="004E1E0A" w:rsidRPr="00857BA8">
              <w:rPr>
                <w:rFonts w:eastAsia="Calibri" w:cs="Times New Roman"/>
                <w:i/>
                <w:sz w:val="20"/>
                <w:szCs w:val="20"/>
                <w:lang w:val="fr-CA"/>
              </w:rPr>
              <w:t xml:space="preserve"> du Québec c. </w:t>
            </w:r>
            <w:r w:rsidRPr="00857BA8">
              <w:rPr>
                <w:rFonts w:eastAsia="Calibri" w:cs="Times New Roman"/>
                <w:i/>
                <w:sz w:val="20"/>
                <w:szCs w:val="20"/>
                <w:lang w:val="fr-CA"/>
              </w:rPr>
              <w:t>C</w:t>
            </w:r>
            <w:r w:rsidR="004E1E0A" w:rsidRPr="00857BA8">
              <w:rPr>
                <w:rFonts w:eastAsia="Calibri" w:cs="Times New Roman"/>
                <w:i/>
                <w:sz w:val="20"/>
                <w:szCs w:val="20"/>
                <w:lang w:val="fr-CA"/>
              </w:rPr>
              <w:t>an</w:t>
            </w:r>
            <w:r w:rsidRPr="00857BA8">
              <w:rPr>
                <w:rFonts w:eastAsia="Calibri" w:cs="Times New Roman"/>
                <w:i/>
                <w:sz w:val="20"/>
                <w:szCs w:val="20"/>
                <w:lang w:val="fr-CA"/>
              </w:rPr>
              <w:t>ada Br</w:t>
            </w:r>
            <w:r w:rsidR="004E1E0A" w:rsidRPr="00857BA8">
              <w:rPr>
                <w:rFonts w:eastAsia="Calibri" w:cs="Times New Roman"/>
                <w:i/>
                <w:sz w:val="20"/>
                <w:szCs w:val="20"/>
                <w:lang w:val="fr-CA"/>
              </w:rPr>
              <w:t>e</w:t>
            </w:r>
            <w:r w:rsidRPr="00857BA8">
              <w:rPr>
                <w:rFonts w:eastAsia="Calibri" w:cs="Times New Roman"/>
                <w:i/>
                <w:sz w:val="20"/>
                <w:szCs w:val="20"/>
                <w:lang w:val="fr-CA"/>
              </w:rPr>
              <w:t>ad Company Ltd.</w:t>
            </w:r>
            <w:r w:rsidR="004E1E0A" w:rsidRPr="00857BA8">
              <w:rPr>
                <w:rFonts w:eastAsia="Calibri" w:cs="Times New Roman"/>
                <w:i/>
                <w:sz w:val="20"/>
                <w:szCs w:val="20"/>
                <w:lang w:val="fr-CA"/>
              </w:rPr>
              <w:t xml:space="preserve"> et autres</w:t>
            </w:r>
            <w:r w:rsidR="004E1E0A" w:rsidRPr="00857BA8">
              <w:rPr>
                <w:rFonts w:eastAsia="Calibri" w:cs="Times New Roman"/>
                <w:sz w:val="20"/>
                <w:szCs w:val="20"/>
                <w:lang w:val="fr-CA"/>
              </w:rPr>
              <w:t xml:space="preserve"> (Qc) (Civile) (Autorisation) (34</w:t>
            </w:r>
            <w:r w:rsidRPr="00857BA8">
              <w:rPr>
                <w:rFonts w:eastAsia="Calibri" w:cs="Times New Roman"/>
                <w:sz w:val="20"/>
                <w:szCs w:val="20"/>
                <w:lang w:val="fr-CA"/>
              </w:rPr>
              <w:t>505</w:t>
            </w:r>
            <w:r w:rsidR="004E1E0A" w:rsidRPr="00857BA8">
              <w:rPr>
                <w:rFonts w:eastAsia="Calibri" w:cs="Times New Roman"/>
                <w:sz w:val="20"/>
                <w:szCs w:val="20"/>
                <w:lang w:val="fr-CA"/>
              </w:rPr>
              <w:t>)</w:t>
            </w:r>
          </w:p>
        </w:tc>
      </w:tr>
      <w:tr w:rsidR="004E1E0A" w:rsidRPr="00216AEB" w:rsidTr="00907AF7">
        <w:trPr>
          <w:cantSplit/>
          <w:trHeight w:val="288"/>
        </w:trPr>
        <w:tc>
          <w:tcPr>
            <w:tcW w:w="2398" w:type="dxa"/>
          </w:tcPr>
          <w:p w:rsidR="004E1E0A" w:rsidRPr="00613A12" w:rsidRDefault="004E1E0A" w:rsidP="00857BA8">
            <w:pPr>
              <w:rPr>
                <w:rFonts w:eastAsia="Calibri" w:cs="Times New Roman"/>
                <w:sz w:val="20"/>
                <w:szCs w:val="20"/>
              </w:rPr>
            </w:pPr>
            <w:r w:rsidRPr="00613A12">
              <w:rPr>
                <w:rFonts w:eastAsia="Calibri" w:cs="Times New Roman"/>
                <w:sz w:val="20"/>
                <w:szCs w:val="20"/>
              </w:rPr>
              <w:t>201</w:t>
            </w:r>
            <w:r w:rsidR="00857BA8">
              <w:rPr>
                <w:rFonts w:eastAsia="Calibri" w:cs="Times New Roman"/>
                <w:sz w:val="20"/>
                <w:szCs w:val="20"/>
              </w:rPr>
              <w:t>3</w:t>
            </w:r>
            <w:r w:rsidRPr="00613A12">
              <w:rPr>
                <w:rFonts w:eastAsia="Calibri" w:cs="Times New Roman"/>
                <w:sz w:val="20"/>
                <w:szCs w:val="20"/>
              </w:rPr>
              <w:t>-</w:t>
            </w:r>
            <w:r w:rsidR="00857BA8">
              <w:rPr>
                <w:rFonts w:eastAsia="Calibri" w:cs="Times New Roman"/>
                <w:sz w:val="20"/>
                <w:szCs w:val="20"/>
              </w:rPr>
              <w:t>04</w:t>
            </w:r>
            <w:r w:rsidRPr="00613A12">
              <w:rPr>
                <w:rFonts w:eastAsia="Calibri" w:cs="Times New Roman"/>
                <w:sz w:val="20"/>
                <w:szCs w:val="20"/>
              </w:rPr>
              <w:t>-</w:t>
            </w:r>
            <w:r w:rsidR="00857BA8">
              <w:rPr>
                <w:rFonts w:eastAsia="Calibri" w:cs="Times New Roman"/>
                <w:sz w:val="20"/>
                <w:szCs w:val="20"/>
              </w:rPr>
              <w:t>18</w:t>
            </w:r>
          </w:p>
        </w:tc>
        <w:tc>
          <w:tcPr>
            <w:tcW w:w="7178" w:type="dxa"/>
          </w:tcPr>
          <w:p w:rsidR="004E1E0A" w:rsidRPr="00613A12" w:rsidRDefault="00857BA8" w:rsidP="00B44C73">
            <w:pPr>
              <w:jc w:val="both"/>
              <w:rPr>
                <w:rFonts w:eastAsia="Calibri" w:cs="Times New Roman"/>
                <w:sz w:val="20"/>
                <w:szCs w:val="20"/>
              </w:rPr>
            </w:pPr>
            <w:r w:rsidRPr="00857BA8">
              <w:rPr>
                <w:rFonts w:eastAsia="Calibri" w:cs="Times New Roman"/>
                <w:i/>
                <w:sz w:val="20"/>
                <w:szCs w:val="20"/>
                <w:lang w:val="fr-CA"/>
              </w:rPr>
              <w:t>AIC Limited et al.</w:t>
            </w:r>
            <w:r w:rsidR="004E1E0A" w:rsidRPr="00857BA8">
              <w:rPr>
                <w:rFonts w:eastAsia="Calibri" w:cs="Times New Roman"/>
                <w:i/>
                <w:sz w:val="20"/>
                <w:szCs w:val="20"/>
                <w:lang w:val="fr-CA"/>
              </w:rPr>
              <w:t xml:space="preserve"> v. </w:t>
            </w:r>
            <w:r w:rsidRPr="00857BA8">
              <w:rPr>
                <w:rFonts w:eastAsia="Calibri" w:cs="Times New Roman"/>
                <w:i/>
                <w:sz w:val="20"/>
                <w:szCs w:val="20"/>
                <w:lang w:val="fr-CA"/>
              </w:rPr>
              <w:t>D</w:t>
            </w:r>
            <w:r w:rsidR="004E1E0A" w:rsidRPr="00857BA8">
              <w:rPr>
                <w:rFonts w:eastAsia="Calibri" w:cs="Times New Roman"/>
                <w:i/>
                <w:sz w:val="20"/>
                <w:szCs w:val="20"/>
                <w:lang w:val="fr-CA"/>
              </w:rPr>
              <w:t>e</w:t>
            </w:r>
            <w:r w:rsidRPr="00857BA8">
              <w:rPr>
                <w:rFonts w:eastAsia="Calibri" w:cs="Times New Roman"/>
                <w:i/>
                <w:sz w:val="20"/>
                <w:szCs w:val="20"/>
                <w:lang w:val="fr-CA"/>
              </w:rPr>
              <w:t>nni</w:t>
            </w:r>
            <w:r w:rsidR="004E1E0A" w:rsidRPr="00857BA8">
              <w:rPr>
                <w:rFonts w:eastAsia="Calibri" w:cs="Times New Roman"/>
                <w:i/>
                <w:sz w:val="20"/>
                <w:szCs w:val="20"/>
                <w:lang w:val="fr-CA"/>
              </w:rPr>
              <w:t>s</w:t>
            </w:r>
            <w:r w:rsidRPr="00857BA8">
              <w:rPr>
                <w:rFonts w:eastAsia="Calibri" w:cs="Times New Roman"/>
                <w:i/>
                <w:sz w:val="20"/>
                <w:szCs w:val="20"/>
                <w:lang w:val="fr-CA"/>
              </w:rPr>
              <w:t xml:space="preserve"> Fisc</w:t>
            </w:r>
            <w:r w:rsidR="004E1E0A" w:rsidRPr="00857BA8">
              <w:rPr>
                <w:rFonts w:eastAsia="Calibri" w:cs="Times New Roman"/>
                <w:i/>
                <w:sz w:val="20"/>
                <w:szCs w:val="20"/>
                <w:lang w:val="fr-CA"/>
              </w:rPr>
              <w:t>he</w:t>
            </w:r>
            <w:r w:rsidRPr="00857BA8">
              <w:rPr>
                <w:rFonts w:eastAsia="Calibri" w:cs="Times New Roman"/>
                <w:i/>
                <w:sz w:val="20"/>
                <w:szCs w:val="20"/>
                <w:lang w:val="fr-CA"/>
              </w:rPr>
              <w:t>r et al.</w:t>
            </w:r>
            <w:r w:rsidR="004E1E0A" w:rsidRPr="00857BA8">
              <w:rPr>
                <w:rFonts w:eastAsia="Calibri" w:cs="Times New Roman"/>
                <w:sz w:val="20"/>
                <w:szCs w:val="20"/>
                <w:lang w:val="fr-CA"/>
              </w:rPr>
              <w:t xml:space="preserve"> </w:t>
            </w:r>
            <w:r w:rsidR="004E1E0A" w:rsidRPr="0085047E">
              <w:rPr>
                <w:rFonts w:eastAsia="Calibri" w:cs="Times New Roman"/>
                <w:sz w:val="20"/>
                <w:szCs w:val="20"/>
              </w:rPr>
              <w:t>(</w:t>
            </w:r>
            <w:r>
              <w:rPr>
                <w:rFonts w:eastAsia="Calibri" w:cs="Times New Roman"/>
                <w:sz w:val="20"/>
                <w:szCs w:val="20"/>
              </w:rPr>
              <w:t>On</w:t>
            </w:r>
            <w:r w:rsidR="004E1E0A" w:rsidRPr="0085047E">
              <w:rPr>
                <w:rFonts w:eastAsia="Calibri" w:cs="Times New Roman"/>
                <w:sz w:val="20"/>
                <w:szCs w:val="20"/>
              </w:rPr>
              <w:t xml:space="preserve">t.) </w:t>
            </w:r>
            <w:r w:rsidR="004E1E0A" w:rsidRPr="00613A12">
              <w:rPr>
                <w:rFonts w:eastAsia="Calibri" w:cs="Times New Roman"/>
                <w:sz w:val="20"/>
                <w:szCs w:val="20"/>
              </w:rPr>
              <w:t>(Ci</w:t>
            </w:r>
            <w:r>
              <w:rPr>
                <w:rFonts w:eastAsia="Calibri" w:cs="Times New Roman"/>
                <w:sz w:val="20"/>
                <w:szCs w:val="20"/>
              </w:rPr>
              <w:t>v</w:t>
            </w:r>
            <w:r w:rsidR="004E1E0A" w:rsidRPr="00613A12">
              <w:rPr>
                <w:rFonts w:eastAsia="Calibri" w:cs="Times New Roman"/>
                <w:sz w:val="20"/>
                <w:szCs w:val="20"/>
              </w:rPr>
              <w:t>il) (</w:t>
            </w:r>
            <w:r>
              <w:rPr>
                <w:rFonts w:eastAsia="Calibri" w:cs="Times New Roman"/>
                <w:sz w:val="20"/>
                <w:szCs w:val="20"/>
              </w:rPr>
              <w:t>By Leave</w:t>
            </w:r>
            <w:r w:rsidR="004E1E0A" w:rsidRPr="00613A12">
              <w:rPr>
                <w:rFonts w:eastAsia="Calibri" w:cs="Times New Roman"/>
                <w:sz w:val="20"/>
                <w:szCs w:val="20"/>
              </w:rPr>
              <w:t>) (347</w:t>
            </w:r>
            <w:r>
              <w:rPr>
                <w:rFonts w:eastAsia="Calibri" w:cs="Times New Roman"/>
                <w:sz w:val="20"/>
                <w:szCs w:val="20"/>
              </w:rPr>
              <w:t>3</w:t>
            </w:r>
            <w:r w:rsidR="004E1E0A" w:rsidRPr="00613A12">
              <w:rPr>
                <w:rFonts w:eastAsia="Calibri" w:cs="Times New Roman"/>
                <w:sz w:val="20"/>
                <w:szCs w:val="20"/>
              </w:rPr>
              <w:t>8)</w:t>
            </w:r>
          </w:p>
        </w:tc>
      </w:tr>
      <w:tr w:rsidR="004E1E0A" w:rsidRPr="003A74F5" w:rsidTr="00907AF7">
        <w:trPr>
          <w:cantSplit/>
          <w:trHeight w:val="288"/>
        </w:trPr>
        <w:tc>
          <w:tcPr>
            <w:tcW w:w="2398" w:type="dxa"/>
          </w:tcPr>
          <w:p w:rsidR="004E1E0A" w:rsidRPr="003A74F5" w:rsidRDefault="004E1E0A" w:rsidP="00857BA8">
            <w:pPr>
              <w:rPr>
                <w:rFonts w:eastAsia="Calibri" w:cs="Times New Roman"/>
                <w:sz w:val="20"/>
                <w:szCs w:val="20"/>
              </w:rPr>
            </w:pPr>
            <w:r w:rsidRPr="003A74F5">
              <w:rPr>
                <w:rFonts w:eastAsia="Calibri" w:cs="Times New Roman"/>
                <w:sz w:val="20"/>
                <w:szCs w:val="20"/>
              </w:rPr>
              <w:t>201</w:t>
            </w:r>
            <w:r w:rsidR="00857BA8">
              <w:rPr>
                <w:rFonts w:eastAsia="Calibri" w:cs="Times New Roman"/>
                <w:sz w:val="20"/>
                <w:szCs w:val="20"/>
              </w:rPr>
              <w:t>3</w:t>
            </w:r>
            <w:r w:rsidRPr="003A74F5">
              <w:rPr>
                <w:rFonts w:eastAsia="Calibri" w:cs="Times New Roman"/>
                <w:sz w:val="20"/>
                <w:szCs w:val="20"/>
              </w:rPr>
              <w:t>-</w:t>
            </w:r>
            <w:r w:rsidR="00857BA8">
              <w:rPr>
                <w:rFonts w:eastAsia="Calibri" w:cs="Times New Roman"/>
                <w:sz w:val="20"/>
                <w:szCs w:val="20"/>
              </w:rPr>
              <w:t>04</w:t>
            </w:r>
            <w:r w:rsidRPr="003A74F5">
              <w:rPr>
                <w:rFonts w:eastAsia="Calibri" w:cs="Times New Roman"/>
                <w:sz w:val="20"/>
                <w:szCs w:val="20"/>
              </w:rPr>
              <w:t>-1</w:t>
            </w:r>
            <w:r w:rsidR="00857BA8">
              <w:rPr>
                <w:rFonts w:eastAsia="Calibri" w:cs="Times New Roman"/>
                <w:sz w:val="20"/>
                <w:szCs w:val="20"/>
              </w:rPr>
              <w:t>9</w:t>
            </w:r>
          </w:p>
        </w:tc>
        <w:tc>
          <w:tcPr>
            <w:tcW w:w="7178" w:type="dxa"/>
          </w:tcPr>
          <w:p w:rsidR="004E1E0A" w:rsidRPr="003A74F5" w:rsidRDefault="00857BA8" w:rsidP="00B44C73">
            <w:pPr>
              <w:jc w:val="both"/>
              <w:rPr>
                <w:rFonts w:eastAsia="Calibri" w:cs="Times New Roman"/>
                <w:sz w:val="20"/>
                <w:szCs w:val="20"/>
              </w:rPr>
            </w:pPr>
            <w:r>
              <w:rPr>
                <w:rFonts w:eastAsia="Calibri" w:cs="Times New Roman"/>
                <w:i/>
                <w:sz w:val="20"/>
                <w:szCs w:val="20"/>
              </w:rPr>
              <w:t>P</w:t>
            </w:r>
            <w:r w:rsidR="004E1E0A" w:rsidRPr="0085047E">
              <w:rPr>
                <w:rFonts w:eastAsia="Calibri" w:cs="Times New Roman"/>
                <w:i/>
                <w:sz w:val="20"/>
                <w:szCs w:val="20"/>
              </w:rPr>
              <w:t>o</w:t>
            </w:r>
            <w:r>
              <w:rPr>
                <w:rFonts w:eastAsia="Calibri" w:cs="Times New Roman"/>
                <w:i/>
                <w:sz w:val="20"/>
                <w:szCs w:val="20"/>
              </w:rPr>
              <w:t>lice C</w:t>
            </w:r>
            <w:r w:rsidR="004E1E0A" w:rsidRPr="0085047E">
              <w:rPr>
                <w:rFonts w:eastAsia="Calibri" w:cs="Times New Roman"/>
                <w:i/>
                <w:sz w:val="20"/>
                <w:szCs w:val="20"/>
              </w:rPr>
              <w:t>o</w:t>
            </w:r>
            <w:r>
              <w:rPr>
                <w:rFonts w:eastAsia="Calibri" w:cs="Times New Roman"/>
                <w:i/>
                <w:sz w:val="20"/>
                <w:szCs w:val="20"/>
              </w:rPr>
              <w:t>nst</w:t>
            </w:r>
            <w:r w:rsidR="004E1E0A" w:rsidRPr="0085047E">
              <w:rPr>
                <w:rFonts w:eastAsia="Calibri" w:cs="Times New Roman"/>
                <w:i/>
                <w:sz w:val="20"/>
                <w:szCs w:val="20"/>
              </w:rPr>
              <w:t>a</w:t>
            </w:r>
            <w:r>
              <w:rPr>
                <w:rFonts w:eastAsia="Calibri" w:cs="Times New Roman"/>
                <w:i/>
                <w:sz w:val="20"/>
                <w:szCs w:val="20"/>
              </w:rPr>
              <w:t xml:space="preserve">ble Kris Wood </w:t>
            </w:r>
            <w:r w:rsidR="004E1E0A" w:rsidRPr="0085047E">
              <w:rPr>
                <w:rFonts w:eastAsia="Calibri" w:cs="Times New Roman"/>
                <w:i/>
                <w:sz w:val="20"/>
                <w:szCs w:val="20"/>
              </w:rPr>
              <w:t xml:space="preserve">et al. v. </w:t>
            </w:r>
            <w:r>
              <w:rPr>
                <w:rFonts w:eastAsia="Calibri" w:cs="Times New Roman"/>
                <w:i/>
                <w:sz w:val="20"/>
                <w:szCs w:val="20"/>
              </w:rPr>
              <w:t>Rut</w:t>
            </w:r>
            <w:r w:rsidR="004E1E0A">
              <w:rPr>
                <w:rFonts w:eastAsia="Calibri" w:cs="Times New Roman"/>
                <w:i/>
                <w:sz w:val="20"/>
                <w:szCs w:val="20"/>
              </w:rPr>
              <w:t xml:space="preserve">h </w:t>
            </w:r>
            <w:r>
              <w:rPr>
                <w:rFonts w:eastAsia="Calibri" w:cs="Times New Roman"/>
                <w:i/>
                <w:sz w:val="20"/>
                <w:szCs w:val="20"/>
              </w:rPr>
              <w:t>Sch</w:t>
            </w:r>
            <w:r w:rsidR="004E1E0A">
              <w:rPr>
                <w:rFonts w:eastAsia="Calibri" w:cs="Times New Roman"/>
                <w:i/>
                <w:sz w:val="20"/>
                <w:szCs w:val="20"/>
              </w:rPr>
              <w:t>ae</w:t>
            </w:r>
            <w:r>
              <w:rPr>
                <w:rFonts w:eastAsia="Calibri" w:cs="Times New Roman"/>
                <w:i/>
                <w:sz w:val="20"/>
                <w:szCs w:val="20"/>
              </w:rPr>
              <w:t>ff</w:t>
            </w:r>
            <w:r w:rsidR="004E1E0A">
              <w:rPr>
                <w:rFonts w:eastAsia="Calibri" w:cs="Times New Roman"/>
                <w:i/>
                <w:sz w:val="20"/>
                <w:szCs w:val="20"/>
              </w:rPr>
              <w:t>er</w:t>
            </w:r>
            <w:r w:rsidR="004E1E0A" w:rsidRPr="0085047E">
              <w:rPr>
                <w:rFonts w:eastAsia="Calibri" w:cs="Times New Roman"/>
                <w:i/>
                <w:sz w:val="20"/>
                <w:szCs w:val="20"/>
              </w:rPr>
              <w:t xml:space="preserve"> et al.</w:t>
            </w:r>
            <w:r w:rsidR="004E1E0A" w:rsidRPr="0085047E">
              <w:rPr>
                <w:rFonts w:eastAsia="Calibri" w:cs="Times New Roman"/>
                <w:sz w:val="20"/>
                <w:szCs w:val="20"/>
              </w:rPr>
              <w:t xml:space="preserve"> </w:t>
            </w:r>
            <w:r w:rsidR="004E1E0A" w:rsidRPr="003A74F5">
              <w:rPr>
                <w:rFonts w:eastAsia="Calibri" w:cs="Times New Roman"/>
                <w:sz w:val="20"/>
                <w:szCs w:val="20"/>
              </w:rPr>
              <w:t>(</w:t>
            </w:r>
            <w:r>
              <w:rPr>
                <w:rFonts w:eastAsia="Calibri" w:cs="Times New Roman"/>
                <w:sz w:val="20"/>
                <w:szCs w:val="20"/>
              </w:rPr>
              <w:t>Ont</w:t>
            </w:r>
            <w:r w:rsidR="004E1E0A" w:rsidRPr="003A74F5">
              <w:rPr>
                <w:rFonts w:eastAsia="Calibri" w:cs="Times New Roman"/>
                <w:sz w:val="20"/>
                <w:szCs w:val="20"/>
              </w:rPr>
              <w:t>.) (Civil) (By Leave) (34</w:t>
            </w:r>
            <w:r>
              <w:rPr>
                <w:rFonts w:eastAsia="Calibri" w:cs="Times New Roman"/>
                <w:sz w:val="20"/>
                <w:szCs w:val="20"/>
              </w:rPr>
              <w:t>621</w:t>
            </w:r>
            <w:r w:rsidR="004E1E0A" w:rsidRPr="003A74F5">
              <w:rPr>
                <w:rFonts w:eastAsia="Calibri" w:cs="Times New Roman"/>
                <w:sz w:val="20"/>
                <w:szCs w:val="20"/>
              </w:rPr>
              <w:t>)</w:t>
            </w:r>
          </w:p>
        </w:tc>
      </w:tr>
      <w:tr w:rsidR="004E1E0A" w:rsidRPr="003A74F5" w:rsidTr="00907AF7">
        <w:trPr>
          <w:cantSplit/>
          <w:trHeight w:val="288"/>
        </w:trPr>
        <w:tc>
          <w:tcPr>
            <w:tcW w:w="2398" w:type="dxa"/>
          </w:tcPr>
          <w:p w:rsidR="004E1E0A" w:rsidRPr="003A74F5" w:rsidRDefault="004E1E0A" w:rsidP="00857BA8">
            <w:pPr>
              <w:rPr>
                <w:rFonts w:eastAsia="Calibri" w:cs="Times New Roman"/>
                <w:sz w:val="20"/>
                <w:szCs w:val="20"/>
              </w:rPr>
            </w:pPr>
            <w:r w:rsidRPr="003A74F5">
              <w:rPr>
                <w:rFonts w:eastAsia="Calibri" w:cs="Times New Roman"/>
                <w:sz w:val="20"/>
                <w:szCs w:val="20"/>
              </w:rPr>
              <w:t>201</w:t>
            </w:r>
            <w:r w:rsidR="00857BA8">
              <w:rPr>
                <w:rFonts w:eastAsia="Calibri" w:cs="Times New Roman"/>
                <w:sz w:val="20"/>
                <w:szCs w:val="20"/>
              </w:rPr>
              <w:t>3</w:t>
            </w:r>
            <w:r w:rsidRPr="003A74F5">
              <w:rPr>
                <w:rFonts w:eastAsia="Calibri" w:cs="Times New Roman"/>
                <w:sz w:val="20"/>
                <w:szCs w:val="20"/>
              </w:rPr>
              <w:t>-</w:t>
            </w:r>
            <w:r w:rsidR="00857BA8">
              <w:rPr>
                <w:rFonts w:eastAsia="Calibri" w:cs="Times New Roman"/>
                <w:sz w:val="20"/>
                <w:szCs w:val="20"/>
              </w:rPr>
              <w:t>04</w:t>
            </w:r>
            <w:r w:rsidRPr="003A74F5">
              <w:rPr>
                <w:rFonts w:eastAsia="Calibri" w:cs="Times New Roman"/>
                <w:sz w:val="20"/>
                <w:szCs w:val="20"/>
              </w:rPr>
              <w:t>-</w:t>
            </w:r>
            <w:r w:rsidR="00857BA8">
              <w:rPr>
                <w:rFonts w:eastAsia="Calibri" w:cs="Times New Roman"/>
                <w:sz w:val="20"/>
                <w:szCs w:val="20"/>
              </w:rPr>
              <w:t>22</w:t>
            </w:r>
          </w:p>
        </w:tc>
        <w:tc>
          <w:tcPr>
            <w:tcW w:w="7178" w:type="dxa"/>
          </w:tcPr>
          <w:p w:rsidR="004E1E0A" w:rsidRPr="003A74F5" w:rsidRDefault="00857BA8" w:rsidP="00B44C73">
            <w:pPr>
              <w:jc w:val="both"/>
              <w:rPr>
                <w:rFonts w:eastAsia="Calibri" w:cs="Times New Roman"/>
                <w:sz w:val="20"/>
                <w:szCs w:val="20"/>
              </w:rPr>
            </w:pPr>
            <w:r w:rsidRPr="0085047E">
              <w:rPr>
                <w:rFonts w:eastAsia="Calibri" w:cs="Times New Roman"/>
                <w:i/>
                <w:sz w:val="20"/>
                <w:szCs w:val="20"/>
              </w:rPr>
              <w:t>Her Majesty the Queen</w:t>
            </w:r>
            <w:r w:rsidR="004E1E0A" w:rsidRPr="00202908">
              <w:rPr>
                <w:rFonts w:eastAsia="Calibri" w:cs="Times New Roman"/>
                <w:i/>
                <w:sz w:val="20"/>
                <w:szCs w:val="20"/>
              </w:rPr>
              <w:t xml:space="preserve"> v. </w:t>
            </w:r>
            <w:r>
              <w:rPr>
                <w:rFonts w:eastAsia="Calibri" w:cs="Times New Roman"/>
                <w:i/>
                <w:sz w:val="20"/>
                <w:szCs w:val="20"/>
              </w:rPr>
              <w:t>E</w:t>
            </w:r>
            <w:r w:rsidR="004E1E0A" w:rsidRPr="00202908">
              <w:rPr>
                <w:rFonts w:eastAsia="Calibri" w:cs="Times New Roman"/>
                <w:i/>
                <w:sz w:val="20"/>
                <w:szCs w:val="20"/>
              </w:rPr>
              <w:t>r</w:t>
            </w:r>
            <w:r>
              <w:rPr>
                <w:rFonts w:eastAsia="Calibri" w:cs="Times New Roman"/>
                <w:i/>
                <w:sz w:val="20"/>
                <w:szCs w:val="20"/>
              </w:rPr>
              <w:t>nest Fenwick MacIntosh</w:t>
            </w:r>
            <w:r w:rsidR="004E1E0A">
              <w:rPr>
                <w:rFonts w:eastAsia="Calibri" w:cs="Times New Roman"/>
                <w:i/>
                <w:sz w:val="20"/>
                <w:szCs w:val="20"/>
              </w:rPr>
              <w:t xml:space="preserve"> </w:t>
            </w:r>
            <w:r w:rsidR="004E1E0A" w:rsidRPr="00202908">
              <w:rPr>
                <w:rFonts w:eastAsia="Calibri" w:cs="Times New Roman"/>
                <w:sz w:val="20"/>
                <w:szCs w:val="20"/>
              </w:rPr>
              <w:t>(</w:t>
            </w:r>
            <w:r>
              <w:rPr>
                <w:rFonts w:eastAsia="Calibri" w:cs="Times New Roman"/>
                <w:sz w:val="20"/>
                <w:szCs w:val="20"/>
              </w:rPr>
              <w:t>N.S</w:t>
            </w:r>
            <w:r w:rsidR="004E1E0A" w:rsidRPr="00202908">
              <w:rPr>
                <w:rFonts w:eastAsia="Calibri" w:cs="Times New Roman"/>
                <w:sz w:val="20"/>
                <w:szCs w:val="20"/>
              </w:rPr>
              <w:t xml:space="preserve">.) </w:t>
            </w:r>
            <w:r w:rsidR="004E1E0A" w:rsidRPr="00857BA8">
              <w:rPr>
                <w:rFonts w:eastAsia="Calibri" w:cs="Times New Roman"/>
                <w:sz w:val="20"/>
                <w:szCs w:val="20"/>
              </w:rPr>
              <w:t>(C</w:t>
            </w:r>
            <w:r>
              <w:rPr>
                <w:rFonts w:eastAsia="Calibri" w:cs="Times New Roman"/>
                <w:sz w:val="20"/>
                <w:szCs w:val="20"/>
              </w:rPr>
              <w:t>r</w:t>
            </w:r>
            <w:r w:rsidR="004E1E0A" w:rsidRPr="00857BA8">
              <w:rPr>
                <w:rFonts w:eastAsia="Calibri" w:cs="Times New Roman"/>
                <w:sz w:val="20"/>
                <w:szCs w:val="20"/>
              </w:rPr>
              <w:t>i</w:t>
            </w:r>
            <w:r>
              <w:rPr>
                <w:rFonts w:eastAsia="Calibri" w:cs="Times New Roman"/>
                <w:sz w:val="20"/>
                <w:szCs w:val="20"/>
              </w:rPr>
              <w:t>mina</w:t>
            </w:r>
            <w:r w:rsidR="004E1E0A" w:rsidRPr="00857BA8">
              <w:rPr>
                <w:rFonts w:eastAsia="Calibri" w:cs="Times New Roman"/>
                <w:sz w:val="20"/>
                <w:szCs w:val="20"/>
              </w:rPr>
              <w:t>l) (By Leave) (34</w:t>
            </w:r>
            <w:r>
              <w:rPr>
                <w:rFonts w:eastAsia="Calibri" w:cs="Times New Roman"/>
                <w:sz w:val="20"/>
                <w:szCs w:val="20"/>
              </w:rPr>
              <w:t>650</w:t>
            </w:r>
            <w:r w:rsidR="004E1E0A" w:rsidRPr="00857BA8">
              <w:rPr>
                <w:rFonts w:eastAsia="Calibri" w:cs="Times New Roman"/>
                <w:sz w:val="20"/>
                <w:szCs w:val="20"/>
              </w:rPr>
              <w:t>)</w:t>
            </w:r>
          </w:p>
        </w:tc>
      </w:tr>
      <w:tr w:rsidR="004E1E0A" w:rsidRPr="0085047E" w:rsidTr="00907AF7">
        <w:trPr>
          <w:cantSplit/>
          <w:trHeight w:val="288"/>
        </w:trPr>
        <w:tc>
          <w:tcPr>
            <w:tcW w:w="2398" w:type="dxa"/>
          </w:tcPr>
          <w:p w:rsidR="004E1E0A" w:rsidRPr="003A74F5" w:rsidRDefault="004E1E0A" w:rsidP="00857BA8">
            <w:pPr>
              <w:rPr>
                <w:rFonts w:eastAsia="Calibri" w:cs="Times New Roman"/>
                <w:sz w:val="20"/>
                <w:szCs w:val="20"/>
              </w:rPr>
            </w:pPr>
            <w:r w:rsidRPr="003A74F5">
              <w:rPr>
                <w:rFonts w:eastAsia="Calibri" w:cs="Times New Roman"/>
                <w:sz w:val="20"/>
                <w:szCs w:val="20"/>
              </w:rPr>
              <w:t>201</w:t>
            </w:r>
            <w:r w:rsidR="00857BA8">
              <w:rPr>
                <w:rFonts w:eastAsia="Calibri" w:cs="Times New Roman"/>
                <w:sz w:val="20"/>
                <w:szCs w:val="20"/>
              </w:rPr>
              <w:t>3</w:t>
            </w:r>
            <w:r w:rsidRPr="003A74F5">
              <w:rPr>
                <w:rFonts w:eastAsia="Calibri" w:cs="Times New Roman"/>
                <w:sz w:val="20"/>
                <w:szCs w:val="20"/>
              </w:rPr>
              <w:t>-</w:t>
            </w:r>
            <w:r w:rsidR="00857BA8">
              <w:rPr>
                <w:rFonts w:eastAsia="Calibri" w:cs="Times New Roman"/>
                <w:sz w:val="20"/>
                <w:szCs w:val="20"/>
              </w:rPr>
              <w:t>04</w:t>
            </w:r>
            <w:r w:rsidRPr="003A74F5">
              <w:rPr>
                <w:rFonts w:eastAsia="Calibri" w:cs="Times New Roman"/>
                <w:sz w:val="20"/>
                <w:szCs w:val="20"/>
              </w:rPr>
              <w:t>-</w:t>
            </w:r>
            <w:r w:rsidR="00857BA8">
              <w:rPr>
                <w:rFonts w:eastAsia="Calibri" w:cs="Times New Roman"/>
                <w:sz w:val="20"/>
                <w:szCs w:val="20"/>
              </w:rPr>
              <w:t>23</w:t>
            </w:r>
          </w:p>
        </w:tc>
        <w:tc>
          <w:tcPr>
            <w:tcW w:w="7178" w:type="dxa"/>
          </w:tcPr>
          <w:p w:rsidR="004E1E0A" w:rsidRPr="00857BA8" w:rsidRDefault="00857BA8" w:rsidP="00B44C73">
            <w:pPr>
              <w:jc w:val="both"/>
              <w:rPr>
                <w:rFonts w:eastAsia="Calibri" w:cs="Times New Roman"/>
                <w:sz w:val="20"/>
                <w:szCs w:val="20"/>
              </w:rPr>
            </w:pPr>
            <w:r w:rsidRPr="00857BA8">
              <w:rPr>
                <w:rFonts w:eastAsia="Calibri" w:cs="Times New Roman"/>
                <w:i/>
                <w:sz w:val="20"/>
                <w:szCs w:val="20"/>
              </w:rPr>
              <w:t>Leight</w:t>
            </w:r>
            <w:r w:rsidR="004E1E0A" w:rsidRPr="00857BA8">
              <w:rPr>
                <w:rFonts w:eastAsia="Calibri" w:cs="Times New Roman"/>
                <w:i/>
                <w:sz w:val="20"/>
                <w:szCs w:val="20"/>
              </w:rPr>
              <w:t>on</w:t>
            </w:r>
            <w:r w:rsidRPr="00857BA8">
              <w:rPr>
                <w:rFonts w:eastAsia="Calibri" w:cs="Times New Roman"/>
                <w:i/>
                <w:sz w:val="20"/>
                <w:szCs w:val="20"/>
              </w:rPr>
              <w:t xml:space="preserve"> Hay</w:t>
            </w:r>
            <w:r w:rsidR="004E1E0A" w:rsidRPr="00857BA8">
              <w:rPr>
                <w:rFonts w:eastAsia="Calibri" w:cs="Times New Roman"/>
                <w:i/>
                <w:sz w:val="20"/>
                <w:szCs w:val="20"/>
              </w:rPr>
              <w:t xml:space="preserve"> v. </w:t>
            </w:r>
            <w:r>
              <w:rPr>
                <w:rFonts w:eastAsia="Calibri" w:cs="Times New Roman"/>
                <w:i/>
                <w:sz w:val="20"/>
                <w:szCs w:val="20"/>
              </w:rPr>
              <w:t>H</w:t>
            </w:r>
            <w:r w:rsidRPr="003A74F5">
              <w:rPr>
                <w:rFonts w:eastAsia="Calibri" w:cs="Times New Roman"/>
                <w:i/>
                <w:sz w:val="20"/>
                <w:szCs w:val="20"/>
              </w:rPr>
              <w:t xml:space="preserve">er </w:t>
            </w:r>
            <w:r>
              <w:rPr>
                <w:rFonts w:eastAsia="Calibri" w:cs="Times New Roman"/>
                <w:i/>
                <w:sz w:val="20"/>
                <w:szCs w:val="20"/>
              </w:rPr>
              <w:t>M</w:t>
            </w:r>
            <w:r w:rsidRPr="003A74F5">
              <w:rPr>
                <w:rFonts w:eastAsia="Calibri" w:cs="Times New Roman"/>
                <w:i/>
                <w:sz w:val="20"/>
                <w:szCs w:val="20"/>
              </w:rPr>
              <w:t>a</w:t>
            </w:r>
            <w:r>
              <w:rPr>
                <w:rFonts w:eastAsia="Calibri" w:cs="Times New Roman"/>
                <w:i/>
                <w:sz w:val="20"/>
                <w:szCs w:val="20"/>
              </w:rPr>
              <w:t>je</w:t>
            </w:r>
            <w:r w:rsidRPr="003A74F5">
              <w:rPr>
                <w:rFonts w:eastAsia="Calibri" w:cs="Times New Roman"/>
                <w:i/>
                <w:sz w:val="20"/>
                <w:szCs w:val="20"/>
              </w:rPr>
              <w:t>s</w:t>
            </w:r>
            <w:r>
              <w:rPr>
                <w:rFonts w:eastAsia="Calibri" w:cs="Times New Roman"/>
                <w:i/>
                <w:sz w:val="20"/>
                <w:szCs w:val="20"/>
              </w:rPr>
              <w:t>ty the Queen</w:t>
            </w:r>
            <w:r w:rsidR="004E1E0A" w:rsidRPr="00857BA8">
              <w:rPr>
                <w:rFonts w:eastAsia="Calibri" w:cs="Times New Roman"/>
                <w:sz w:val="20"/>
                <w:szCs w:val="20"/>
              </w:rPr>
              <w:t xml:space="preserve"> (</w:t>
            </w:r>
            <w:r>
              <w:rPr>
                <w:rFonts w:eastAsia="Calibri" w:cs="Times New Roman"/>
                <w:sz w:val="20"/>
                <w:szCs w:val="20"/>
              </w:rPr>
              <w:t>On</w:t>
            </w:r>
            <w:r w:rsidR="004E1E0A" w:rsidRPr="00857BA8">
              <w:rPr>
                <w:rFonts w:eastAsia="Calibri" w:cs="Times New Roman"/>
                <w:sz w:val="20"/>
                <w:szCs w:val="20"/>
              </w:rPr>
              <w:t>t.) (C</w:t>
            </w:r>
            <w:r>
              <w:rPr>
                <w:rFonts w:eastAsia="Calibri" w:cs="Times New Roman"/>
                <w:sz w:val="20"/>
                <w:szCs w:val="20"/>
              </w:rPr>
              <w:t>r</w:t>
            </w:r>
            <w:r w:rsidR="004E1E0A" w:rsidRPr="00857BA8">
              <w:rPr>
                <w:rFonts w:eastAsia="Calibri" w:cs="Times New Roman"/>
                <w:sz w:val="20"/>
                <w:szCs w:val="20"/>
              </w:rPr>
              <w:t>i</w:t>
            </w:r>
            <w:r>
              <w:rPr>
                <w:rFonts w:eastAsia="Calibri" w:cs="Times New Roman"/>
                <w:sz w:val="20"/>
                <w:szCs w:val="20"/>
              </w:rPr>
              <w:t>m</w:t>
            </w:r>
            <w:r w:rsidR="004E1E0A" w:rsidRPr="00857BA8">
              <w:rPr>
                <w:rFonts w:eastAsia="Calibri" w:cs="Times New Roman"/>
                <w:sz w:val="20"/>
                <w:szCs w:val="20"/>
              </w:rPr>
              <w:t>i</w:t>
            </w:r>
            <w:r>
              <w:rPr>
                <w:rFonts w:eastAsia="Calibri" w:cs="Times New Roman"/>
                <w:sz w:val="20"/>
                <w:szCs w:val="20"/>
              </w:rPr>
              <w:t>na</w:t>
            </w:r>
            <w:r w:rsidR="004E1E0A" w:rsidRPr="00857BA8">
              <w:rPr>
                <w:rFonts w:eastAsia="Calibri" w:cs="Times New Roman"/>
                <w:sz w:val="20"/>
                <w:szCs w:val="20"/>
              </w:rPr>
              <w:t>l) (By Leave) (3</w:t>
            </w:r>
            <w:r>
              <w:rPr>
                <w:rFonts w:eastAsia="Calibri" w:cs="Times New Roman"/>
                <w:sz w:val="20"/>
                <w:szCs w:val="20"/>
              </w:rPr>
              <w:t>3536</w:t>
            </w:r>
            <w:r w:rsidR="004E1E0A" w:rsidRPr="00857BA8">
              <w:rPr>
                <w:rFonts w:eastAsia="Calibri" w:cs="Times New Roman"/>
                <w:sz w:val="20"/>
                <w:szCs w:val="20"/>
              </w:rPr>
              <w:t>)</w:t>
            </w:r>
          </w:p>
        </w:tc>
      </w:tr>
      <w:tr w:rsidR="004E1E0A" w:rsidRPr="00C4248C" w:rsidTr="00907AF7">
        <w:trPr>
          <w:cantSplit/>
          <w:trHeight w:val="288"/>
        </w:trPr>
        <w:tc>
          <w:tcPr>
            <w:tcW w:w="2398" w:type="dxa"/>
          </w:tcPr>
          <w:p w:rsidR="004E1E0A" w:rsidRPr="0085047E" w:rsidRDefault="004E1E0A" w:rsidP="00857BA8">
            <w:pPr>
              <w:rPr>
                <w:rFonts w:eastAsia="Calibri" w:cs="Times New Roman"/>
                <w:sz w:val="20"/>
                <w:szCs w:val="20"/>
                <w:lang w:val="fr-CA"/>
              </w:rPr>
            </w:pPr>
            <w:r w:rsidRPr="0085047E">
              <w:rPr>
                <w:rFonts w:eastAsia="Calibri" w:cs="Times New Roman"/>
                <w:sz w:val="20"/>
                <w:szCs w:val="20"/>
                <w:lang w:val="fr-CA"/>
              </w:rPr>
              <w:t>201</w:t>
            </w:r>
            <w:r w:rsidR="00857BA8">
              <w:rPr>
                <w:rFonts w:eastAsia="Calibri" w:cs="Times New Roman"/>
                <w:sz w:val="20"/>
                <w:szCs w:val="20"/>
                <w:lang w:val="fr-CA"/>
              </w:rPr>
              <w:t>3</w:t>
            </w:r>
            <w:r w:rsidRPr="0085047E">
              <w:rPr>
                <w:rFonts w:eastAsia="Calibri" w:cs="Times New Roman"/>
                <w:sz w:val="20"/>
                <w:szCs w:val="20"/>
                <w:lang w:val="fr-CA"/>
              </w:rPr>
              <w:t>-</w:t>
            </w:r>
            <w:r w:rsidR="00857BA8">
              <w:rPr>
                <w:rFonts w:eastAsia="Calibri" w:cs="Times New Roman"/>
                <w:sz w:val="20"/>
                <w:szCs w:val="20"/>
                <w:lang w:val="fr-CA"/>
              </w:rPr>
              <w:t>04</w:t>
            </w:r>
            <w:r w:rsidRPr="0085047E">
              <w:rPr>
                <w:rFonts w:eastAsia="Calibri" w:cs="Times New Roman"/>
                <w:sz w:val="20"/>
                <w:szCs w:val="20"/>
                <w:lang w:val="fr-CA"/>
              </w:rPr>
              <w:t>-</w:t>
            </w:r>
            <w:r w:rsidR="00857BA8">
              <w:rPr>
                <w:rFonts w:eastAsia="Calibri" w:cs="Times New Roman"/>
                <w:sz w:val="20"/>
                <w:szCs w:val="20"/>
                <w:lang w:val="fr-CA"/>
              </w:rPr>
              <w:t>24</w:t>
            </w:r>
          </w:p>
        </w:tc>
        <w:tc>
          <w:tcPr>
            <w:tcW w:w="7178" w:type="dxa"/>
          </w:tcPr>
          <w:p w:rsidR="004E1E0A" w:rsidRPr="00857BA8" w:rsidRDefault="00857BA8" w:rsidP="00857BA8">
            <w:pPr>
              <w:jc w:val="both"/>
              <w:rPr>
                <w:rFonts w:eastAsia="Calibri" w:cs="Times New Roman"/>
                <w:sz w:val="20"/>
                <w:szCs w:val="20"/>
                <w:lang w:val="fr-CA"/>
              </w:rPr>
            </w:pPr>
            <w:r w:rsidRPr="00857BA8">
              <w:rPr>
                <w:rFonts w:eastAsia="Calibri" w:cs="Times New Roman"/>
                <w:i/>
                <w:sz w:val="20"/>
                <w:szCs w:val="20"/>
                <w:lang w:val="fr-CA"/>
              </w:rPr>
              <w:t>Vivendi Canada Inc. c</w:t>
            </w:r>
            <w:r w:rsidR="004E1E0A" w:rsidRPr="00857BA8">
              <w:rPr>
                <w:rFonts w:eastAsia="Calibri" w:cs="Times New Roman"/>
                <w:i/>
                <w:sz w:val="20"/>
                <w:szCs w:val="20"/>
                <w:lang w:val="fr-CA"/>
              </w:rPr>
              <w:t xml:space="preserve">. </w:t>
            </w:r>
            <w:r w:rsidRPr="00857BA8">
              <w:rPr>
                <w:rFonts w:eastAsia="Calibri" w:cs="Times New Roman"/>
                <w:i/>
                <w:sz w:val="20"/>
                <w:szCs w:val="20"/>
                <w:lang w:val="fr-CA"/>
              </w:rPr>
              <w:t>Mich</w:t>
            </w:r>
            <w:r w:rsidR="004E1E0A" w:rsidRPr="00857BA8">
              <w:rPr>
                <w:rFonts w:eastAsia="Calibri" w:cs="Times New Roman"/>
                <w:i/>
                <w:sz w:val="20"/>
                <w:szCs w:val="20"/>
                <w:lang w:val="fr-CA"/>
              </w:rPr>
              <w:t>e</w:t>
            </w:r>
            <w:r w:rsidRPr="00857BA8">
              <w:rPr>
                <w:rFonts w:eastAsia="Calibri" w:cs="Times New Roman"/>
                <w:i/>
                <w:sz w:val="20"/>
                <w:szCs w:val="20"/>
                <w:lang w:val="fr-CA"/>
              </w:rPr>
              <w:t>l Dell’Ani</w:t>
            </w:r>
            <w:r w:rsidR="004E1E0A" w:rsidRPr="00857BA8">
              <w:rPr>
                <w:rFonts w:eastAsia="Calibri" w:cs="Times New Roman"/>
                <w:i/>
                <w:sz w:val="20"/>
                <w:szCs w:val="20"/>
                <w:lang w:val="fr-CA"/>
              </w:rPr>
              <w:t>e</w:t>
            </w:r>
            <w:r w:rsidRPr="00857BA8">
              <w:rPr>
                <w:rFonts w:eastAsia="Calibri" w:cs="Times New Roman"/>
                <w:i/>
                <w:sz w:val="20"/>
                <w:szCs w:val="20"/>
                <w:lang w:val="fr-CA"/>
              </w:rPr>
              <w:t>llo</w:t>
            </w:r>
            <w:r w:rsidR="004E1E0A" w:rsidRPr="00857BA8">
              <w:rPr>
                <w:rFonts w:eastAsia="Calibri" w:cs="Times New Roman"/>
                <w:sz w:val="20"/>
                <w:szCs w:val="20"/>
                <w:lang w:val="fr-CA"/>
              </w:rPr>
              <w:t xml:space="preserve"> (</w:t>
            </w:r>
            <w:r w:rsidRPr="00857BA8">
              <w:rPr>
                <w:rFonts w:eastAsia="Calibri" w:cs="Times New Roman"/>
                <w:sz w:val="20"/>
                <w:szCs w:val="20"/>
                <w:lang w:val="fr-CA"/>
              </w:rPr>
              <w:t>Qc</w:t>
            </w:r>
            <w:r w:rsidR="004E1E0A" w:rsidRPr="00857BA8">
              <w:rPr>
                <w:rFonts w:eastAsia="Calibri" w:cs="Times New Roman"/>
                <w:sz w:val="20"/>
                <w:szCs w:val="20"/>
                <w:lang w:val="fr-CA"/>
              </w:rPr>
              <w:t>) (Ci</w:t>
            </w:r>
            <w:r w:rsidRPr="00857BA8">
              <w:rPr>
                <w:rFonts w:eastAsia="Calibri" w:cs="Times New Roman"/>
                <w:sz w:val="20"/>
                <w:szCs w:val="20"/>
                <w:lang w:val="fr-CA"/>
              </w:rPr>
              <w:t>vi</w:t>
            </w:r>
            <w:r w:rsidR="004E1E0A" w:rsidRPr="00857BA8">
              <w:rPr>
                <w:rFonts w:eastAsia="Calibri" w:cs="Times New Roman"/>
                <w:sz w:val="20"/>
                <w:szCs w:val="20"/>
                <w:lang w:val="fr-CA"/>
              </w:rPr>
              <w:t>l</w:t>
            </w:r>
            <w:r w:rsidRPr="00857BA8">
              <w:rPr>
                <w:rFonts w:eastAsia="Calibri" w:cs="Times New Roman"/>
                <w:sz w:val="20"/>
                <w:szCs w:val="20"/>
                <w:lang w:val="fr-CA"/>
              </w:rPr>
              <w:t>e</w:t>
            </w:r>
            <w:r w:rsidR="004E1E0A" w:rsidRPr="00857BA8">
              <w:rPr>
                <w:rFonts w:eastAsia="Calibri" w:cs="Times New Roman"/>
                <w:sz w:val="20"/>
                <w:szCs w:val="20"/>
                <w:lang w:val="fr-CA"/>
              </w:rPr>
              <w:t>) (A</w:t>
            </w:r>
            <w:r w:rsidRPr="00857BA8">
              <w:rPr>
                <w:rFonts w:eastAsia="Calibri" w:cs="Times New Roman"/>
                <w:sz w:val="20"/>
                <w:szCs w:val="20"/>
                <w:lang w:val="fr-CA"/>
              </w:rPr>
              <w:t>utori</w:t>
            </w:r>
            <w:r w:rsidR="004E1E0A" w:rsidRPr="00857BA8">
              <w:rPr>
                <w:rFonts w:eastAsia="Calibri" w:cs="Times New Roman"/>
                <w:sz w:val="20"/>
                <w:szCs w:val="20"/>
                <w:lang w:val="fr-CA"/>
              </w:rPr>
              <w:t>s</w:t>
            </w:r>
            <w:r w:rsidRPr="00857BA8">
              <w:rPr>
                <w:rFonts w:eastAsia="Calibri" w:cs="Times New Roman"/>
                <w:sz w:val="20"/>
                <w:szCs w:val="20"/>
                <w:lang w:val="fr-CA"/>
              </w:rPr>
              <w:t>ati</w:t>
            </w:r>
            <w:r w:rsidR="004E1E0A" w:rsidRPr="00857BA8">
              <w:rPr>
                <w:rFonts w:eastAsia="Calibri" w:cs="Times New Roman"/>
                <w:sz w:val="20"/>
                <w:szCs w:val="20"/>
                <w:lang w:val="fr-CA"/>
              </w:rPr>
              <w:t>o</w:t>
            </w:r>
            <w:r w:rsidRPr="00857BA8">
              <w:rPr>
                <w:rFonts w:eastAsia="Calibri" w:cs="Times New Roman"/>
                <w:sz w:val="20"/>
                <w:szCs w:val="20"/>
                <w:lang w:val="fr-CA"/>
              </w:rPr>
              <w:t>n</w:t>
            </w:r>
            <w:r w:rsidR="005E45BE">
              <w:rPr>
                <w:rFonts w:eastAsia="Calibri" w:cs="Times New Roman"/>
                <w:sz w:val="20"/>
                <w:szCs w:val="20"/>
                <w:lang w:val="fr-CA"/>
              </w:rPr>
              <w:t>)</w:t>
            </w:r>
            <w:r w:rsidR="004E1E0A" w:rsidRPr="00857BA8">
              <w:rPr>
                <w:rFonts w:eastAsia="Calibri" w:cs="Times New Roman"/>
                <w:sz w:val="20"/>
                <w:szCs w:val="20"/>
                <w:lang w:val="fr-CA"/>
              </w:rPr>
              <w:t xml:space="preserve"> (34</w:t>
            </w:r>
            <w:r>
              <w:rPr>
                <w:rFonts w:eastAsia="Calibri" w:cs="Times New Roman"/>
                <w:sz w:val="20"/>
                <w:szCs w:val="20"/>
                <w:lang w:val="fr-CA"/>
              </w:rPr>
              <w:t>800</w:t>
            </w:r>
            <w:r w:rsidR="004E1E0A" w:rsidRPr="00857BA8">
              <w:rPr>
                <w:rFonts w:eastAsia="Calibri" w:cs="Times New Roman"/>
                <w:sz w:val="20"/>
                <w:szCs w:val="20"/>
                <w:lang w:val="fr-CA"/>
              </w:rPr>
              <w:t>)</w:t>
            </w:r>
          </w:p>
        </w:tc>
      </w:tr>
      <w:tr w:rsidR="00857BA8" w:rsidRPr="00857BA8" w:rsidTr="00907AF7">
        <w:trPr>
          <w:cantSplit/>
          <w:trHeight w:val="288"/>
        </w:trPr>
        <w:tc>
          <w:tcPr>
            <w:tcW w:w="2398" w:type="dxa"/>
          </w:tcPr>
          <w:p w:rsidR="00857BA8" w:rsidRPr="00857BA8" w:rsidRDefault="00B44C73" w:rsidP="00B44C73">
            <w:pPr>
              <w:rPr>
                <w:rFonts w:eastAsia="Calibri" w:cs="Times New Roman"/>
                <w:sz w:val="20"/>
                <w:szCs w:val="20"/>
                <w:lang w:val="fr-CA"/>
              </w:rPr>
            </w:pPr>
            <w:r w:rsidRPr="0085047E">
              <w:rPr>
                <w:rFonts w:eastAsia="Calibri" w:cs="Times New Roman"/>
                <w:sz w:val="20"/>
                <w:szCs w:val="20"/>
                <w:lang w:val="fr-CA"/>
              </w:rPr>
              <w:t>201</w:t>
            </w:r>
            <w:r>
              <w:rPr>
                <w:rFonts w:eastAsia="Calibri" w:cs="Times New Roman"/>
                <w:sz w:val="20"/>
                <w:szCs w:val="20"/>
                <w:lang w:val="fr-CA"/>
              </w:rPr>
              <w:t>3</w:t>
            </w:r>
            <w:r w:rsidRPr="0085047E">
              <w:rPr>
                <w:rFonts w:eastAsia="Calibri" w:cs="Times New Roman"/>
                <w:sz w:val="20"/>
                <w:szCs w:val="20"/>
                <w:lang w:val="fr-CA"/>
              </w:rPr>
              <w:t>-</w:t>
            </w:r>
            <w:r>
              <w:rPr>
                <w:rFonts w:eastAsia="Calibri" w:cs="Times New Roman"/>
                <w:sz w:val="20"/>
                <w:szCs w:val="20"/>
                <w:lang w:val="fr-CA"/>
              </w:rPr>
              <w:t>04</w:t>
            </w:r>
            <w:r w:rsidRPr="0085047E">
              <w:rPr>
                <w:rFonts w:eastAsia="Calibri" w:cs="Times New Roman"/>
                <w:sz w:val="20"/>
                <w:szCs w:val="20"/>
                <w:lang w:val="fr-CA"/>
              </w:rPr>
              <w:t>-</w:t>
            </w:r>
            <w:r>
              <w:rPr>
                <w:rFonts w:eastAsia="Calibri" w:cs="Times New Roman"/>
                <w:sz w:val="20"/>
                <w:szCs w:val="20"/>
                <w:lang w:val="fr-CA"/>
              </w:rPr>
              <w:t>25</w:t>
            </w:r>
          </w:p>
        </w:tc>
        <w:tc>
          <w:tcPr>
            <w:tcW w:w="7178" w:type="dxa"/>
          </w:tcPr>
          <w:p w:rsidR="00857BA8" w:rsidRPr="00C56BE0" w:rsidRDefault="00C56BE0" w:rsidP="00C56BE0">
            <w:pPr>
              <w:jc w:val="both"/>
              <w:rPr>
                <w:rFonts w:eastAsia="Calibri" w:cs="Times New Roman"/>
                <w:i/>
                <w:sz w:val="20"/>
                <w:szCs w:val="20"/>
              </w:rPr>
            </w:pPr>
            <w:r>
              <w:rPr>
                <w:rFonts w:eastAsia="Calibri" w:cs="Times New Roman"/>
                <w:i/>
                <w:sz w:val="20"/>
                <w:szCs w:val="20"/>
              </w:rPr>
              <w:t>H</w:t>
            </w:r>
            <w:r w:rsidRPr="003A74F5">
              <w:rPr>
                <w:rFonts w:eastAsia="Calibri" w:cs="Times New Roman"/>
                <w:i/>
                <w:sz w:val="20"/>
                <w:szCs w:val="20"/>
              </w:rPr>
              <w:t xml:space="preserve">er </w:t>
            </w:r>
            <w:r>
              <w:rPr>
                <w:rFonts w:eastAsia="Calibri" w:cs="Times New Roman"/>
                <w:i/>
                <w:sz w:val="20"/>
                <w:szCs w:val="20"/>
              </w:rPr>
              <w:t>M</w:t>
            </w:r>
            <w:r w:rsidRPr="003A74F5">
              <w:rPr>
                <w:rFonts w:eastAsia="Calibri" w:cs="Times New Roman"/>
                <w:i/>
                <w:sz w:val="20"/>
                <w:szCs w:val="20"/>
              </w:rPr>
              <w:t>a</w:t>
            </w:r>
            <w:r>
              <w:rPr>
                <w:rFonts w:eastAsia="Calibri" w:cs="Times New Roman"/>
                <w:i/>
                <w:sz w:val="20"/>
                <w:szCs w:val="20"/>
              </w:rPr>
              <w:t>je</w:t>
            </w:r>
            <w:r w:rsidRPr="003A74F5">
              <w:rPr>
                <w:rFonts w:eastAsia="Calibri" w:cs="Times New Roman"/>
                <w:i/>
                <w:sz w:val="20"/>
                <w:szCs w:val="20"/>
              </w:rPr>
              <w:t>s</w:t>
            </w:r>
            <w:r>
              <w:rPr>
                <w:rFonts w:eastAsia="Calibri" w:cs="Times New Roman"/>
                <w:i/>
                <w:sz w:val="20"/>
                <w:szCs w:val="20"/>
              </w:rPr>
              <w:t xml:space="preserve">ty the Queen v. G.M. </w:t>
            </w:r>
            <w:r w:rsidRPr="00857BA8">
              <w:rPr>
                <w:rFonts w:eastAsia="Calibri" w:cs="Times New Roman"/>
                <w:sz w:val="20"/>
                <w:szCs w:val="20"/>
              </w:rPr>
              <w:t>(</w:t>
            </w:r>
            <w:r>
              <w:rPr>
                <w:rFonts w:eastAsia="Calibri" w:cs="Times New Roman"/>
                <w:sz w:val="20"/>
                <w:szCs w:val="20"/>
              </w:rPr>
              <w:t>N.L</w:t>
            </w:r>
            <w:r w:rsidRPr="00857BA8">
              <w:rPr>
                <w:rFonts w:eastAsia="Calibri" w:cs="Times New Roman"/>
                <w:sz w:val="20"/>
                <w:szCs w:val="20"/>
              </w:rPr>
              <w:t>.) (C</w:t>
            </w:r>
            <w:r>
              <w:rPr>
                <w:rFonts w:eastAsia="Calibri" w:cs="Times New Roman"/>
                <w:sz w:val="20"/>
                <w:szCs w:val="20"/>
              </w:rPr>
              <w:t>r</w:t>
            </w:r>
            <w:r w:rsidRPr="00857BA8">
              <w:rPr>
                <w:rFonts w:eastAsia="Calibri" w:cs="Times New Roman"/>
                <w:sz w:val="20"/>
                <w:szCs w:val="20"/>
              </w:rPr>
              <w:t>i</w:t>
            </w:r>
            <w:r>
              <w:rPr>
                <w:rFonts w:eastAsia="Calibri" w:cs="Times New Roman"/>
                <w:sz w:val="20"/>
                <w:szCs w:val="20"/>
              </w:rPr>
              <w:t>m</w:t>
            </w:r>
            <w:r w:rsidRPr="00857BA8">
              <w:rPr>
                <w:rFonts w:eastAsia="Calibri" w:cs="Times New Roman"/>
                <w:sz w:val="20"/>
                <w:szCs w:val="20"/>
              </w:rPr>
              <w:t>i</w:t>
            </w:r>
            <w:r>
              <w:rPr>
                <w:rFonts w:eastAsia="Calibri" w:cs="Times New Roman"/>
                <w:sz w:val="20"/>
                <w:szCs w:val="20"/>
              </w:rPr>
              <w:t>na</w:t>
            </w:r>
            <w:r w:rsidRPr="00857BA8">
              <w:rPr>
                <w:rFonts w:eastAsia="Calibri" w:cs="Times New Roman"/>
                <w:sz w:val="20"/>
                <w:szCs w:val="20"/>
              </w:rPr>
              <w:t>l) (</w:t>
            </w:r>
            <w:r>
              <w:rPr>
                <w:rFonts w:eastAsia="Calibri" w:cs="Times New Roman"/>
                <w:sz w:val="20"/>
                <w:szCs w:val="20"/>
              </w:rPr>
              <w:t>As of Right</w:t>
            </w:r>
            <w:r w:rsidRPr="00857BA8">
              <w:rPr>
                <w:rFonts w:eastAsia="Calibri" w:cs="Times New Roman"/>
                <w:sz w:val="20"/>
                <w:szCs w:val="20"/>
              </w:rPr>
              <w:t>) (3</w:t>
            </w:r>
            <w:r>
              <w:rPr>
                <w:rFonts w:eastAsia="Calibri" w:cs="Times New Roman"/>
                <w:sz w:val="20"/>
                <w:szCs w:val="20"/>
              </w:rPr>
              <w:t>4952</w:t>
            </w:r>
            <w:r w:rsidRPr="00857BA8">
              <w:rPr>
                <w:rFonts w:eastAsia="Calibri" w:cs="Times New Roman"/>
                <w:sz w:val="20"/>
                <w:szCs w:val="20"/>
              </w:rPr>
              <w:t>)</w:t>
            </w:r>
          </w:p>
        </w:tc>
      </w:tr>
      <w:tr w:rsidR="00857BA8" w:rsidRPr="00857BA8" w:rsidTr="00907AF7">
        <w:trPr>
          <w:cantSplit/>
          <w:trHeight w:val="288"/>
        </w:trPr>
        <w:tc>
          <w:tcPr>
            <w:tcW w:w="2398" w:type="dxa"/>
          </w:tcPr>
          <w:p w:rsidR="00857BA8" w:rsidRPr="00C56BE0" w:rsidRDefault="00B44C73" w:rsidP="00B44C73">
            <w:pPr>
              <w:rPr>
                <w:rFonts w:eastAsia="Calibri" w:cs="Times New Roman"/>
                <w:sz w:val="20"/>
                <w:szCs w:val="20"/>
              </w:rPr>
            </w:pPr>
            <w:r w:rsidRPr="00C56BE0">
              <w:rPr>
                <w:rFonts w:eastAsia="Calibri" w:cs="Times New Roman"/>
                <w:sz w:val="20"/>
                <w:szCs w:val="20"/>
              </w:rPr>
              <w:t>2013-04-26</w:t>
            </w:r>
          </w:p>
        </w:tc>
        <w:tc>
          <w:tcPr>
            <w:tcW w:w="7178" w:type="dxa"/>
          </w:tcPr>
          <w:p w:rsidR="00857BA8" w:rsidRPr="00C56BE0" w:rsidRDefault="00C56BE0" w:rsidP="00C56BE0">
            <w:pPr>
              <w:jc w:val="both"/>
              <w:rPr>
                <w:rFonts w:eastAsia="Calibri" w:cs="Times New Roman"/>
                <w:i/>
                <w:sz w:val="20"/>
                <w:szCs w:val="20"/>
              </w:rPr>
            </w:pPr>
            <w:r>
              <w:rPr>
                <w:rFonts w:eastAsia="Calibri" w:cs="Times New Roman"/>
                <w:i/>
                <w:sz w:val="20"/>
                <w:szCs w:val="20"/>
              </w:rPr>
              <w:t>B</w:t>
            </w:r>
            <w:r w:rsidRPr="00857BA8">
              <w:rPr>
                <w:rFonts w:eastAsia="Calibri" w:cs="Times New Roman"/>
                <w:i/>
                <w:sz w:val="20"/>
                <w:szCs w:val="20"/>
              </w:rPr>
              <w:t>i</w:t>
            </w:r>
            <w:r>
              <w:rPr>
                <w:rFonts w:eastAsia="Calibri" w:cs="Times New Roman"/>
                <w:i/>
                <w:sz w:val="20"/>
                <w:szCs w:val="20"/>
              </w:rPr>
              <w:t>ll James P</w:t>
            </w:r>
            <w:r w:rsidRPr="00857BA8">
              <w:rPr>
                <w:rFonts w:eastAsia="Calibri" w:cs="Times New Roman"/>
                <w:i/>
                <w:sz w:val="20"/>
                <w:szCs w:val="20"/>
              </w:rPr>
              <w:t>a</w:t>
            </w:r>
            <w:r>
              <w:rPr>
                <w:rFonts w:eastAsia="Calibri" w:cs="Times New Roman"/>
                <w:i/>
                <w:sz w:val="20"/>
                <w:szCs w:val="20"/>
              </w:rPr>
              <w:t>ppas</w:t>
            </w:r>
            <w:r w:rsidRPr="00857BA8">
              <w:rPr>
                <w:rFonts w:eastAsia="Calibri" w:cs="Times New Roman"/>
                <w:i/>
                <w:sz w:val="20"/>
                <w:szCs w:val="20"/>
              </w:rPr>
              <w:t xml:space="preserve"> v. </w:t>
            </w:r>
            <w:r>
              <w:rPr>
                <w:rFonts w:eastAsia="Calibri" w:cs="Times New Roman"/>
                <w:i/>
                <w:sz w:val="20"/>
                <w:szCs w:val="20"/>
              </w:rPr>
              <w:t>H</w:t>
            </w:r>
            <w:r w:rsidRPr="003A74F5">
              <w:rPr>
                <w:rFonts w:eastAsia="Calibri" w:cs="Times New Roman"/>
                <w:i/>
                <w:sz w:val="20"/>
                <w:szCs w:val="20"/>
              </w:rPr>
              <w:t xml:space="preserve">er </w:t>
            </w:r>
            <w:r>
              <w:rPr>
                <w:rFonts w:eastAsia="Calibri" w:cs="Times New Roman"/>
                <w:i/>
                <w:sz w:val="20"/>
                <w:szCs w:val="20"/>
              </w:rPr>
              <w:t>M</w:t>
            </w:r>
            <w:r w:rsidRPr="003A74F5">
              <w:rPr>
                <w:rFonts w:eastAsia="Calibri" w:cs="Times New Roman"/>
                <w:i/>
                <w:sz w:val="20"/>
                <w:szCs w:val="20"/>
              </w:rPr>
              <w:t>a</w:t>
            </w:r>
            <w:r>
              <w:rPr>
                <w:rFonts w:eastAsia="Calibri" w:cs="Times New Roman"/>
                <w:i/>
                <w:sz w:val="20"/>
                <w:szCs w:val="20"/>
              </w:rPr>
              <w:t>je</w:t>
            </w:r>
            <w:r w:rsidRPr="003A74F5">
              <w:rPr>
                <w:rFonts w:eastAsia="Calibri" w:cs="Times New Roman"/>
                <w:i/>
                <w:sz w:val="20"/>
                <w:szCs w:val="20"/>
              </w:rPr>
              <w:t>s</w:t>
            </w:r>
            <w:r>
              <w:rPr>
                <w:rFonts w:eastAsia="Calibri" w:cs="Times New Roman"/>
                <w:i/>
                <w:sz w:val="20"/>
                <w:szCs w:val="20"/>
              </w:rPr>
              <w:t>ty the Queen</w:t>
            </w:r>
            <w:r w:rsidRPr="00857BA8">
              <w:rPr>
                <w:rFonts w:eastAsia="Calibri" w:cs="Times New Roman"/>
                <w:sz w:val="20"/>
                <w:szCs w:val="20"/>
              </w:rPr>
              <w:t xml:space="preserve"> (</w:t>
            </w:r>
            <w:r>
              <w:rPr>
                <w:rFonts w:eastAsia="Calibri" w:cs="Times New Roman"/>
                <w:sz w:val="20"/>
                <w:szCs w:val="20"/>
              </w:rPr>
              <w:t>Al</w:t>
            </w:r>
            <w:r w:rsidRPr="00857BA8">
              <w:rPr>
                <w:rFonts w:eastAsia="Calibri" w:cs="Times New Roman"/>
                <w:sz w:val="20"/>
                <w:szCs w:val="20"/>
              </w:rPr>
              <w:t>t</w:t>
            </w:r>
            <w:r>
              <w:rPr>
                <w:rFonts w:eastAsia="Calibri" w:cs="Times New Roman"/>
                <w:sz w:val="20"/>
                <w:szCs w:val="20"/>
              </w:rPr>
              <w:t>a</w:t>
            </w:r>
            <w:r w:rsidRPr="00857BA8">
              <w:rPr>
                <w:rFonts w:eastAsia="Calibri" w:cs="Times New Roman"/>
                <w:sz w:val="20"/>
                <w:szCs w:val="20"/>
              </w:rPr>
              <w:t>.) (C</w:t>
            </w:r>
            <w:r>
              <w:rPr>
                <w:rFonts w:eastAsia="Calibri" w:cs="Times New Roman"/>
                <w:sz w:val="20"/>
                <w:szCs w:val="20"/>
              </w:rPr>
              <w:t>r</w:t>
            </w:r>
            <w:r w:rsidRPr="00857BA8">
              <w:rPr>
                <w:rFonts w:eastAsia="Calibri" w:cs="Times New Roman"/>
                <w:sz w:val="20"/>
                <w:szCs w:val="20"/>
              </w:rPr>
              <w:t>i</w:t>
            </w:r>
            <w:r>
              <w:rPr>
                <w:rFonts w:eastAsia="Calibri" w:cs="Times New Roman"/>
                <w:sz w:val="20"/>
                <w:szCs w:val="20"/>
              </w:rPr>
              <w:t>m</w:t>
            </w:r>
            <w:r w:rsidRPr="00857BA8">
              <w:rPr>
                <w:rFonts w:eastAsia="Calibri" w:cs="Times New Roman"/>
                <w:sz w:val="20"/>
                <w:szCs w:val="20"/>
              </w:rPr>
              <w:t>i</w:t>
            </w:r>
            <w:r>
              <w:rPr>
                <w:rFonts w:eastAsia="Calibri" w:cs="Times New Roman"/>
                <w:sz w:val="20"/>
                <w:szCs w:val="20"/>
              </w:rPr>
              <w:t>na</w:t>
            </w:r>
            <w:r w:rsidRPr="00857BA8">
              <w:rPr>
                <w:rFonts w:eastAsia="Calibri" w:cs="Times New Roman"/>
                <w:sz w:val="20"/>
                <w:szCs w:val="20"/>
              </w:rPr>
              <w:t>l</w:t>
            </w:r>
            <w:r>
              <w:rPr>
                <w:rFonts w:eastAsia="Calibri" w:cs="Times New Roman"/>
                <w:sz w:val="20"/>
                <w:szCs w:val="20"/>
              </w:rPr>
              <w:t>) (As of Right) (34951)</w:t>
            </w:r>
          </w:p>
        </w:tc>
      </w:tr>
      <w:tr w:rsidR="00857BA8" w:rsidRPr="00857BA8" w:rsidTr="00907AF7">
        <w:trPr>
          <w:cantSplit/>
          <w:trHeight w:val="288"/>
        </w:trPr>
        <w:tc>
          <w:tcPr>
            <w:tcW w:w="2398" w:type="dxa"/>
          </w:tcPr>
          <w:p w:rsidR="00857BA8" w:rsidRPr="00C56BE0" w:rsidRDefault="00B44C73" w:rsidP="00B44C73">
            <w:pPr>
              <w:rPr>
                <w:rFonts w:eastAsia="Calibri" w:cs="Times New Roman"/>
                <w:sz w:val="20"/>
                <w:szCs w:val="20"/>
              </w:rPr>
            </w:pPr>
            <w:r w:rsidRPr="00C56BE0">
              <w:rPr>
                <w:rFonts w:eastAsia="Calibri" w:cs="Times New Roman"/>
                <w:sz w:val="20"/>
                <w:szCs w:val="20"/>
              </w:rPr>
              <w:t>2013-04-26</w:t>
            </w:r>
          </w:p>
        </w:tc>
        <w:tc>
          <w:tcPr>
            <w:tcW w:w="7178" w:type="dxa"/>
          </w:tcPr>
          <w:p w:rsidR="00857BA8" w:rsidRPr="00C56BE0" w:rsidRDefault="00C56BE0" w:rsidP="00C56BE0">
            <w:pPr>
              <w:jc w:val="both"/>
              <w:rPr>
                <w:rFonts w:eastAsia="Calibri" w:cs="Times New Roman"/>
                <w:i/>
                <w:sz w:val="20"/>
                <w:szCs w:val="20"/>
              </w:rPr>
            </w:pPr>
            <w:r>
              <w:rPr>
                <w:rFonts w:eastAsia="Calibri" w:cs="Times New Roman"/>
                <w:i/>
                <w:sz w:val="20"/>
                <w:szCs w:val="20"/>
              </w:rPr>
              <w:t>M</w:t>
            </w:r>
            <w:r w:rsidRPr="00857BA8">
              <w:rPr>
                <w:rFonts w:eastAsia="Calibri" w:cs="Times New Roman"/>
                <w:i/>
                <w:sz w:val="20"/>
                <w:szCs w:val="20"/>
              </w:rPr>
              <w:t>i</w:t>
            </w:r>
            <w:r>
              <w:rPr>
                <w:rFonts w:eastAsia="Calibri" w:cs="Times New Roman"/>
                <w:i/>
                <w:sz w:val="20"/>
                <w:szCs w:val="20"/>
              </w:rPr>
              <w:t>chael John C</w:t>
            </w:r>
            <w:r w:rsidRPr="00857BA8">
              <w:rPr>
                <w:rFonts w:eastAsia="Calibri" w:cs="Times New Roman"/>
                <w:i/>
                <w:sz w:val="20"/>
                <w:szCs w:val="20"/>
              </w:rPr>
              <w:t>a</w:t>
            </w:r>
            <w:r>
              <w:rPr>
                <w:rFonts w:eastAsia="Calibri" w:cs="Times New Roman"/>
                <w:i/>
                <w:sz w:val="20"/>
                <w:szCs w:val="20"/>
              </w:rPr>
              <w:t>rney</w:t>
            </w:r>
            <w:r w:rsidRPr="00857BA8">
              <w:rPr>
                <w:rFonts w:eastAsia="Calibri" w:cs="Times New Roman"/>
                <w:i/>
                <w:sz w:val="20"/>
                <w:szCs w:val="20"/>
              </w:rPr>
              <w:t xml:space="preserve"> v. </w:t>
            </w:r>
            <w:r>
              <w:rPr>
                <w:rFonts w:eastAsia="Calibri" w:cs="Times New Roman"/>
                <w:i/>
                <w:sz w:val="20"/>
                <w:szCs w:val="20"/>
              </w:rPr>
              <w:t>H</w:t>
            </w:r>
            <w:r w:rsidRPr="003A74F5">
              <w:rPr>
                <w:rFonts w:eastAsia="Calibri" w:cs="Times New Roman"/>
                <w:i/>
                <w:sz w:val="20"/>
                <w:szCs w:val="20"/>
              </w:rPr>
              <w:t xml:space="preserve">er </w:t>
            </w:r>
            <w:r>
              <w:rPr>
                <w:rFonts w:eastAsia="Calibri" w:cs="Times New Roman"/>
                <w:i/>
                <w:sz w:val="20"/>
                <w:szCs w:val="20"/>
              </w:rPr>
              <w:t>M</w:t>
            </w:r>
            <w:r w:rsidRPr="003A74F5">
              <w:rPr>
                <w:rFonts w:eastAsia="Calibri" w:cs="Times New Roman"/>
                <w:i/>
                <w:sz w:val="20"/>
                <w:szCs w:val="20"/>
              </w:rPr>
              <w:t>a</w:t>
            </w:r>
            <w:r>
              <w:rPr>
                <w:rFonts w:eastAsia="Calibri" w:cs="Times New Roman"/>
                <w:i/>
                <w:sz w:val="20"/>
                <w:szCs w:val="20"/>
              </w:rPr>
              <w:t>je</w:t>
            </w:r>
            <w:r w:rsidRPr="003A74F5">
              <w:rPr>
                <w:rFonts w:eastAsia="Calibri" w:cs="Times New Roman"/>
                <w:i/>
                <w:sz w:val="20"/>
                <w:szCs w:val="20"/>
              </w:rPr>
              <w:t>s</w:t>
            </w:r>
            <w:r>
              <w:rPr>
                <w:rFonts w:eastAsia="Calibri" w:cs="Times New Roman"/>
                <w:i/>
                <w:sz w:val="20"/>
                <w:szCs w:val="20"/>
              </w:rPr>
              <w:t>ty the Queen</w:t>
            </w:r>
            <w:r w:rsidRPr="00857BA8">
              <w:rPr>
                <w:rFonts w:eastAsia="Calibri" w:cs="Times New Roman"/>
                <w:sz w:val="20"/>
                <w:szCs w:val="20"/>
              </w:rPr>
              <w:t xml:space="preserve"> (</w:t>
            </w:r>
            <w:r>
              <w:rPr>
                <w:rFonts w:eastAsia="Calibri" w:cs="Times New Roman"/>
                <w:sz w:val="20"/>
                <w:szCs w:val="20"/>
              </w:rPr>
              <w:t>Al</w:t>
            </w:r>
            <w:r w:rsidRPr="00857BA8">
              <w:rPr>
                <w:rFonts w:eastAsia="Calibri" w:cs="Times New Roman"/>
                <w:sz w:val="20"/>
                <w:szCs w:val="20"/>
              </w:rPr>
              <w:t>t</w:t>
            </w:r>
            <w:r>
              <w:rPr>
                <w:rFonts w:eastAsia="Calibri" w:cs="Times New Roman"/>
                <w:sz w:val="20"/>
                <w:szCs w:val="20"/>
              </w:rPr>
              <w:t>a</w:t>
            </w:r>
            <w:r w:rsidRPr="00857BA8">
              <w:rPr>
                <w:rFonts w:eastAsia="Calibri" w:cs="Times New Roman"/>
                <w:sz w:val="20"/>
                <w:szCs w:val="20"/>
              </w:rPr>
              <w:t>.) (C</w:t>
            </w:r>
            <w:r>
              <w:rPr>
                <w:rFonts w:eastAsia="Calibri" w:cs="Times New Roman"/>
                <w:sz w:val="20"/>
                <w:szCs w:val="20"/>
              </w:rPr>
              <w:t>r</w:t>
            </w:r>
            <w:r w:rsidRPr="00857BA8">
              <w:rPr>
                <w:rFonts w:eastAsia="Calibri" w:cs="Times New Roman"/>
                <w:sz w:val="20"/>
                <w:szCs w:val="20"/>
              </w:rPr>
              <w:t>i</w:t>
            </w:r>
            <w:r>
              <w:rPr>
                <w:rFonts w:eastAsia="Calibri" w:cs="Times New Roman"/>
                <w:sz w:val="20"/>
                <w:szCs w:val="20"/>
              </w:rPr>
              <w:t>m</w:t>
            </w:r>
            <w:r w:rsidRPr="00857BA8">
              <w:rPr>
                <w:rFonts w:eastAsia="Calibri" w:cs="Times New Roman"/>
                <w:sz w:val="20"/>
                <w:szCs w:val="20"/>
              </w:rPr>
              <w:t>i</w:t>
            </w:r>
            <w:r>
              <w:rPr>
                <w:rFonts w:eastAsia="Calibri" w:cs="Times New Roman"/>
                <w:sz w:val="20"/>
                <w:szCs w:val="20"/>
              </w:rPr>
              <w:t>na</w:t>
            </w:r>
            <w:r w:rsidRPr="00857BA8">
              <w:rPr>
                <w:rFonts w:eastAsia="Calibri" w:cs="Times New Roman"/>
                <w:sz w:val="20"/>
                <w:szCs w:val="20"/>
              </w:rPr>
              <w:t>l</w:t>
            </w:r>
            <w:r>
              <w:rPr>
                <w:rFonts w:eastAsia="Calibri" w:cs="Times New Roman"/>
                <w:sz w:val="20"/>
                <w:szCs w:val="20"/>
              </w:rPr>
              <w:t xml:space="preserve">) </w:t>
            </w:r>
            <w:r w:rsidRPr="00857BA8">
              <w:rPr>
                <w:rFonts w:eastAsia="Calibri" w:cs="Times New Roman"/>
                <w:sz w:val="20"/>
                <w:szCs w:val="20"/>
              </w:rPr>
              <w:t>(By Leave) (3</w:t>
            </w:r>
            <w:r>
              <w:rPr>
                <w:rFonts w:eastAsia="Calibri" w:cs="Times New Roman"/>
                <w:sz w:val="20"/>
                <w:szCs w:val="20"/>
              </w:rPr>
              <w:t>4848</w:t>
            </w:r>
            <w:r w:rsidRPr="00857BA8">
              <w:rPr>
                <w:rFonts w:eastAsia="Calibri" w:cs="Times New Roman"/>
                <w:sz w:val="20"/>
                <w:szCs w:val="20"/>
              </w:rPr>
              <w:t>)</w:t>
            </w:r>
          </w:p>
        </w:tc>
      </w:tr>
    </w:tbl>
    <w:p w:rsidR="004B66B4" w:rsidRPr="00C56BE0" w:rsidRDefault="004B66B4" w:rsidP="004B66B4">
      <w:pPr>
        <w:ind w:left="1890" w:hanging="1890"/>
        <w:jc w:val="both"/>
        <w:rPr>
          <w:sz w:val="20"/>
          <w:szCs w:val="20"/>
        </w:rPr>
      </w:pPr>
    </w:p>
    <w:p w:rsidR="004B66B4" w:rsidRPr="00DD0B49" w:rsidRDefault="00B74DD2" w:rsidP="002868D0">
      <w:pPr>
        <w:jc w:val="both"/>
        <w:rPr>
          <w:sz w:val="20"/>
          <w:szCs w:val="20"/>
        </w:rPr>
      </w:pPr>
      <w:r w:rsidRPr="00B74DD2">
        <w:rPr>
          <w:sz w:val="20"/>
          <w:szCs w:val="20"/>
          <w:lang w:val="fr-CA"/>
        </w:rPr>
        <w:pict>
          <v:rect id="_x0000_i1081" style="width:2in;height:1pt" o:hrpct="0" o:hralign="center" o:hrstd="t" o:hrnoshade="t" o:hr="t" fillcolor="black [3213]" stroked="f"/>
        </w:pict>
      </w:r>
    </w:p>
    <w:p w:rsidR="004B66B4" w:rsidRPr="00DD0B49" w:rsidRDefault="004B66B4" w:rsidP="004B66B4">
      <w:pPr>
        <w:tabs>
          <w:tab w:val="left" w:pos="1980"/>
        </w:tabs>
        <w:jc w:val="both"/>
        <w:rPr>
          <w:sz w:val="20"/>
          <w:szCs w:val="20"/>
        </w:rPr>
      </w:pPr>
    </w:p>
    <w:p w:rsidR="004B66B4" w:rsidRPr="00DD0B49" w:rsidRDefault="004B66B4" w:rsidP="004B66B4">
      <w:pPr>
        <w:jc w:val="both"/>
        <w:rPr>
          <w:sz w:val="20"/>
          <w:szCs w:val="20"/>
        </w:rPr>
      </w:pPr>
      <w:r w:rsidRPr="00DD0B49">
        <w:rPr>
          <w:b/>
          <w:sz w:val="20"/>
          <w:szCs w:val="20"/>
        </w:rPr>
        <w:t>NOTE:</w:t>
      </w:r>
      <w:r w:rsidRPr="00DD0B49">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 996-8666.</w:t>
      </w:r>
    </w:p>
    <w:p w:rsidR="004B66B4" w:rsidRPr="00DD0B49" w:rsidRDefault="004B66B4" w:rsidP="004B66B4">
      <w:pPr>
        <w:jc w:val="both"/>
        <w:rPr>
          <w:sz w:val="20"/>
          <w:szCs w:val="20"/>
        </w:rPr>
      </w:pPr>
    </w:p>
    <w:p w:rsidR="004B66B4" w:rsidRPr="00DD0B49" w:rsidRDefault="004B66B4" w:rsidP="004B66B4">
      <w:pPr>
        <w:jc w:val="both"/>
        <w:rPr>
          <w:sz w:val="20"/>
          <w:szCs w:val="20"/>
          <w:lang w:val="fr-CA"/>
        </w:rPr>
      </w:pPr>
      <w:r w:rsidRPr="00DD0B49">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C50A5C" w:rsidRDefault="00C50A5C" w:rsidP="0022323B">
      <w:pPr>
        <w:rPr>
          <w:sz w:val="20"/>
          <w:szCs w:val="20"/>
          <w:lang w:val="fr-CA"/>
        </w:rPr>
      </w:pPr>
    </w:p>
    <w:p w:rsidR="00102926" w:rsidRPr="00C50A5C" w:rsidRDefault="00102926"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54"/>
          <w:headerReference w:type="default" r:id="rId55"/>
          <w:footerReference w:type="even" r:id="rId56"/>
          <w:footerReference w:type="default" r:id="rId57"/>
          <w:headerReference w:type="first" r:id="rId58"/>
          <w:footerReference w:type="first" r:id="rId5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5F263E" w:rsidRPr="00C50A5C" w:rsidTr="0085476B">
        <w:tc>
          <w:tcPr>
            <w:tcW w:w="4200" w:type="dxa"/>
            <w:shd w:val="clear" w:color="auto" w:fill="auto"/>
            <w:tcMar>
              <w:left w:w="0" w:type="dxa"/>
              <w:right w:w="0" w:type="dxa"/>
            </w:tcMar>
          </w:tcPr>
          <w:p w:rsidR="005F263E" w:rsidRPr="00C50A5C" w:rsidRDefault="005F263E" w:rsidP="006B6926">
            <w:pPr>
              <w:keepNext/>
              <w:keepLines/>
              <w:rPr>
                <w:b/>
                <w:szCs w:val="24"/>
              </w:rPr>
            </w:pPr>
            <w:r w:rsidRPr="00C50A5C">
              <w:rPr>
                <w:b/>
                <w:szCs w:val="24"/>
              </w:rPr>
              <w:t>SUMMARIES OF THE CASES</w:t>
            </w:r>
          </w:p>
        </w:tc>
        <w:tc>
          <w:tcPr>
            <w:tcW w:w="1200" w:type="dxa"/>
            <w:shd w:val="clear" w:color="auto" w:fill="auto"/>
            <w:tcMar>
              <w:left w:w="0" w:type="dxa"/>
              <w:right w:w="0" w:type="dxa"/>
            </w:tcMar>
          </w:tcPr>
          <w:p w:rsidR="005F263E" w:rsidRPr="00C50A5C"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C50A5C"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C50A5C"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50A5C">
              <w:rPr>
                <w:b/>
                <w:szCs w:val="24"/>
                <w:lang w:val="fr-CA"/>
              </w:rPr>
              <w:t>RÉSUMÉS DES AFFAIRES</w:t>
            </w:r>
          </w:p>
        </w:tc>
      </w:tr>
    </w:tbl>
    <w:p w:rsidR="000B3C9A" w:rsidRPr="00DD0B49" w:rsidRDefault="000B3C9A" w:rsidP="000B3C9A">
      <w:pPr>
        <w:tabs>
          <w:tab w:val="left" w:pos="-1440"/>
          <w:tab w:val="left" w:pos="-720"/>
        </w:tabs>
        <w:ind w:left="720" w:hanging="720"/>
        <w:jc w:val="both"/>
        <w:rPr>
          <w:sz w:val="20"/>
          <w:szCs w:val="20"/>
          <w:lang w:val="fr-CA"/>
        </w:rPr>
      </w:pPr>
    </w:p>
    <w:p w:rsidR="00E26E38" w:rsidRPr="004A3A10" w:rsidRDefault="00B74DD2" w:rsidP="00E26E38">
      <w:pPr>
        <w:widowControl w:val="0"/>
        <w:ind w:left="720" w:hanging="720"/>
        <w:jc w:val="both"/>
        <w:rPr>
          <w:rFonts w:eastAsia="Times New Roman"/>
          <w:i/>
          <w:sz w:val="20"/>
          <w:szCs w:val="20"/>
          <w:lang w:val="fr-CA" w:eastAsia="en-CA"/>
        </w:rPr>
      </w:pPr>
      <w:r w:rsidRPr="004A3A10">
        <w:rPr>
          <w:rFonts w:eastAsia="Times New Roman"/>
          <w:b/>
          <w:sz w:val="20"/>
          <w:szCs w:val="20"/>
          <w:lang w:eastAsia="en-CA"/>
        </w:rPr>
        <w:fldChar w:fldCharType="begin"/>
      </w:r>
      <w:r w:rsidR="00E26E38" w:rsidRPr="004A3A10">
        <w:rPr>
          <w:rFonts w:eastAsia="Times New Roman"/>
          <w:b/>
          <w:sz w:val="20"/>
          <w:szCs w:val="20"/>
          <w:lang w:val="fr-CA" w:eastAsia="en-CA"/>
        </w:rPr>
        <w:instrText xml:space="preserve"> SEQ CHAPTER \h \r 1</w:instrText>
      </w:r>
      <w:r w:rsidRPr="004A3A10">
        <w:rPr>
          <w:rFonts w:eastAsia="Times New Roman"/>
          <w:b/>
          <w:sz w:val="20"/>
          <w:szCs w:val="20"/>
          <w:lang w:eastAsia="en-CA"/>
        </w:rPr>
        <w:fldChar w:fldCharType="end"/>
      </w:r>
      <w:r w:rsidR="00E26E38" w:rsidRPr="004A3A10">
        <w:rPr>
          <w:rFonts w:eastAsia="Times New Roman"/>
          <w:b/>
          <w:sz w:val="20"/>
          <w:szCs w:val="20"/>
          <w:lang w:val="fr-CA" w:eastAsia="en-CA"/>
        </w:rPr>
        <w:t>34908</w:t>
      </w:r>
      <w:r w:rsidR="00E26E38" w:rsidRPr="004A3A10">
        <w:rPr>
          <w:rFonts w:eastAsia="Times New Roman"/>
          <w:sz w:val="20"/>
          <w:szCs w:val="20"/>
          <w:lang w:val="fr-CA" w:eastAsia="en-CA"/>
        </w:rPr>
        <w:tab/>
      </w:r>
      <w:r w:rsidR="00E26E38" w:rsidRPr="004A3A10">
        <w:rPr>
          <w:rFonts w:eastAsia="Times New Roman"/>
          <w:b/>
          <w:i/>
          <w:sz w:val="20"/>
          <w:szCs w:val="20"/>
          <w:lang w:val="fr-CA" w:eastAsia="en-CA"/>
        </w:rPr>
        <w:t>Conseil Scolaire Francophone de la Colombie</w:t>
      </w:r>
      <w:r w:rsidR="00E26E38" w:rsidRPr="004A3A10">
        <w:rPr>
          <w:rFonts w:eastAsia="Times New Roman"/>
          <w:b/>
          <w:i/>
          <w:sz w:val="20"/>
          <w:szCs w:val="20"/>
          <w:lang w:val="fr-CA" w:eastAsia="en-CA"/>
        </w:rPr>
        <w:noBreakHyphen/>
        <w:t>Britannique, et al. v. Her Majesty the Queen in Right of the Province of British Columbia, et al.</w:t>
      </w:r>
    </w:p>
    <w:p w:rsidR="00E26E38" w:rsidRPr="004A3A10" w:rsidRDefault="00E26E38" w:rsidP="00E26E38">
      <w:pPr>
        <w:rPr>
          <w:sz w:val="20"/>
          <w:szCs w:val="20"/>
          <w:lang w:val="fr-CA"/>
        </w:rPr>
      </w:pPr>
    </w:p>
    <w:p w:rsidR="00E26E38" w:rsidRPr="004A3A10" w:rsidRDefault="00E26E38" w:rsidP="00E26E38">
      <w:pPr>
        <w:jc w:val="both"/>
        <w:rPr>
          <w:rFonts w:eastAsia="Times New Roman"/>
          <w:color w:val="000000"/>
          <w:sz w:val="20"/>
          <w:szCs w:val="20"/>
          <w:lang w:eastAsia="en-CA"/>
        </w:rPr>
      </w:pPr>
      <w:r w:rsidRPr="004A3A10">
        <w:rPr>
          <w:rFonts w:eastAsia="Times New Roman"/>
          <w:color w:val="000000"/>
          <w:sz w:val="20"/>
          <w:szCs w:val="20"/>
          <w:lang w:eastAsia="en-CA"/>
        </w:rPr>
        <w:t xml:space="preserve">Civil evidence </w:t>
      </w:r>
      <w:r w:rsidRPr="004A3A10">
        <w:rPr>
          <w:rFonts w:eastAsia="Times New Roman"/>
          <w:color w:val="000000"/>
          <w:sz w:val="20"/>
          <w:szCs w:val="20"/>
          <w:lang w:eastAsia="en-CA"/>
        </w:rPr>
        <w:noBreakHyphen/>
        <w:t xml:space="preserve"> Admissibility </w:t>
      </w:r>
      <w:r w:rsidRPr="004A3A10">
        <w:rPr>
          <w:rFonts w:eastAsia="Times New Roman"/>
          <w:color w:val="000000"/>
          <w:sz w:val="20"/>
          <w:szCs w:val="20"/>
          <w:lang w:eastAsia="en-CA"/>
        </w:rPr>
        <w:noBreakHyphen/>
        <w:t xml:space="preserve"> Exhibits </w:t>
      </w:r>
      <w:r w:rsidRPr="004A3A10">
        <w:rPr>
          <w:rFonts w:eastAsia="Times New Roman"/>
          <w:color w:val="000000"/>
          <w:sz w:val="20"/>
          <w:szCs w:val="20"/>
          <w:lang w:eastAsia="en-CA"/>
        </w:rPr>
        <w:noBreakHyphen/>
        <w:t xml:space="preserve"> Application for declaration that untranslated exhibits in French language, attached to affidavit, could be considered by court without certified translation dismissed </w:t>
      </w:r>
      <w:r w:rsidRPr="004A3A10">
        <w:rPr>
          <w:rFonts w:eastAsia="Times New Roman"/>
          <w:color w:val="000000"/>
          <w:sz w:val="20"/>
          <w:szCs w:val="20"/>
          <w:lang w:eastAsia="en-CA"/>
        </w:rPr>
        <w:noBreakHyphen/>
        <w:t xml:space="preserve"> Whether 1731 English statute, which provides that English is language of courts and prohibits admission of exhibits in language other than English without certified translation, is still in force in British Columbia </w:t>
      </w:r>
      <w:r w:rsidRPr="004A3A10">
        <w:rPr>
          <w:rFonts w:eastAsia="Times New Roman"/>
          <w:color w:val="000000"/>
          <w:sz w:val="20"/>
          <w:szCs w:val="20"/>
          <w:lang w:eastAsia="en-CA"/>
        </w:rPr>
        <w:noBreakHyphen/>
        <w:t xml:space="preserve"> Whether trial judge presiding over civil proceedings has discretion to admit documentary evidence in language other than English without certified translation </w:t>
      </w:r>
      <w:r w:rsidRPr="004A3A10">
        <w:rPr>
          <w:rFonts w:eastAsia="Times New Roman"/>
          <w:color w:val="000000"/>
          <w:sz w:val="20"/>
          <w:szCs w:val="20"/>
          <w:lang w:eastAsia="en-CA"/>
        </w:rPr>
        <w:noBreakHyphen/>
        <w:t xml:space="preserve"> </w:t>
      </w:r>
      <w:r w:rsidRPr="004A3A10">
        <w:rPr>
          <w:rFonts w:eastAsia="Times New Roman"/>
          <w:i/>
          <w:color w:val="000000"/>
          <w:sz w:val="20"/>
          <w:szCs w:val="20"/>
          <w:lang w:eastAsia="en-CA"/>
        </w:rPr>
        <w:t>Proceedings in the Courts of Justice Act</w:t>
      </w:r>
      <w:r w:rsidRPr="004A3A10">
        <w:rPr>
          <w:rFonts w:eastAsia="Times New Roman"/>
          <w:color w:val="000000"/>
          <w:sz w:val="20"/>
          <w:szCs w:val="20"/>
          <w:lang w:eastAsia="en-CA"/>
        </w:rPr>
        <w:t>, 1731 (U.K.), 4 Geo. II, c. 26.</w:t>
      </w:r>
    </w:p>
    <w:p w:rsidR="00E26E38" w:rsidRPr="004A3A10" w:rsidRDefault="00E26E38" w:rsidP="00E26E38">
      <w:pPr>
        <w:widowControl w:val="0"/>
        <w:jc w:val="both"/>
        <w:rPr>
          <w:rFonts w:eastAsia="Times New Roman"/>
          <w:sz w:val="20"/>
          <w:szCs w:val="20"/>
          <w:lang w:eastAsia="en-CA"/>
        </w:rPr>
      </w:pPr>
    </w:p>
    <w:p w:rsidR="00E26E38" w:rsidRPr="004A3A10" w:rsidRDefault="00E26E38" w:rsidP="00E26E38">
      <w:pPr>
        <w:widowControl w:val="0"/>
        <w:jc w:val="both"/>
        <w:rPr>
          <w:rFonts w:eastAsia="Times New Roman"/>
          <w:sz w:val="20"/>
          <w:szCs w:val="20"/>
          <w:lang w:eastAsia="en-CA"/>
        </w:rPr>
      </w:pPr>
      <w:r w:rsidRPr="004A3A10">
        <w:rPr>
          <w:rFonts w:eastAsia="Times New Roman"/>
          <w:color w:val="000000"/>
          <w:sz w:val="20"/>
          <w:szCs w:val="20"/>
          <w:lang w:eastAsia="en-CA"/>
        </w:rPr>
        <w:t xml:space="preserve">The applicants brought an action against the Province of British Columbia and the Minister of Education (collectively, the “Province”), alleging violations of the Province’s constitutional obligations under s. 23 of the </w:t>
      </w:r>
      <w:r w:rsidRPr="004A3A10">
        <w:rPr>
          <w:rFonts w:eastAsia="Times New Roman"/>
          <w:i/>
          <w:color w:val="000000"/>
          <w:sz w:val="20"/>
          <w:szCs w:val="20"/>
          <w:lang w:eastAsia="en-CA"/>
        </w:rPr>
        <w:t>Canadian Charter</w:t>
      </w:r>
      <w:r w:rsidRPr="004A3A10">
        <w:rPr>
          <w:rFonts w:eastAsia="Times New Roman"/>
          <w:color w:val="000000"/>
          <w:sz w:val="20"/>
          <w:szCs w:val="20"/>
          <w:lang w:eastAsia="en-CA"/>
        </w:rPr>
        <w:t xml:space="preserve"> </w:t>
      </w:r>
      <w:r w:rsidRPr="004A3A10">
        <w:rPr>
          <w:rFonts w:eastAsia="Times New Roman"/>
          <w:i/>
          <w:color w:val="000000"/>
          <w:sz w:val="20"/>
          <w:szCs w:val="20"/>
          <w:lang w:eastAsia="en-CA"/>
        </w:rPr>
        <w:t>of Rights and Freedoms</w:t>
      </w:r>
      <w:r w:rsidRPr="004A3A10">
        <w:rPr>
          <w:rFonts w:eastAsia="Times New Roman"/>
          <w:color w:val="000000"/>
          <w:sz w:val="20"/>
          <w:szCs w:val="20"/>
          <w:lang w:eastAsia="en-CA"/>
        </w:rPr>
        <w:t>.  The Province filed an application to remove the applicants Conseil Scolaire and Fédération des Parents as plaintiffs, and to add the Conseil scolaire as a third party.  The Province contended that neither the Conseil scolaire nor the Fédération was entitled to assert the linguistic rights guaranteed by s. 23 or to bring an action to protect those rights.  In response, the Conseil scolaire and the Fédération filed affidavits describing their respective roles in the promotion and protection of French</w:t>
      </w:r>
      <w:r w:rsidRPr="004A3A10">
        <w:rPr>
          <w:rFonts w:eastAsia="Times New Roman"/>
          <w:color w:val="000000"/>
          <w:sz w:val="20"/>
          <w:szCs w:val="20"/>
          <w:lang w:eastAsia="en-CA"/>
        </w:rPr>
        <w:noBreakHyphen/>
        <w:t>language education and culture in the province.  They attached to these affidavits 195 pages of French</w:t>
      </w:r>
      <w:r w:rsidRPr="004A3A10">
        <w:rPr>
          <w:rFonts w:eastAsia="Times New Roman"/>
          <w:color w:val="000000"/>
          <w:sz w:val="20"/>
          <w:szCs w:val="20"/>
          <w:lang w:eastAsia="en-CA"/>
        </w:rPr>
        <w:noBreakHyphen/>
        <w:t xml:space="preserve">language exhibits and sought a declaration that the exhibits could be considered by the court without a certified translation.  The application in this regard was dismissed. </w:t>
      </w:r>
    </w:p>
    <w:p w:rsidR="00E26E38" w:rsidRPr="004A3A10" w:rsidRDefault="00E26E38" w:rsidP="00E26E38">
      <w:pPr>
        <w:widowControl w:val="0"/>
        <w:jc w:val="both"/>
        <w:rPr>
          <w:rFonts w:eastAsia="Times New Roman"/>
          <w:sz w:val="20"/>
          <w:szCs w:val="20"/>
          <w:lang w:eastAsia="en-CA"/>
        </w:rPr>
      </w:pPr>
    </w:p>
    <w:p w:rsidR="00E26E38" w:rsidRPr="004A3A10" w:rsidRDefault="00E26E38" w:rsidP="00E26E38">
      <w:pPr>
        <w:widowControl w:val="0"/>
        <w:jc w:val="both"/>
        <w:rPr>
          <w:rFonts w:eastAsia="Times New Roman"/>
          <w:sz w:val="20"/>
          <w:szCs w:val="20"/>
          <w:lang w:eastAsia="en-CA"/>
        </w:rPr>
      </w:pPr>
    </w:p>
    <w:p w:rsidR="00E26E38" w:rsidRPr="004A3A10" w:rsidRDefault="00E26E38" w:rsidP="005E45BE">
      <w:pPr>
        <w:widowControl w:val="0"/>
        <w:ind w:left="2880" w:hanging="2880"/>
        <w:jc w:val="both"/>
        <w:rPr>
          <w:rFonts w:eastAsia="Times New Roman"/>
          <w:sz w:val="20"/>
          <w:szCs w:val="20"/>
          <w:lang w:eastAsia="en-CA"/>
        </w:rPr>
      </w:pPr>
      <w:r w:rsidRPr="004A3A10">
        <w:rPr>
          <w:rFonts w:eastAsia="Times New Roman"/>
          <w:sz w:val="20"/>
          <w:szCs w:val="20"/>
          <w:lang w:eastAsia="en-CA"/>
        </w:rPr>
        <w:t>Origin of the case:</w:t>
      </w:r>
      <w:r w:rsidRPr="004A3A10">
        <w:rPr>
          <w:rFonts w:eastAsia="Times New Roman"/>
          <w:sz w:val="20"/>
          <w:szCs w:val="20"/>
          <w:lang w:eastAsia="en-CA"/>
        </w:rPr>
        <w:tab/>
        <w:t>British Columbia</w:t>
      </w:r>
    </w:p>
    <w:p w:rsidR="00E26E38" w:rsidRPr="004A3A10" w:rsidRDefault="00E26E38" w:rsidP="005E45BE">
      <w:pPr>
        <w:widowControl w:val="0"/>
        <w:ind w:left="2880" w:hanging="2880"/>
        <w:jc w:val="both"/>
        <w:rPr>
          <w:rFonts w:eastAsia="Times New Roman"/>
          <w:sz w:val="20"/>
          <w:szCs w:val="20"/>
          <w:lang w:eastAsia="en-CA"/>
        </w:rPr>
      </w:pPr>
    </w:p>
    <w:p w:rsidR="00E26E38" w:rsidRPr="004A3A10" w:rsidRDefault="00E26E38" w:rsidP="005E45BE">
      <w:pPr>
        <w:widowControl w:val="0"/>
        <w:ind w:left="2880" w:hanging="2880"/>
        <w:jc w:val="both"/>
        <w:rPr>
          <w:rFonts w:eastAsia="Times New Roman"/>
          <w:sz w:val="20"/>
          <w:szCs w:val="20"/>
          <w:lang w:eastAsia="en-CA"/>
        </w:rPr>
      </w:pPr>
      <w:r w:rsidRPr="004A3A10">
        <w:rPr>
          <w:rFonts w:eastAsia="Times New Roman"/>
          <w:sz w:val="20"/>
          <w:szCs w:val="20"/>
          <w:lang w:eastAsia="en-CA"/>
        </w:rPr>
        <w:t>File No.:</w:t>
      </w:r>
      <w:r w:rsidRPr="004A3A10">
        <w:rPr>
          <w:rFonts w:eastAsia="Times New Roman"/>
          <w:sz w:val="20"/>
          <w:szCs w:val="20"/>
          <w:lang w:eastAsia="en-CA"/>
        </w:rPr>
        <w:tab/>
        <w:t>34908</w:t>
      </w:r>
    </w:p>
    <w:p w:rsidR="00E26E38" w:rsidRPr="004A3A10" w:rsidRDefault="00E26E38" w:rsidP="005E45BE">
      <w:pPr>
        <w:widowControl w:val="0"/>
        <w:ind w:left="2880" w:hanging="2880"/>
        <w:jc w:val="both"/>
        <w:rPr>
          <w:rFonts w:eastAsia="Times New Roman"/>
          <w:sz w:val="20"/>
          <w:szCs w:val="20"/>
          <w:lang w:eastAsia="en-CA"/>
        </w:rPr>
      </w:pPr>
    </w:p>
    <w:p w:rsidR="00E26E38" w:rsidRPr="004A3A10" w:rsidRDefault="00E26E38" w:rsidP="005E45BE">
      <w:pPr>
        <w:widowControl w:val="0"/>
        <w:ind w:left="2880" w:hanging="2880"/>
        <w:jc w:val="both"/>
        <w:rPr>
          <w:rFonts w:eastAsia="Times New Roman"/>
          <w:sz w:val="20"/>
          <w:szCs w:val="20"/>
          <w:lang w:eastAsia="en-CA"/>
        </w:rPr>
      </w:pPr>
      <w:r w:rsidRPr="004A3A10">
        <w:rPr>
          <w:rFonts w:eastAsia="Times New Roman"/>
          <w:sz w:val="20"/>
          <w:szCs w:val="20"/>
          <w:lang w:eastAsia="en-CA"/>
        </w:rPr>
        <w:t>Judgment of the Court of Appeal:</w:t>
      </w:r>
      <w:r w:rsidRPr="004A3A10">
        <w:rPr>
          <w:rFonts w:eastAsia="Times New Roman"/>
          <w:sz w:val="20"/>
          <w:szCs w:val="20"/>
          <w:lang w:eastAsia="en-CA"/>
        </w:rPr>
        <w:tab/>
        <w:t>June 27, 2012</w:t>
      </w:r>
    </w:p>
    <w:p w:rsidR="00E26E38" w:rsidRPr="004A3A10" w:rsidRDefault="00E26E38" w:rsidP="005E45BE">
      <w:pPr>
        <w:widowControl w:val="0"/>
        <w:ind w:left="2880" w:hanging="2880"/>
        <w:jc w:val="both"/>
        <w:rPr>
          <w:rFonts w:eastAsia="Times New Roman"/>
          <w:sz w:val="20"/>
          <w:szCs w:val="20"/>
          <w:lang w:eastAsia="en-CA"/>
        </w:rPr>
      </w:pPr>
    </w:p>
    <w:p w:rsidR="00E26E38" w:rsidRPr="004A3A10" w:rsidRDefault="00E26E38" w:rsidP="005E45BE">
      <w:pPr>
        <w:widowControl w:val="0"/>
        <w:ind w:left="2880" w:hanging="2880"/>
        <w:jc w:val="both"/>
        <w:rPr>
          <w:rFonts w:eastAsia="Times New Roman"/>
          <w:sz w:val="20"/>
          <w:szCs w:val="20"/>
          <w:lang w:eastAsia="en-CA"/>
        </w:rPr>
      </w:pPr>
      <w:r w:rsidRPr="004A3A10">
        <w:rPr>
          <w:rFonts w:eastAsia="Times New Roman"/>
          <w:sz w:val="20"/>
          <w:szCs w:val="20"/>
          <w:lang w:eastAsia="en-CA"/>
        </w:rPr>
        <w:t>Counsel:</w:t>
      </w:r>
      <w:r w:rsidRPr="004A3A10">
        <w:rPr>
          <w:rFonts w:eastAsia="Times New Roman"/>
          <w:sz w:val="20"/>
          <w:szCs w:val="20"/>
          <w:lang w:eastAsia="en-CA"/>
        </w:rPr>
        <w:tab/>
        <w:t>Robert W. Grant, Mark C. Power and Jennifer Klinck for the appellants</w:t>
      </w:r>
    </w:p>
    <w:p w:rsidR="00E26E38" w:rsidRPr="004A3A10" w:rsidRDefault="00E26E38" w:rsidP="005E45BE">
      <w:pPr>
        <w:widowControl w:val="0"/>
        <w:ind w:left="2880" w:hanging="2880"/>
        <w:jc w:val="both"/>
        <w:rPr>
          <w:rFonts w:eastAsia="Times New Roman"/>
          <w:sz w:val="20"/>
          <w:szCs w:val="20"/>
          <w:lang w:eastAsia="en-CA"/>
        </w:rPr>
      </w:pPr>
      <w:r w:rsidRPr="004A3A10">
        <w:rPr>
          <w:rFonts w:eastAsia="Times New Roman"/>
          <w:sz w:val="20"/>
          <w:szCs w:val="20"/>
          <w:lang w:eastAsia="en-CA"/>
        </w:rPr>
        <w:tab/>
        <w:t>Robert E. Houston for the respondents</w:t>
      </w:r>
    </w:p>
    <w:p w:rsidR="00E26E38" w:rsidRPr="00A33A9D" w:rsidRDefault="00E26E38" w:rsidP="00E26E38">
      <w:pPr>
        <w:jc w:val="both"/>
        <w:rPr>
          <w:sz w:val="20"/>
          <w:szCs w:val="20"/>
          <w:lang w:val="en-US"/>
        </w:rPr>
      </w:pPr>
    </w:p>
    <w:p w:rsidR="00E26E38" w:rsidRDefault="00B74DD2" w:rsidP="00E26E38">
      <w:pPr>
        <w:tabs>
          <w:tab w:val="left" w:pos="-1440"/>
          <w:tab w:val="left" w:pos="-720"/>
        </w:tabs>
        <w:jc w:val="both"/>
        <w:rPr>
          <w:sz w:val="20"/>
          <w:szCs w:val="20"/>
          <w:lang w:val="fr-CA"/>
        </w:rPr>
      </w:pPr>
      <w:r w:rsidRPr="00B74DD2">
        <w:rPr>
          <w:sz w:val="20"/>
          <w:szCs w:val="20"/>
          <w:lang w:val="fr-CA"/>
        </w:rPr>
        <w:pict>
          <v:rect id="_x0000_i1084" style="width:2in;height:1pt" o:hrpct="0" o:hralign="center" o:hrstd="t" o:hrnoshade="t" o:hr="t" fillcolor="black [3213]" stroked="f"/>
        </w:pict>
      </w:r>
    </w:p>
    <w:p w:rsidR="00E26E38" w:rsidRDefault="00E26E38" w:rsidP="00E26E38">
      <w:pPr>
        <w:tabs>
          <w:tab w:val="left" w:pos="-1440"/>
          <w:tab w:val="left" w:pos="-720"/>
        </w:tabs>
        <w:jc w:val="both"/>
        <w:rPr>
          <w:sz w:val="20"/>
          <w:szCs w:val="20"/>
          <w:lang w:val="fr-CA"/>
        </w:rPr>
      </w:pPr>
    </w:p>
    <w:p w:rsidR="00E26E38" w:rsidRDefault="00E26E38" w:rsidP="00E26E38">
      <w:pPr>
        <w:rPr>
          <w:sz w:val="20"/>
          <w:szCs w:val="20"/>
          <w:lang w:val="fr-CA"/>
        </w:rPr>
      </w:pPr>
      <w:r>
        <w:rPr>
          <w:sz w:val="20"/>
          <w:szCs w:val="20"/>
          <w:lang w:val="fr-CA"/>
        </w:rPr>
        <w:br w:type="page"/>
      </w:r>
    </w:p>
    <w:p w:rsidR="00E26E38" w:rsidRPr="00972800" w:rsidRDefault="00B74DD2" w:rsidP="00E26E38">
      <w:pPr>
        <w:widowControl w:val="0"/>
        <w:ind w:left="720" w:hanging="720"/>
        <w:jc w:val="both"/>
        <w:rPr>
          <w:i/>
          <w:sz w:val="20"/>
          <w:szCs w:val="20"/>
          <w:lang w:val="fr-CA"/>
        </w:rPr>
      </w:pPr>
      <w:r w:rsidRPr="00972800">
        <w:rPr>
          <w:b/>
          <w:sz w:val="20"/>
          <w:szCs w:val="20"/>
          <w:lang w:val="fr-CA"/>
        </w:rPr>
        <w:fldChar w:fldCharType="begin"/>
      </w:r>
      <w:r w:rsidR="00E26E38" w:rsidRPr="00972800">
        <w:rPr>
          <w:b/>
          <w:sz w:val="20"/>
          <w:szCs w:val="20"/>
          <w:lang w:val="fr-CA"/>
        </w:rPr>
        <w:instrText xml:space="preserve"> SEQ CHAPTER \h \r 1</w:instrText>
      </w:r>
      <w:r w:rsidRPr="00972800">
        <w:rPr>
          <w:b/>
          <w:sz w:val="20"/>
          <w:szCs w:val="20"/>
          <w:lang w:val="fr-CA"/>
        </w:rPr>
        <w:fldChar w:fldCharType="end"/>
      </w:r>
      <w:r w:rsidR="00E26E38" w:rsidRPr="00972800">
        <w:rPr>
          <w:b/>
          <w:sz w:val="20"/>
          <w:szCs w:val="20"/>
          <w:lang w:val="fr-CA"/>
        </w:rPr>
        <w:t>34908</w:t>
      </w:r>
      <w:r w:rsidR="00E26E38" w:rsidRPr="00972800">
        <w:rPr>
          <w:sz w:val="20"/>
          <w:szCs w:val="20"/>
          <w:lang w:val="fr-CA"/>
        </w:rPr>
        <w:tab/>
      </w:r>
      <w:r w:rsidR="00E26E38" w:rsidRPr="00972800">
        <w:rPr>
          <w:b/>
          <w:i/>
          <w:sz w:val="20"/>
          <w:szCs w:val="20"/>
          <w:lang w:val="fr-CA"/>
        </w:rPr>
        <w:t>Conseil Scolaire Francophone de la Colombie</w:t>
      </w:r>
      <w:r w:rsidR="00E26E38" w:rsidRPr="00972800">
        <w:rPr>
          <w:b/>
          <w:i/>
          <w:sz w:val="20"/>
          <w:szCs w:val="20"/>
          <w:lang w:val="fr-CA"/>
        </w:rPr>
        <w:noBreakHyphen/>
        <w:t>Britannique, et al. c. Sa Majesté la Reine du chef de la province de Colombie</w:t>
      </w:r>
      <w:r w:rsidR="00E26E38" w:rsidRPr="00972800">
        <w:rPr>
          <w:b/>
          <w:i/>
          <w:sz w:val="20"/>
          <w:szCs w:val="20"/>
          <w:lang w:val="fr-CA"/>
        </w:rPr>
        <w:noBreakHyphen/>
        <w:t>Britannique, et al.</w:t>
      </w:r>
    </w:p>
    <w:p w:rsidR="00E26E38" w:rsidRPr="00972800" w:rsidRDefault="00E26E38" w:rsidP="00E26E38">
      <w:pPr>
        <w:pStyle w:val="SCCLsocParty"/>
        <w:jc w:val="left"/>
        <w:rPr>
          <w:sz w:val="20"/>
          <w:szCs w:val="20"/>
          <w:lang w:val="fr-CA"/>
        </w:rPr>
      </w:pPr>
    </w:p>
    <w:p w:rsidR="00E26E38" w:rsidRPr="00972800" w:rsidRDefault="00E26E38" w:rsidP="00E26E38">
      <w:pPr>
        <w:jc w:val="both"/>
        <w:rPr>
          <w:color w:val="000000"/>
          <w:sz w:val="20"/>
          <w:szCs w:val="20"/>
          <w:lang w:val="fr-FR"/>
        </w:rPr>
      </w:pPr>
      <w:r w:rsidRPr="00972800">
        <w:rPr>
          <w:color w:val="000000"/>
          <w:sz w:val="20"/>
          <w:szCs w:val="20"/>
          <w:lang w:val="fr-FR"/>
        </w:rPr>
        <w:t xml:space="preserve">Preuve civile </w:t>
      </w:r>
      <w:r w:rsidRPr="00972800">
        <w:rPr>
          <w:color w:val="000000"/>
          <w:sz w:val="20"/>
          <w:szCs w:val="20"/>
          <w:lang w:val="fr-FR"/>
        </w:rPr>
        <w:noBreakHyphen/>
        <w:t xml:space="preserve"> Admissibilité </w:t>
      </w:r>
      <w:r w:rsidRPr="00972800">
        <w:rPr>
          <w:color w:val="000000"/>
          <w:sz w:val="20"/>
          <w:szCs w:val="20"/>
          <w:lang w:val="fr-FR"/>
        </w:rPr>
        <w:noBreakHyphen/>
        <w:t xml:space="preserve"> Pièces </w:t>
      </w:r>
      <w:r w:rsidRPr="00972800">
        <w:rPr>
          <w:color w:val="000000"/>
          <w:sz w:val="20"/>
          <w:szCs w:val="20"/>
          <w:lang w:val="fr-FR"/>
        </w:rPr>
        <w:noBreakHyphen/>
        <w:t xml:space="preserve"> Demande de jugement déclaratoire selon lequel les pièces non traduites rédigées en langue française, annexées à un affidavit, peuvent être considérées par le tribunal sans traduction certifiée conforme, rejetée </w:t>
      </w:r>
      <w:r w:rsidRPr="00972800">
        <w:rPr>
          <w:color w:val="000000"/>
          <w:sz w:val="20"/>
          <w:szCs w:val="20"/>
          <w:lang w:val="fr-FR"/>
        </w:rPr>
        <w:noBreakHyphen/>
        <w:t xml:space="preserve"> Une loi de 1731 reçue d’Angleterre, qui prévoit que l’anglais est la langue des tribunaux et qui interdit l’admission de pièces dans une langue autre que l’anglais sans traduction certifiée conforme est</w:t>
      </w:r>
      <w:r w:rsidRPr="00972800">
        <w:rPr>
          <w:color w:val="000000"/>
          <w:sz w:val="20"/>
          <w:szCs w:val="20"/>
          <w:lang w:val="fr-FR"/>
        </w:rPr>
        <w:noBreakHyphen/>
        <w:t xml:space="preserve">elle encore en vigueur en Colombie Britannique? </w:t>
      </w:r>
      <w:r w:rsidRPr="00972800">
        <w:rPr>
          <w:color w:val="000000"/>
          <w:sz w:val="20"/>
          <w:szCs w:val="20"/>
          <w:lang w:val="fr-FR"/>
        </w:rPr>
        <w:noBreakHyphen/>
        <w:t xml:space="preserve"> Le juge qui préside une instance civile a</w:t>
      </w:r>
      <w:r w:rsidRPr="00972800">
        <w:rPr>
          <w:color w:val="000000"/>
          <w:sz w:val="20"/>
          <w:szCs w:val="20"/>
          <w:lang w:val="fr-FR"/>
        </w:rPr>
        <w:noBreakHyphen/>
        <w:t>t</w:t>
      </w:r>
      <w:r w:rsidRPr="00972800">
        <w:rPr>
          <w:color w:val="000000"/>
          <w:sz w:val="20"/>
          <w:szCs w:val="20"/>
          <w:lang w:val="fr-FR"/>
        </w:rPr>
        <w:noBreakHyphen/>
        <w:t xml:space="preserve">il le pouvoir discrétionnaire d’admettre une preuve documentaire dans une langue autre que l’anglais sans traduction certifiée conforme? </w:t>
      </w:r>
      <w:r w:rsidRPr="00972800">
        <w:rPr>
          <w:color w:val="000000"/>
          <w:sz w:val="20"/>
          <w:szCs w:val="20"/>
        </w:rPr>
        <w:noBreakHyphen/>
        <w:t xml:space="preserve"> </w:t>
      </w:r>
      <w:r w:rsidRPr="00972800">
        <w:rPr>
          <w:i/>
          <w:color w:val="000000"/>
          <w:sz w:val="20"/>
          <w:szCs w:val="20"/>
        </w:rPr>
        <w:t>Proceedings in the Courts of Justice Act</w:t>
      </w:r>
      <w:r w:rsidRPr="00972800">
        <w:rPr>
          <w:color w:val="000000"/>
          <w:sz w:val="20"/>
          <w:szCs w:val="20"/>
        </w:rPr>
        <w:t>, 1731 (U.K.), 4 Geo. </w:t>
      </w:r>
      <w:r w:rsidRPr="00972800">
        <w:rPr>
          <w:color w:val="000000"/>
          <w:sz w:val="20"/>
          <w:szCs w:val="20"/>
          <w:lang w:val="fr-FR"/>
        </w:rPr>
        <w:t>II, ch. 26.</w:t>
      </w:r>
    </w:p>
    <w:p w:rsidR="00E26E38" w:rsidRPr="00972800" w:rsidRDefault="00E26E38" w:rsidP="00E26E38">
      <w:pPr>
        <w:widowControl w:val="0"/>
        <w:jc w:val="both"/>
        <w:rPr>
          <w:sz w:val="20"/>
          <w:szCs w:val="20"/>
          <w:lang w:val="fr-CA"/>
        </w:rPr>
      </w:pPr>
    </w:p>
    <w:p w:rsidR="00E26E38" w:rsidRPr="00972800" w:rsidRDefault="00E26E38" w:rsidP="00E26E38">
      <w:pPr>
        <w:widowControl w:val="0"/>
        <w:jc w:val="both"/>
        <w:rPr>
          <w:sz w:val="20"/>
          <w:szCs w:val="20"/>
          <w:lang w:val="fr-CA"/>
        </w:rPr>
      </w:pPr>
      <w:r w:rsidRPr="00972800">
        <w:rPr>
          <w:color w:val="000000"/>
          <w:sz w:val="20"/>
          <w:szCs w:val="20"/>
          <w:lang w:val="fr-FR"/>
        </w:rPr>
        <w:t xml:space="preserve">Les appelants ont intenté une action contre la Province de Colombie Britannique et le ministre de l’Éducation (collectivement la « Province »), alléguant des violations aux obligations constitutionnelles de la Province au regard de l’art. 23 de la </w:t>
      </w:r>
      <w:r w:rsidRPr="00972800">
        <w:rPr>
          <w:i/>
          <w:color w:val="000000"/>
          <w:sz w:val="20"/>
          <w:szCs w:val="20"/>
          <w:lang w:val="fr-FR"/>
        </w:rPr>
        <w:t>Charte canadienne des droits et libertés</w:t>
      </w:r>
      <w:r w:rsidRPr="00972800">
        <w:rPr>
          <w:color w:val="000000"/>
          <w:sz w:val="20"/>
          <w:szCs w:val="20"/>
          <w:lang w:val="fr-FR"/>
        </w:rPr>
        <w:t xml:space="preserve">.  La province a déposé une requête en vue de retirer le Conseil scolaire et la Fédération des parents comme demandeurs en première instance et d’ajouter le Conseil scolaire comme mis en cause.  La Province a allégué que ni le Conseil scolaire ni la Fédération n’avaient le droit de revendiquer les droits linguistiques garantis par l’art. 23 ou d’intenter une action pour protéger ces droits.  En réponse, le Conseil scolaire et la Fédération ont déposé des affidavits qui décrivent leurs rôles respectifs dans la promotion et la protection de l’éducation et de la culture de langue française dans la province.  Ils ont annexé à ces affidavits 195 pages de pièces en langue française et ont demandé un jugement déclaratoire selon lequel les pièces peuvent être considérées par le tribunal sans traduction certifiée conforme.  Cette demande a été rejetée. </w:t>
      </w:r>
    </w:p>
    <w:p w:rsidR="00E26E38" w:rsidRPr="00972800" w:rsidRDefault="00E26E38" w:rsidP="00E26E38">
      <w:pPr>
        <w:widowControl w:val="0"/>
        <w:jc w:val="both"/>
        <w:rPr>
          <w:sz w:val="20"/>
          <w:szCs w:val="20"/>
          <w:lang w:val="fr-CA"/>
        </w:rPr>
      </w:pPr>
    </w:p>
    <w:p w:rsidR="00E26E38" w:rsidRPr="00972800" w:rsidRDefault="00E26E38" w:rsidP="00E26E38">
      <w:pPr>
        <w:widowControl w:val="0"/>
        <w:jc w:val="both"/>
        <w:rPr>
          <w:sz w:val="20"/>
          <w:szCs w:val="20"/>
          <w:lang w:val="fr-CA"/>
        </w:rPr>
      </w:pPr>
    </w:p>
    <w:p w:rsidR="00E26E38" w:rsidRPr="00972800" w:rsidRDefault="00E26E38" w:rsidP="00C112D4">
      <w:pPr>
        <w:widowControl w:val="0"/>
        <w:ind w:left="2880" w:hanging="2880"/>
        <w:jc w:val="both"/>
        <w:rPr>
          <w:sz w:val="20"/>
          <w:szCs w:val="20"/>
          <w:lang w:val="fr-CA"/>
        </w:rPr>
      </w:pPr>
      <w:r w:rsidRPr="00972800">
        <w:rPr>
          <w:sz w:val="20"/>
          <w:szCs w:val="20"/>
          <w:lang w:val="fr-CA"/>
        </w:rPr>
        <w:t>Origine :</w:t>
      </w:r>
      <w:r w:rsidRPr="00972800">
        <w:rPr>
          <w:sz w:val="20"/>
          <w:szCs w:val="20"/>
          <w:lang w:val="fr-CA"/>
        </w:rPr>
        <w:tab/>
        <w:t>Colombie</w:t>
      </w:r>
      <w:r w:rsidRPr="00972800">
        <w:rPr>
          <w:sz w:val="20"/>
          <w:szCs w:val="20"/>
          <w:lang w:val="fr-CA"/>
        </w:rPr>
        <w:noBreakHyphen/>
        <w:t>Britannique</w:t>
      </w:r>
    </w:p>
    <w:p w:rsidR="00E26E38" w:rsidRPr="00972800" w:rsidRDefault="00E26E38" w:rsidP="00C112D4">
      <w:pPr>
        <w:widowControl w:val="0"/>
        <w:ind w:left="2880" w:hanging="2880"/>
        <w:jc w:val="both"/>
        <w:rPr>
          <w:sz w:val="20"/>
          <w:szCs w:val="20"/>
          <w:lang w:val="fr-CA"/>
        </w:rPr>
      </w:pPr>
    </w:p>
    <w:p w:rsidR="00E26E38" w:rsidRPr="00972800" w:rsidRDefault="00E26E38" w:rsidP="00C112D4">
      <w:pPr>
        <w:widowControl w:val="0"/>
        <w:ind w:left="2880" w:hanging="2880"/>
        <w:jc w:val="both"/>
        <w:rPr>
          <w:sz w:val="20"/>
          <w:szCs w:val="20"/>
          <w:lang w:val="fr-CA"/>
        </w:rPr>
      </w:pPr>
      <w:r w:rsidRPr="00972800">
        <w:rPr>
          <w:sz w:val="20"/>
          <w:szCs w:val="20"/>
          <w:lang w:val="fr-CA"/>
        </w:rPr>
        <w:t>N</w:t>
      </w:r>
      <w:r w:rsidRPr="00972800">
        <w:rPr>
          <w:sz w:val="20"/>
          <w:szCs w:val="20"/>
          <w:vertAlign w:val="superscript"/>
          <w:lang w:val="fr-CA"/>
        </w:rPr>
        <w:t>o</w:t>
      </w:r>
      <w:r w:rsidRPr="00972800">
        <w:rPr>
          <w:sz w:val="20"/>
          <w:szCs w:val="20"/>
          <w:lang w:val="fr-CA"/>
        </w:rPr>
        <w:t xml:space="preserve"> du greffe :</w:t>
      </w:r>
      <w:r>
        <w:rPr>
          <w:sz w:val="20"/>
          <w:szCs w:val="20"/>
          <w:lang w:val="fr-CA"/>
        </w:rPr>
        <w:tab/>
      </w:r>
      <w:r w:rsidRPr="00972800">
        <w:rPr>
          <w:sz w:val="20"/>
          <w:szCs w:val="20"/>
          <w:lang w:val="fr-CA"/>
        </w:rPr>
        <w:t>34908</w:t>
      </w:r>
    </w:p>
    <w:p w:rsidR="00E26E38" w:rsidRPr="00972800" w:rsidRDefault="00E26E38" w:rsidP="00C112D4">
      <w:pPr>
        <w:widowControl w:val="0"/>
        <w:ind w:left="2880" w:hanging="2880"/>
        <w:jc w:val="both"/>
        <w:rPr>
          <w:sz w:val="20"/>
          <w:szCs w:val="20"/>
          <w:lang w:val="fr-CA"/>
        </w:rPr>
      </w:pPr>
    </w:p>
    <w:p w:rsidR="00E26E38" w:rsidRPr="00972800" w:rsidRDefault="00E26E38" w:rsidP="00C112D4">
      <w:pPr>
        <w:widowControl w:val="0"/>
        <w:ind w:left="2880" w:hanging="2880"/>
        <w:jc w:val="both"/>
        <w:rPr>
          <w:sz w:val="20"/>
          <w:szCs w:val="20"/>
          <w:lang w:val="fr-CA"/>
        </w:rPr>
      </w:pPr>
      <w:r w:rsidRPr="00972800">
        <w:rPr>
          <w:sz w:val="20"/>
          <w:szCs w:val="20"/>
          <w:lang w:val="fr-CA"/>
        </w:rPr>
        <w:t>Arrêt de la Cour dappel :</w:t>
      </w:r>
      <w:r w:rsidRPr="00972800">
        <w:rPr>
          <w:sz w:val="20"/>
          <w:szCs w:val="20"/>
          <w:lang w:val="fr-CA"/>
        </w:rPr>
        <w:tab/>
        <w:t>le 27 juin 2012</w:t>
      </w:r>
    </w:p>
    <w:p w:rsidR="00E26E38" w:rsidRPr="00972800" w:rsidRDefault="00E26E38" w:rsidP="00C112D4">
      <w:pPr>
        <w:widowControl w:val="0"/>
        <w:ind w:left="2880" w:hanging="2880"/>
        <w:jc w:val="both"/>
        <w:rPr>
          <w:sz w:val="20"/>
          <w:szCs w:val="20"/>
          <w:lang w:val="fr-CA"/>
        </w:rPr>
      </w:pPr>
    </w:p>
    <w:p w:rsidR="00E26E38" w:rsidRPr="00972800" w:rsidRDefault="00E26E38" w:rsidP="00C112D4">
      <w:pPr>
        <w:widowControl w:val="0"/>
        <w:ind w:left="2880" w:hanging="2880"/>
        <w:jc w:val="both"/>
        <w:rPr>
          <w:sz w:val="20"/>
          <w:szCs w:val="20"/>
          <w:lang w:val="fr-CA"/>
        </w:rPr>
      </w:pPr>
      <w:r w:rsidRPr="00972800">
        <w:rPr>
          <w:sz w:val="20"/>
          <w:szCs w:val="20"/>
          <w:lang w:val="fr-CA"/>
        </w:rPr>
        <w:t>Avocats :</w:t>
      </w:r>
      <w:r w:rsidRPr="00972800">
        <w:rPr>
          <w:sz w:val="20"/>
          <w:szCs w:val="20"/>
          <w:lang w:val="fr-CA"/>
        </w:rPr>
        <w:tab/>
        <w:t>Robert W. Grant, Mark C. Power et Jennifer Klinck pour les appelants</w:t>
      </w:r>
    </w:p>
    <w:p w:rsidR="00E26E38" w:rsidRPr="00972800" w:rsidRDefault="00E26E38" w:rsidP="00C112D4">
      <w:pPr>
        <w:widowControl w:val="0"/>
        <w:ind w:left="2880" w:hanging="2880"/>
        <w:jc w:val="both"/>
        <w:rPr>
          <w:sz w:val="20"/>
          <w:szCs w:val="20"/>
          <w:lang w:val="fr-CA"/>
        </w:rPr>
      </w:pPr>
      <w:r w:rsidRPr="00972800">
        <w:rPr>
          <w:sz w:val="20"/>
          <w:szCs w:val="20"/>
          <w:lang w:val="fr-CA"/>
        </w:rPr>
        <w:tab/>
        <w:t>Robert E. Houston pour les intimées</w:t>
      </w:r>
    </w:p>
    <w:p w:rsidR="00E26E38" w:rsidRPr="00972800" w:rsidRDefault="00E26E38" w:rsidP="00E26E38">
      <w:pPr>
        <w:jc w:val="both"/>
        <w:rPr>
          <w:sz w:val="20"/>
          <w:szCs w:val="20"/>
          <w:lang w:val="fr-CA"/>
        </w:rPr>
      </w:pPr>
    </w:p>
    <w:p w:rsidR="00E26E38" w:rsidRDefault="00B74DD2" w:rsidP="00E26E38">
      <w:pPr>
        <w:tabs>
          <w:tab w:val="left" w:pos="-1440"/>
          <w:tab w:val="left" w:pos="-720"/>
        </w:tabs>
        <w:jc w:val="both"/>
        <w:rPr>
          <w:sz w:val="20"/>
          <w:szCs w:val="20"/>
          <w:lang w:val="fr-CA"/>
        </w:rPr>
      </w:pPr>
      <w:r w:rsidRPr="00B74DD2">
        <w:rPr>
          <w:sz w:val="20"/>
          <w:szCs w:val="20"/>
          <w:lang w:val="fr-CA"/>
        </w:rPr>
        <w:pict>
          <v:rect id="_x0000_i1085" style="width:2in;height:1pt" o:hrpct="0" o:hralign="center" o:hrstd="t" o:hrnoshade="t" o:hr="t" fillcolor="black [3213]" stroked="f"/>
        </w:pict>
      </w:r>
    </w:p>
    <w:p w:rsidR="00E26E38" w:rsidRDefault="00E26E38" w:rsidP="00E26E38">
      <w:pPr>
        <w:tabs>
          <w:tab w:val="left" w:pos="-1440"/>
          <w:tab w:val="left" w:pos="-720"/>
        </w:tabs>
        <w:jc w:val="both"/>
        <w:rPr>
          <w:sz w:val="20"/>
          <w:szCs w:val="20"/>
          <w:lang w:val="fr-CA"/>
        </w:rPr>
      </w:pPr>
    </w:p>
    <w:p w:rsidR="00E26E38" w:rsidRDefault="00E26E38" w:rsidP="00E26E38">
      <w:pPr>
        <w:rPr>
          <w:sz w:val="20"/>
          <w:szCs w:val="20"/>
          <w:lang w:val="fr-CA"/>
        </w:rPr>
      </w:pPr>
      <w:r>
        <w:rPr>
          <w:sz w:val="20"/>
          <w:szCs w:val="20"/>
          <w:lang w:val="fr-CA"/>
        </w:rPr>
        <w:br w:type="page"/>
      </w:r>
    </w:p>
    <w:p w:rsidR="00E26E38" w:rsidRPr="00972800" w:rsidRDefault="00B74DD2" w:rsidP="00E26E38">
      <w:pPr>
        <w:widowControl w:val="0"/>
        <w:ind w:left="720" w:hanging="720"/>
        <w:jc w:val="both"/>
        <w:rPr>
          <w:sz w:val="20"/>
          <w:szCs w:val="20"/>
        </w:rPr>
      </w:pPr>
      <w:r w:rsidRPr="00972800">
        <w:rPr>
          <w:b/>
          <w:sz w:val="20"/>
          <w:szCs w:val="20"/>
        </w:rPr>
        <w:fldChar w:fldCharType="begin"/>
      </w:r>
      <w:r w:rsidR="00E26E38" w:rsidRPr="00972800">
        <w:rPr>
          <w:b/>
          <w:sz w:val="20"/>
          <w:szCs w:val="20"/>
        </w:rPr>
        <w:instrText xml:space="preserve"> SEQ CHAPTER \h \r 1</w:instrText>
      </w:r>
      <w:r w:rsidRPr="00972800">
        <w:rPr>
          <w:b/>
          <w:sz w:val="20"/>
          <w:szCs w:val="20"/>
        </w:rPr>
        <w:fldChar w:fldCharType="end"/>
      </w:r>
      <w:r w:rsidR="00E26E38" w:rsidRPr="00972800">
        <w:rPr>
          <w:b/>
          <w:sz w:val="20"/>
          <w:szCs w:val="20"/>
        </w:rPr>
        <w:t>34417</w:t>
      </w:r>
      <w:r w:rsidR="00E26E38" w:rsidRPr="00972800">
        <w:rPr>
          <w:sz w:val="20"/>
          <w:szCs w:val="20"/>
        </w:rPr>
        <w:tab/>
      </w:r>
      <w:r w:rsidR="00E26E38" w:rsidRPr="00972800">
        <w:rPr>
          <w:b/>
          <w:i/>
          <w:sz w:val="20"/>
          <w:szCs w:val="20"/>
        </w:rPr>
        <w:t>Pierre Lévesque v. Her Majesty the Queen</w:t>
      </w:r>
    </w:p>
    <w:p w:rsidR="00E26E38" w:rsidRPr="00972800" w:rsidRDefault="00E26E38" w:rsidP="00E26E38">
      <w:pPr>
        <w:widowControl w:val="0"/>
        <w:jc w:val="both"/>
        <w:rPr>
          <w:sz w:val="20"/>
          <w:szCs w:val="20"/>
        </w:rPr>
      </w:pPr>
    </w:p>
    <w:p w:rsidR="00E26E38" w:rsidRPr="00972800" w:rsidRDefault="00E26E38" w:rsidP="00E26E38">
      <w:pPr>
        <w:widowControl w:val="0"/>
        <w:jc w:val="both"/>
        <w:rPr>
          <w:sz w:val="20"/>
          <w:szCs w:val="20"/>
        </w:rPr>
      </w:pPr>
      <w:r w:rsidRPr="00972800">
        <w:rPr>
          <w:sz w:val="20"/>
          <w:szCs w:val="20"/>
        </w:rPr>
        <w:t xml:space="preserve">Criminal law </w:t>
      </w:r>
      <w:r w:rsidRPr="00972800">
        <w:rPr>
          <w:sz w:val="20"/>
          <w:szCs w:val="20"/>
        </w:rPr>
        <w:noBreakHyphen/>
        <w:t xml:space="preserve"> Instructions to jury </w:t>
      </w:r>
      <w:r w:rsidRPr="00972800">
        <w:rPr>
          <w:sz w:val="20"/>
          <w:szCs w:val="20"/>
        </w:rPr>
        <w:noBreakHyphen/>
        <w:t xml:space="preserve"> Whether Court of Appeal erred in minimizing extent to which jury’s deliberations and verdicts were affected by absence of additional instructions concerning “knowledge” element of being accessory to murder under s. 21(2) of </w:t>
      </w:r>
      <w:r w:rsidRPr="00972800">
        <w:rPr>
          <w:i/>
          <w:sz w:val="20"/>
          <w:szCs w:val="20"/>
        </w:rPr>
        <w:t>Criminal Code</w:t>
      </w:r>
      <w:r w:rsidRPr="00972800">
        <w:rPr>
          <w:sz w:val="20"/>
          <w:szCs w:val="20"/>
        </w:rPr>
        <w:t>, to which jury’s question had clearly been directed.</w:t>
      </w:r>
    </w:p>
    <w:p w:rsidR="00E26E38" w:rsidRPr="00972800" w:rsidRDefault="00E26E38" w:rsidP="00E26E38">
      <w:pPr>
        <w:widowControl w:val="0"/>
        <w:jc w:val="both"/>
        <w:rPr>
          <w:sz w:val="20"/>
          <w:szCs w:val="20"/>
        </w:rPr>
      </w:pPr>
    </w:p>
    <w:p w:rsidR="00E26E38" w:rsidRPr="00972800" w:rsidRDefault="00E26E38" w:rsidP="00E26E38">
      <w:pPr>
        <w:widowControl w:val="0"/>
        <w:jc w:val="both"/>
        <w:rPr>
          <w:sz w:val="20"/>
          <w:szCs w:val="20"/>
        </w:rPr>
      </w:pPr>
      <w:r w:rsidRPr="00972800">
        <w:rPr>
          <w:sz w:val="20"/>
          <w:szCs w:val="20"/>
        </w:rPr>
        <w:t>This appeal concerns a guilty verdict returned by a jury on a charge of first degree murder.  The appellant, Pierre Lévesque, and his accomplice, Mr. Denver</w:t>
      </w:r>
      <w:r w:rsidRPr="00972800">
        <w:rPr>
          <w:sz w:val="20"/>
          <w:szCs w:val="20"/>
        </w:rPr>
        <w:noBreakHyphen/>
        <w:t>Lambert, met several times to plan a theft involving weapons that were supposed to be used solely to secure the cooperation of the future victims and facilitate the theft.  On April 9, 1994, inside a residence in Val</w:t>
      </w:r>
      <w:r w:rsidRPr="00972800">
        <w:rPr>
          <w:sz w:val="20"/>
          <w:szCs w:val="20"/>
        </w:rPr>
        <w:noBreakHyphen/>
        <w:t>Bélair, a police officer found the body of 75</w:t>
      </w:r>
      <w:r w:rsidRPr="00972800">
        <w:rPr>
          <w:sz w:val="20"/>
          <w:szCs w:val="20"/>
        </w:rPr>
        <w:noBreakHyphen/>
        <w:t>year</w:t>
      </w:r>
      <w:r w:rsidRPr="00972800">
        <w:rPr>
          <w:sz w:val="20"/>
          <w:szCs w:val="20"/>
        </w:rPr>
        <w:noBreakHyphen/>
        <w:t>old Béatrice Lavoie, who was lying in a pool of blood with her feet and hands bound with tape, and 82</w:t>
      </w:r>
      <w:r w:rsidRPr="00972800">
        <w:rPr>
          <w:sz w:val="20"/>
          <w:szCs w:val="20"/>
        </w:rPr>
        <w:noBreakHyphen/>
        <w:t>year</w:t>
      </w:r>
      <w:r w:rsidRPr="00972800">
        <w:rPr>
          <w:sz w:val="20"/>
          <w:szCs w:val="20"/>
        </w:rPr>
        <w:noBreakHyphen/>
        <w:t>old Maurille Lepage, who was lying on the floor tied up the same way as his spouse and who also had tape over his eyes.</w:t>
      </w:r>
    </w:p>
    <w:p w:rsidR="00E26E38" w:rsidRPr="00972800" w:rsidRDefault="00E26E38" w:rsidP="00E26E38">
      <w:pPr>
        <w:widowControl w:val="0"/>
        <w:jc w:val="both"/>
        <w:rPr>
          <w:sz w:val="20"/>
          <w:szCs w:val="20"/>
        </w:rPr>
      </w:pPr>
    </w:p>
    <w:p w:rsidR="00E26E38" w:rsidRPr="00972800" w:rsidRDefault="00E26E38" w:rsidP="00E26E38">
      <w:pPr>
        <w:widowControl w:val="0"/>
        <w:jc w:val="both"/>
        <w:rPr>
          <w:sz w:val="20"/>
          <w:szCs w:val="20"/>
        </w:rPr>
      </w:pPr>
    </w:p>
    <w:p w:rsidR="00E26E38" w:rsidRPr="00972800" w:rsidRDefault="00E26E38" w:rsidP="00E341F8">
      <w:pPr>
        <w:widowControl w:val="0"/>
        <w:ind w:left="2880" w:hanging="2880"/>
        <w:jc w:val="both"/>
        <w:rPr>
          <w:sz w:val="20"/>
          <w:szCs w:val="20"/>
        </w:rPr>
      </w:pPr>
      <w:r w:rsidRPr="00972800">
        <w:rPr>
          <w:sz w:val="20"/>
          <w:szCs w:val="20"/>
        </w:rPr>
        <w:t>Origin of the case</w:t>
      </w:r>
      <w:r>
        <w:rPr>
          <w:sz w:val="20"/>
          <w:szCs w:val="20"/>
        </w:rPr>
        <w:t>:</w:t>
      </w:r>
      <w:r>
        <w:rPr>
          <w:sz w:val="20"/>
          <w:szCs w:val="20"/>
        </w:rPr>
        <w:tab/>
      </w:r>
      <w:r w:rsidRPr="00972800">
        <w:rPr>
          <w:sz w:val="20"/>
          <w:szCs w:val="20"/>
        </w:rPr>
        <w:t>Quebec</w:t>
      </w:r>
    </w:p>
    <w:p w:rsidR="00E26E38" w:rsidRPr="00972800" w:rsidRDefault="00E26E38" w:rsidP="00E341F8">
      <w:pPr>
        <w:widowControl w:val="0"/>
        <w:ind w:left="2880" w:hanging="2880"/>
        <w:jc w:val="both"/>
        <w:rPr>
          <w:sz w:val="20"/>
          <w:szCs w:val="20"/>
        </w:rPr>
      </w:pPr>
    </w:p>
    <w:p w:rsidR="00E26E38" w:rsidRPr="00972800" w:rsidRDefault="00E26E38" w:rsidP="00E341F8">
      <w:pPr>
        <w:widowControl w:val="0"/>
        <w:ind w:left="2880" w:hanging="2880"/>
        <w:jc w:val="both"/>
        <w:rPr>
          <w:sz w:val="20"/>
          <w:szCs w:val="20"/>
        </w:rPr>
      </w:pPr>
      <w:r w:rsidRPr="00972800">
        <w:rPr>
          <w:sz w:val="20"/>
          <w:szCs w:val="20"/>
        </w:rPr>
        <w:t>File No.:</w:t>
      </w:r>
      <w:r w:rsidRPr="00972800">
        <w:rPr>
          <w:sz w:val="20"/>
          <w:szCs w:val="20"/>
        </w:rPr>
        <w:tab/>
        <w:t>34417</w:t>
      </w:r>
    </w:p>
    <w:p w:rsidR="00E26E38" w:rsidRPr="00972800" w:rsidRDefault="00E26E38" w:rsidP="00E341F8">
      <w:pPr>
        <w:widowControl w:val="0"/>
        <w:ind w:left="2880" w:hanging="2880"/>
        <w:jc w:val="both"/>
        <w:rPr>
          <w:sz w:val="20"/>
          <w:szCs w:val="20"/>
        </w:rPr>
      </w:pPr>
    </w:p>
    <w:p w:rsidR="00E26E38" w:rsidRPr="00972800" w:rsidRDefault="00E26E38" w:rsidP="00E341F8">
      <w:pPr>
        <w:widowControl w:val="0"/>
        <w:ind w:left="2880" w:hanging="2880"/>
        <w:jc w:val="both"/>
        <w:rPr>
          <w:sz w:val="20"/>
          <w:szCs w:val="20"/>
        </w:rPr>
      </w:pPr>
      <w:r w:rsidRPr="00972800">
        <w:rPr>
          <w:sz w:val="20"/>
          <w:szCs w:val="20"/>
        </w:rPr>
        <w:t>Judgment of the Court of Appeal:</w:t>
      </w:r>
      <w:r w:rsidRPr="00972800">
        <w:rPr>
          <w:sz w:val="20"/>
          <w:szCs w:val="20"/>
        </w:rPr>
        <w:tab/>
        <w:t>June 7, 2011</w:t>
      </w:r>
    </w:p>
    <w:p w:rsidR="00E26E38" w:rsidRPr="00972800" w:rsidRDefault="00E26E38" w:rsidP="00E341F8">
      <w:pPr>
        <w:widowControl w:val="0"/>
        <w:ind w:left="2880" w:hanging="2880"/>
        <w:jc w:val="both"/>
        <w:rPr>
          <w:sz w:val="20"/>
          <w:szCs w:val="20"/>
        </w:rPr>
      </w:pPr>
    </w:p>
    <w:p w:rsidR="00E26E38" w:rsidRPr="00972800" w:rsidRDefault="00E26E38" w:rsidP="00E341F8">
      <w:pPr>
        <w:widowControl w:val="0"/>
        <w:ind w:left="2880" w:hanging="2880"/>
        <w:jc w:val="both"/>
        <w:rPr>
          <w:sz w:val="20"/>
          <w:szCs w:val="20"/>
        </w:rPr>
      </w:pPr>
      <w:r w:rsidRPr="00972800">
        <w:rPr>
          <w:sz w:val="20"/>
          <w:szCs w:val="20"/>
        </w:rPr>
        <w:t>Counsel:</w:t>
      </w:r>
      <w:r w:rsidRPr="00972800">
        <w:rPr>
          <w:sz w:val="20"/>
          <w:szCs w:val="20"/>
        </w:rPr>
        <w:tab/>
        <w:t>Sophie Dubé for the appellant</w:t>
      </w:r>
    </w:p>
    <w:p w:rsidR="00E26E38" w:rsidRPr="00E26E38" w:rsidRDefault="00E26E38" w:rsidP="00E341F8">
      <w:pPr>
        <w:widowControl w:val="0"/>
        <w:ind w:left="2880" w:hanging="2880"/>
        <w:jc w:val="both"/>
        <w:rPr>
          <w:sz w:val="20"/>
          <w:szCs w:val="20"/>
          <w:lang w:val="fr-CA"/>
        </w:rPr>
      </w:pPr>
      <w:r w:rsidRPr="00972800">
        <w:rPr>
          <w:sz w:val="20"/>
          <w:szCs w:val="20"/>
        </w:rPr>
        <w:tab/>
      </w:r>
      <w:r w:rsidRPr="00E26E38">
        <w:rPr>
          <w:sz w:val="20"/>
          <w:szCs w:val="20"/>
          <w:lang w:val="fr-CA"/>
        </w:rPr>
        <w:t>René Verret for the respondent</w:t>
      </w:r>
    </w:p>
    <w:p w:rsidR="00E26E38" w:rsidRPr="00972800" w:rsidRDefault="00E26E38" w:rsidP="00E26E38">
      <w:pPr>
        <w:jc w:val="both"/>
        <w:rPr>
          <w:sz w:val="20"/>
          <w:szCs w:val="20"/>
          <w:lang w:val="fr-CA"/>
        </w:rPr>
      </w:pPr>
    </w:p>
    <w:p w:rsidR="00E26E38" w:rsidRDefault="00B74DD2" w:rsidP="00E26E38">
      <w:pPr>
        <w:tabs>
          <w:tab w:val="left" w:pos="-1440"/>
          <w:tab w:val="left" w:pos="-720"/>
        </w:tabs>
        <w:jc w:val="both"/>
        <w:rPr>
          <w:sz w:val="20"/>
          <w:szCs w:val="20"/>
          <w:lang w:val="fr-CA"/>
        </w:rPr>
      </w:pPr>
      <w:r w:rsidRPr="00B74DD2">
        <w:rPr>
          <w:sz w:val="20"/>
          <w:szCs w:val="20"/>
          <w:lang w:val="fr-CA"/>
        </w:rPr>
        <w:pict>
          <v:rect id="_x0000_i1086" style="width:2in;height:1pt" o:hrpct="0" o:hralign="center" o:hrstd="t" o:hrnoshade="t" o:hr="t" fillcolor="black [3213]" stroked="f"/>
        </w:pict>
      </w:r>
    </w:p>
    <w:p w:rsidR="00E26E38" w:rsidRDefault="00E26E38" w:rsidP="00E26E38">
      <w:pPr>
        <w:tabs>
          <w:tab w:val="left" w:pos="-1440"/>
          <w:tab w:val="left" w:pos="-720"/>
        </w:tabs>
        <w:jc w:val="both"/>
        <w:rPr>
          <w:sz w:val="20"/>
          <w:szCs w:val="20"/>
          <w:lang w:val="fr-CA"/>
        </w:rPr>
      </w:pPr>
    </w:p>
    <w:p w:rsidR="00E26E38" w:rsidRDefault="00E26E38" w:rsidP="00E26E38">
      <w:pPr>
        <w:rPr>
          <w:sz w:val="20"/>
          <w:szCs w:val="20"/>
          <w:lang w:val="fr-CA"/>
        </w:rPr>
      </w:pPr>
      <w:r>
        <w:rPr>
          <w:sz w:val="20"/>
          <w:szCs w:val="20"/>
          <w:lang w:val="fr-CA"/>
        </w:rPr>
        <w:br w:type="page"/>
      </w:r>
    </w:p>
    <w:p w:rsidR="00E26E38" w:rsidRPr="00972800" w:rsidRDefault="00B74DD2" w:rsidP="00E26E38">
      <w:pPr>
        <w:widowControl w:val="0"/>
        <w:ind w:left="720" w:hanging="720"/>
        <w:jc w:val="both"/>
        <w:rPr>
          <w:sz w:val="20"/>
          <w:szCs w:val="20"/>
          <w:lang w:val="fr-CA"/>
        </w:rPr>
      </w:pPr>
      <w:r w:rsidRPr="00B74DD2">
        <w:rPr>
          <w:b/>
          <w:sz w:val="20"/>
          <w:szCs w:val="20"/>
          <w:lang w:val="fr-CA"/>
        </w:rPr>
        <w:fldChar w:fldCharType="begin"/>
      </w:r>
      <w:r w:rsidR="00E26E38" w:rsidRPr="00972800">
        <w:rPr>
          <w:b/>
          <w:sz w:val="20"/>
          <w:szCs w:val="20"/>
          <w:lang w:val="fr-CA"/>
        </w:rPr>
        <w:instrText xml:space="preserve"> SEQ CHAPTER \h \r 1</w:instrText>
      </w:r>
      <w:r w:rsidRPr="00972800">
        <w:rPr>
          <w:b/>
          <w:sz w:val="20"/>
          <w:szCs w:val="20"/>
        </w:rPr>
        <w:fldChar w:fldCharType="end"/>
      </w:r>
      <w:r w:rsidR="00E26E38" w:rsidRPr="00972800">
        <w:rPr>
          <w:b/>
          <w:sz w:val="20"/>
          <w:szCs w:val="20"/>
          <w:lang w:val="fr-CA"/>
        </w:rPr>
        <w:t>34417</w:t>
      </w:r>
      <w:r w:rsidR="00E26E38" w:rsidRPr="00972800">
        <w:rPr>
          <w:sz w:val="20"/>
          <w:szCs w:val="20"/>
          <w:lang w:val="fr-CA"/>
        </w:rPr>
        <w:tab/>
      </w:r>
      <w:r w:rsidR="00E26E38" w:rsidRPr="00972800">
        <w:rPr>
          <w:b/>
          <w:i/>
          <w:sz w:val="20"/>
          <w:szCs w:val="20"/>
          <w:lang w:val="fr-CA"/>
        </w:rPr>
        <w:t>Pierre Lévesque c. Sa Majesté la Reine</w:t>
      </w:r>
    </w:p>
    <w:p w:rsidR="00E26E38" w:rsidRPr="00972800" w:rsidRDefault="00E26E38" w:rsidP="00E26E38">
      <w:pPr>
        <w:widowControl w:val="0"/>
        <w:jc w:val="both"/>
        <w:rPr>
          <w:sz w:val="20"/>
          <w:szCs w:val="20"/>
          <w:lang w:val="fr-CA"/>
        </w:rPr>
      </w:pPr>
    </w:p>
    <w:p w:rsidR="00E26E38" w:rsidRPr="00972800" w:rsidRDefault="00E26E38" w:rsidP="00E26E38">
      <w:pPr>
        <w:widowControl w:val="0"/>
        <w:jc w:val="both"/>
        <w:rPr>
          <w:sz w:val="20"/>
          <w:szCs w:val="20"/>
          <w:lang w:val="fr-CA"/>
        </w:rPr>
      </w:pPr>
      <w:r w:rsidRPr="00972800">
        <w:rPr>
          <w:sz w:val="20"/>
          <w:szCs w:val="20"/>
          <w:lang w:val="fr-CA"/>
        </w:rPr>
        <w:t xml:space="preserve">Droit criminel </w:t>
      </w:r>
      <w:r w:rsidRPr="00972800">
        <w:rPr>
          <w:sz w:val="20"/>
          <w:szCs w:val="20"/>
          <w:lang w:val="fr-CA"/>
        </w:rPr>
        <w:noBreakHyphen/>
        <w:t xml:space="preserve"> Directives au jury </w:t>
      </w:r>
      <w:r w:rsidRPr="00972800">
        <w:rPr>
          <w:sz w:val="20"/>
          <w:szCs w:val="20"/>
          <w:lang w:val="fr-CA"/>
        </w:rPr>
        <w:noBreakHyphen/>
        <w:t xml:space="preserve"> La Cour d’appel a</w:t>
      </w:r>
      <w:r w:rsidRPr="00972800">
        <w:rPr>
          <w:sz w:val="20"/>
          <w:szCs w:val="20"/>
          <w:lang w:val="fr-CA"/>
        </w:rPr>
        <w:noBreakHyphen/>
        <w:t>t</w:t>
      </w:r>
      <w:r w:rsidRPr="00972800">
        <w:rPr>
          <w:sz w:val="20"/>
          <w:szCs w:val="20"/>
          <w:lang w:val="fr-CA"/>
        </w:rPr>
        <w:noBreakHyphen/>
        <w:t xml:space="preserve">elle fait erreur en minimisant l’impact sur les délibérations du jury et sur les verdicts rendus, de directives supplémentaires inexistantes quant à un élément de la complicité de meurtre selon le par. 21(2) du </w:t>
      </w:r>
      <w:r w:rsidRPr="00972800">
        <w:rPr>
          <w:i/>
          <w:sz w:val="20"/>
          <w:szCs w:val="20"/>
          <w:lang w:val="fr-CA"/>
        </w:rPr>
        <w:t>Code criminel</w:t>
      </w:r>
      <w:r w:rsidRPr="00972800">
        <w:rPr>
          <w:sz w:val="20"/>
          <w:szCs w:val="20"/>
          <w:lang w:val="fr-CA"/>
        </w:rPr>
        <w:t>, soit la « connaissance », élément par ailleurs clairement visé par la question du jury?</w:t>
      </w:r>
    </w:p>
    <w:p w:rsidR="00E26E38" w:rsidRPr="00972800" w:rsidRDefault="00E26E38" w:rsidP="00E26E38">
      <w:pPr>
        <w:widowControl w:val="0"/>
        <w:jc w:val="both"/>
        <w:rPr>
          <w:sz w:val="20"/>
          <w:szCs w:val="20"/>
          <w:lang w:val="fr-CA"/>
        </w:rPr>
      </w:pPr>
    </w:p>
    <w:p w:rsidR="00E26E38" w:rsidRPr="00972800" w:rsidRDefault="00E26E38" w:rsidP="00E26E38">
      <w:pPr>
        <w:widowControl w:val="0"/>
        <w:jc w:val="both"/>
        <w:rPr>
          <w:sz w:val="20"/>
          <w:szCs w:val="20"/>
          <w:lang w:val="fr-CA"/>
        </w:rPr>
      </w:pPr>
      <w:r w:rsidRPr="00972800">
        <w:rPr>
          <w:sz w:val="20"/>
          <w:szCs w:val="20"/>
          <w:lang w:val="fr-CA"/>
        </w:rPr>
        <w:t>Il s’agit d’un appel concernant un verdict de culpabilité rendu par un jury quant à une accusation de meurtre au premier degré.  L’appelant, M. Pierre Lévesque, et son complice, Denver</w:t>
      </w:r>
      <w:r w:rsidRPr="00972800">
        <w:rPr>
          <w:sz w:val="20"/>
          <w:szCs w:val="20"/>
          <w:lang w:val="fr-CA"/>
        </w:rPr>
        <w:noBreakHyphen/>
        <w:t>Lambert, se sont rencontrés à plusieurs reprises afin de planifier un vol qui impliquait des armes qui n’étaient supposés servir qu’à assurer la coopération des futurs victimes et à faciliter le vol.  Le 9 avril 1994, un policier découvre à l’intérieur d’une résidence de Val</w:t>
      </w:r>
      <w:r w:rsidRPr="00972800">
        <w:rPr>
          <w:sz w:val="20"/>
          <w:szCs w:val="20"/>
          <w:lang w:val="fr-CA"/>
        </w:rPr>
        <w:noBreakHyphen/>
        <w:t>Bélair le corps de Béatrice Lavoie, 75 ans, pieds et mains liés avec du ruban gommé et gisant dans une mare de sang, ainsi que Maurille Lepage, 82 ans, couché au sol et ligoté de la même façon que sa conjointe, avec en plus du ruban gommé sur les yeux.</w:t>
      </w:r>
    </w:p>
    <w:p w:rsidR="00E26E38" w:rsidRPr="00972800" w:rsidRDefault="00E26E38" w:rsidP="00E26E38">
      <w:pPr>
        <w:widowControl w:val="0"/>
        <w:jc w:val="both"/>
        <w:rPr>
          <w:sz w:val="20"/>
          <w:szCs w:val="20"/>
          <w:lang w:val="fr-CA"/>
        </w:rPr>
      </w:pPr>
    </w:p>
    <w:p w:rsidR="00E26E38" w:rsidRPr="00972800" w:rsidRDefault="00E26E38" w:rsidP="00E26E38">
      <w:pPr>
        <w:widowControl w:val="0"/>
        <w:jc w:val="both"/>
        <w:rPr>
          <w:sz w:val="20"/>
          <w:szCs w:val="20"/>
          <w:lang w:val="fr-CA"/>
        </w:rPr>
      </w:pPr>
    </w:p>
    <w:p w:rsidR="00E26E38" w:rsidRPr="00972800" w:rsidRDefault="00E26E38" w:rsidP="0087368F">
      <w:pPr>
        <w:widowControl w:val="0"/>
        <w:ind w:left="2880" w:hanging="2880"/>
        <w:jc w:val="both"/>
        <w:rPr>
          <w:sz w:val="20"/>
          <w:szCs w:val="20"/>
          <w:lang w:val="fr-CA"/>
        </w:rPr>
      </w:pPr>
      <w:r w:rsidRPr="00972800">
        <w:rPr>
          <w:sz w:val="20"/>
          <w:szCs w:val="20"/>
          <w:lang w:val="fr-CA"/>
        </w:rPr>
        <w:t>Origine :</w:t>
      </w:r>
      <w:r w:rsidRPr="00972800">
        <w:rPr>
          <w:sz w:val="20"/>
          <w:szCs w:val="20"/>
          <w:lang w:val="fr-CA"/>
        </w:rPr>
        <w:tab/>
        <w:t>Québec</w:t>
      </w:r>
    </w:p>
    <w:p w:rsidR="00E26E38" w:rsidRPr="00972800" w:rsidRDefault="00E26E38" w:rsidP="0087368F">
      <w:pPr>
        <w:widowControl w:val="0"/>
        <w:ind w:left="2880" w:hanging="2880"/>
        <w:jc w:val="both"/>
        <w:rPr>
          <w:sz w:val="20"/>
          <w:szCs w:val="20"/>
          <w:lang w:val="fr-CA"/>
        </w:rPr>
      </w:pPr>
    </w:p>
    <w:p w:rsidR="00E26E38" w:rsidRPr="00972800" w:rsidRDefault="00E26E38" w:rsidP="0087368F">
      <w:pPr>
        <w:widowControl w:val="0"/>
        <w:ind w:left="2880" w:hanging="2880"/>
        <w:jc w:val="both"/>
        <w:rPr>
          <w:sz w:val="20"/>
          <w:szCs w:val="20"/>
          <w:lang w:val="fr-CA"/>
        </w:rPr>
      </w:pPr>
      <w:r w:rsidRPr="00972800">
        <w:rPr>
          <w:sz w:val="20"/>
          <w:szCs w:val="20"/>
          <w:lang w:val="fr-CA"/>
        </w:rPr>
        <w:t>N</w:t>
      </w:r>
      <w:r w:rsidRPr="00972800">
        <w:rPr>
          <w:sz w:val="20"/>
          <w:szCs w:val="20"/>
          <w:vertAlign w:val="superscript"/>
          <w:lang w:val="fr-CA"/>
        </w:rPr>
        <w:t>o</w:t>
      </w:r>
      <w:r w:rsidRPr="00972800">
        <w:rPr>
          <w:sz w:val="20"/>
          <w:szCs w:val="20"/>
          <w:lang w:val="fr-CA"/>
        </w:rPr>
        <w:t xml:space="preserve"> du greffe :</w:t>
      </w:r>
      <w:r w:rsidRPr="00972800">
        <w:rPr>
          <w:sz w:val="20"/>
          <w:szCs w:val="20"/>
          <w:lang w:val="fr-CA"/>
        </w:rPr>
        <w:tab/>
        <w:t>34417</w:t>
      </w:r>
    </w:p>
    <w:p w:rsidR="00E26E38" w:rsidRPr="00972800" w:rsidRDefault="00E26E38" w:rsidP="0087368F">
      <w:pPr>
        <w:widowControl w:val="0"/>
        <w:ind w:left="2880" w:hanging="2880"/>
        <w:jc w:val="both"/>
        <w:rPr>
          <w:sz w:val="20"/>
          <w:szCs w:val="20"/>
          <w:lang w:val="fr-CA"/>
        </w:rPr>
      </w:pPr>
    </w:p>
    <w:p w:rsidR="00E26E38" w:rsidRPr="00972800" w:rsidRDefault="00E26E38" w:rsidP="0087368F">
      <w:pPr>
        <w:widowControl w:val="0"/>
        <w:ind w:left="2880" w:hanging="2880"/>
        <w:jc w:val="both"/>
        <w:rPr>
          <w:sz w:val="20"/>
          <w:szCs w:val="20"/>
          <w:lang w:val="fr-CA"/>
        </w:rPr>
      </w:pPr>
      <w:r w:rsidRPr="00972800">
        <w:rPr>
          <w:sz w:val="20"/>
          <w:szCs w:val="20"/>
          <w:lang w:val="fr-CA"/>
        </w:rPr>
        <w:t>Arrêt de la Cour d’appel :</w:t>
      </w:r>
      <w:r w:rsidRPr="00972800">
        <w:rPr>
          <w:sz w:val="20"/>
          <w:szCs w:val="20"/>
          <w:lang w:val="fr-CA"/>
        </w:rPr>
        <w:tab/>
        <w:t>Le 7 juin 2011</w:t>
      </w:r>
    </w:p>
    <w:p w:rsidR="00E26E38" w:rsidRPr="00972800" w:rsidRDefault="00E26E38" w:rsidP="0087368F">
      <w:pPr>
        <w:widowControl w:val="0"/>
        <w:ind w:left="2880" w:hanging="2880"/>
        <w:jc w:val="both"/>
        <w:rPr>
          <w:sz w:val="20"/>
          <w:szCs w:val="20"/>
          <w:lang w:val="fr-CA"/>
        </w:rPr>
      </w:pPr>
    </w:p>
    <w:p w:rsidR="00E26E38" w:rsidRPr="00972800" w:rsidRDefault="00E26E38" w:rsidP="0087368F">
      <w:pPr>
        <w:widowControl w:val="0"/>
        <w:ind w:left="2880" w:hanging="2880"/>
        <w:jc w:val="both"/>
        <w:rPr>
          <w:sz w:val="20"/>
          <w:szCs w:val="20"/>
          <w:lang w:val="fr-CA"/>
        </w:rPr>
      </w:pPr>
      <w:r w:rsidRPr="00972800">
        <w:rPr>
          <w:sz w:val="20"/>
          <w:szCs w:val="20"/>
          <w:lang w:val="fr-CA"/>
        </w:rPr>
        <w:t>Avocats :</w:t>
      </w:r>
      <w:r w:rsidRPr="00972800">
        <w:rPr>
          <w:sz w:val="20"/>
          <w:szCs w:val="20"/>
          <w:lang w:val="fr-CA"/>
        </w:rPr>
        <w:tab/>
        <w:t>Sophie Dubé pour l’appelant</w:t>
      </w:r>
    </w:p>
    <w:p w:rsidR="00E26E38" w:rsidRPr="00972800" w:rsidRDefault="00E26E38" w:rsidP="0087368F">
      <w:pPr>
        <w:widowControl w:val="0"/>
        <w:ind w:left="2880" w:hanging="2880"/>
        <w:jc w:val="both"/>
        <w:rPr>
          <w:sz w:val="20"/>
          <w:szCs w:val="20"/>
          <w:lang w:val="fr-CA"/>
        </w:rPr>
      </w:pPr>
      <w:r w:rsidRPr="00972800">
        <w:rPr>
          <w:sz w:val="20"/>
          <w:szCs w:val="20"/>
          <w:lang w:val="fr-CA"/>
        </w:rPr>
        <w:tab/>
        <w:t>René Verret pour l’intimée</w:t>
      </w:r>
    </w:p>
    <w:p w:rsidR="00E26E38" w:rsidRPr="00972800" w:rsidRDefault="00E26E38" w:rsidP="00E26E38">
      <w:pPr>
        <w:jc w:val="both"/>
        <w:rPr>
          <w:sz w:val="20"/>
          <w:szCs w:val="20"/>
          <w:lang w:val="fr-CA"/>
        </w:rPr>
      </w:pPr>
    </w:p>
    <w:p w:rsidR="00E26E38" w:rsidRDefault="00B74DD2" w:rsidP="00E26E38">
      <w:pPr>
        <w:tabs>
          <w:tab w:val="left" w:pos="-1440"/>
          <w:tab w:val="left" w:pos="-720"/>
        </w:tabs>
        <w:jc w:val="both"/>
        <w:rPr>
          <w:sz w:val="20"/>
          <w:szCs w:val="20"/>
          <w:lang w:val="fr-CA"/>
        </w:rPr>
      </w:pPr>
      <w:r w:rsidRPr="00B74DD2">
        <w:rPr>
          <w:sz w:val="20"/>
          <w:szCs w:val="20"/>
          <w:lang w:val="fr-CA"/>
        </w:rPr>
        <w:pict>
          <v:rect id="_x0000_i1087" style="width:2in;height:1pt" o:hrpct="0" o:hralign="center" o:hrstd="t" o:hrnoshade="t" o:hr="t" fillcolor="black [3213]" stroked="f"/>
        </w:pict>
      </w:r>
    </w:p>
    <w:p w:rsidR="00E26E38" w:rsidRDefault="00E26E38" w:rsidP="00E26E38">
      <w:pPr>
        <w:tabs>
          <w:tab w:val="left" w:pos="-1440"/>
          <w:tab w:val="left" w:pos="-720"/>
        </w:tabs>
        <w:jc w:val="both"/>
        <w:rPr>
          <w:sz w:val="20"/>
          <w:szCs w:val="20"/>
          <w:lang w:val="fr-CA"/>
        </w:rPr>
      </w:pPr>
    </w:p>
    <w:p w:rsidR="00E26E38" w:rsidRDefault="00E26E38" w:rsidP="00E26E38">
      <w:pPr>
        <w:rPr>
          <w:sz w:val="20"/>
          <w:szCs w:val="20"/>
          <w:lang w:val="fr-CA"/>
        </w:rPr>
      </w:pPr>
      <w:r>
        <w:rPr>
          <w:sz w:val="20"/>
          <w:szCs w:val="20"/>
          <w:lang w:val="fr-CA"/>
        </w:rPr>
        <w:br w:type="page"/>
      </w:r>
    </w:p>
    <w:p w:rsidR="00E26E38" w:rsidRPr="00972800" w:rsidRDefault="00B74DD2" w:rsidP="00E26E38">
      <w:pPr>
        <w:widowControl w:val="0"/>
        <w:ind w:left="720" w:hanging="720"/>
        <w:jc w:val="both"/>
        <w:rPr>
          <w:sz w:val="20"/>
          <w:szCs w:val="20"/>
        </w:rPr>
      </w:pPr>
      <w:r w:rsidRPr="00972800">
        <w:rPr>
          <w:b/>
          <w:sz w:val="20"/>
          <w:szCs w:val="20"/>
        </w:rPr>
        <w:fldChar w:fldCharType="begin"/>
      </w:r>
      <w:r w:rsidR="00E26E38" w:rsidRPr="00972800">
        <w:rPr>
          <w:b/>
          <w:sz w:val="20"/>
          <w:szCs w:val="20"/>
        </w:rPr>
        <w:instrText xml:space="preserve"> SEQ CHAPTER \h \r 1</w:instrText>
      </w:r>
      <w:r w:rsidRPr="00972800">
        <w:rPr>
          <w:b/>
          <w:sz w:val="20"/>
          <w:szCs w:val="20"/>
        </w:rPr>
        <w:fldChar w:fldCharType="end"/>
      </w:r>
      <w:r w:rsidR="00E26E38" w:rsidRPr="00972800">
        <w:rPr>
          <w:b/>
          <w:sz w:val="20"/>
          <w:szCs w:val="20"/>
        </w:rPr>
        <w:t>34980</w:t>
      </w:r>
      <w:r w:rsidR="00E26E38" w:rsidRPr="00972800">
        <w:rPr>
          <w:sz w:val="20"/>
          <w:szCs w:val="20"/>
        </w:rPr>
        <w:tab/>
      </w:r>
      <w:r w:rsidR="00E26E38" w:rsidRPr="00972800">
        <w:rPr>
          <w:b/>
          <w:i/>
          <w:sz w:val="20"/>
          <w:szCs w:val="20"/>
        </w:rPr>
        <w:t>Matthew James Murphy v. Her Majesty the Queen</w:t>
      </w:r>
    </w:p>
    <w:p w:rsidR="00E26E38" w:rsidRPr="00972800" w:rsidRDefault="00E26E38" w:rsidP="00E26E38">
      <w:pPr>
        <w:widowControl w:val="0"/>
        <w:jc w:val="both"/>
        <w:rPr>
          <w:sz w:val="20"/>
          <w:szCs w:val="20"/>
        </w:rPr>
      </w:pPr>
    </w:p>
    <w:p w:rsidR="00E26E38" w:rsidRPr="00972800" w:rsidRDefault="00E26E38" w:rsidP="00E26E38">
      <w:pPr>
        <w:widowControl w:val="0"/>
        <w:jc w:val="both"/>
        <w:rPr>
          <w:sz w:val="20"/>
          <w:szCs w:val="20"/>
        </w:rPr>
      </w:pPr>
      <w:r w:rsidRPr="00972800">
        <w:rPr>
          <w:sz w:val="20"/>
          <w:szCs w:val="20"/>
        </w:rPr>
        <w:t xml:space="preserve">Criminal law </w:t>
      </w:r>
      <w:r w:rsidRPr="00972800">
        <w:rPr>
          <w:sz w:val="20"/>
          <w:szCs w:val="20"/>
        </w:rPr>
        <w:noBreakHyphen/>
        <w:t xml:space="preserve"> Conspiracy to commit murder </w:t>
      </w:r>
      <w:r w:rsidRPr="00972800">
        <w:rPr>
          <w:sz w:val="20"/>
          <w:szCs w:val="20"/>
        </w:rPr>
        <w:noBreakHyphen/>
        <w:t xml:space="preserve"> Attempted murder </w:t>
      </w:r>
      <w:r w:rsidRPr="00972800">
        <w:rPr>
          <w:sz w:val="20"/>
          <w:szCs w:val="20"/>
        </w:rPr>
        <w:noBreakHyphen/>
        <w:t xml:space="preserve"> Unreasonable verdicts </w:t>
      </w:r>
      <w:r w:rsidRPr="00972800">
        <w:rPr>
          <w:sz w:val="20"/>
          <w:szCs w:val="20"/>
        </w:rPr>
        <w:noBreakHyphen/>
        <w:t xml:space="preserve"> Whether the verdicts are unreasonable and not supported by the evidence within the meaning of s. 686(1)(</w:t>
      </w:r>
      <w:r w:rsidRPr="00972800">
        <w:rPr>
          <w:i/>
          <w:sz w:val="20"/>
          <w:szCs w:val="20"/>
        </w:rPr>
        <w:t>a</w:t>
      </w:r>
      <w:r w:rsidRPr="00972800">
        <w:rPr>
          <w:sz w:val="20"/>
          <w:szCs w:val="20"/>
        </w:rPr>
        <w:t xml:space="preserve">) of the </w:t>
      </w:r>
      <w:r w:rsidRPr="00972800">
        <w:rPr>
          <w:i/>
          <w:sz w:val="20"/>
          <w:szCs w:val="20"/>
        </w:rPr>
        <w:t>Criminal Code</w:t>
      </w:r>
      <w:r w:rsidRPr="00972800">
        <w:rPr>
          <w:sz w:val="20"/>
          <w:szCs w:val="20"/>
        </w:rPr>
        <w:t xml:space="preserve">. </w:t>
      </w:r>
    </w:p>
    <w:p w:rsidR="00E26E38" w:rsidRPr="00972800" w:rsidRDefault="00E26E38" w:rsidP="00E26E38">
      <w:pPr>
        <w:widowControl w:val="0"/>
        <w:jc w:val="both"/>
        <w:rPr>
          <w:sz w:val="20"/>
          <w:szCs w:val="20"/>
        </w:rPr>
      </w:pPr>
    </w:p>
    <w:p w:rsidR="00E26E38" w:rsidRPr="00972800" w:rsidRDefault="00E26E38" w:rsidP="00E26E38">
      <w:pPr>
        <w:widowControl w:val="0"/>
        <w:jc w:val="both"/>
        <w:rPr>
          <w:sz w:val="20"/>
          <w:szCs w:val="20"/>
        </w:rPr>
      </w:pPr>
      <w:r w:rsidRPr="00972800">
        <w:rPr>
          <w:sz w:val="20"/>
          <w:szCs w:val="20"/>
        </w:rPr>
        <w:t>The appellant was tried by judge alone and convicted of conspiracy to commit murder and attempted murder.  Several individuals involved in the Halifax drug trade conspired and then attempted to murder a rival by shooting him, and the appellant was at the scene of the crime in a car with one of the co</w:t>
      </w:r>
      <w:r w:rsidRPr="00972800">
        <w:rPr>
          <w:sz w:val="20"/>
          <w:szCs w:val="20"/>
        </w:rPr>
        <w:noBreakHyphen/>
        <w:t>conspirators.  At trial, the appellant testified that he had no knowledge of the conspiracy and that he just happened to be driving around with one of the co</w:t>
      </w:r>
      <w:r w:rsidRPr="00972800">
        <w:rPr>
          <w:sz w:val="20"/>
          <w:szCs w:val="20"/>
        </w:rPr>
        <w:noBreakHyphen/>
        <w:t>conspirators.  The majority of the Court of Appeal dismissed the appellant’s appeal from conviction.  Beveridge J.A., however, would have allowed the appeal and acquitted the appellant on the basis that while the appellant knew that “something bad” was going to happen to the victim, it was an insufficient basis upon which to convict him of conspiracy to commit murder or as a party to attempted murder.  In his view, the verdicts were unreasonable and not supported by the evidence.</w:t>
      </w:r>
    </w:p>
    <w:p w:rsidR="00E26E38" w:rsidRPr="00972800" w:rsidRDefault="00E26E38" w:rsidP="00E26E38">
      <w:pPr>
        <w:widowControl w:val="0"/>
        <w:jc w:val="both"/>
        <w:rPr>
          <w:sz w:val="20"/>
          <w:szCs w:val="20"/>
        </w:rPr>
      </w:pPr>
    </w:p>
    <w:p w:rsidR="00E26E38" w:rsidRPr="00972800" w:rsidRDefault="00E26E38" w:rsidP="00E26E38">
      <w:pPr>
        <w:widowControl w:val="0"/>
        <w:jc w:val="both"/>
        <w:rPr>
          <w:sz w:val="20"/>
          <w:szCs w:val="20"/>
        </w:rPr>
      </w:pPr>
    </w:p>
    <w:p w:rsidR="00E26E38" w:rsidRPr="00972800" w:rsidRDefault="00E26E38" w:rsidP="005C446E">
      <w:pPr>
        <w:widowControl w:val="0"/>
        <w:ind w:left="2880" w:hanging="2880"/>
        <w:jc w:val="both"/>
        <w:rPr>
          <w:sz w:val="20"/>
          <w:szCs w:val="20"/>
        </w:rPr>
      </w:pPr>
      <w:r w:rsidRPr="00972800">
        <w:rPr>
          <w:sz w:val="20"/>
          <w:szCs w:val="20"/>
        </w:rPr>
        <w:t>Origin of the case:</w:t>
      </w:r>
      <w:r w:rsidRPr="00972800">
        <w:rPr>
          <w:sz w:val="20"/>
          <w:szCs w:val="20"/>
        </w:rPr>
        <w:tab/>
        <w:t>Nova Scotia</w:t>
      </w:r>
    </w:p>
    <w:p w:rsidR="00E26E38" w:rsidRPr="00972800" w:rsidRDefault="00E26E38" w:rsidP="005C446E">
      <w:pPr>
        <w:widowControl w:val="0"/>
        <w:ind w:left="2880" w:hanging="2880"/>
        <w:jc w:val="both"/>
        <w:rPr>
          <w:sz w:val="20"/>
          <w:szCs w:val="20"/>
        </w:rPr>
      </w:pPr>
    </w:p>
    <w:p w:rsidR="00E26E38" w:rsidRPr="00972800" w:rsidRDefault="00E26E38" w:rsidP="005C446E">
      <w:pPr>
        <w:widowControl w:val="0"/>
        <w:ind w:left="2880" w:hanging="2880"/>
        <w:jc w:val="both"/>
        <w:rPr>
          <w:sz w:val="20"/>
          <w:szCs w:val="20"/>
        </w:rPr>
      </w:pPr>
      <w:r w:rsidRPr="00972800">
        <w:rPr>
          <w:sz w:val="20"/>
          <w:szCs w:val="20"/>
        </w:rPr>
        <w:t>File No.:</w:t>
      </w:r>
      <w:r w:rsidRPr="00972800">
        <w:rPr>
          <w:sz w:val="20"/>
          <w:szCs w:val="20"/>
        </w:rPr>
        <w:tab/>
        <w:t>34980</w:t>
      </w:r>
    </w:p>
    <w:p w:rsidR="00E26E38" w:rsidRPr="00972800" w:rsidRDefault="00E26E38" w:rsidP="005C446E">
      <w:pPr>
        <w:widowControl w:val="0"/>
        <w:ind w:left="2880" w:hanging="2880"/>
        <w:jc w:val="both"/>
        <w:rPr>
          <w:sz w:val="20"/>
          <w:szCs w:val="20"/>
        </w:rPr>
      </w:pPr>
    </w:p>
    <w:p w:rsidR="00E26E38" w:rsidRPr="00972800" w:rsidRDefault="00E26E38" w:rsidP="005C446E">
      <w:pPr>
        <w:widowControl w:val="0"/>
        <w:ind w:left="2880" w:hanging="2880"/>
        <w:jc w:val="both"/>
        <w:rPr>
          <w:sz w:val="20"/>
          <w:szCs w:val="20"/>
        </w:rPr>
      </w:pPr>
      <w:r w:rsidRPr="00972800">
        <w:rPr>
          <w:sz w:val="20"/>
          <w:szCs w:val="20"/>
        </w:rPr>
        <w:t>Judgment of the Court of Appeal:</w:t>
      </w:r>
      <w:r w:rsidRPr="00972800">
        <w:rPr>
          <w:sz w:val="20"/>
          <w:szCs w:val="20"/>
        </w:rPr>
        <w:tab/>
        <w:t>September 6, 2012</w:t>
      </w:r>
    </w:p>
    <w:p w:rsidR="00E26E38" w:rsidRPr="00972800" w:rsidRDefault="00E26E38" w:rsidP="005C446E">
      <w:pPr>
        <w:widowControl w:val="0"/>
        <w:ind w:left="2880" w:hanging="2880"/>
        <w:jc w:val="both"/>
        <w:rPr>
          <w:sz w:val="20"/>
          <w:szCs w:val="20"/>
        </w:rPr>
      </w:pPr>
    </w:p>
    <w:p w:rsidR="00E26E38" w:rsidRPr="00972800" w:rsidRDefault="00E26E38" w:rsidP="005C446E">
      <w:pPr>
        <w:widowControl w:val="0"/>
        <w:ind w:left="2880" w:hanging="2880"/>
        <w:jc w:val="both"/>
        <w:rPr>
          <w:sz w:val="20"/>
          <w:szCs w:val="20"/>
        </w:rPr>
      </w:pPr>
      <w:r w:rsidRPr="00972800">
        <w:rPr>
          <w:sz w:val="20"/>
          <w:szCs w:val="20"/>
        </w:rPr>
        <w:t>Counsel:</w:t>
      </w:r>
      <w:r w:rsidRPr="00972800">
        <w:rPr>
          <w:sz w:val="20"/>
          <w:szCs w:val="20"/>
        </w:rPr>
        <w:tab/>
        <w:t>Roger Burrill for the appellant</w:t>
      </w:r>
    </w:p>
    <w:p w:rsidR="00E26E38" w:rsidRPr="00972800" w:rsidRDefault="00E26E38" w:rsidP="005C446E">
      <w:pPr>
        <w:widowControl w:val="0"/>
        <w:ind w:left="2880" w:hanging="2880"/>
        <w:jc w:val="both"/>
        <w:rPr>
          <w:sz w:val="20"/>
          <w:szCs w:val="20"/>
        </w:rPr>
      </w:pPr>
      <w:r w:rsidRPr="00972800">
        <w:rPr>
          <w:sz w:val="20"/>
          <w:szCs w:val="20"/>
        </w:rPr>
        <w:tab/>
        <w:t>William D. Delaney, Q.C. for the respondent</w:t>
      </w:r>
    </w:p>
    <w:p w:rsidR="00E26E38" w:rsidRPr="00A33A9D" w:rsidRDefault="00E26E38" w:rsidP="00E26E38">
      <w:pPr>
        <w:jc w:val="both"/>
        <w:rPr>
          <w:sz w:val="20"/>
          <w:szCs w:val="20"/>
          <w:lang w:val="en-US"/>
        </w:rPr>
      </w:pPr>
    </w:p>
    <w:p w:rsidR="00E26E38" w:rsidRDefault="00B74DD2" w:rsidP="00E26E38">
      <w:pPr>
        <w:tabs>
          <w:tab w:val="left" w:pos="-1440"/>
          <w:tab w:val="left" w:pos="-720"/>
        </w:tabs>
        <w:jc w:val="both"/>
        <w:rPr>
          <w:sz w:val="20"/>
          <w:szCs w:val="20"/>
          <w:lang w:val="fr-CA"/>
        </w:rPr>
      </w:pPr>
      <w:r w:rsidRPr="00B74DD2">
        <w:rPr>
          <w:sz w:val="20"/>
          <w:szCs w:val="20"/>
          <w:lang w:val="fr-CA"/>
        </w:rPr>
        <w:pict>
          <v:rect id="_x0000_i1088" style="width:2in;height:1pt" o:hrpct="0" o:hralign="center" o:hrstd="t" o:hrnoshade="t" o:hr="t" fillcolor="black [3213]" stroked="f"/>
        </w:pict>
      </w:r>
    </w:p>
    <w:p w:rsidR="00E26E38" w:rsidRDefault="00E26E38" w:rsidP="00E26E38">
      <w:pPr>
        <w:tabs>
          <w:tab w:val="left" w:pos="-1440"/>
          <w:tab w:val="left" w:pos="-720"/>
        </w:tabs>
        <w:jc w:val="both"/>
        <w:rPr>
          <w:sz w:val="20"/>
          <w:szCs w:val="20"/>
          <w:lang w:val="fr-CA"/>
        </w:rPr>
      </w:pPr>
    </w:p>
    <w:p w:rsidR="00E26E38" w:rsidRDefault="00E26E38" w:rsidP="00E26E38">
      <w:pPr>
        <w:rPr>
          <w:sz w:val="20"/>
          <w:szCs w:val="20"/>
          <w:lang w:val="fr-CA"/>
        </w:rPr>
      </w:pPr>
      <w:r>
        <w:rPr>
          <w:sz w:val="20"/>
          <w:szCs w:val="20"/>
          <w:lang w:val="fr-CA"/>
        </w:rPr>
        <w:br w:type="page"/>
      </w:r>
    </w:p>
    <w:p w:rsidR="00E26E38" w:rsidRPr="00972800" w:rsidRDefault="00B74DD2" w:rsidP="00E26E38">
      <w:pPr>
        <w:widowControl w:val="0"/>
        <w:ind w:left="720" w:hanging="720"/>
        <w:jc w:val="both"/>
        <w:rPr>
          <w:sz w:val="20"/>
          <w:szCs w:val="20"/>
          <w:lang w:val="fr-CA"/>
        </w:rPr>
      </w:pPr>
      <w:r w:rsidRPr="00972800">
        <w:rPr>
          <w:b/>
          <w:sz w:val="20"/>
          <w:szCs w:val="20"/>
          <w:lang w:val="fr-CA"/>
        </w:rPr>
        <w:fldChar w:fldCharType="begin"/>
      </w:r>
      <w:r w:rsidR="00E26E38" w:rsidRPr="00972800">
        <w:rPr>
          <w:b/>
          <w:sz w:val="20"/>
          <w:szCs w:val="20"/>
          <w:lang w:val="fr-CA"/>
        </w:rPr>
        <w:instrText xml:space="preserve"> SEQ CHAPTER \h \r 1</w:instrText>
      </w:r>
      <w:r w:rsidRPr="00972800">
        <w:rPr>
          <w:b/>
          <w:sz w:val="20"/>
          <w:szCs w:val="20"/>
          <w:lang w:val="fr-CA"/>
        </w:rPr>
        <w:fldChar w:fldCharType="end"/>
      </w:r>
      <w:r w:rsidR="00E26E38" w:rsidRPr="00972800">
        <w:rPr>
          <w:b/>
          <w:sz w:val="20"/>
          <w:szCs w:val="20"/>
          <w:lang w:val="fr-CA"/>
        </w:rPr>
        <w:t>34980</w:t>
      </w:r>
      <w:r w:rsidR="00E26E38" w:rsidRPr="00972800">
        <w:rPr>
          <w:sz w:val="20"/>
          <w:szCs w:val="20"/>
          <w:lang w:val="fr-CA"/>
        </w:rPr>
        <w:tab/>
      </w:r>
      <w:r w:rsidR="00E26E38" w:rsidRPr="00972800">
        <w:rPr>
          <w:b/>
          <w:i/>
          <w:sz w:val="20"/>
          <w:szCs w:val="20"/>
          <w:lang w:val="fr-CA"/>
        </w:rPr>
        <w:t>Matthew James Murphy c. Sa Majesté la Reine</w:t>
      </w:r>
    </w:p>
    <w:p w:rsidR="00E26E38" w:rsidRPr="00972800" w:rsidRDefault="00E26E38" w:rsidP="00E26E38">
      <w:pPr>
        <w:widowControl w:val="0"/>
        <w:jc w:val="both"/>
        <w:rPr>
          <w:sz w:val="20"/>
          <w:szCs w:val="20"/>
          <w:lang w:val="fr-CA"/>
        </w:rPr>
      </w:pPr>
    </w:p>
    <w:p w:rsidR="00E26E38" w:rsidRPr="00972800" w:rsidRDefault="00E26E38" w:rsidP="00E26E38">
      <w:pPr>
        <w:widowControl w:val="0"/>
        <w:jc w:val="both"/>
        <w:rPr>
          <w:sz w:val="20"/>
          <w:szCs w:val="20"/>
          <w:lang w:val="fr-CA"/>
        </w:rPr>
      </w:pPr>
      <w:r w:rsidRPr="00972800">
        <w:rPr>
          <w:sz w:val="20"/>
          <w:szCs w:val="20"/>
          <w:lang w:val="fr-CA"/>
        </w:rPr>
        <w:t xml:space="preserve">Droit criminel </w:t>
      </w:r>
      <w:r w:rsidRPr="00972800">
        <w:rPr>
          <w:sz w:val="20"/>
          <w:szCs w:val="20"/>
          <w:lang w:val="fr-CA"/>
        </w:rPr>
        <w:noBreakHyphen/>
        <w:t xml:space="preserve"> Complot en vue de commettre un meurtre </w:t>
      </w:r>
      <w:r w:rsidRPr="00972800">
        <w:rPr>
          <w:sz w:val="20"/>
          <w:szCs w:val="20"/>
          <w:lang w:val="fr-CA"/>
        </w:rPr>
        <w:noBreakHyphen/>
        <w:t xml:space="preserve"> Tentative de meurtre </w:t>
      </w:r>
      <w:r w:rsidRPr="00972800">
        <w:rPr>
          <w:sz w:val="20"/>
          <w:szCs w:val="20"/>
          <w:lang w:val="fr-CA"/>
        </w:rPr>
        <w:noBreakHyphen/>
        <w:t xml:space="preserve"> Verdicts déraisonnables </w:t>
      </w:r>
      <w:r w:rsidRPr="00972800">
        <w:rPr>
          <w:sz w:val="20"/>
          <w:szCs w:val="20"/>
          <w:lang w:val="fr-CA"/>
        </w:rPr>
        <w:noBreakHyphen/>
        <w:t xml:space="preserve"> Les verdicts sont</w:t>
      </w:r>
      <w:r w:rsidRPr="00972800">
        <w:rPr>
          <w:sz w:val="20"/>
          <w:szCs w:val="20"/>
          <w:lang w:val="fr-CA"/>
        </w:rPr>
        <w:noBreakHyphen/>
        <w:t>ils déraisonnables et non appuyés par la preuve au sens de l’al. 686(1)</w:t>
      </w:r>
      <w:r w:rsidRPr="00972800">
        <w:rPr>
          <w:i/>
          <w:sz w:val="20"/>
          <w:szCs w:val="20"/>
          <w:lang w:val="fr-CA"/>
        </w:rPr>
        <w:t>a</w:t>
      </w:r>
      <w:r w:rsidRPr="00972800">
        <w:rPr>
          <w:sz w:val="20"/>
          <w:szCs w:val="20"/>
          <w:lang w:val="fr-CA"/>
        </w:rPr>
        <w:t xml:space="preserve">) du </w:t>
      </w:r>
      <w:r w:rsidRPr="00972800">
        <w:rPr>
          <w:i/>
          <w:sz w:val="20"/>
          <w:szCs w:val="20"/>
          <w:lang w:val="fr-CA"/>
        </w:rPr>
        <w:t>Code criminel</w:t>
      </w:r>
      <w:r w:rsidRPr="00972800">
        <w:rPr>
          <w:sz w:val="20"/>
          <w:szCs w:val="20"/>
          <w:lang w:val="fr-CA"/>
        </w:rPr>
        <w:t xml:space="preserve">? </w:t>
      </w:r>
    </w:p>
    <w:p w:rsidR="00E26E38" w:rsidRPr="00972800" w:rsidRDefault="00E26E38" w:rsidP="00E26E38">
      <w:pPr>
        <w:widowControl w:val="0"/>
        <w:jc w:val="both"/>
        <w:rPr>
          <w:sz w:val="20"/>
          <w:szCs w:val="20"/>
          <w:lang w:val="fr-CA"/>
        </w:rPr>
      </w:pPr>
    </w:p>
    <w:p w:rsidR="00E26E38" w:rsidRPr="00972800" w:rsidRDefault="00E26E38" w:rsidP="00E26E38">
      <w:pPr>
        <w:widowControl w:val="0"/>
        <w:jc w:val="both"/>
        <w:rPr>
          <w:sz w:val="20"/>
          <w:szCs w:val="20"/>
          <w:lang w:val="fr-CA"/>
        </w:rPr>
      </w:pPr>
      <w:r w:rsidRPr="00972800">
        <w:rPr>
          <w:sz w:val="20"/>
          <w:szCs w:val="20"/>
          <w:lang w:val="fr-CA"/>
        </w:rPr>
        <w:t>L’appelant a subi son procès devant juge seul et déclaré coupable de complot en vue de commettre un meurtre et de tentative de meurtre.  Plusieurs personnes impliquées dans le trafic de la drogue à Halifax ont comploté en vue de tuer, puis tenté de tuer un rival par balles et l’appelant était sur le lieu du crime dans une voiture avec les coconspirateurs.  Au procès, l’appelant a affirmé dans son témoignage qu’il n’avait aucune connaissance du complot et que c’est par hasard qu’il se promenait en voiture avec un des coconspirateurs.  Les juges majoritaires de la Cour d’appel ont rejeté l’appel de la déclaration de culpabilité interjeté par l’appelant.  Toutefois, le juge Beveridge aurait accueilli l’appel et acquitté l’appelant, puisqu’à son avis, même si l’appelant savait que [</w:t>
      </w:r>
      <w:r w:rsidRPr="00972800">
        <w:rPr>
          <w:smallCaps/>
          <w:sz w:val="20"/>
          <w:szCs w:val="20"/>
          <w:lang w:val="fr-CA"/>
        </w:rPr>
        <w:t>traduction</w:t>
      </w:r>
      <w:r w:rsidRPr="00972800">
        <w:rPr>
          <w:sz w:val="20"/>
          <w:szCs w:val="20"/>
          <w:lang w:val="fr-CA"/>
        </w:rPr>
        <w:t>] « quelque chose de mauvais » était sur le point d’arriver à la victime, cela ne suffisait pas à le déclarer coupable de complot en vue de commettre un meurtre ou d’être participant à la tentative de meurtre.  À son avis, les verdicts étaient déraisonnables et non appuyés par la preuve.</w:t>
      </w:r>
    </w:p>
    <w:p w:rsidR="00E26E38" w:rsidRPr="00972800" w:rsidRDefault="00E26E38" w:rsidP="00E26E38">
      <w:pPr>
        <w:widowControl w:val="0"/>
        <w:jc w:val="both"/>
        <w:rPr>
          <w:sz w:val="20"/>
          <w:szCs w:val="20"/>
          <w:lang w:val="fr-CA"/>
        </w:rPr>
      </w:pPr>
    </w:p>
    <w:p w:rsidR="00E26E38" w:rsidRPr="00972800" w:rsidRDefault="00E26E38" w:rsidP="00E26E38">
      <w:pPr>
        <w:widowControl w:val="0"/>
        <w:jc w:val="both"/>
        <w:rPr>
          <w:sz w:val="20"/>
          <w:szCs w:val="20"/>
          <w:lang w:val="fr-CA"/>
        </w:rPr>
      </w:pPr>
    </w:p>
    <w:p w:rsidR="00E26E38" w:rsidRPr="00972800" w:rsidRDefault="00E26E38" w:rsidP="00D85644">
      <w:pPr>
        <w:widowControl w:val="0"/>
        <w:ind w:left="2880" w:hanging="2880"/>
        <w:jc w:val="both"/>
        <w:rPr>
          <w:sz w:val="20"/>
          <w:szCs w:val="20"/>
          <w:lang w:val="fr-CA"/>
        </w:rPr>
      </w:pPr>
      <w:r w:rsidRPr="00972800">
        <w:rPr>
          <w:sz w:val="20"/>
          <w:szCs w:val="20"/>
          <w:lang w:val="fr-CA"/>
        </w:rPr>
        <w:t>Origine :</w:t>
      </w:r>
      <w:r w:rsidRPr="00972800">
        <w:rPr>
          <w:sz w:val="20"/>
          <w:szCs w:val="20"/>
          <w:lang w:val="fr-CA"/>
        </w:rPr>
        <w:tab/>
        <w:t>Nouvelle</w:t>
      </w:r>
      <w:r w:rsidRPr="00972800">
        <w:rPr>
          <w:sz w:val="20"/>
          <w:szCs w:val="20"/>
          <w:lang w:val="fr-CA"/>
        </w:rPr>
        <w:noBreakHyphen/>
        <w:t>Écosse</w:t>
      </w:r>
    </w:p>
    <w:p w:rsidR="00E26E38" w:rsidRPr="00972800" w:rsidRDefault="00E26E38" w:rsidP="00D85644">
      <w:pPr>
        <w:widowControl w:val="0"/>
        <w:ind w:left="2880" w:hanging="2880"/>
        <w:jc w:val="both"/>
        <w:rPr>
          <w:sz w:val="20"/>
          <w:szCs w:val="20"/>
          <w:lang w:val="fr-CA"/>
        </w:rPr>
      </w:pPr>
    </w:p>
    <w:p w:rsidR="00E26E38" w:rsidRPr="00972800" w:rsidRDefault="00E26E38" w:rsidP="00D85644">
      <w:pPr>
        <w:widowControl w:val="0"/>
        <w:ind w:left="2880" w:hanging="2880"/>
        <w:jc w:val="both"/>
        <w:rPr>
          <w:sz w:val="20"/>
          <w:szCs w:val="20"/>
          <w:lang w:val="fr-CA"/>
        </w:rPr>
      </w:pPr>
      <w:r w:rsidRPr="00972800">
        <w:rPr>
          <w:sz w:val="20"/>
          <w:szCs w:val="20"/>
          <w:lang w:val="fr-CA"/>
        </w:rPr>
        <w:t>N</w:t>
      </w:r>
      <w:r w:rsidRPr="00972800">
        <w:rPr>
          <w:sz w:val="20"/>
          <w:szCs w:val="20"/>
          <w:vertAlign w:val="superscript"/>
          <w:lang w:val="fr-CA"/>
        </w:rPr>
        <w:t>o</w:t>
      </w:r>
      <w:r w:rsidRPr="00972800">
        <w:rPr>
          <w:sz w:val="20"/>
          <w:szCs w:val="20"/>
          <w:lang w:val="fr-CA"/>
        </w:rPr>
        <w:t xml:space="preserve"> du greffe :</w:t>
      </w:r>
      <w:r w:rsidRPr="00972800">
        <w:rPr>
          <w:sz w:val="20"/>
          <w:szCs w:val="20"/>
          <w:lang w:val="fr-CA"/>
        </w:rPr>
        <w:tab/>
        <w:t>34980</w:t>
      </w:r>
    </w:p>
    <w:p w:rsidR="00E26E38" w:rsidRPr="00972800" w:rsidRDefault="00E26E38" w:rsidP="00D85644">
      <w:pPr>
        <w:widowControl w:val="0"/>
        <w:ind w:left="2880" w:hanging="2880"/>
        <w:jc w:val="both"/>
        <w:rPr>
          <w:sz w:val="20"/>
          <w:szCs w:val="20"/>
          <w:lang w:val="fr-CA"/>
        </w:rPr>
      </w:pPr>
    </w:p>
    <w:p w:rsidR="00E26E38" w:rsidRPr="00972800" w:rsidRDefault="00E26E38" w:rsidP="00D85644">
      <w:pPr>
        <w:widowControl w:val="0"/>
        <w:ind w:left="2880" w:hanging="2880"/>
        <w:jc w:val="both"/>
        <w:rPr>
          <w:sz w:val="20"/>
          <w:szCs w:val="20"/>
          <w:lang w:val="fr-CA"/>
        </w:rPr>
      </w:pPr>
      <w:r w:rsidRPr="00972800">
        <w:rPr>
          <w:sz w:val="20"/>
          <w:szCs w:val="20"/>
          <w:lang w:val="fr-CA"/>
        </w:rPr>
        <w:t>Arrêt de la Cour d’appel :</w:t>
      </w:r>
      <w:r w:rsidRPr="00972800">
        <w:rPr>
          <w:sz w:val="20"/>
          <w:szCs w:val="20"/>
          <w:lang w:val="fr-CA"/>
        </w:rPr>
        <w:tab/>
        <w:t>le 6 septembre 2012</w:t>
      </w:r>
    </w:p>
    <w:p w:rsidR="00E26E38" w:rsidRPr="00972800" w:rsidRDefault="00E26E38" w:rsidP="00D85644">
      <w:pPr>
        <w:widowControl w:val="0"/>
        <w:ind w:left="2880" w:hanging="2880"/>
        <w:jc w:val="both"/>
        <w:rPr>
          <w:sz w:val="20"/>
          <w:szCs w:val="20"/>
          <w:lang w:val="fr-CA"/>
        </w:rPr>
      </w:pPr>
    </w:p>
    <w:p w:rsidR="00E26E38" w:rsidRPr="00972800" w:rsidRDefault="00E26E38" w:rsidP="00D85644">
      <w:pPr>
        <w:widowControl w:val="0"/>
        <w:ind w:left="2880" w:hanging="2880"/>
        <w:jc w:val="both"/>
        <w:rPr>
          <w:sz w:val="20"/>
          <w:szCs w:val="20"/>
        </w:rPr>
      </w:pPr>
      <w:r w:rsidRPr="00972800">
        <w:rPr>
          <w:sz w:val="20"/>
          <w:szCs w:val="20"/>
        </w:rPr>
        <w:t>Avocats :</w:t>
      </w:r>
      <w:r w:rsidRPr="00972800">
        <w:rPr>
          <w:sz w:val="20"/>
          <w:szCs w:val="20"/>
        </w:rPr>
        <w:tab/>
        <w:t>Roger Burrill pour l’appelant</w:t>
      </w:r>
    </w:p>
    <w:p w:rsidR="00E26E38" w:rsidRPr="00E26E38" w:rsidRDefault="00E26E38" w:rsidP="00D85644">
      <w:pPr>
        <w:widowControl w:val="0"/>
        <w:ind w:left="2880" w:hanging="2880"/>
        <w:jc w:val="both"/>
        <w:rPr>
          <w:sz w:val="20"/>
          <w:szCs w:val="20"/>
          <w:lang w:val="en-US"/>
        </w:rPr>
      </w:pPr>
      <w:r w:rsidRPr="00972800">
        <w:rPr>
          <w:sz w:val="20"/>
          <w:szCs w:val="20"/>
        </w:rPr>
        <w:tab/>
        <w:t xml:space="preserve">William D. Delaney, c.r. </w:t>
      </w:r>
      <w:r w:rsidRPr="00E26E38">
        <w:rPr>
          <w:sz w:val="20"/>
          <w:szCs w:val="20"/>
          <w:lang w:val="en-US"/>
        </w:rPr>
        <w:t>pour l’intimée</w:t>
      </w:r>
    </w:p>
    <w:p w:rsidR="00E26E38" w:rsidRPr="00972800" w:rsidRDefault="00E26E38" w:rsidP="00E26E38">
      <w:pPr>
        <w:jc w:val="both"/>
        <w:rPr>
          <w:sz w:val="20"/>
          <w:szCs w:val="20"/>
          <w:lang w:val="fr-CA"/>
        </w:rPr>
      </w:pPr>
    </w:p>
    <w:p w:rsidR="00E26E38" w:rsidRDefault="00B74DD2" w:rsidP="00E26E38">
      <w:pPr>
        <w:tabs>
          <w:tab w:val="left" w:pos="-1440"/>
          <w:tab w:val="left" w:pos="-720"/>
        </w:tabs>
        <w:jc w:val="both"/>
        <w:rPr>
          <w:sz w:val="20"/>
          <w:szCs w:val="20"/>
          <w:lang w:val="fr-CA"/>
        </w:rPr>
      </w:pPr>
      <w:r w:rsidRPr="00B74DD2">
        <w:rPr>
          <w:sz w:val="20"/>
          <w:szCs w:val="20"/>
          <w:lang w:val="fr-CA"/>
        </w:rPr>
        <w:pict>
          <v:rect id="_x0000_i1089" style="width:2in;height:1pt" o:hrpct="0" o:hralign="center" o:hrstd="t" o:hrnoshade="t" o:hr="t" fillcolor="black [3213]" stroked="f"/>
        </w:pict>
      </w:r>
    </w:p>
    <w:p w:rsidR="00E26E38" w:rsidRDefault="00E26E38" w:rsidP="00E26E38">
      <w:pPr>
        <w:tabs>
          <w:tab w:val="left" w:pos="-1440"/>
          <w:tab w:val="left" w:pos="-720"/>
        </w:tabs>
        <w:jc w:val="both"/>
        <w:rPr>
          <w:sz w:val="20"/>
          <w:szCs w:val="20"/>
          <w:lang w:val="fr-CA"/>
        </w:rPr>
      </w:pPr>
    </w:p>
    <w:p w:rsidR="00E26E38" w:rsidRDefault="00E26E38" w:rsidP="00E26E38">
      <w:pPr>
        <w:rPr>
          <w:sz w:val="20"/>
          <w:szCs w:val="20"/>
          <w:lang w:val="fr-CA"/>
        </w:rPr>
      </w:pPr>
      <w:r>
        <w:rPr>
          <w:sz w:val="20"/>
          <w:szCs w:val="20"/>
          <w:lang w:val="fr-CA"/>
        </w:rPr>
        <w:br w:type="page"/>
      </w:r>
    </w:p>
    <w:p w:rsidR="00E26E38" w:rsidRPr="00972800" w:rsidRDefault="00B74DD2" w:rsidP="00E26E38">
      <w:pPr>
        <w:widowControl w:val="0"/>
        <w:ind w:left="720" w:hanging="720"/>
        <w:jc w:val="both"/>
        <w:rPr>
          <w:sz w:val="20"/>
          <w:szCs w:val="20"/>
        </w:rPr>
      </w:pPr>
      <w:r w:rsidRPr="00972800">
        <w:rPr>
          <w:b/>
          <w:sz w:val="20"/>
          <w:szCs w:val="20"/>
        </w:rPr>
        <w:fldChar w:fldCharType="begin"/>
      </w:r>
      <w:r w:rsidR="00E26E38" w:rsidRPr="00972800">
        <w:rPr>
          <w:b/>
          <w:sz w:val="20"/>
          <w:szCs w:val="20"/>
        </w:rPr>
        <w:instrText xml:space="preserve"> SEQ CHAPTER \h \r 1</w:instrText>
      </w:r>
      <w:r w:rsidRPr="00972800">
        <w:rPr>
          <w:b/>
          <w:sz w:val="20"/>
          <w:szCs w:val="20"/>
        </w:rPr>
        <w:fldChar w:fldCharType="end"/>
      </w:r>
      <w:r w:rsidR="00E26E38" w:rsidRPr="00972800">
        <w:rPr>
          <w:b/>
          <w:sz w:val="20"/>
          <w:szCs w:val="20"/>
        </w:rPr>
        <w:t>34505</w:t>
      </w:r>
      <w:r w:rsidR="00E26E38" w:rsidRPr="00972800">
        <w:rPr>
          <w:sz w:val="20"/>
          <w:szCs w:val="20"/>
        </w:rPr>
        <w:tab/>
      </w:r>
      <w:r w:rsidR="00E26E38" w:rsidRPr="00972800">
        <w:rPr>
          <w:b/>
          <w:i/>
          <w:sz w:val="20"/>
          <w:szCs w:val="20"/>
        </w:rPr>
        <w:t>Régie des rentes du Québec v. Canada Bread Company Ltd., Sean Kelly in his capacity as trustee of the Bakery and Confectionery Union and Industry Canadian Pension Fund, Multi</w:t>
      </w:r>
      <w:r w:rsidR="00E26E38" w:rsidRPr="00972800">
        <w:rPr>
          <w:b/>
          <w:i/>
          <w:sz w:val="20"/>
          <w:szCs w:val="20"/>
        </w:rPr>
        <w:noBreakHyphen/>
        <w:t>Marques Inc., Multi</w:t>
      </w:r>
      <w:r w:rsidR="00E26E38" w:rsidRPr="00972800">
        <w:rPr>
          <w:b/>
          <w:i/>
          <w:sz w:val="20"/>
          <w:szCs w:val="20"/>
        </w:rPr>
        <w:noBreakHyphen/>
        <w:t>Marques distribution Inc., Bakery, Confectionery, Tobacco Workers and Grain Millers International Union, Local 468</w:t>
      </w:r>
    </w:p>
    <w:p w:rsidR="00E26E38" w:rsidRPr="00972800" w:rsidRDefault="00E26E38" w:rsidP="00E26E38">
      <w:pPr>
        <w:widowControl w:val="0"/>
        <w:jc w:val="both"/>
        <w:rPr>
          <w:sz w:val="20"/>
          <w:szCs w:val="20"/>
        </w:rPr>
      </w:pPr>
    </w:p>
    <w:p w:rsidR="00E26E38" w:rsidRPr="00972800" w:rsidRDefault="00E26E38" w:rsidP="00E26E38">
      <w:pPr>
        <w:widowControl w:val="0"/>
        <w:jc w:val="both"/>
        <w:rPr>
          <w:sz w:val="20"/>
          <w:szCs w:val="20"/>
        </w:rPr>
      </w:pPr>
      <w:r w:rsidRPr="00972800">
        <w:rPr>
          <w:sz w:val="20"/>
          <w:szCs w:val="20"/>
        </w:rPr>
        <w:t xml:space="preserve">Legislation </w:t>
      </w:r>
      <w:r w:rsidRPr="00972800">
        <w:rPr>
          <w:sz w:val="20"/>
          <w:szCs w:val="20"/>
        </w:rPr>
        <w:noBreakHyphen/>
        <w:t xml:space="preserve"> Scope of declaratory statute </w:t>
      </w:r>
      <w:r w:rsidRPr="00972800">
        <w:rPr>
          <w:sz w:val="20"/>
          <w:szCs w:val="20"/>
        </w:rPr>
        <w:noBreakHyphen/>
        <w:t xml:space="preserve"> Judgments </w:t>
      </w:r>
      <w:r w:rsidRPr="00972800">
        <w:rPr>
          <w:sz w:val="20"/>
          <w:szCs w:val="20"/>
        </w:rPr>
        <w:noBreakHyphen/>
        <w:t xml:space="preserve"> Impact of application for leave to appeal on status of case </w:t>
      </w:r>
      <w:r w:rsidRPr="00972800">
        <w:rPr>
          <w:sz w:val="20"/>
          <w:szCs w:val="20"/>
        </w:rPr>
        <w:noBreakHyphen/>
        <w:t xml:space="preserve"> Incompatibility of pension plan provision of collective agreement found by administrative tribunals and affirmed by Superior Court </w:t>
      </w:r>
      <w:r w:rsidRPr="00972800">
        <w:rPr>
          <w:sz w:val="20"/>
          <w:szCs w:val="20"/>
        </w:rPr>
        <w:noBreakHyphen/>
        <w:t xml:space="preserve"> Court of Appeal reversing that finding and remitting matter to initial administrative tribunal </w:t>
      </w:r>
      <w:r w:rsidRPr="00972800">
        <w:rPr>
          <w:sz w:val="20"/>
          <w:szCs w:val="20"/>
        </w:rPr>
        <w:noBreakHyphen/>
        <w:t xml:space="preserve"> Application made for leave to appeal that judgment to country’s highest court </w:t>
      </w:r>
      <w:r w:rsidRPr="00972800">
        <w:rPr>
          <w:sz w:val="20"/>
          <w:szCs w:val="20"/>
        </w:rPr>
        <w:noBreakHyphen/>
        <w:t xml:space="preserve"> Declaratory legislation clarifying interpretation contrary to judgment of Court of Appeal prior to dismissal of application for leave to appeal </w:t>
      </w:r>
      <w:r w:rsidRPr="00972800">
        <w:rPr>
          <w:sz w:val="20"/>
          <w:szCs w:val="20"/>
        </w:rPr>
        <w:noBreakHyphen/>
        <w:t xml:space="preserve"> Administrative tribunal applying declaratory provision </w:t>
      </w:r>
      <w:r w:rsidRPr="00972800">
        <w:rPr>
          <w:sz w:val="20"/>
          <w:szCs w:val="20"/>
        </w:rPr>
        <w:noBreakHyphen/>
        <w:t xml:space="preserve"> That choice challenged </w:t>
      </w:r>
      <w:r w:rsidRPr="00972800">
        <w:rPr>
          <w:sz w:val="20"/>
          <w:szCs w:val="20"/>
        </w:rPr>
        <w:noBreakHyphen/>
        <w:t xml:space="preserve"> Whether Court of Appeal erred in refusing to apply declaratory statute to case, despite fact that statute enacted while case pending, on ground that case had ceased to be pending as result of dismissal of application for leave to appeal to Supreme Court of Canada </w:t>
      </w:r>
      <w:r w:rsidRPr="00972800">
        <w:rPr>
          <w:sz w:val="20"/>
          <w:szCs w:val="20"/>
        </w:rPr>
        <w:noBreakHyphen/>
        <w:t xml:space="preserve"> </w:t>
      </w:r>
      <w:r w:rsidRPr="00972800">
        <w:rPr>
          <w:i/>
          <w:sz w:val="20"/>
          <w:szCs w:val="20"/>
        </w:rPr>
        <w:t>Supplemental Pension Plans Act</w:t>
      </w:r>
      <w:r w:rsidRPr="00972800">
        <w:rPr>
          <w:sz w:val="20"/>
          <w:szCs w:val="20"/>
        </w:rPr>
        <w:t>, R.S.Q. c. R</w:t>
      </w:r>
      <w:r w:rsidRPr="00972800">
        <w:rPr>
          <w:sz w:val="20"/>
          <w:szCs w:val="20"/>
        </w:rPr>
        <w:noBreakHyphen/>
        <w:t>15.1, ss. 5, 14.1, 211, 228.</w:t>
      </w:r>
    </w:p>
    <w:p w:rsidR="00E26E38" w:rsidRPr="00972800" w:rsidRDefault="00E26E38" w:rsidP="00E26E38">
      <w:pPr>
        <w:widowControl w:val="0"/>
        <w:jc w:val="both"/>
        <w:rPr>
          <w:sz w:val="20"/>
          <w:szCs w:val="20"/>
        </w:rPr>
      </w:pPr>
    </w:p>
    <w:p w:rsidR="00E26E38" w:rsidRPr="00972800" w:rsidRDefault="00E26E38" w:rsidP="00E26E38">
      <w:pPr>
        <w:widowControl w:val="0"/>
        <w:jc w:val="both"/>
        <w:rPr>
          <w:sz w:val="20"/>
          <w:szCs w:val="20"/>
        </w:rPr>
      </w:pPr>
      <w:r w:rsidRPr="00972800">
        <w:rPr>
          <w:sz w:val="20"/>
          <w:szCs w:val="20"/>
        </w:rPr>
        <w:t>In April 2008, the Court of Appeal reversed a decision of the Régie des rentes finding that certain clauses of a private pension plan authorizing the employer to reduce pensions after closing down were unlawful; it remitted the matter to the Régie to be redetermined accordingly.  On May 29, the Régie applied to the Court for leave to appeal.  On June 8, the Quebec legislature enacted a declaratory statute imposing the Régie’s interpretation of the relevant statute and excluding the Court of Appeal’s interpretation.  In October 2008, the application for leave to appeal was dismissed.  In August 2009, the Régie made its new decision and applied the declaratory statute.  The employer challenged that decision on the ground that the case was no longer pending when the declaratory statute came into force.</w:t>
      </w:r>
    </w:p>
    <w:p w:rsidR="00E26E38" w:rsidRPr="00972800" w:rsidRDefault="00E26E38" w:rsidP="00E26E38">
      <w:pPr>
        <w:widowControl w:val="0"/>
        <w:jc w:val="both"/>
        <w:rPr>
          <w:sz w:val="20"/>
          <w:szCs w:val="20"/>
        </w:rPr>
      </w:pPr>
    </w:p>
    <w:p w:rsidR="00E26E38" w:rsidRPr="00972800" w:rsidRDefault="00E26E38" w:rsidP="00E26E38">
      <w:pPr>
        <w:widowControl w:val="0"/>
        <w:jc w:val="both"/>
        <w:rPr>
          <w:sz w:val="20"/>
          <w:szCs w:val="20"/>
        </w:rPr>
      </w:pPr>
    </w:p>
    <w:p w:rsidR="00E26E38" w:rsidRPr="00972800" w:rsidRDefault="00E26E38" w:rsidP="00CD7E00">
      <w:pPr>
        <w:widowControl w:val="0"/>
        <w:ind w:left="2880" w:hanging="2880"/>
        <w:jc w:val="both"/>
        <w:rPr>
          <w:sz w:val="20"/>
          <w:szCs w:val="20"/>
        </w:rPr>
      </w:pPr>
      <w:r w:rsidRPr="00972800">
        <w:rPr>
          <w:sz w:val="20"/>
          <w:szCs w:val="20"/>
        </w:rPr>
        <w:t>Origin of the case:</w:t>
      </w:r>
      <w:r w:rsidRPr="00972800">
        <w:rPr>
          <w:sz w:val="20"/>
          <w:szCs w:val="20"/>
        </w:rPr>
        <w:tab/>
        <w:t>Quebec</w:t>
      </w:r>
    </w:p>
    <w:p w:rsidR="00E26E38" w:rsidRPr="00972800" w:rsidRDefault="00E26E38" w:rsidP="00CD7E00">
      <w:pPr>
        <w:widowControl w:val="0"/>
        <w:ind w:left="2880" w:hanging="2880"/>
        <w:jc w:val="both"/>
        <w:rPr>
          <w:sz w:val="20"/>
          <w:szCs w:val="20"/>
        </w:rPr>
      </w:pPr>
    </w:p>
    <w:p w:rsidR="00E26E38" w:rsidRPr="00972800" w:rsidRDefault="00E26E38" w:rsidP="00CD7E00">
      <w:pPr>
        <w:widowControl w:val="0"/>
        <w:ind w:left="2880" w:hanging="2880"/>
        <w:jc w:val="both"/>
        <w:rPr>
          <w:sz w:val="20"/>
          <w:szCs w:val="20"/>
        </w:rPr>
      </w:pPr>
      <w:r w:rsidRPr="00972800">
        <w:rPr>
          <w:sz w:val="20"/>
          <w:szCs w:val="20"/>
        </w:rPr>
        <w:t>File No.:</w:t>
      </w:r>
      <w:r w:rsidRPr="00972800">
        <w:rPr>
          <w:sz w:val="20"/>
          <w:szCs w:val="20"/>
        </w:rPr>
        <w:tab/>
        <w:t>34505</w:t>
      </w:r>
    </w:p>
    <w:p w:rsidR="00E26E38" w:rsidRPr="00972800" w:rsidRDefault="00E26E38" w:rsidP="00CD7E00">
      <w:pPr>
        <w:widowControl w:val="0"/>
        <w:ind w:left="2880" w:hanging="2880"/>
        <w:jc w:val="both"/>
        <w:rPr>
          <w:sz w:val="20"/>
          <w:szCs w:val="20"/>
        </w:rPr>
      </w:pPr>
    </w:p>
    <w:p w:rsidR="00E26E38" w:rsidRPr="00972800" w:rsidRDefault="00E26E38" w:rsidP="00CD7E00">
      <w:pPr>
        <w:widowControl w:val="0"/>
        <w:ind w:left="2880" w:hanging="2880"/>
        <w:jc w:val="both"/>
        <w:rPr>
          <w:sz w:val="20"/>
          <w:szCs w:val="20"/>
        </w:rPr>
      </w:pPr>
      <w:r w:rsidRPr="00972800">
        <w:rPr>
          <w:sz w:val="20"/>
          <w:szCs w:val="20"/>
        </w:rPr>
        <w:t>Judgment of the Court of Appeal:</w:t>
      </w:r>
      <w:r w:rsidRPr="00972800">
        <w:rPr>
          <w:sz w:val="20"/>
          <w:szCs w:val="20"/>
        </w:rPr>
        <w:tab/>
        <w:t>August 22, 2011</w:t>
      </w:r>
    </w:p>
    <w:p w:rsidR="00E26E38" w:rsidRPr="00972800" w:rsidRDefault="00E26E38" w:rsidP="00CD7E00">
      <w:pPr>
        <w:widowControl w:val="0"/>
        <w:ind w:left="2880" w:hanging="2880"/>
        <w:jc w:val="both"/>
        <w:rPr>
          <w:sz w:val="20"/>
          <w:szCs w:val="20"/>
        </w:rPr>
      </w:pPr>
    </w:p>
    <w:p w:rsidR="00E26E38" w:rsidRPr="00972800" w:rsidRDefault="00E26E38" w:rsidP="00CD7E00">
      <w:pPr>
        <w:widowControl w:val="0"/>
        <w:ind w:left="2880" w:hanging="2880"/>
        <w:jc w:val="both"/>
        <w:rPr>
          <w:sz w:val="20"/>
          <w:szCs w:val="20"/>
        </w:rPr>
      </w:pPr>
      <w:r w:rsidRPr="00972800">
        <w:rPr>
          <w:sz w:val="20"/>
          <w:szCs w:val="20"/>
        </w:rPr>
        <w:t>Counsel:</w:t>
      </w:r>
      <w:r w:rsidRPr="00972800">
        <w:rPr>
          <w:sz w:val="20"/>
          <w:szCs w:val="20"/>
        </w:rPr>
        <w:tab/>
        <w:t>Sheila York for the appellant</w:t>
      </w:r>
    </w:p>
    <w:p w:rsidR="00E26E38" w:rsidRPr="00972800" w:rsidRDefault="00E26E38" w:rsidP="00CD7E00">
      <w:pPr>
        <w:widowControl w:val="0"/>
        <w:ind w:left="2880" w:hanging="2880"/>
        <w:jc w:val="both"/>
        <w:rPr>
          <w:sz w:val="20"/>
          <w:szCs w:val="20"/>
        </w:rPr>
      </w:pPr>
      <w:r>
        <w:rPr>
          <w:sz w:val="20"/>
          <w:szCs w:val="20"/>
        </w:rPr>
        <w:tab/>
      </w:r>
      <w:r w:rsidRPr="00972800">
        <w:rPr>
          <w:sz w:val="20"/>
          <w:szCs w:val="20"/>
        </w:rPr>
        <w:t xml:space="preserve">Éric Mongeau and Michel Legendre for the respondents Canada Bread Company Ltd. </w:t>
      </w:r>
      <w:r w:rsidRPr="00972800">
        <w:rPr>
          <w:i/>
          <w:sz w:val="20"/>
          <w:szCs w:val="20"/>
        </w:rPr>
        <w:t>et al.</w:t>
      </w:r>
    </w:p>
    <w:p w:rsidR="00E26E38" w:rsidRPr="00972800" w:rsidRDefault="00E26E38" w:rsidP="00CD7E00">
      <w:pPr>
        <w:widowControl w:val="0"/>
        <w:ind w:left="2880" w:hanging="2880"/>
        <w:jc w:val="both"/>
        <w:rPr>
          <w:sz w:val="20"/>
          <w:szCs w:val="20"/>
        </w:rPr>
      </w:pPr>
      <w:r w:rsidRPr="00972800">
        <w:rPr>
          <w:sz w:val="20"/>
          <w:szCs w:val="20"/>
        </w:rPr>
        <w:tab/>
        <w:t>Natalie Bussière for the respondent Sean Kelly</w:t>
      </w:r>
    </w:p>
    <w:p w:rsidR="00E26E38" w:rsidRPr="00A33A9D" w:rsidRDefault="00E26E38" w:rsidP="00E26E38">
      <w:pPr>
        <w:jc w:val="both"/>
        <w:rPr>
          <w:sz w:val="20"/>
          <w:szCs w:val="20"/>
          <w:lang w:val="en-US"/>
        </w:rPr>
      </w:pPr>
    </w:p>
    <w:p w:rsidR="00E26E38" w:rsidRDefault="00B74DD2" w:rsidP="00E26E38">
      <w:pPr>
        <w:tabs>
          <w:tab w:val="left" w:pos="-1440"/>
          <w:tab w:val="left" w:pos="-720"/>
        </w:tabs>
        <w:jc w:val="both"/>
        <w:rPr>
          <w:sz w:val="20"/>
          <w:szCs w:val="20"/>
          <w:lang w:val="fr-CA"/>
        </w:rPr>
      </w:pPr>
      <w:r w:rsidRPr="00B74DD2">
        <w:rPr>
          <w:sz w:val="20"/>
          <w:szCs w:val="20"/>
          <w:lang w:val="fr-CA"/>
        </w:rPr>
        <w:pict>
          <v:rect id="_x0000_i1090" style="width:2in;height:1pt" o:hrpct="0" o:hralign="center" o:hrstd="t" o:hrnoshade="t" o:hr="t" fillcolor="black [3213]" stroked="f"/>
        </w:pict>
      </w:r>
    </w:p>
    <w:p w:rsidR="00E26E38" w:rsidRDefault="00E26E38" w:rsidP="00E26E38">
      <w:pPr>
        <w:tabs>
          <w:tab w:val="left" w:pos="-1440"/>
          <w:tab w:val="left" w:pos="-720"/>
        </w:tabs>
        <w:jc w:val="both"/>
        <w:rPr>
          <w:sz w:val="20"/>
          <w:szCs w:val="20"/>
          <w:lang w:val="fr-CA"/>
        </w:rPr>
      </w:pPr>
    </w:p>
    <w:p w:rsidR="00E26E38" w:rsidRDefault="00E26E38" w:rsidP="00E26E38">
      <w:pPr>
        <w:rPr>
          <w:sz w:val="20"/>
          <w:szCs w:val="20"/>
          <w:lang w:val="fr-CA"/>
        </w:rPr>
      </w:pPr>
      <w:r>
        <w:rPr>
          <w:sz w:val="20"/>
          <w:szCs w:val="20"/>
          <w:lang w:val="fr-CA"/>
        </w:rPr>
        <w:br w:type="page"/>
      </w:r>
    </w:p>
    <w:p w:rsidR="00E26E38" w:rsidRPr="00E26E38" w:rsidRDefault="00B74DD2" w:rsidP="00E26E38">
      <w:pPr>
        <w:widowControl w:val="0"/>
        <w:ind w:left="720" w:hanging="720"/>
        <w:jc w:val="both"/>
        <w:rPr>
          <w:sz w:val="20"/>
          <w:szCs w:val="20"/>
          <w:lang w:val="fr-CA"/>
        </w:rPr>
      </w:pPr>
      <w:r w:rsidRPr="00B74DD2">
        <w:rPr>
          <w:b/>
          <w:sz w:val="20"/>
          <w:szCs w:val="20"/>
          <w:lang w:val="fr-CA"/>
        </w:rPr>
        <w:fldChar w:fldCharType="begin"/>
      </w:r>
      <w:r w:rsidR="00E26E38" w:rsidRPr="00E26E38">
        <w:rPr>
          <w:b/>
          <w:sz w:val="20"/>
          <w:szCs w:val="20"/>
          <w:lang w:val="fr-CA"/>
        </w:rPr>
        <w:instrText xml:space="preserve"> SEQ CHAPTER \h \r 1</w:instrText>
      </w:r>
      <w:r w:rsidRPr="00972800">
        <w:rPr>
          <w:b/>
          <w:sz w:val="20"/>
          <w:szCs w:val="20"/>
        </w:rPr>
        <w:fldChar w:fldCharType="end"/>
      </w:r>
      <w:r w:rsidR="00E26E38" w:rsidRPr="00E26E38">
        <w:rPr>
          <w:b/>
          <w:sz w:val="20"/>
          <w:szCs w:val="20"/>
          <w:lang w:val="fr-CA"/>
        </w:rPr>
        <w:t>34505</w:t>
      </w:r>
      <w:r w:rsidR="00E26E38" w:rsidRPr="00E26E38">
        <w:rPr>
          <w:sz w:val="20"/>
          <w:szCs w:val="20"/>
          <w:lang w:val="fr-CA"/>
        </w:rPr>
        <w:tab/>
      </w:r>
      <w:r w:rsidR="00E26E38" w:rsidRPr="00E26E38">
        <w:rPr>
          <w:b/>
          <w:i/>
          <w:sz w:val="20"/>
          <w:szCs w:val="20"/>
          <w:lang w:val="fr-CA"/>
        </w:rPr>
        <w:t>La Régie des rentes du Québec c. Canada Bread Company Ltd., Sean Kelly en sa qualité de fiduciaire du Bakery and Confectionery Union and Industry Canadian Pension Fund, Multi</w:t>
      </w:r>
      <w:r w:rsidR="00E26E38" w:rsidRPr="00E26E38">
        <w:rPr>
          <w:b/>
          <w:i/>
          <w:sz w:val="20"/>
          <w:szCs w:val="20"/>
          <w:lang w:val="fr-CA"/>
        </w:rPr>
        <w:noBreakHyphen/>
        <w:t>Marques Inc., Multi</w:t>
      </w:r>
      <w:r w:rsidR="00E26E38" w:rsidRPr="00E26E38">
        <w:rPr>
          <w:b/>
          <w:i/>
          <w:sz w:val="20"/>
          <w:szCs w:val="20"/>
          <w:lang w:val="fr-CA"/>
        </w:rPr>
        <w:noBreakHyphen/>
        <w:t>Marques distribution Inc., Bakery et Confectionery Tobacco Workers and Grain Millers International Union, Local 468</w:t>
      </w:r>
    </w:p>
    <w:p w:rsidR="00E26E38" w:rsidRPr="00E26E38" w:rsidRDefault="00E26E38" w:rsidP="00E26E38">
      <w:pPr>
        <w:widowControl w:val="0"/>
        <w:jc w:val="both"/>
        <w:rPr>
          <w:sz w:val="20"/>
          <w:szCs w:val="20"/>
          <w:lang w:val="fr-CA"/>
        </w:rPr>
      </w:pPr>
    </w:p>
    <w:p w:rsidR="00E26E38" w:rsidRPr="00972800" w:rsidRDefault="00E26E38" w:rsidP="00E26E38">
      <w:pPr>
        <w:widowControl w:val="0"/>
        <w:jc w:val="both"/>
        <w:rPr>
          <w:sz w:val="20"/>
          <w:szCs w:val="20"/>
          <w:lang w:val="fr-CA"/>
        </w:rPr>
      </w:pPr>
      <w:r w:rsidRPr="00972800">
        <w:rPr>
          <w:sz w:val="20"/>
          <w:szCs w:val="20"/>
          <w:lang w:val="fr-CA"/>
        </w:rPr>
        <w:t xml:space="preserve">Législation </w:t>
      </w:r>
      <w:r w:rsidRPr="00972800">
        <w:rPr>
          <w:sz w:val="20"/>
          <w:szCs w:val="20"/>
          <w:lang w:val="fr-CA"/>
        </w:rPr>
        <w:noBreakHyphen/>
        <w:t xml:space="preserve"> Portée d’une loi déclaratoire </w:t>
      </w:r>
      <w:r w:rsidRPr="00972800">
        <w:rPr>
          <w:sz w:val="20"/>
          <w:szCs w:val="20"/>
          <w:lang w:val="fr-CA"/>
        </w:rPr>
        <w:noBreakHyphen/>
        <w:t xml:space="preserve"> Jugements </w:t>
      </w:r>
      <w:r w:rsidRPr="00972800">
        <w:rPr>
          <w:sz w:val="20"/>
          <w:szCs w:val="20"/>
          <w:lang w:val="fr-CA"/>
        </w:rPr>
        <w:noBreakHyphen/>
        <w:t xml:space="preserve"> Effet d’une demande d’autorisation d’appel sur l’état d’une cause </w:t>
      </w:r>
      <w:r w:rsidRPr="00972800">
        <w:rPr>
          <w:sz w:val="20"/>
          <w:szCs w:val="20"/>
          <w:lang w:val="fr-CA"/>
        </w:rPr>
        <w:noBreakHyphen/>
        <w:t xml:space="preserve"> Incompatibilité d’une disposition de convention collective en matière de régime de retraite déclarée par les tribunaux administratifs et confirmée par la Cour supérieure </w:t>
      </w:r>
      <w:r w:rsidRPr="00972800">
        <w:rPr>
          <w:sz w:val="20"/>
          <w:szCs w:val="20"/>
          <w:lang w:val="fr-CA"/>
        </w:rPr>
        <w:noBreakHyphen/>
        <w:t xml:space="preserve"> Renversement de cette conclusion par la Cour d’appel et renvoi au tribunal administratif initial </w:t>
      </w:r>
      <w:r w:rsidRPr="00972800">
        <w:rPr>
          <w:sz w:val="20"/>
          <w:szCs w:val="20"/>
          <w:lang w:val="fr-CA"/>
        </w:rPr>
        <w:noBreakHyphen/>
        <w:t xml:space="preserve"> Demande d’autorisation d’en appeler de ce jugement au plus haut tribunal du pays </w:t>
      </w:r>
      <w:r w:rsidRPr="00972800">
        <w:rPr>
          <w:sz w:val="20"/>
          <w:szCs w:val="20"/>
          <w:lang w:val="fr-CA"/>
        </w:rPr>
        <w:noBreakHyphen/>
        <w:t xml:space="preserve"> Précision interprétative contraire au jugement de la Cour d’appel apportée par législation déclaratoire avant le rejet de la demande d’autorisation d’appel </w:t>
      </w:r>
      <w:r w:rsidRPr="00972800">
        <w:rPr>
          <w:sz w:val="20"/>
          <w:szCs w:val="20"/>
          <w:lang w:val="fr-CA"/>
        </w:rPr>
        <w:noBreakHyphen/>
        <w:t xml:space="preserve"> Tribunal administratif appliquant la disposition déclaratoire </w:t>
      </w:r>
      <w:r w:rsidRPr="00972800">
        <w:rPr>
          <w:sz w:val="20"/>
          <w:szCs w:val="20"/>
          <w:lang w:val="fr-CA"/>
        </w:rPr>
        <w:noBreakHyphen/>
        <w:t xml:space="preserve"> Contestation de ce choix </w:t>
      </w:r>
      <w:r w:rsidRPr="00972800">
        <w:rPr>
          <w:sz w:val="20"/>
          <w:szCs w:val="20"/>
          <w:lang w:val="fr-CA"/>
        </w:rPr>
        <w:noBreakHyphen/>
        <w:t xml:space="preserve"> La Cour d’appel a</w:t>
      </w:r>
      <w:r w:rsidRPr="00972800">
        <w:rPr>
          <w:sz w:val="20"/>
          <w:szCs w:val="20"/>
          <w:lang w:val="fr-CA"/>
        </w:rPr>
        <w:noBreakHyphen/>
        <w:t>t</w:t>
      </w:r>
      <w:r w:rsidRPr="00972800">
        <w:rPr>
          <w:sz w:val="20"/>
          <w:szCs w:val="20"/>
          <w:lang w:val="fr-CA"/>
        </w:rPr>
        <w:noBreakHyphen/>
        <w:t xml:space="preserve">elle fait erreur en refusant d’appliquer une loi déclaratoire à une cause, malgré que cette loi ait été adoptée alors que la cause était pendante, pour le motif que cette cause aurait perdu son caractère pendant à la suite du rejet d’une demande d’autorisation d’appel en Cour suprême du Canada? </w:t>
      </w:r>
      <w:r w:rsidRPr="00972800">
        <w:rPr>
          <w:sz w:val="20"/>
          <w:szCs w:val="20"/>
          <w:lang w:val="fr-CA"/>
        </w:rPr>
        <w:noBreakHyphen/>
        <w:t xml:space="preserve"> </w:t>
      </w:r>
      <w:r w:rsidRPr="00972800">
        <w:rPr>
          <w:i/>
          <w:sz w:val="20"/>
          <w:szCs w:val="20"/>
          <w:lang w:val="fr-CA"/>
        </w:rPr>
        <w:t>Loi sur les régimes complémentaires de retraite</w:t>
      </w:r>
      <w:r w:rsidRPr="00972800">
        <w:rPr>
          <w:sz w:val="20"/>
          <w:szCs w:val="20"/>
          <w:lang w:val="fr-CA"/>
        </w:rPr>
        <w:t>, L.R.Q. ch. R</w:t>
      </w:r>
      <w:r w:rsidRPr="00972800">
        <w:rPr>
          <w:sz w:val="20"/>
          <w:szCs w:val="20"/>
          <w:lang w:val="fr-CA"/>
        </w:rPr>
        <w:noBreakHyphen/>
        <w:t>15.1, art. 5, 14.1, 211, 228.</w:t>
      </w:r>
    </w:p>
    <w:p w:rsidR="00E26E38" w:rsidRPr="00972800" w:rsidRDefault="00E26E38" w:rsidP="00E26E38">
      <w:pPr>
        <w:widowControl w:val="0"/>
        <w:jc w:val="both"/>
        <w:rPr>
          <w:sz w:val="20"/>
          <w:szCs w:val="20"/>
          <w:lang w:val="fr-CA"/>
        </w:rPr>
      </w:pPr>
    </w:p>
    <w:p w:rsidR="00E26E38" w:rsidRPr="00972800" w:rsidRDefault="00E26E38" w:rsidP="00E26E38">
      <w:pPr>
        <w:widowControl w:val="0"/>
        <w:jc w:val="both"/>
        <w:rPr>
          <w:sz w:val="20"/>
          <w:szCs w:val="20"/>
          <w:lang w:val="fr-CA"/>
        </w:rPr>
      </w:pPr>
      <w:r w:rsidRPr="00972800">
        <w:rPr>
          <w:sz w:val="20"/>
          <w:szCs w:val="20"/>
          <w:lang w:val="fr-CA"/>
        </w:rPr>
        <w:t>La Cour d’appel renverse, en avril 2008, une décision de la Régie des rentes ayant déclaré illégales certaines clauses d’un régime de retraite privé permettant à l’employeur de réduire les rentes à l’issue d’une fermeture; elle retourne le dossier à la Régie pour que celle</w:t>
      </w:r>
      <w:r w:rsidRPr="00972800">
        <w:rPr>
          <w:sz w:val="20"/>
          <w:szCs w:val="20"/>
          <w:lang w:val="fr-CA"/>
        </w:rPr>
        <w:noBreakHyphen/>
        <w:t>ci rende une nouvelle décision conséquente.  Le 29 mai, cette dernière dépose une demande d’autorisation d’appel à la Cour.  Le 8 juin, le législateur québécois adopte une loi déclaratoire qui impose l’interprétation donnée par la Régie au texte de loi pertinent et qui exclut celle de la Cour d’appel.  En octobre 2008, la demande d’autorisation d’appel est rejetée.  En août 2009, la Régie rend sa nouvelle décision et applique la loi déclaratoire.  L’employeur conteste cette décision au motif que la cause n’était plus pendante lorsque la loi déclaratoire est entrée en vigueur.</w:t>
      </w:r>
    </w:p>
    <w:p w:rsidR="00E26E38" w:rsidRPr="00972800" w:rsidRDefault="00E26E38" w:rsidP="00E26E38">
      <w:pPr>
        <w:widowControl w:val="0"/>
        <w:jc w:val="both"/>
        <w:rPr>
          <w:sz w:val="20"/>
          <w:szCs w:val="20"/>
          <w:lang w:val="fr-CA"/>
        </w:rPr>
      </w:pPr>
    </w:p>
    <w:p w:rsidR="00E26E38" w:rsidRPr="00972800" w:rsidRDefault="00E26E38" w:rsidP="00E26E38">
      <w:pPr>
        <w:widowControl w:val="0"/>
        <w:jc w:val="both"/>
        <w:rPr>
          <w:sz w:val="20"/>
          <w:szCs w:val="20"/>
          <w:lang w:val="fr-CA"/>
        </w:rPr>
      </w:pPr>
    </w:p>
    <w:p w:rsidR="00E26E38" w:rsidRPr="00972800" w:rsidRDefault="00E26E38" w:rsidP="004D5F27">
      <w:pPr>
        <w:widowControl w:val="0"/>
        <w:ind w:left="2880" w:hanging="2880"/>
        <w:jc w:val="both"/>
        <w:rPr>
          <w:sz w:val="20"/>
          <w:szCs w:val="20"/>
          <w:lang w:val="fr-CA"/>
        </w:rPr>
      </w:pPr>
      <w:r w:rsidRPr="00972800">
        <w:rPr>
          <w:sz w:val="20"/>
          <w:szCs w:val="20"/>
          <w:lang w:val="fr-CA"/>
        </w:rPr>
        <w:t>Origine :</w:t>
      </w:r>
      <w:r w:rsidRPr="00972800">
        <w:rPr>
          <w:sz w:val="20"/>
          <w:szCs w:val="20"/>
          <w:lang w:val="fr-CA"/>
        </w:rPr>
        <w:tab/>
        <w:t>Québec</w:t>
      </w:r>
    </w:p>
    <w:p w:rsidR="00E26E38" w:rsidRPr="00972800" w:rsidRDefault="00E26E38" w:rsidP="004D5F27">
      <w:pPr>
        <w:widowControl w:val="0"/>
        <w:ind w:left="2880" w:hanging="2880"/>
        <w:jc w:val="both"/>
        <w:rPr>
          <w:sz w:val="20"/>
          <w:szCs w:val="20"/>
          <w:lang w:val="fr-CA"/>
        </w:rPr>
      </w:pPr>
    </w:p>
    <w:p w:rsidR="00E26E38" w:rsidRPr="00972800" w:rsidRDefault="00E26E38" w:rsidP="004D5F27">
      <w:pPr>
        <w:widowControl w:val="0"/>
        <w:ind w:left="2880" w:hanging="2880"/>
        <w:jc w:val="both"/>
        <w:rPr>
          <w:sz w:val="20"/>
          <w:szCs w:val="20"/>
          <w:lang w:val="fr-CA"/>
        </w:rPr>
      </w:pPr>
      <w:r w:rsidRPr="00972800">
        <w:rPr>
          <w:sz w:val="20"/>
          <w:szCs w:val="20"/>
          <w:lang w:val="fr-CA"/>
        </w:rPr>
        <w:t>N</w:t>
      </w:r>
      <w:r w:rsidRPr="00972800">
        <w:rPr>
          <w:sz w:val="20"/>
          <w:szCs w:val="20"/>
          <w:vertAlign w:val="superscript"/>
          <w:lang w:val="fr-CA"/>
        </w:rPr>
        <w:t>o</w:t>
      </w:r>
      <w:r w:rsidRPr="00972800">
        <w:rPr>
          <w:sz w:val="20"/>
          <w:szCs w:val="20"/>
          <w:lang w:val="fr-CA"/>
        </w:rPr>
        <w:t xml:space="preserve"> du greffe :</w:t>
      </w:r>
      <w:r w:rsidRPr="00972800">
        <w:rPr>
          <w:sz w:val="20"/>
          <w:szCs w:val="20"/>
          <w:lang w:val="fr-CA"/>
        </w:rPr>
        <w:tab/>
        <w:t>34505</w:t>
      </w:r>
    </w:p>
    <w:p w:rsidR="00E26E38" w:rsidRPr="00972800" w:rsidRDefault="00E26E38" w:rsidP="004D5F27">
      <w:pPr>
        <w:widowControl w:val="0"/>
        <w:ind w:left="2880" w:hanging="2880"/>
        <w:jc w:val="both"/>
        <w:rPr>
          <w:sz w:val="20"/>
          <w:szCs w:val="20"/>
          <w:lang w:val="fr-CA"/>
        </w:rPr>
      </w:pPr>
    </w:p>
    <w:p w:rsidR="00E26E38" w:rsidRPr="00972800" w:rsidRDefault="00E26E38" w:rsidP="004D5F27">
      <w:pPr>
        <w:widowControl w:val="0"/>
        <w:ind w:left="2880" w:hanging="2880"/>
        <w:jc w:val="both"/>
        <w:rPr>
          <w:sz w:val="20"/>
          <w:szCs w:val="20"/>
          <w:lang w:val="fr-CA"/>
        </w:rPr>
      </w:pPr>
      <w:r w:rsidRPr="00972800">
        <w:rPr>
          <w:sz w:val="20"/>
          <w:szCs w:val="20"/>
          <w:lang w:val="fr-CA"/>
        </w:rPr>
        <w:t>Arrêt de la Cour d’appel :</w:t>
      </w:r>
      <w:r w:rsidRPr="00972800">
        <w:rPr>
          <w:sz w:val="20"/>
          <w:szCs w:val="20"/>
          <w:lang w:val="fr-CA"/>
        </w:rPr>
        <w:tab/>
        <w:t>Le 22 août 2011</w:t>
      </w:r>
    </w:p>
    <w:p w:rsidR="00E26E38" w:rsidRPr="00972800" w:rsidRDefault="00E26E38" w:rsidP="004D5F27">
      <w:pPr>
        <w:widowControl w:val="0"/>
        <w:ind w:left="2880" w:hanging="2880"/>
        <w:jc w:val="both"/>
        <w:rPr>
          <w:sz w:val="20"/>
          <w:szCs w:val="20"/>
          <w:lang w:val="fr-CA"/>
        </w:rPr>
      </w:pPr>
    </w:p>
    <w:p w:rsidR="00E26E38" w:rsidRPr="00972800" w:rsidRDefault="00E26E38" w:rsidP="004D5F27">
      <w:pPr>
        <w:widowControl w:val="0"/>
        <w:ind w:left="2880" w:hanging="2880"/>
        <w:jc w:val="both"/>
        <w:rPr>
          <w:sz w:val="20"/>
          <w:szCs w:val="20"/>
          <w:lang w:val="fr-CA"/>
        </w:rPr>
      </w:pPr>
      <w:r w:rsidRPr="00972800">
        <w:rPr>
          <w:sz w:val="20"/>
          <w:szCs w:val="20"/>
          <w:lang w:val="fr-CA"/>
        </w:rPr>
        <w:t>Avocats :</w:t>
      </w:r>
      <w:r w:rsidRPr="00972800">
        <w:rPr>
          <w:sz w:val="20"/>
          <w:szCs w:val="20"/>
          <w:lang w:val="fr-CA"/>
        </w:rPr>
        <w:tab/>
        <w:t>Sheila York pour l’appelante</w:t>
      </w:r>
    </w:p>
    <w:p w:rsidR="00E26E38" w:rsidRPr="00972800" w:rsidRDefault="00E26E38" w:rsidP="004D5F27">
      <w:pPr>
        <w:widowControl w:val="0"/>
        <w:ind w:left="2880" w:hanging="2880"/>
        <w:jc w:val="both"/>
        <w:rPr>
          <w:sz w:val="20"/>
          <w:szCs w:val="20"/>
          <w:lang w:val="fr-CA"/>
        </w:rPr>
      </w:pPr>
      <w:r w:rsidRPr="00972800">
        <w:rPr>
          <w:sz w:val="20"/>
          <w:szCs w:val="20"/>
          <w:lang w:val="fr-CA"/>
        </w:rPr>
        <w:tab/>
        <w:t>Éric Mongeau et Michel Legendre pour les intimées Canada Bread Company Ltd., et autres</w:t>
      </w:r>
    </w:p>
    <w:p w:rsidR="00E26E38" w:rsidRPr="00972800" w:rsidRDefault="00E26E38" w:rsidP="004D5F27">
      <w:pPr>
        <w:widowControl w:val="0"/>
        <w:ind w:left="2880" w:hanging="2880"/>
        <w:jc w:val="both"/>
        <w:rPr>
          <w:sz w:val="20"/>
          <w:szCs w:val="20"/>
          <w:lang w:val="fr-CA"/>
        </w:rPr>
      </w:pPr>
      <w:r w:rsidRPr="00972800">
        <w:rPr>
          <w:sz w:val="20"/>
          <w:szCs w:val="20"/>
          <w:lang w:val="fr-CA"/>
        </w:rPr>
        <w:tab/>
        <w:t>Natalie Bussière pour l’intimé Sean Kelly</w:t>
      </w:r>
    </w:p>
    <w:p w:rsidR="00E26E38" w:rsidRPr="00972800" w:rsidRDefault="00E26E38" w:rsidP="00E26E38">
      <w:pPr>
        <w:jc w:val="both"/>
        <w:rPr>
          <w:sz w:val="20"/>
          <w:szCs w:val="20"/>
          <w:lang w:val="fr-CA"/>
        </w:rPr>
      </w:pPr>
    </w:p>
    <w:p w:rsidR="00E26E38" w:rsidRDefault="00B74DD2" w:rsidP="00E26E38">
      <w:pPr>
        <w:tabs>
          <w:tab w:val="left" w:pos="-1440"/>
          <w:tab w:val="left" w:pos="-720"/>
        </w:tabs>
        <w:jc w:val="both"/>
        <w:rPr>
          <w:sz w:val="20"/>
          <w:szCs w:val="20"/>
          <w:lang w:val="fr-CA"/>
        </w:rPr>
      </w:pPr>
      <w:r w:rsidRPr="00B74DD2">
        <w:rPr>
          <w:sz w:val="20"/>
          <w:szCs w:val="20"/>
          <w:lang w:val="fr-CA"/>
        </w:rPr>
        <w:pict>
          <v:rect id="_x0000_i1091" style="width:2in;height:1pt" o:hrpct="0" o:hralign="center" o:hrstd="t" o:hrnoshade="t" o:hr="t" fillcolor="black [3213]" stroked="f"/>
        </w:pict>
      </w:r>
    </w:p>
    <w:p w:rsidR="00E26E38" w:rsidRDefault="00E26E38" w:rsidP="00E26E38">
      <w:pPr>
        <w:tabs>
          <w:tab w:val="left" w:pos="-1440"/>
          <w:tab w:val="left" w:pos="-720"/>
        </w:tabs>
        <w:jc w:val="both"/>
        <w:rPr>
          <w:sz w:val="20"/>
          <w:szCs w:val="20"/>
          <w:lang w:val="fr-CA"/>
        </w:rPr>
      </w:pPr>
    </w:p>
    <w:p w:rsidR="00E26E38" w:rsidRDefault="00E26E38" w:rsidP="00E26E38">
      <w:pPr>
        <w:rPr>
          <w:sz w:val="20"/>
          <w:szCs w:val="20"/>
          <w:lang w:val="fr-CA"/>
        </w:rPr>
      </w:pPr>
      <w:r>
        <w:rPr>
          <w:sz w:val="20"/>
          <w:szCs w:val="20"/>
          <w:lang w:val="fr-CA"/>
        </w:rPr>
        <w:br w:type="page"/>
      </w:r>
    </w:p>
    <w:p w:rsidR="00E26E38" w:rsidRPr="004A3A10" w:rsidRDefault="00B74DD2" w:rsidP="00E26E38">
      <w:pPr>
        <w:widowControl w:val="0"/>
        <w:ind w:left="851" w:hanging="851"/>
        <w:jc w:val="both"/>
        <w:rPr>
          <w:rFonts w:eastAsia="Times New Roman"/>
          <w:b/>
          <w:i/>
          <w:sz w:val="20"/>
          <w:szCs w:val="20"/>
          <w:lang w:eastAsia="en-CA"/>
        </w:rPr>
      </w:pPr>
      <w:r w:rsidRPr="004A3A10">
        <w:rPr>
          <w:rFonts w:eastAsia="Times New Roman"/>
          <w:b/>
          <w:sz w:val="20"/>
          <w:szCs w:val="20"/>
          <w:lang w:eastAsia="en-CA"/>
        </w:rPr>
        <w:fldChar w:fldCharType="begin"/>
      </w:r>
      <w:r w:rsidR="00E26E38" w:rsidRPr="004A3A10">
        <w:rPr>
          <w:rFonts w:eastAsia="Times New Roman"/>
          <w:b/>
          <w:sz w:val="20"/>
          <w:szCs w:val="20"/>
          <w:lang w:eastAsia="en-CA"/>
        </w:rPr>
        <w:instrText xml:space="preserve"> SEQ CHAPTER \h \r 1</w:instrText>
      </w:r>
      <w:r w:rsidRPr="004A3A10">
        <w:rPr>
          <w:rFonts w:eastAsia="Times New Roman"/>
          <w:b/>
          <w:sz w:val="20"/>
          <w:szCs w:val="20"/>
          <w:lang w:eastAsia="en-CA"/>
        </w:rPr>
        <w:fldChar w:fldCharType="end"/>
      </w:r>
      <w:r w:rsidR="00E26E38" w:rsidRPr="004A3A10">
        <w:rPr>
          <w:rFonts w:eastAsia="Times New Roman"/>
          <w:b/>
          <w:sz w:val="20"/>
          <w:szCs w:val="20"/>
          <w:lang w:eastAsia="en-CA"/>
        </w:rPr>
        <w:t>34738</w:t>
      </w:r>
      <w:r w:rsidR="00E26E38" w:rsidRPr="004A3A10">
        <w:rPr>
          <w:rFonts w:eastAsia="Times New Roman"/>
          <w:sz w:val="20"/>
          <w:szCs w:val="20"/>
          <w:lang w:eastAsia="en-CA"/>
        </w:rPr>
        <w:tab/>
      </w:r>
      <w:r w:rsidR="00E26E38" w:rsidRPr="004A3A10">
        <w:rPr>
          <w:rFonts w:eastAsia="Times New Roman"/>
          <w:b/>
          <w:i/>
          <w:sz w:val="20"/>
          <w:szCs w:val="20"/>
          <w:lang w:eastAsia="en-CA"/>
        </w:rPr>
        <w:t xml:space="preserve">AIC Limited v. Dennis Fischer, Sheila Snyder, Lawrence Dykun, Ray Shugar and Wayne Dzeoba </w:t>
      </w:r>
      <w:r w:rsidR="00E26E38" w:rsidRPr="004A3A10">
        <w:rPr>
          <w:rFonts w:eastAsia="Times New Roman"/>
          <w:b/>
          <w:sz w:val="20"/>
          <w:szCs w:val="20"/>
          <w:lang w:eastAsia="en-CA"/>
        </w:rPr>
        <w:noBreakHyphen/>
        <w:t xml:space="preserve"> and between </w:t>
      </w:r>
      <w:r w:rsidR="00E26E38" w:rsidRPr="004A3A10">
        <w:rPr>
          <w:rFonts w:eastAsia="Times New Roman"/>
          <w:b/>
          <w:sz w:val="20"/>
          <w:szCs w:val="20"/>
          <w:lang w:eastAsia="en-CA"/>
        </w:rPr>
        <w:noBreakHyphen/>
      </w:r>
      <w:r w:rsidR="00E26E38" w:rsidRPr="004A3A10">
        <w:rPr>
          <w:rFonts w:eastAsia="Times New Roman"/>
          <w:b/>
          <w:i/>
          <w:sz w:val="20"/>
          <w:szCs w:val="20"/>
          <w:lang w:eastAsia="en-CA"/>
        </w:rPr>
        <w:t xml:space="preserve"> CI Mutual Funds Inc. v. Dennis Fischer, Sheila Snyder, Lawrence Dykun, Ray Shugar and Wayne Dzeoba</w:t>
      </w:r>
    </w:p>
    <w:p w:rsidR="00E26E38" w:rsidRPr="004A3A10" w:rsidRDefault="00E26E38" w:rsidP="00E26E38">
      <w:pPr>
        <w:widowControl w:val="0"/>
        <w:jc w:val="both"/>
        <w:rPr>
          <w:rFonts w:eastAsia="Times New Roman"/>
          <w:sz w:val="20"/>
          <w:szCs w:val="20"/>
          <w:lang w:eastAsia="en-CA"/>
        </w:rPr>
      </w:pPr>
    </w:p>
    <w:p w:rsidR="00E26E38" w:rsidRPr="004A3A10" w:rsidRDefault="00E26E38" w:rsidP="00E26E38">
      <w:pPr>
        <w:widowControl w:val="0"/>
        <w:jc w:val="both"/>
        <w:rPr>
          <w:rFonts w:eastAsia="Times New Roman"/>
          <w:sz w:val="20"/>
          <w:szCs w:val="20"/>
          <w:lang w:eastAsia="en-CA"/>
        </w:rPr>
      </w:pPr>
      <w:r w:rsidRPr="004A3A10">
        <w:rPr>
          <w:rFonts w:eastAsia="Times New Roman"/>
          <w:sz w:val="20"/>
          <w:szCs w:val="20"/>
          <w:lang w:eastAsia="en-CA"/>
        </w:rPr>
        <w:t xml:space="preserve">Civil procedure </w:t>
      </w:r>
      <w:r w:rsidRPr="004A3A10">
        <w:rPr>
          <w:rFonts w:eastAsia="Times New Roman"/>
          <w:sz w:val="20"/>
          <w:szCs w:val="20"/>
          <w:lang w:eastAsia="en-CA"/>
        </w:rPr>
        <w:noBreakHyphen/>
        <w:t xml:space="preserve"> Class actions </w:t>
      </w:r>
      <w:r w:rsidRPr="004A3A10">
        <w:rPr>
          <w:rFonts w:eastAsia="Times New Roman"/>
          <w:sz w:val="20"/>
          <w:szCs w:val="20"/>
          <w:lang w:eastAsia="en-CA"/>
        </w:rPr>
        <w:noBreakHyphen/>
        <w:t xml:space="preserve"> Certification </w:t>
      </w:r>
      <w:r w:rsidRPr="004A3A10">
        <w:rPr>
          <w:rFonts w:eastAsia="Times New Roman"/>
          <w:sz w:val="20"/>
          <w:szCs w:val="20"/>
          <w:lang w:eastAsia="en-CA"/>
        </w:rPr>
        <w:noBreakHyphen/>
        <w:t xml:space="preserve"> Preferable procedure </w:t>
      </w:r>
      <w:r w:rsidRPr="004A3A10">
        <w:rPr>
          <w:rFonts w:eastAsia="Times New Roman"/>
          <w:sz w:val="20"/>
          <w:szCs w:val="20"/>
          <w:lang w:eastAsia="en-CA"/>
        </w:rPr>
        <w:noBreakHyphen/>
        <w:t xml:space="preserve"> Whether the Court of Appeal erred by overturning the motion judge because he did not focus on what would have been the remedial powers of the Ontario Securities Commission in a contested case, or because he did not focus on the extent to which the Commission proceeding offered court</w:t>
      </w:r>
      <w:r w:rsidRPr="004A3A10">
        <w:rPr>
          <w:rFonts w:eastAsia="Times New Roman"/>
          <w:sz w:val="20"/>
          <w:szCs w:val="20"/>
          <w:lang w:eastAsia="en-CA"/>
        </w:rPr>
        <w:noBreakHyphen/>
        <w:t xml:space="preserve">like procedural protections or because of his reliance on class settlement approval criteria </w:t>
      </w:r>
      <w:r w:rsidRPr="004A3A10">
        <w:rPr>
          <w:rFonts w:eastAsia="Times New Roman"/>
          <w:sz w:val="20"/>
          <w:szCs w:val="20"/>
          <w:lang w:eastAsia="en-CA"/>
        </w:rPr>
        <w:noBreakHyphen/>
        <w:t xml:space="preserve"> Whether the Court of Appeal erred by not considering the established procedural features which the motion judge took into account, such as the no</w:t>
      </w:r>
      <w:r w:rsidRPr="004A3A10">
        <w:rPr>
          <w:rFonts w:eastAsia="Times New Roman"/>
          <w:sz w:val="20"/>
          <w:szCs w:val="20"/>
          <w:lang w:eastAsia="en-CA"/>
        </w:rPr>
        <w:noBreakHyphen/>
        <w:t>fault, timely, no</w:t>
      </w:r>
      <w:r w:rsidRPr="004A3A10">
        <w:rPr>
          <w:rFonts w:eastAsia="Times New Roman"/>
          <w:sz w:val="20"/>
          <w:szCs w:val="20"/>
          <w:lang w:eastAsia="en-CA"/>
        </w:rPr>
        <w:noBreakHyphen/>
        <w:t xml:space="preserve">cost aspects of the Commission proceeding and that that proceeding addresses the same harm as that alleged in the class proceeding and provides the same form of remedy </w:t>
      </w:r>
      <w:r w:rsidRPr="004A3A10">
        <w:rPr>
          <w:rFonts w:eastAsia="Times New Roman"/>
          <w:sz w:val="20"/>
          <w:szCs w:val="20"/>
          <w:lang w:eastAsia="en-CA"/>
        </w:rPr>
        <w:noBreakHyphen/>
        <w:t xml:space="preserve"> </w:t>
      </w:r>
      <w:r w:rsidRPr="004A3A10">
        <w:rPr>
          <w:rFonts w:eastAsia="Times New Roman"/>
          <w:i/>
          <w:sz w:val="20"/>
          <w:szCs w:val="20"/>
          <w:lang w:eastAsia="en-CA"/>
        </w:rPr>
        <w:t>Class Proceedings Act, 1992</w:t>
      </w:r>
      <w:r w:rsidRPr="004A3A10">
        <w:rPr>
          <w:rFonts w:eastAsia="Times New Roman"/>
          <w:sz w:val="20"/>
          <w:szCs w:val="20"/>
          <w:lang w:eastAsia="en-CA"/>
        </w:rPr>
        <w:t>, S.O. 1992, c. 6, s. 5(1)(d).</w:t>
      </w:r>
    </w:p>
    <w:p w:rsidR="00E26E38" w:rsidRPr="004A3A10" w:rsidRDefault="00E26E38" w:rsidP="00E26E38">
      <w:pPr>
        <w:widowControl w:val="0"/>
        <w:jc w:val="both"/>
        <w:rPr>
          <w:rFonts w:eastAsia="Times New Roman"/>
          <w:sz w:val="20"/>
          <w:szCs w:val="20"/>
          <w:lang w:eastAsia="en-CA"/>
        </w:rPr>
      </w:pPr>
    </w:p>
    <w:p w:rsidR="00E26E38" w:rsidRPr="004A3A10" w:rsidRDefault="00E26E38" w:rsidP="00E26E38">
      <w:pPr>
        <w:widowControl w:val="0"/>
        <w:jc w:val="both"/>
        <w:rPr>
          <w:rFonts w:eastAsia="Times New Roman"/>
          <w:sz w:val="20"/>
          <w:szCs w:val="20"/>
          <w:lang w:eastAsia="en-CA"/>
        </w:rPr>
      </w:pPr>
      <w:r w:rsidRPr="004A3A10">
        <w:rPr>
          <w:rFonts w:eastAsia="Times New Roman"/>
          <w:sz w:val="20"/>
          <w:szCs w:val="20"/>
          <w:lang w:eastAsia="en-CA"/>
        </w:rPr>
        <w:t>The appellants are mutual fund managers who were the subject of an investigation conducted by the Ontario Securities Commission into “market timing”, a practice which was alleged to have caused long</w:t>
      </w:r>
      <w:r w:rsidRPr="004A3A10">
        <w:rPr>
          <w:rFonts w:eastAsia="Times New Roman"/>
          <w:sz w:val="20"/>
          <w:szCs w:val="20"/>
          <w:lang w:eastAsia="en-CA"/>
        </w:rPr>
        <w:noBreakHyphen/>
        <w:t>term investors to suffer losses in the value of their investments.  The fund managers ultimately entered into settlement agreements with the Commission, the terms of which required them to pay over two hundred million dollars to investors, including the respondents.  Following the settlement agreements, the respondents brought a motion for certification of a class action against the fund managers for the same market timing conduct.  The motion judge concluded that although the action otherwise satisfied the criteria for certification, it did not satisfy the preferable procedure requirement.  The Divisional Court disagreed, concluding that the Commission proceedings could not be the preferable procedure for recovering damages because the investors’ action was for significant monetary damages beyond the amount recovered through the settlement agreements.  The Court of Appeal dismissed the appeal.</w:t>
      </w:r>
    </w:p>
    <w:p w:rsidR="00E26E38" w:rsidRPr="004A3A10" w:rsidRDefault="00E26E38" w:rsidP="00E26E38">
      <w:pPr>
        <w:widowControl w:val="0"/>
        <w:jc w:val="both"/>
        <w:rPr>
          <w:rFonts w:eastAsia="Times New Roman"/>
          <w:sz w:val="20"/>
          <w:szCs w:val="20"/>
          <w:lang w:eastAsia="en-CA"/>
        </w:rPr>
      </w:pPr>
    </w:p>
    <w:p w:rsidR="00E26E38" w:rsidRPr="004A3A10" w:rsidRDefault="00E26E38" w:rsidP="00E26E38">
      <w:pPr>
        <w:widowControl w:val="0"/>
        <w:jc w:val="both"/>
        <w:rPr>
          <w:rFonts w:eastAsia="Times New Roman"/>
          <w:sz w:val="20"/>
          <w:szCs w:val="20"/>
          <w:lang w:eastAsia="en-CA"/>
        </w:rPr>
      </w:pPr>
    </w:p>
    <w:p w:rsidR="00E26E38" w:rsidRPr="004A3A10" w:rsidRDefault="00E26E38" w:rsidP="004D5F27">
      <w:pPr>
        <w:widowControl w:val="0"/>
        <w:ind w:left="2880" w:hanging="2880"/>
        <w:jc w:val="both"/>
        <w:rPr>
          <w:rFonts w:eastAsia="Times New Roman"/>
          <w:sz w:val="20"/>
          <w:szCs w:val="20"/>
          <w:lang w:eastAsia="en-CA"/>
        </w:rPr>
      </w:pPr>
      <w:r w:rsidRPr="004A3A10">
        <w:rPr>
          <w:rFonts w:eastAsia="Times New Roman"/>
          <w:sz w:val="20"/>
          <w:szCs w:val="20"/>
          <w:lang w:eastAsia="en-CA"/>
        </w:rPr>
        <w:t>Origin of the case:</w:t>
      </w:r>
      <w:r w:rsidRPr="004A3A10">
        <w:rPr>
          <w:rFonts w:eastAsia="Times New Roman"/>
          <w:sz w:val="20"/>
          <w:szCs w:val="20"/>
          <w:lang w:eastAsia="en-CA"/>
        </w:rPr>
        <w:tab/>
        <w:t>Ontario</w:t>
      </w:r>
    </w:p>
    <w:p w:rsidR="00E26E38" w:rsidRPr="004A3A10" w:rsidRDefault="00E26E38" w:rsidP="004D5F27">
      <w:pPr>
        <w:widowControl w:val="0"/>
        <w:ind w:left="2880" w:hanging="2880"/>
        <w:jc w:val="both"/>
        <w:rPr>
          <w:rFonts w:eastAsia="Times New Roman"/>
          <w:sz w:val="20"/>
          <w:szCs w:val="20"/>
          <w:lang w:eastAsia="en-CA"/>
        </w:rPr>
      </w:pPr>
    </w:p>
    <w:p w:rsidR="00E26E38" w:rsidRPr="004A3A10" w:rsidRDefault="00E26E38" w:rsidP="004D5F27">
      <w:pPr>
        <w:widowControl w:val="0"/>
        <w:ind w:left="2880" w:hanging="2880"/>
        <w:jc w:val="both"/>
        <w:rPr>
          <w:rFonts w:eastAsia="Times New Roman"/>
          <w:sz w:val="20"/>
          <w:szCs w:val="20"/>
          <w:lang w:eastAsia="en-CA"/>
        </w:rPr>
      </w:pPr>
      <w:r w:rsidRPr="004A3A10">
        <w:rPr>
          <w:rFonts w:eastAsia="Times New Roman"/>
          <w:sz w:val="20"/>
          <w:szCs w:val="20"/>
          <w:lang w:eastAsia="en-CA"/>
        </w:rPr>
        <w:t>File No.:</w:t>
      </w:r>
      <w:r w:rsidRPr="004A3A10">
        <w:rPr>
          <w:rFonts w:eastAsia="Times New Roman"/>
          <w:sz w:val="20"/>
          <w:szCs w:val="20"/>
          <w:lang w:eastAsia="en-CA"/>
        </w:rPr>
        <w:tab/>
        <w:t>34738</w:t>
      </w:r>
    </w:p>
    <w:p w:rsidR="00E26E38" w:rsidRPr="004A3A10" w:rsidRDefault="00E26E38" w:rsidP="004D5F27">
      <w:pPr>
        <w:widowControl w:val="0"/>
        <w:ind w:left="2880" w:hanging="2880"/>
        <w:jc w:val="both"/>
        <w:rPr>
          <w:rFonts w:eastAsia="Times New Roman"/>
          <w:sz w:val="20"/>
          <w:szCs w:val="20"/>
          <w:lang w:eastAsia="en-CA"/>
        </w:rPr>
      </w:pPr>
    </w:p>
    <w:p w:rsidR="00E26E38" w:rsidRPr="004A3A10" w:rsidRDefault="00E26E38" w:rsidP="004D5F27">
      <w:pPr>
        <w:widowControl w:val="0"/>
        <w:ind w:left="2880" w:hanging="2880"/>
        <w:jc w:val="both"/>
        <w:rPr>
          <w:rFonts w:eastAsia="Times New Roman"/>
          <w:sz w:val="20"/>
          <w:szCs w:val="20"/>
          <w:lang w:eastAsia="en-CA"/>
        </w:rPr>
      </w:pPr>
      <w:r w:rsidRPr="004A3A10">
        <w:rPr>
          <w:rFonts w:eastAsia="Times New Roman"/>
          <w:sz w:val="20"/>
          <w:szCs w:val="20"/>
          <w:lang w:eastAsia="en-CA"/>
        </w:rPr>
        <w:t>Judgment of the Court of Appeal:</w:t>
      </w:r>
      <w:r w:rsidRPr="004A3A10">
        <w:rPr>
          <w:rFonts w:eastAsia="Times New Roman"/>
          <w:sz w:val="20"/>
          <w:szCs w:val="20"/>
          <w:lang w:eastAsia="en-CA"/>
        </w:rPr>
        <w:tab/>
        <w:t>January 27, 2012</w:t>
      </w:r>
    </w:p>
    <w:p w:rsidR="00E26E38" w:rsidRPr="004A3A10" w:rsidRDefault="00E26E38" w:rsidP="004D5F27">
      <w:pPr>
        <w:widowControl w:val="0"/>
        <w:ind w:left="2880" w:hanging="2880"/>
        <w:jc w:val="both"/>
        <w:rPr>
          <w:rFonts w:eastAsia="Times New Roman"/>
          <w:sz w:val="20"/>
          <w:szCs w:val="20"/>
          <w:lang w:eastAsia="en-CA"/>
        </w:rPr>
      </w:pPr>
    </w:p>
    <w:p w:rsidR="00E26E38" w:rsidRPr="004A3A10" w:rsidRDefault="00E26E38" w:rsidP="004D5F27">
      <w:pPr>
        <w:widowControl w:val="0"/>
        <w:ind w:left="2880" w:hanging="2880"/>
        <w:jc w:val="both"/>
        <w:rPr>
          <w:rFonts w:eastAsia="Times New Roman"/>
          <w:sz w:val="20"/>
          <w:szCs w:val="20"/>
          <w:lang w:eastAsia="en-CA"/>
        </w:rPr>
      </w:pPr>
      <w:r w:rsidRPr="004A3A10">
        <w:rPr>
          <w:rFonts w:eastAsia="Times New Roman"/>
          <w:sz w:val="20"/>
          <w:szCs w:val="20"/>
          <w:lang w:eastAsia="en-CA"/>
        </w:rPr>
        <w:t>Counsel:</w:t>
      </w:r>
      <w:r w:rsidRPr="004A3A10">
        <w:rPr>
          <w:rFonts w:eastAsia="Times New Roman"/>
          <w:sz w:val="20"/>
          <w:szCs w:val="20"/>
          <w:lang w:eastAsia="en-CA"/>
        </w:rPr>
        <w:tab/>
        <w:t>James D.G. Douglas, David Di Paolo and Margot Finley for the appellant AIC Limited</w:t>
      </w:r>
    </w:p>
    <w:p w:rsidR="00E26E38" w:rsidRPr="004A3A10" w:rsidRDefault="004D5F27" w:rsidP="004D5F27">
      <w:pPr>
        <w:widowControl w:val="0"/>
        <w:ind w:left="2880" w:hanging="2880"/>
        <w:jc w:val="both"/>
        <w:rPr>
          <w:rFonts w:eastAsia="Times New Roman"/>
          <w:sz w:val="20"/>
          <w:szCs w:val="20"/>
          <w:lang w:eastAsia="en-CA"/>
        </w:rPr>
      </w:pPr>
      <w:r>
        <w:rPr>
          <w:rFonts w:eastAsia="Times New Roman"/>
          <w:sz w:val="20"/>
          <w:szCs w:val="20"/>
          <w:lang w:eastAsia="en-CA"/>
        </w:rPr>
        <w:tab/>
      </w:r>
      <w:r w:rsidR="00E26E38" w:rsidRPr="004A3A10">
        <w:rPr>
          <w:rFonts w:eastAsia="Times New Roman"/>
          <w:sz w:val="20"/>
          <w:szCs w:val="20"/>
          <w:lang w:eastAsia="en-CA"/>
        </w:rPr>
        <w:t>Benjamin Zarnett, Jessica Kimmel and Melanie Ouanounou for the appellant CI Mutual Funds Inc.</w:t>
      </w:r>
    </w:p>
    <w:p w:rsidR="00E26E38" w:rsidRPr="00972800" w:rsidRDefault="004D5F27" w:rsidP="004D5F27">
      <w:pPr>
        <w:widowControl w:val="0"/>
        <w:ind w:left="2880" w:hanging="2880"/>
        <w:jc w:val="both"/>
        <w:rPr>
          <w:rFonts w:eastAsia="Times New Roman"/>
          <w:sz w:val="20"/>
          <w:szCs w:val="20"/>
          <w:lang w:eastAsia="en-CA"/>
        </w:rPr>
      </w:pPr>
      <w:r>
        <w:rPr>
          <w:rFonts w:eastAsia="Times New Roman"/>
          <w:sz w:val="20"/>
          <w:szCs w:val="20"/>
          <w:lang w:eastAsia="en-CA"/>
        </w:rPr>
        <w:tab/>
      </w:r>
      <w:r w:rsidR="00E26E38" w:rsidRPr="004A3A10">
        <w:rPr>
          <w:rFonts w:eastAsia="Times New Roman"/>
          <w:sz w:val="20"/>
          <w:szCs w:val="20"/>
          <w:lang w:eastAsia="en-CA"/>
        </w:rPr>
        <w:t>Joel P. Rochon, Peter Jervis and Sakie Tambakos for the respondents</w:t>
      </w:r>
    </w:p>
    <w:p w:rsidR="00E26E38" w:rsidRPr="00A33A9D" w:rsidRDefault="00E26E38" w:rsidP="00E26E38">
      <w:pPr>
        <w:jc w:val="both"/>
        <w:rPr>
          <w:sz w:val="20"/>
          <w:szCs w:val="20"/>
          <w:lang w:val="en-US"/>
        </w:rPr>
      </w:pPr>
    </w:p>
    <w:p w:rsidR="00E26E38" w:rsidRDefault="00B74DD2" w:rsidP="00E26E38">
      <w:pPr>
        <w:tabs>
          <w:tab w:val="left" w:pos="-1440"/>
          <w:tab w:val="left" w:pos="-720"/>
        </w:tabs>
        <w:jc w:val="both"/>
        <w:rPr>
          <w:sz w:val="20"/>
          <w:szCs w:val="20"/>
          <w:lang w:val="fr-CA"/>
        </w:rPr>
      </w:pPr>
      <w:r w:rsidRPr="00B74DD2">
        <w:rPr>
          <w:sz w:val="20"/>
          <w:szCs w:val="20"/>
          <w:lang w:val="fr-CA"/>
        </w:rPr>
        <w:pict>
          <v:rect id="_x0000_i1092" style="width:2in;height:1pt" o:hrpct="0" o:hralign="center" o:hrstd="t" o:hrnoshade="t" o:hr="t" fillcolor="black [3213]" stroked="f"/>
        </w:pict>
      </w:r>
    </w:p>
    <w:p w:rsidR="00E26E38" w:rsidRDefault="00E26E38" w:rsidP="00E26E38">
      <w:pPr>
        <w:tabs>
          <w:tab w:val="left" w:pos="-1440"/>
          <w:tab w:val="left" w:pos="-720"/>
        </w:tabs>
        <w:jc w:val="both"/>
        <w:rPr>
          <w:sz w:val="20"/>
          <w:szCs w:val="20"/>
          <w:lang w:val="fr-CA"/>
        </w:rPr>
      </w:pPr>
    </w:p>
    <w:p w:rsidR="00E26E38" w:rsidRDefault="00E26E38" w:rsidP="00E26E38">
      <w:pPr>
        <w:rPr>
          <w:sz w:val="20"/>
          <w:szCs w:val="20"/>
          <w:lang w:val="fr-CA"/>
        </w:rPr>
      </w:pPr>
      <w:r>
        <w:rPr>
          <w:sz w:val="20"/>
          <w:szCs w:val="20"/>
          <w:lang w:val="fr-CA"/>
        </w:rPr>
        <w:br w:type="page"/>
      </w:r>
    </w:p>
    <w:p w:rsidR="00E26E38" w:rsidRPr="00E26E38" w:rsidRDefault="00B74DD2" w:rsidP="00E26E38">
      <w:pPr>
        <w:widowControl w:val="0"/>
        <w:ind w:left="851" w:hanging="851"/>
        <w:jc w:val="both"/>
        <w:rPr>
          <w:b/>
          <w:i/>
          <w:sz w:val="20"/>
          <w:szCs w:val="20"/>
          <w:lang w:val="fr-CA"/>
        </w:rPr>
      </w:pPr>
      <w:r w:rsidRPr="00972800">
        <w:rPr>
          <w:b/>
          <w:sz w:val="20"/>
          <w:szCs w:val="20"/>
          <w:lang w:val="fr-CA"/>
        </w:rPr>
        <w:fldChar w:fldCharType="begin"/>
      </w:r>
      <w:r w:rsidR="00E26E38" w:rsidRPr="00E26E38">
        <w:rPr>
          <w:b/>
          <w:sz w:val="20"/>
          <w:szCs w:val="20"/>
          <w:lang w:val="fr-CA"/>
        </w:rPr>
        <w:instrText xml:space="preserve"> SEQ CHAPTER \h \r 1</w:instrText>
      </w:r>
      <w:r w:rsidRPr="00972800">
        <w:rPr>
          <w:b/>
          <w:sz w:val="20"/>
          <w:szCs w:val="20"/>
          <w:lang w:val="fr-CA"/>
        </w:rPr>
        <w:fldChar w:fldCharType="end"/>
      </w:r>
      <w:r w:rsidR="00E26E38" w:rsidRPr="00E26E38">
        <w:rPr>
          <w:b/>
          <w:sz w:val="20"/>
          <w:szCs w:val="20"/>
          <w:lang w:val="fr-CA"/>
        </w:rPr>
        <w:t>34738</w:t>
      </w:r>
      <w:r w:rsidR="00E26E38" w:rsidRPr="00E26E38">
        <w:rPr>
          <w:sz w:val="20"/>
          <w:szCs w:val="20"/>
          <w:lang w:val="fr-CA"/>
        </w:rPr>
        <w:tab/>
      </w:r>
      <w:r w:rsidR="00E26E38" w:rsidRPr="00E26E38">
        <w:rPr>
          <w:b/>
          <w:i/>
          <w:sz w:val="20"/>
          <w:szCs w:val="20"/>
          <w:lang w:val="fr-CA"/>
        </w:rPr>
        <w:t xml:space="preserve">AIC Limited c. Dennis Fischer, Sheila Snyder, Lawrence Dykun, Ray Shugar et Wayne Dzeoba </w:t>
      </w:r>
      <w:r w:rsidR="00E26E38" w:rsidRPr="00E26E38">
        <w:rPr>
          <w:b/>
          <w:i/>
          <w:sz w:val="20"/>
          <w:szCs w:val="20"/>
          <w:lang w:val="fr-CA"/>
        </w:rPr>
        <w:noBreakHyphen/>
        <w:t xml:space="preserve"> et entre </w:t>
      </w:r>
      <w:r w:rsidR="00E26E38" w:rsidRPr="00E26E38">
        <w:rPr>
          <w:b/>
          <w:i/>
          <w:sz w:val="20"/>
          <w:szCs w:val="20"/>
          <w:lang w:val="fr-CA"/>
        </w:rPr>
        <w:noBreakHyphen/>
        <w:t xml:space="preserve"> CI Mutual Funds Inc. c. Dennis Fischer, Sheila Snyder, Lawrence Dykun, Ray Shugar et Wayne Dzeoba</w:t>
      </w:r>
    </w:p>
    <w:p w:rsidR="00E26E38" w:rsidRPr="00E26E38" w:rsidRDefault="00E26E38" w:rsidP="00E26E38">
      <w:pPr>
        <w:widowControl w:val="0"/>
        <w:jc w:val="both"/>
        <w:rPr>
          <w:sz w:val="20"/>
          <w:szCs w:val="20"/>
          <w:lang w:val="fr-CA"/>
        </w:rPr>
      </w:pPr>
    </w:p>
    <w:p w:rsidR="00E26E38" w:rsidRPr="00972800" w:rsidRDefault="00E26E38" w:rsidP="00E26E38">
      <w:pPr>
        <w:widowControl w:val="0"/>
        <w:jc w:val="both"/>
        <w:rPr>
          <w:sz w:val="20"/>
          <w:szCs w:val="20"/>
          <w:lang w:val="fr-CA"/>
        </w:rPr>
      </w:pPr>
      <w:r w:rsidRPr="00972800">
        <w:rPr>
          <w:sz w:val="20"/>
          <w:szCs w:val="20"/>
          <w:lang w:val="fr-CA"/>
        </w:rPr>
        <w:t xml:space="preserve">Procédure civile </w:t>
      </w:r>
      <w:r w:rsidRPr="00972800">
        <w:rPr>
          <w:sz w:val="20"/>
          <w:szCs w:val="20"/>
          <w:lang w:val="fr-CA"/>
        </w:rPr>
        <w:noBreakHyphen/>
        <w:t xml:space="preserve"> Recours collectifs </w:t>
      </w:r>
      <w:r w:rsidRPr="00972800">
        <w:rPr>
          <w:sz w:val="20"/>
          <w:szCs w:val="20"/>
          <w:lang w:val="fr-CA"/>
        </w:rPr>
        <w:noBreakHyphen/>
        <w:t xml:space="preserve"> Certification </w:t>
      </w:r>
      <w:r w:rsidRPr="00972800">
        <w:rPr>
          <w:sz w:val="20"/>
          <w:szCs w:val="20"/>
          <w:lang w:val="fr-CA"/>
        </w:rPr>
        <w:noBreakHyphen/>
        <w:t xml:space="preserve"> Meilleur moyen </w:t>
      </w:r>
      <w:r w:rsidRPr="00972800">
        <w:rPr>
          <w:sz w:val="20"/>
          <w:szCs w:val="20"/>
          <w:lang w:val="fr-CA"/>
        </w:rPr>
        <w:noBreakHyphen/>
        <w:t xml:space="preserve"> La Cour d’appel a</w:t>
      </w:r>
      <w:r w:rsidRPr="00972800">
        <w:rPr>
          <w:sz w:val="20"/>
          <w:szCs w:val="20"/>
          <w:lang w:val="fr-CA"/>
        </w:rPr>
        <w:noBreakHyphen/>
        <w:t>t</w:t>
      </w:r>
      <w:r w:rsidRPr="00972800">
        <w:rPr>
          <w:sz w:val="20"/>
          <w:szCs w:val="20"/>
          <w:lang w:val="fr-CA"/>
        </w:rPr>
        <w:noBreakHyphen/>
        <w:t xml:space="preserve">elle eu tort d’infirmer la décision du juge de première instance parce qu’il ne s’est pas demandé ce qu’auraient été les pouvoirs de réparation de la Commission des valeurs mobilières de l’Ontario dans une affaire contestée, ou parce qu’il ne s’est pas demandé dans quelle mesure l’instance devant la Commission offrait des protections procédurales similaires à celles d’un tribunal judiciaire ou parce qu’il s’est appuyé sur des critères d’approbation de règlement collectif? </w:t>
      </w:r>
      <w:r w:rsidRPr="00972800">
        <w:rPr>
          <w:sz w:val="20"/>
          <w:szCs w:val="20"/>
          <w:lang w:val="fr-CA"/>
        </w:rPr>
        <w:noBreakHyphen/>
        <w:t xml:space="preserve"> La Cour d’appel a</w:t>
      </w:r>
      <w:r w:rsidRPr="00972800">
        <w:rPr>
          <w:sz w:val="20"/>
          <w:szCs w:val="20"/>
          <w:lang w:val="fr-CA"/>
        </w:rPr>
        <w:noBreakHyphen/>
        <w:t>t</w:t>
      </w:r>
      <w:r w:rsidRPr="00972800">
        <w:rPr>
          <w:sz w:val="20"/>
          <w:szCs w:val="20"/>
          <w:lang w:val="fr-CA"/>
        </w:rPr>
        <w:noBreakHyphen/>
        <w:t xml:space="preserve">elle eu tort de ne pas avoir considéré les éléments de procédure établis dont le juge de première instance a tenu compte, par exemple le fait qu’une instance devant la Commission a lieu sans égard à la faute, en temps opportun et sans frais et que l’instance a pour objet le même préjudice que celui allégué dans le recours collectif et qu’elle fournit la même forme de réparation? </w:t>
      </w:r>
      <w:r w:rsidRPr="00972800">
        <w:rPr>
          <w:sz w:val="20"/>
          <w:szCs w:val="20"/>
          <w:lang w:val="fr-CA"/>
        </w:rPr>
        <w:noBreakHyphen/>
        <w:t xml:space="preserve"> </w:t>
      </w:r>
      <w:r w:rsidRPr="00972800">
        <w:rPr>
          <w:i/>
          <w:sz w:val="20"/>
          <w:szCs w:val="20"/>
          <w:lang w:val="fr-CA"/>
        </w:rPr>
        <w:t>Loi de 1992 sur les recours collectifs</w:t>
      </w:r>
      <w:r w:rsidRPr="00972800">
        <w:rPr>
          <w:sz w:val="20"/>
          <w:szCs w:val="20"/>
          <w:lang w:val="fr-CA"/>
        </w:rPr>
        <w:t>, L.O. 1992, ch. 6, al. 5(1)</w:t>
      </w:r>
      <w:r w:rsidRPr="00972800">
        <w:rPr>
          <w:i/>
          <w:sz w:val="20"/>
          <w:szCs w:val="20"/>
          <w:lang w:val="fr-CA"/>
        </w:rPr>
        <w:t>d)</w:t>
      </w:r>
      <w:r w:rsidRPr="00972800">
        <w:rPr>
          <w:sz w:val="20"/>
          <w:szCs w:val="20"/>
          <w:lang w:val="fr-CA"/>
        </w:rPr>
        <w:t>.</w:t>
      </w:r>
    </w:p>
    <w:p w:rsidR="00E26E38" w:rsidRPr="00972800" w:rsidRDefault="00E26E38" w:rsidP="00E26E38">
      <w:pPr>
        <w:widowControl w:val="0"/>
        <w:jc w:val="both"/>
        <w:rPr>
          <w:sz w:val="20"/>
          <w:szCs w:val="20"/>
          <w:lang w:val="fr-CA"/>
        </w:rPr>
      </w:pPr>
    </w:p>
    <w:p w:rsidR="00E26E38" w:rsidRPr="00972800" w:rsidRDefault="00E26E38" w:rsidP="00E26E38">
      <w:pPr>
        <w:widowControl w:val="0"/>
        <w:jc w:val="both"/>
        <w:rPr>
          <w:sz w:val="20"/>
          <w:szCs w:val="20"/>
          <w:lang w:val="fr-CA"/>
        </w:rPr>
      </w:pPr>
      <w:r w:rsidRPr="00972800">
        <w:rPr>
          <w:sz w:val="20"/>
          <w:szCs w:val="20"/>
          <w:lang w:val="fr-CA"/>
        </w:rPr>
        <w:t>Les appelantes sont des gestionnaires de fonds communs de placement qui ont fait l’objet d’une enquête menée par la Commission des valeurs mobilières de l’Ontario portant sur la « synchronisation des marchés », une pratique qui aurait censément fait subir aux investisseurs à long terme des pertes sur la valeur de leurs placements.  Les gestionnaires de fonds ont fini par conclure des règlements amiables avec la Commission, aux termes desquels ils devaient verser plus de 200 millions de dollars aux investisseurs, y compris les intimés.  À la suite des règlements amiables, les intimés ont présenté une motion en vue de faire certifier le recours collectif contre les gestionnaires de fonds pour les mêmes actes de synchronisation des marchés.  Le juge saisi de la motion a conclu que même si le recours répondait par ailleurs aux critères de certification, il ne répondait pas au critère du meilleur moyen.  La Cour divisionnaire n’était pas du même avis, concluant que l’instance devant la Commission ne pouvait être considérée comme le meilleur moyen de recouvrer les dommages</w:t>
      </w:r>
      <w:r w:rsidRPr="00972800">
        <w:rPr>
          <w:sz w:val="20"/>
          <w:szCs w:val="20"/>
          <w:lang w:val="fr-CA"/>
        </w:rPr>
        <w:noBreakHyphen/>
        <w:t>intérêts, puisque l’action des investisseurs avait pour objet des dommages</w:t>
      </w:r>
      <w:r w:rsidRPr="00972800">
        <w:rPr>
          <w:sz w:val="20"/>
          <w:szCs w:val="20"/>
          <w:lang w:val="fr-CA"/>
        </w:rPr>
        <w:noBreakHyphen/>
        <w:t>intérêts monétaires importants qui dépassaient le montant recouvré dans le cadre des règlements amiables.  La Cour d’appel a rejeté l’appel.</w:t>
      </w:r>
    </w:p>
    <w:p w:rsidR="00E26E38" w:rsidRPr="00972800" w:rsidRDefault="00E26E38" w:rsidP="00E26E38">
      <w:pPr>
        <w:widowControl w:val="0"/>
        <w:jc w:val="both"/>
        <w:rPr>
          <w:sz w:val="20"/>
          <w:szCs w:val="20"/>
          <w:lang w:val="fr-CA"/>
        </w:rPr>
      </w:pPr>
    </w:p>
    <w:p w:rsidR="00E26E38" w:rsidRPr="00972800" w:rsidRDefault="00E26E38" w:rsidP="00E26E38">
      <w:pPr>
        <w:widowControl w:val="0"/>
        <w:jc w:val="both"/>
        <w:rPr>
          <w:sz w:val="20"/>
          <w:szCs w:val="20"/>
          <w:lang w:val="fr-CA"/>
        </w:rPr>
      </w:pPr>
    </w:p>
    <w:p w:rsidR="00E26E38" w:rsidRPr="00972800" w:rsidRDefault="00E26E38" w:rsidP="004D5F27">
      <w:pPr>
        <w:widowControl w:val="0"/>
        <w:ind w:left="2880" w:hanging="2880"/>
        <w:jc w:val="both"/>
        <w:rPr>
          <w:sz w:val="20"/>
          <w:szCs w:val="20"/>
          <w:lang w:val="fr-CA"/>
        </w:rPr>
      </w:pPr>
      <w:r w:rsidRPr="00972800">
        <w:rPr>
          <w:sz w:val="20"/>
          <w:szCs w:val="20"/>
          <w:lang w:val="fr-CA"/>
        </w:rPr>
        <w:t>Origine :</w:t>
      </w:r>
      <w:r w:rsidRPr="00972800">
        <w:rPr>
          <w:sz w:val="20"/>
          <w:szCs w:val="20"/>
          <w:lang w:val="fr-CA"/>
        </w:rPr>
        <w:tab/>
        <w:t>Ontario</w:t>
      </w:r>
    </w:p>
    <w:p w:rsidR="00E26E38" w:rsidRPr="00972800" w:rsidRDefault="00E26E38" w:rsidP="004D5F27">
      <w:pPr>
        <w:widowControl w:val="0"/>
        <w:ind w:left="2880" w:hanging="2880"/>
        <w:jc w:val="both"/>
        <w:rPr>
          <w:sz w:val="20"/>
          <w:szCs w:val="20"/>
          <w:lang w:val="fr-CA"/>
        </w:rPr>
      </w:pPr>
    </w:p>
    <w:p w:rsidR="00E26E38" w:rsidRPr="00972800" w:rsidRDefault="00E26E38" w:rsidP="004D5F27">
      <w:pPr>
        <w:widowControl w:val="0"/>
        <w:ind w:left="2880" w:hanging="2880"/>
        <w:jc w:val="both"/>
        <w:rPr>
          <w:sz w:val="20"/>
          <w:szCs w:val="20"/>
          <w:lang w:val="fr-CA"/>
        </w:rPr>
      </w:pPr>
      <w:r w:rsidRPr="00972800">
        <w:rPr>
          <w:sz w:val="20"/>
          <w:szCs w:val="20"/>
          <w:lang w:val="fr-CA"/>
        </w:rPr>
        <w:t>N</w:t>
      </w:r>
      <w:r w:rsidRPr="00972800">
        <w:rPr>
          <w:sz w:val="20"/>
          <w:szCs w:val="20"/>
          <w:vertAlign w:val="superscript"/>
          <w:lang w:val="fr-CA"/>
        </w:rPr>
        <w:t>o</w:t>
      </w:r>
      <w:r w:rsidRPr="00972800">
        <w:rPr>
          <w:sz w:val="20"/>
          <w:szCs w:val="20"/>
          <w:lang w:val="fr-CA"/>
        </w:rPr>
        <w:t xml:space="preserve"> du greffe :</w:t>
      </w:r>
      <w:r w:rsidRPr="00972800">
        <w:rPr>
          <w:sz w:val="20"/>
          <w:szCs w:val="20"/>
          <w:lang w:val="fr-CA"/>
        </w:rPr>
        <w:tab/>
        <w:t>34738</w:t>
      </w:r>
    </w:p>
    <w:p w:rsidR="00E26E38" w:rsidRPr="00972800" w:rsidRDefault="00E26E38" w:rsidP="004D5F27">
      <w:pPr>
        <w:widowControl w:val="0"/>
        <w:ind w:left="2880" w:hanging="2880"/>
        <w:jc w:val="both"/>
        <w:rPr>
          <w:sz w:val="20"/>
          <w:szCs w:val="20"/>
          <w:lang w:val="fr-CA"/>
        </w:rPr>
      </w:pPr>
    </w:p>
    <w:p w:rsidR="00E26E38" w:rsidRPr="00972800" w:rsidRDefault="00E26E38" w:rsidP="004D5F27">
      <w:pPr>
        <w:widowControl w:val="0"/>
        <w:ind w:left="2880" w:hanging="2880"/>
        <w:jc w:val="both"/>
        <w:rPr>
          <w:sz w:val="20"/>
          <w:szCs w:val="20"/>
          <w:lang w:val="fr-CA"/>
        </w:rPr>
      </w:pPr>
      <w:r w:rsidRPr="00972800">
        <w:rPr>
          <w:sz w:val="20"/>
          <w:szCs w:val="20"/>
          <w:lang w:val="fr-CA"/>
        </w:rPr>
        <w:t>Arrêt de la Cour d’appel :</w:t>
      </w:r>
      <w:r w:rsidRPr="00972800">
        <w:rPr>
          <w:sz w:val="20"/>
          <w:szCs w:val="20"/>
          <w:lang w:val="fr-CA"/>
        </w:rPr>
        <w:tab/>
        <w:t>le 27 janvier 2012</w:t>
      </w:r>
    </w:p>
    <w:p w:rsidR="00E26E38" w:rsidRPr="00972800" w:rsidRDefault="00E26E38" w:rsidP="004D5F27">
      <w:pPr>
        <w:widowControl w:val="0"/>
        <w:ind w:left="2880" w:hanging="2880"/>
        <w:jc w:val="both"/>
        <w:rPr>
          <w:sz w:val="20"/>
          <w:szCs w:val="20"/>
          <w:lang w:val="fr-CA"/>
        </w:rPr>
      </w:pPr>
    </w:p>
    <w:p w:rsidR="00E26E38" w:rsidRPr="00972800" w:rsidRDefault="00E26E38" w:rsidP="004D5F27">
      <w:pPr>
        <w:widowControl w:val="0"/>
        <w:ind w:left="2880" w:hanging="2880"/>
        <w:jc w:val="both"/>
        <w:rPr>
          <w:sz w:val="20"/>
          <w:szCs w:val="20"/>
          <w:lang w:val="fr-CA"/>
        </w:rPr>
      </w:pPr>
      <w:r w:rsidRPr="00972800">
        <w:rPr>
          <w:sz w:val="20"/>
          <w:szCs w:val="20"/>
          <w:lang w:val="fr-CA"/>
        </w:rPr>
        <w:t>Avocats :</w:t>
      </w:r>
      <w:r>
        <w:rPr>
          <w:sz w:val="20"/>
          <w:szCs w:val="20"/>
          <w:lang w:val="fr-CA"/>
        </w:rPr>
        <w:tab/>
      </w:r>
      <w:r w:rsidRPr="00972800">
        <w:rPr>
          <w:sz w:val="20"/>
          <w:szCs w:val="20"/>
          <w:lang w:val="fr-CA"/>
        </w:rPr>
        <w:t>James D.G. Douglas, David Di Paolo et Margot Finley pour l’appelante AIC Limited</w:t>
      </w:r>
    </w:p>
    <w:p w:rsidR="00E26E38" w:rsidRPr="00972800" w:rsidRDefault="00E26E38" w:rsidP="004D5F27">
      <w:pPr>
        <w:widowControl w:val="0"/>
        <w:ind w:left="2880" w:hanging="2880"/>
        <w:jc w:val="both"/>
        <w:rPr>
          <w:sz w:val="20"/>
          <w:szCs w:val="20"/>
          <w:lang w:val="fr-CA"/>
        </w:rPr>
      </w:pPr>
      <w:r>
        <w:rPr>
          <w:sz w:val="20"/>
          <w:szCs w:val="20"/>
          <w:lang w:val="fr-CA"/>
        </w:rPr>
        <w:tab/>
      </w:r>
      <w:r w:rsidRPr="00972800">
        <w:rPr>
          <w:sz w:val="20"/>
          <w:szCs w:val="20"/>
          <w:lang w:val="fr-CA"/>
        </w:rPr>
        <w:t>Benjamin Zarnett, Jessica Kimmel et Melanie Ouanounou pour l’appelante CI Mutual Funds Inc.</w:t>
      </w:r>
    </w:p>
    <w:p w:rsidR="00E26E38" w:rsidRPr="00972800" w:rsidRDefault="00E26E38" w:rsidP="004D5F27">
      <w:pPr>
        <w:widowControl w:val="0"/>
        <w:ind w:left="2880" w:hanging="2880"/>
        <w:jc w:val="both"/>
        <w:rPr>
          <w:sz w:val="20"/>
          <w:szCs w:val="20"/>
          <w:lang w:val="fr-CA"/>
        </w:rPr>
      </w:pPr>
      <w:r>
        <w:rPr>
          <w:sz w:val="20"/>
          <w:szCs w:val="20"/>
          <w:lang w:val="fr-CA"/>
        </w:rPr>
        <w:tab/>
      </w:r>
      <w:r w:rsidRPr="00972800">
        <w:rPr>
          <w:sz w:val="20"/>
          <w:szCs w:val="20"/>
          <w:lang w:val="fr-CA"/>
        </w:rPr>
        <w:t>Joel P. Rochon, Peter Jervis et Sakie Tambakos pour les intimés</w:t>
      </w:r>
    </w:p>
    <w:p w:rsidR="00E26E38" w:rsidRPr="00972800" w:rsidRDefault="00E26E38" w:rsidP="00E26E38">
      <w:pPr>
        <w:jc w:val="both"/>
        <w:rPr>
          <w:sz w:val="20"/>
          <w:szCs w:val="20"/>
          <w:lang w:val="fr-CA"/>
        </w:rPr>
      </w:pPr>
    </w:p>
    <w:p w:rsidR="00E26E38" w:rsidRDefault="00B74DD2" w:rsidP="00E26E38">
      <w:pPr>
        <w:tabs>
          <w:tab w:val="left" w:pos="-1440"/>
          <w:tab w:val="left" w:pos="-720"/>
        </w:tabs>
        <w:jc w:val="both"/>
        <w:rPr>
          <w:sz w:val="20"/>
          <w:szCs w:val="20"/>
          <w:lang w:val="fr-CA"/>
        </w:rPr>
      </w:pPr>
      <w:r w:rsidRPr="00B74DD2">
        <w:rPr>
          <w:sz w:val="20"/>
          <w:szCs w:val="20"/>
          <w:lang w:val="fr-CA"/>
        </w:rPr>
        <w:pict>
          <v:rect id="_x0000_i1093" style="width:2in;height:1pt" o:hrpct="0" o:hralign="center" o:hrstd="t" o:hrnoshade="t" o:hr="t" fillcolor="black [3213]" stroked="f"/>
        </w:pict>
      </w:r>
    </w:p>
    <w:p w:rsidR="00E26E38" w:rsidRDefault="00E26E38" w:rsidP="00E26E38">
      <w:pPr>
        <w:tabs>
          <w:tab w:val="left" w:pos="-1440"/>
          <w:tab w:val="left" w:pos="-720"/>
        </w:tabs>
        <w:jc w:val="both"/>
        <w:rPr>
          <w:sz w:val="20"/>
          <w:szCs w:val="20"/>
          <w:lang w:val="fr-CA"/>
        </w:rPr>
      </w:pPr>
    </w:p>
    <w:p w:rsidR="00E26E38" w:rsidRDefault="00E26E38" w:rsidP="00E26E38">
      <w:pPr>
        <w:rPr>
          <w:sz w:val="20"/>
          <w:szCs w:val="20"/>
          <w:lang w:val="fr-CA"/>
        </w:rPr>
      </w:pPr>
      <w:r>
        <w:rPr>
          <w:sz w:val="20"/>
          <w:szCs w:val="20"/>
          <w:lang w:val="fr-CA"/>
        </w:rPr>
        <w:br w:type="page"/>
      </w:r>
    </w:p>
    <w:p w:rsidR="00E26E38" w:rsidRPr="004A3A10" w:rsidRDefault="00B74DD2" w:rsidP="00D12540">
      <w:pPr>
        <w:widowControl w:val="0"/>
        <w:ind w:left="720" w:hanging="720"/>
        <w:jc w:val="both"/>
        <w:rPr>
          <w:rFonts w:eastAsia="Times New Roman"/>
          <w:sz w:val="20"/>
          <w:szCs w:val="20"/>
          <w:lang w:eastAsia="en-CA"/>
        </w:rPr>
      </w:pPr>
      <w:r w:rsidRPr="004A3A10">
        <w:rPr>
          <w:rFonts w:eastAsia="Times New Roman"/>
          <w:b/>
          <w:sz w:val="20"/>
          <w:szCs w:val="20"/>
          <w:lang w:eastAsia="en-CA"/>
        </w:rPr>
        <w:fldChar w:fldCharType="begin"/>
      </w:r>
      <w:r w:rsidR="00E26E38" w:rsidRPr="004A3A10">
        <w:rPr>
          <w:rFonts w:eastAsia="Times New Roman"/>
          <w:b/>
          <w:sz w:val="20"/>
          <w:szCs w:val="20"/>
          <w:lang w:eastAsia="en-CA"/>
        </w:rPr>
        <w:instrText xml:space="preserve"> SEQ CHAPTER \h \r 1</w:instrText>
      </w:r>
      <w:r w:rsidRPr="004A3A10">
        <w:rPr>
          <w:rFonts w:eastAsia="Times New Roman"/>
          <w:b/>
          <w:sz w:val="20"/>
          <w:szCs w:val="20"/>
          <w:lang w:eastAsia="en-CA"/>
        </w:rPr>
        <w:fldChar w:fldCharType="end"/>
      </w:r>
      <w:r w:rsidR="00E26E38" w:rsidRPr="004A3A10">
        <w:rPr>
          <w:rFonts w:eastAsia="Times New Roman"/>
          <w:b/>
          <w:sz w:val="20"/>
          <w:szCs w:val="20"/>
          <w:lang w:eastAsia="en-CA"/>
        </w:rPr>
        <w:t>34621</w:t>
      </w:r>
      <w:r w:rsidR="00E26E38" w:rsidRPr="004A3A10">
        <w:rPr>
          <w:rFonts w:eastAsia="Times New Roman"/>
          <w:sz w:val="20"/>
          <w:szCs w:val="20"/>
          <w:lang w:eastAsia="en-CA"/>
        </w:rPr>
        <w:tab/>
      </w:r>
      <w:r w:rsidR="00E26E38" w:rsidRPr="004A3A10">
        <w:rPr>
          <w:rFonts w:eastAsia="Times New Roman"/>
          <w:b/>
          <w:i/>
          <w:sz w:val="20"/>
          <w:szCs w:val="20"/>
          <w:lang w:eastAsia="en-CA"/>
        </w:rPr>
        <w:t>Police Constable Kris Wood, Acting Sergeant Mark Pullbrook and Police Constable Graham Seguin v. Ruth Schaeffer, Evelyn Minty, Diane Pinder, Ian Scott, Director of the Special Investigations Unit, and Julian Fantino, Commissioner of the Ontario Provincial Police</w:t>
      </w:r>
    </w:p>
    <w:p w:rsidR="00E26E38" w:rsidRPr="004A3A10" w:rsidRDefault="00E26E38" w:rsidP="00E26E38">
      <w:pPr>
        <w:widowControl w:val="0"/>
        <w:jc w:val="both"/>
        <w:rPr>
          <w:rFonts w:eastAsia="Times New Roman"/>
          <w:sz w:val="20"/>
          <w:szCs w:val="20"/>
          <w:lang w:eastAsia="en-CA"/>
        </w:rPr>
      </w:pPr>
    </w:p>
    <w:p w:rsidR="00E26E38" w:rsidRPr="004A3A10" w:rsidRDefault="00E26E38" w:rsidP="00E26E38">
      <w:pPr>
        <w:widowControl w:val="0"/>
        <w:jc w:val="both"/>
        <w:rPr>
          <w:rFonts w:eastAsia="Times New Roman"/>
          <w:sz w:val="20"/>
          <w:szCs w:val="20"/>
          <w:lang w:eastAsia="en-CA"/>
        </w:rPr>
      </w:pPr>
      <w:r w:rsidRPr="004A3A10">
        <w:rPr>
          <w:rFonts w:eastAsia="Times New Roman"/>
          <w:sz w:val="20"/>
          <w:szCs w:val="20"/>
          <w:lang w:eastAsia="en-CA"/>
        </w:rPr>
        <w:t xml:space="preserve">Police </w:t>
      </w:r>
      <w:r w:rsidRPr="004A3A10">
        <w:rPr>
          <w:rFonts w:eastAsia="Times New Roman"/>
          <w:sz w:val="20"/>
          <w:szCs w:val="20"/>
          <w:lang w:eastAsia="en-CA"/>
        </w:rPr>
        <w:noBreakHyphen/>
        <w:t xml:space="preserve"> Special Investigations </w:t>
      </w:r>
      <w:r w:rsidRPr="004A3A10">
        <w:rPr>
          <w:rFonts w:eastAsia="Times New Roman"/>
          <w:sz w:val="20"/>
          <w:szCs w:val="20"/>
          <w:lang w:eastAsia="en-CA"/>
        </w:rPr>
        <w:noBreakHyphen/>
        <w:t xml:space="preserve"> Right to counsel </w:t>
      </w:r>
      <w:r w:rsidRPr="004A3A10">
        <w:rPr>
          <w:rFonts w:eastAsia="Times New Roman"/>
          <w:sz w:val="20"/>
          <w:szCs w:val="20"/>
          <w:lang w:eastAsia="en-CA"/>
        </w:rPr>
        <w:noBreakHyphen/>
        <w:t xml:space="preserve"> Subject officers </w:t>
      </w:r>
      <w:r w:rsidRPr="004A3A10">
        <w:rPr>
          <w:rFonts w:eastAsia="Times New Roman"/>
          <w:sz w:val="20"/>
          <w:szCs w:val="20"/>
          <w:lang w:eastAsia="en-CA"/>
        </w:rPr>
        <w:noBreakHyphen/>
        <w:t xml:space="preserve"> Witness officers </w:t>
      </w:r>
      <w:r w:rsidRPr="004A3A10">
        <w:rPr>
          <w:rFonts w:eastAsia="Times New Roman"/>
          <w:sz w:val="20"/>
          <w:szCs w:val="20"/>
          <w:lang w:eastAsia="en-CA"/>
        </w:rPr>
        <w:noBreakHyphen/>
        <w:t xml:space="preserve"> Whether the Court of Appeal for Ontario erred by circumscribing the scope and extent of a police officer’s right to counsel by adopting an unprecedented interpretation of the requirement that notes be prepared “in accordance with his or her duty” as prohibiting meaningful legal advice in connection with the preparation of their notes </w:t>
      </w:r>
      <w:r w:rsidRPr="004A3A10">
        <w:rPr>
          <w:rFonts w:eastAsia="Times New Roman"/>
          <w:sz w:val="20"/>
          <w:szCs w:val="20"/>
          <w:lang w:eastAsia="en-CA"/>
        </w:rPr>
        <w:noBreakHyphen/>
        <w:t xml:space="preserve"> Whether the Court of Appeal erred by abrogating the right to meaningful consultation with counsel despite the absence of any express or necessarily implied legislative restriction on the right to counsel </w:t>
      </w:r>
      <w:r w:rsidRPr="004A3A10">
        <w:rPr>
          <w:rFonts w:eastAsia="Times New Roman"/>
          <w:sz w:val="20"/>
          <w:szCs w:val="20"/>
          <w:lang w:eastAsia="en-CA"/>
        </w:rPr>
        <w:noBreakHyphen/>
        <w:t xml:space="preserve"> Whether the Court of Appeal erred in circumscribing the scope and extent of a police officer’s right to counsel by interpreting the requirement that notes be prepared “in accordance with” his or her duty as precluding meaningful legal advice in connection with the preparation of an officer’s notes </w:t>
      </w:r>
      <w:r w:rsidRPr="004A3A10">
        <w:rPr>
          <w:rFonts w:eastAsia="Times New Roman"/>
          <w:sz w:val="20"/>
          <w:szCs w:val="20"/>
          <w:lang w:eastAsia="en-CA"/>
        </w:rPr>
        <w:noBreakHyphen/>
        <w:t xml:space="preserve"> Whether the Court of Appeal erred in crafting an unworkable protocol which renders virtually any discussion by an officer with counsel an ethical and practical minefield </w:t>
      </w:r>
      <w:r w:rsidRPr="004A3A10">
        <w:rPr>
          <w:rFonts w:eastAsia="Times New Roman"/>
          <w:bCs/>
          <w:sz w:val="20"/>
          <w:szCs w:val="20"/>
          <w:lang w:eastAsia="en-CA"/>
        </w:rPr>
        <w:noBreakHyphen/>
      </w:r>
      <w:r w:rsidRPr="004A3A10">
        <w:rPr>
          <w:rFonts w:eastAsia="Times New Roman"/>
          <w:bCs/>
          <w:i/>
          <w:sz w:val="20"/>
          <w:szCs w:val="20"/>
          <w:lang w:eastAsia="en-CA"/>
        </w:rPr>
        <w:t xml:space="preserve"> Conduct and Duties of Police Officers Respecting Investigations by the Special Investigations Unit</w:t>
      </w:r>
      <w:r w:rsidRPr="004A3A10">
        <w:rPr>
          <w:rFonts w:eastAsia="Times New Roman"/>
          <w:bCs/>
          <w:sz w:val="20"/>
          <w:szCs w:val="20"/>
          <w:lang w:eastAsia="en-CA"/>
        </w:rPr>
        <w:t>, O. Reg. 267/10.</w:t>
      </w:r>
    </w:p>
    <w:p w:rsidR="00E26E38" w:rsidRPr="004A3A10" w:rsidRDefault="00E26E38" w:rsidP="00E26E38">
      <w:pPr>
        <w:widowControl w:val="0"/>
        <w:jc w:val="both"/>
        <w:rPr>
          <w:rFonts w:eastAsia="Times New Roman"/>
          <w:sz w:val="20"/>
          <w:szCs w:val="20"/>
          <w:lang w:eastAsia="en-CA"/>
        </w:rPr>
      </w:pPr>
    </w:p>
    <w:p w:rsidR="00E26E38" w:rsidRPr="004A3A10" w:rsidRDefault="00E26E38" w:rsidP="00E26E38">
      <w:pPr>
        <w:widowControl w:val="0"/>
        <w:jc w:val="both"/>
        <w:rPr>
          <w:rFonts w:eastAsia="Times New Roman"/>
          <w:sz w:val="20"/>
          <w:szCs w:val="20"/>
          <w:lang w:eastAsia="en-CA"/>
        </w:rPr>
      </w:pPr>
      <w:r w:rsidRPr="004A3A10">
        <w:rPr>
          <w:rFonts w:eastAsia="Times New Roman"/>
          <w:sz w:val="20"/>
          <w:szCs w:val="20"/>
          <w:lang w:eastAsia="en-CA"/>
        </w:rPr>
        <w:t>In June 2009, the Special Investigations Unit was called upon to investigate the conduct of police officers involved in two separate incidents which involved the death of civilians at the hands of police.  In both cases, the subject officer and the witness officers were instructed not to make notes until they had spoken to counsel, and the subject and witness officers were allowed to complete their notes after the end of the shift.  In November 2009, the families of the deceased civilians asked the court to interpret the regulatory regime with respect to the rights and duties of police officers involved in SIU investigations.  The application was dismissed for lack of standing, mootness and injusticiability.  The Court of Appeal found that the application judge had erred on all three grounds.  It allowed the appeal from the order striking the application and declared that the regulatory regime does not permit (i) police officers involved in an SIU investigation to have a lawyer vet their notes or to assist them in the preparation of their notes; or (ii) supervising officers, as a matter of course, to authorize subject and witness officers to refrain from preparing their notes to permit consultation with counsel regardless of the expiry of the officer’s shift; but do permit (iii) police officers to obtain legal advice as to the nature of their rights and duties with respect to SIU investigations, provided obtaining that advice does not delay the completion of their notes before the end of their tour of duty.</w:t>
      </w:r>
    </w:p>
    <w:p w:rsidR="00E26E38" w:rsidRPr="004A3A10" w:rsidRDefault="00E26E38" w:rsidP="00E26E38">
      <w:pPr>
        <w:widowControl w:val="0"/>
        <w:jc w:val="both"/>
        <w:rPr>
          <w:rFonts w:eastAsia="Times New Roman"/>
          <w:sz w:val="20"/>
          <w:szCs w:val="20"/>
          <w:lang w:eastAsia="en-CA"/>
        </w:rPr>
      </w:pPr>
    </w:p>
    <w:p w:rsidR="00E26E38" w:rsidRPr="004A3A10" w:rsidRDefault="00E26E38" w:rsidP="00E26E38">
      <w:pPr>
        <w:widowControl w:val="0"/>
        <w:jc w:val="both"/>
        <w:rPr>
          <w:rFonts w:eastAsia="Times New Roman"/>
          <w:sz w:val="20"/>
          <w:szCs w:val="20"/>
          <w:lang w:eastAsia="en-CA"/>
        </w:rPr>
      </w:pPr>
    </w:p>
    <w:p w:rsidR="00E26E38" w:rsidRPr="004A3A10" w:rsidRDefault="00E26E38" w:rsidP="00D12540">
      <w:pPr>
        <w:widowControl w:val="0"/>
        <w:ind w:left="2880" w:hanging="2880"/>
        <w:jc w:val="both"/>
        <w:rPr>
          <w:rFonts w:eastAsia="Times New Roman"/>
          <w:sz w:val="20"/>
          <w:szCs w:val="20"/>
          <w:lang w:eastAsia="en-CA"/>
        </w:rPr>
      </w:pPr>
      <w:r w:rsidRPr="004A3A10">
        <w:rPr>
          <w:rFonts w:eastAsia="Times New Roman"/>
          <w:sz w:val="20"/>
          <w:szCs w:val="20"/>
          <w:lang w:eastAsia="en-CA"/>
        </w:rPr>
        <w:t>Origin of the case:</w:t>
      </w:r>
      <w:r w:rsidRPr="004A3A10">
        <w:rPr>
          <w:rFonts w:eastAsia="Times New Roman"/>
          <w:sz w:val="20"/>
          <w:szCs w:val="20"/>
          <w:lang w:eastAsia="en-CA"/>
        </w:rPr>
        <w:tab/>
        <w:t>Ontario</w:t>
      </w:r>
    </w:p>
    <w:p w:rsidR="00E26E38" w:rsidRPr="004A3A10" w:rsidRDefault="00E26E38" w:rsidP="00D12540">
      <w:pPr>
        <w:widowControl w:val="0"/>
        <w:ind w:left="2880" w:hanging="2880"/>
        <w:jc w:val="both"/>
        <w:rPr>
          <w:rFonts w:eastAsia="Times New Roman"/>
          <w:sz w:val="20"/>
          <w:szCs w:val="20"/>
          <w:lang w:eastAsia="en-CA"/>
        </w:rPr>
      </w:pPr>
    </w:p>
    <w:p w:rsidR="00E26E38" w:rsidRPr="004A3A10" w:rsidRDefault="00E26E38" w:rsidP="00D12540">
      <w:pPr>
        <w:widowControl w:val="0"/>
        <w:ind w:left="2880" w:hanging="2880"/>
        <w:jc w:val="both"/>
        <w:rPr>
          <w:rFonts w:eastAsia="Times New Roman"/>
          <w:sz w:val="20"/>
          <w:szCs w:val="20"/>
          <w:lang w:eastAsia="en-CA"/>
        </w:rPr>
      </w:pPr>
      <w:r w:rsidRPr="004A3A10">
        <w:rPr>
          <w:rFonts w:eastAsia="Times New Roman"/>
          <w:sz w:val="20"/>
          <w:szCs w:val="20"/>
          <w:lang w:eastAsia="en-CA"/>
        </w:rPr>
        <w:t>File No.:</w:t>
      </w:r>
      <w:r w:rsidRPr="004A3A10">
        <w:rPr>
          <w:rFonts w:eastAsia="Times New Roman"/>
          <w:sz w:val="20"/>
          <w:szCs w:val="20"/>
          <w:lang w:eastAsia="en-CA"/>
        </w:rPr>
        <w:tab/>
        <w:t>34621</w:t>
      </w:r>
    </w:p>
    <w:p w:rsidR="00E26E38" w:rsidRPr="004A3A10" w:rsidRDefault="00E26E38" w:rsidP="00D12540">
      <w:pPr>
        <w:widowControl w:val="0"/>
        <w:ind w:left="2880" w:hanging="2880"/>
        <w:jc w:val="both"/>
        <w:rPr>
          <w:rFonts w:eastAsia="Times New Roman"/>
          <w:sz w:val="20"/>
          <w:szCs w:val="20"/>
          <w:lang w:eastAsia="en-CA"/>
        </w:rPr>
      </w:pPr>
    </w:p>
    <w:p w:rsidR="00E26E38" w:rsidRPr="004A3A10" w:rsidRDefault="00E26E38" w:rsidP="00D12540">
      <w:pPr>
        <w:widowControl w:val="0"/>
        <w:ind w:left="2880" w:hanging="2880"/>
        <w:jc w:val="both"/>
        <w:rPr>
          <w:rFonts w:eastAsia="Times New Roman"/>
          <w:sz w:val="20"/>
          <w:szCs w:val="20"/>
          <w:lang w:eastAsia="en-CA"/>
        </w:rPr>
      </w:pPr>
      <w:r w:rsidRPr="004A3A10">
        <w:rPr>
          <w:rFonts w:eastAsia="Times New Roman"/>
          <w:sz w:val="20"/>
          <w:szCs w:val="20"/>
          <w:lang w:eastAsia="en-CA"/>
        </w:rPr>
        <w:t>Judgment of the Court of Appeal:</w:t>
      </w:r>
      <w:r w:rsidRPr="004A3A10">
        <w:rPr>
          <w:rFonts w:eastAsia="Times New Roman"/>
          <w:sz w:val="20"/>
          <w:szCs w:val="20"/>
          <w:lang w:eastAsia="en-CA"/>
        </w:rPr>
        <w:tab/>
        <w:t>November 15, 2011</w:t>
      </w:r>
    </w:p>
    <w:p w:rsidR="00E26E38" w:rsidRPr="004A3A10" w:rsidRDefault="00E26E38" w:rsidP="00D12540">
      <w:pPr>
        <w:widowControl w:val="0"/>
        <w:ind w:left="2880" w:hanging="2880"/>
        <w:jc w:val="both"/>
        <w:rPr>
          <w:rFonts w:eastAsia="Times New Roman"/>
          <w:sz w:val="20"/>
          <w:szCs w:val="20"/>
          <w:lang w:eastAsia="en-CA"/>
        </w:rPr>
      </w:pPr>
    </w:p>
    <w:p w:rsidR="00E26E38" w:rsidRPr="004A3A10" w:rsidRDefault="00E26E38" w:rsidP="00D12540">
      <w:pPr>
        <w:widowControl w:val="0"/>
        <w:ind w:left="2880" w:hanging="2880"/>
        <w:jc w:val="both"/>
        <w:rPr>
          <w:rFonts w:eastAsia="Times New Roman"/>
          <w:sz w:val="20"/>
          <w:szCs w:val="20"/>
          <w:lang w:eastAsia="en-CA"/>
        </w:rPr>
      </w:pPr>
      <w:r w:rsidRPr="004A3A10">
        <w:rPr>
          <w:rFonts w:eastAsia="Times New Roman"/>
          <w:sz w:val="20"/>
          <w:szCs w:val="20"/>
          <w:lang w:eastAsia="en-CA"/>
        </w:rPr>
        <w:t>Counsel:</w:t>
      </w:r>
      <w:r w:rsidRPr="004A3A10">
        <w:rPr>
          <w:rFonts w:eastAsia="Times New Roman"/>
          <w:sz w:val="20"/>
          <w:szCs w:val="20"/>
          <w:lang w:eastAsia="en-CA"/>
        </w:rPr>
        <w:tab/>
        <w:t>Brian H. Greenspan, David M. Humphrey and Jill D. Makepeace for the appellants/cross</w:t>
      </w:r>
      <w:r w:rsidRPr="004A3A10">
        <w:rPr>
          <w:rFonts w:eastAsia="Times New Roman"/>
          <w:sz w:val="20"/>
          <w:szCs w:val="20"/>
          <w:lang w:eastAsia="en-CA"/>
        </w:rPr>
        <w:noBreakHyphen/>
        <w:t>respondents</w:t>
      </w:r>
    </w:p>
    <w:p w:rsidR="00E26E38" w:rsidRPr="004A3A10" w:rsidRDefault="00E26E38" w:rsidP="00D12540">
      <w:pPr>
        <w:widowControl w:val="0"/>
        <w:ind w:left="2880" w:hanging="2880"/>
        <w:jc w:val="both"/>
        <w:rPr>
          <w:rFonts w:eastAsia="Times New Roman"/>
          <w:sz w:val="20"/>
          <w:szCs w:val="20"/>
          <w:lang w:eastAsia="en-CA"/>
        </w:rPr>
      </w:pPr>
      <w:r>
        <w:rPr>
          <w:rFonts w:eastAsia="Times New Roman"/>
          <w:sz w:val="20"/>
          <w:szCs w:val="20"/>
          <w:lang w:eastAsia="en-CA"/>
        </w:rPr>
        <w:tab/>
      </w:r>
      <w:r w:rsidRPr="004A3A10">
        <w:rPr>
          <w:rFonts w:eastAsia="Times New Roman"/>
          <w:sz w:val="20"/>
          <w:szCs w:val="20"/>
          <w:lang w:eastAsia="en-CA"/>
        </w:rPr>
        <w:t>Julian Falconer for the respondents/cross</w:t>
      </w:r>
      <w:r w:rsidRPr="004A3A10">
        <w:rPr>
          <w:rFonts w:eastAsia="Times New Roman"/>
          <w:sz w:val="20"/>
          <w:szCs w:val="20"/>
          <w:lang w:eastAsia="en-CA"/>
        </w:rPr>
        <w:noBreakHyphen/>
        <w:t>appellants Ruth Schaeffer, Evelyn Minty and Diane Pinder</w:t>
      </w:r>
    </w:p>
    <w:p w:rsidR="00E26E38" w:rsidRPr="004A3A10" w:rsidRDefault="00E26E38" w:rsidP="00D12540">
      <w:pPr>
        <w:widowControl w:val="0"/>
        <w:ind w:left="2880" w:hanging="2880"/>
        <w:jc w:val="both"/>
        <w:rPr>
          <w:rFonts w:eastAsia="Times New Roman"/>
          <w:sz w:val="20"/>
          <w:szCs w:val="20"/>
          <w:lang w:eastAsia="en-CA"/>
        </w:rPr>
      </w:pPr>
      <w:r>
        <w:rPr>
          <w:rFonts w:eastAsia="Times New Roman"/>
          <w:sz w:val="20"/>
          <w:szCs w:val="20"/>
          <w:lang w:eastAsia="en-CA"/>
        </w:rPr>
        <w:tab/>
      </w:r>
      <w:r w:rsidRPr="004A3A10">
        <w:rPr>
          <w:rFonts w:eastAsia="Times New Roman"/>
          <w:sz w:val="20"/>
          <w:szCs w:val="20"/>
          <w:lang w:eastAsia="en-CA"/>
        </w:rPr>
        <w:t>Marlys Edwardh for the respondent/cross</w:t>
      </w:r>
      <w:r w:rsidRPr="004A3A10">
        <w:rPr>
          <w:rFonts w:eastAsia="Times New Roman"/>
          <w:sz w:val="20"/>
          <w:szCs w:val="20"/>
          <w:lang w:eastAsia="en-CA"/>
        </w:rPr>
        <w:noBreakHyphen/>
        <w:t>appellant Ian Scott, Director of the Special Investigations Unit</w:t>
      </w:r>
    </w:p>
    <w:p w:rsidR="00E26E38" w:rsidRDefault="00E26E38" w:rsidP="00D12540">
      <w:pPr>
        <w:widowControl w:val="0"/>
        <w:ind w:left="2880" w:hanging="2880"/>
        <w:jc w:val="both"/>
        <w:rPr>
          <w:rFonts w:eastAsia="Times New Roman"/>
          <w:sz w:val="20"/>
          <w:szCs w:val="20"/>
          <w:lang w:eastAsia="en-CA"/>
        </w:rPr>
      </w:pPr>
      <w:r>
        <w:rPr>
          <w:rFonts w:eastAsia="Times New Roman"/>
          <w:sz w:val="20"/>
          <w:szCs w:val="20"/>
          <w:lang w:eastAsia="en-CA"/>
        </w:rPr>
        <w:tab/>
      </w:r>
      <w:r w:rsidRPr="004A3A10">
        <w:rPr>
          <w:rFonts w:eastAsia="Times New Roman"/>
          <w:sz w:val="20"/>
          <w:szCs w:val="20"/>
          <w:lang w:eastAsia="en-CA"/>
        </w:rPr>
        <w:t>Christopher Diana for the respondent Julian Fantino, Commissioner of the Ontario Provincial Police</w:t>
      </w:r>
    </w:p>
    <w:p w:rsidR="00E26E38" w:rsidRPr="00A33A9D" w:rsidRDefault="00E26E38" w:rsidP="00E26E38">
      <w:pPr>
        <w:jc w:val="both"/>
        <w:rPr>
          <w:sz w:val="20"/>
          <w:szCs w:val="20"/>
          <w:lang w:val="en-US"/>
        </w:rPr>
      </w:pPr>
    </w:p>
    <w:p w:rsidR="00E26E38" w:rsidRDefault="00B74DD2" w:rsidP="00E26E38">
      <w:pPr>
        <w:tabs>
          <w:tab w:val="left" w:pos="-1440"/>
          <w:tab w:val="left" w:pos="-720"/>
        </w:tabs>
        <w:jc w:val="both"/>
        <w:rPr>
          <w:sz w:val="20"/>
          <w:szCs w:val="20"/>
          <w:lang w:val="fr-CA"/>
        </w:rPr>
      </w:pPr>
      <w:r w:rsidRPr="00B74DD2">
        <w:rPr>
          <w:sz w:val="20"/>
          <w:szCs w:val="20"/>
          <w:lang w:val="fr-CA"/>
        </w:rPr>
        <w:pict>
          <v:rect id="_x0000_i1094" style="width:2in;height:1pt" o:hrpct="0" o:hralign="center" o:hrstd="t" o:hrnoshade="t" o:hr="t" fillcolor="black [3213]" stroked="f"/>
        </w:pict>
      </w:r>
    </w:p>
    <w:p w:rsidR="00E26E38" w:rsidRDefault="00E26E38" w:rsidP="00E26E38">
      <w:pPr>
        <w:tabs>
          <w:tab w:val="left" w:pos="-1440"/>
          <w:tab w:val="left" w:pos="-720"/>
        </w:tabs>
        <w:jc w:val="both"/>
        <w:rPr>
          <w:sz w:val="20"/>
          <w:szCs w:val="20"/>
          <w:lang w:val="fr-CA"/>
        </w:rPr>
      </w:pPr>
    </w:p>
    <w:p w:rsidR="00E26E38" w:rsidRDefault="00E26E38" w:rsidP="00E26E38">
      <w:pPr>
        <w:rPr>
          <w:sz w:val="20"/>
          <w:szCs w:val="20"/>
          <w:lang w:val="fr-CA"/>
        </w:rPr>
      </w:pPr>
      <w:r>
        <w:rPr>
          <w:sz w:val="20"/>
          <w:szCs w:val="20"/>
          <w:lang w:val="fr-CA"/>
        </w:rPr>
        <w:br w:type="page"/>
      </w:r>
    </w:p>
    <w:p w:rsidR="00E26E38" w:rsidRPr="004A3A10" w:rsidRDefault="00B74DD2" w:rsidP="006D3141">
      <w:pPr>
        <w:widowControl w:val="0"/>
        <w:ind w:left="720" w:hanging="720"/>
        <w:jc w:val="both"/>
        <w:rPr>
          <w:rFonts w:eastAsia="Times New Roman"/>
          <w:sz w:val="20"/>
          <w:szCs w:val="20"/>
          <w:lang w:val="fr-CA" w:eastAsia="en-CA"/>
        </w:rPr>
      </w:pPr>
      <w:r w:rsidRPr="004A3A10">
        <w:rPr>
          <w:rFonts w:eastAsia="Times New Roman"/>
          <w:b/>
          <w:sz w:val="20"/>
          <w:szCs w:val="20"/>
          <w:lang w:val="fr-CA" w:eastAsia="en-CA"/>
        </w:rPr>
        <w:fldChar w:fldCharType="begin"/>
      </w:r>
      <w:r w:rsidR="00E26E38" w:rsidRPr="004A3A10">
        <w:rPr>
          <w:rFonts w:eastAsia="Times New Roman"/>
          <w:b/>
          <w:sz w:val="20"/>
          <w:szCs w:val="20"/>
          <w:lang w:val="fr-CA" w:eastAsia="en-CA"/>
        </w:rPr>
        <w:instrText xml:space="preserve"> SEQ CHAPTER \h \r 1</w:instrText>
      </w:r>
      <w:r w:rsidRPr="004A3A10">
        <w:rPr>
          <w:rFonts w:eastAsia="Times New Roman"/>
          <w:b/>
          <w:sz w:val="20"/>
          <w:szCs w:val="20"/>
          <w:lang w:val="fr-CA" w:eastAsia="en-CA"/>
        </w:rPr>
        <w:fldChar w:fldCharType="end"/>
      </w:r>
      <w:r w:rsidR="00E26E38" w:rsidRPr="004A3A10">
        <w:rPr>
          <w:rFonts w:eastAsia="Times New Roman"/>
          <w:b/>
          <w:sz w:val="20"/>
          <w:szCs w:val="20"/>
          <w:lang w:val="fr-CA" w:eastAsia="en-CA"/>
        </w:rPr>
        <w:t>34621</w:t>
      </w:r>
      <w:r w:rsidR="00E26E38" w:rsidRPr="004A3A10">
        <w:rPr>
          <w:rFonts w:eastAsia="Times New Roman"/>
          <w:sz w:val="20"/>
          <w:szCs w:val="20"/>
          <w:lang w:val="fr-CA" w:eastAsia="en-CA"/>
        </w:rPr>
        <w:tab/>
      </w:r>
      <w:r w:rsidR="00E26E38" w:rsidRPr="004A3A10">
        <w:rPr>
          <w:rFonts w:eastAsia="Times New Roman"/>
          <w:b/>
          <w:i/>
          <w:sz w:val="20"/>
          <w:szCs w:val="20"/>
          <w:lang w:val="fr-FR" w:eastAsia="en-CA"/>
        </w:rPr>
        <w:t xml:space="preserve">Agent Kris Wood, sergent par intérim Mark Pullbrook et agent Graham Seguin c. Ruth Schaeffer, Evelyn Minty, Diane Pinder, Ian Scott, directeur de l’unité des enquêtes spéciales </w:t>
      </w:r>
      <w:r w:rsidR="00E26E38" w:rsidRPr="004A3A10">
        <w:rPr>
          <w:rFonts w:eastAsia="Times New Roman"/>
          <w:b/>
          <w:i/>
          <w:sz w:val="20"/>
          <w:szCs w:val="20"/>
          <w:lang w:val="fr-CA" w:eastAsia="en-CA"/>
        </w:rPr>
        <w:t>et Julian Fantino, commissaire de la Police provinciale de l’Ontario</w:t>
      </w:r>
    </w:p>
    <w:p w:rsidR="00E26E38" w:rsidRPr="004A3A10" w:rsidRDefault="00E26E38" w:rsidP="00E26E38">
      <w:pPr>
        <w:widowControl w:val="0"/>
        <w:jc w:val="both"/>
        <w:rPr>
          <w:rFonts w:eastAsia="Times New Roman"/>
          <w:sz w:val="20"/>
          <w:szCs w:val="20"/>
          <w:lang w:val="fr-CA" w:eastAsia="en-CA"/>
        </w:rPr>
      </w:pPr>
    </w:p>
    <w:p w:rsidR="00E26E38" w:rsidRPr="004A3A10" w:rsidRDefault="00E26E38" w:rsidP="00E26E38">
      <w:pPr>
        <w:widowControl w:val="0"/>
        <w:jc w:val="both"/>
        <w:rPr>
          <w:rFonts w:eastAsia="Times New Roman"/>
          <w:sz w:val="20"/>
          <w:szCs w:val="20"/>
          <w:lang w:val="fr-CA" w:eastAsia="en-CA"/>
        </w:rPr>
      </w:pPr>
      <w:r w:rsidRPr="004A3A10">
        <w:rPr>
          <w:rFonts w:eastAsia="Times New Roman"/>
          <w:sz w:val="20"/>
          <w:szCs w:val="20"/>
          <w:lang w:val="fr-CA" w:eastAsia="en-CA"/>
        </w:rPr>
        <w:t xml:space="preserve">Police </w:t>
      </w:r>
      <w:r w:rsidRPr="004A3A10">
        <w:rPr>
          <w:rFonts w:eastAsia="Times New Roman"/>
          <w:sz w:val="20"/>
          <w:szCs w:val="20"/>
          <w:lang w:val="fr-CA" w:eastAsia="en-CA"/>
        </w:rPr>
        <w:noBreakHyphen/>
        <w:t xml:space="preserve"> Enquêtes spéciales </w:t>
      </w:r>
      <w:r w:rsidRPr="004A3A10">
        <w:rPr>
          <w:rFonts w:eastAsia="Times New Roman"/>
          <w:sz w:val="20"/>
          <w:szCs w:val="20"/>
          <w:lang w:val="fr-CA" w:eastAsia="en-CA"/>
        </w:rPr>
        <w:noBreakHyphen/>
        <w:t xml:space="preserve"> Droit à l’assistance d’un avocat </w:t>
      </w:r>
      <w:r w:rsidRPr="004A3A10">
        <w:rPr>
          <w:rFonts w:eastAsia="Times New Roman"/>
          <w:sz w:val="20"/>
          <w:szCs w:val="20"/>
          <w:lang w:val="fr-CA" w:eastAsia="en-CA"/>
        </w:rPr>
        <w:noBreakHyphen/>
        <w:t xml:space="preserve"> Agents impliqués </w:t>
      </w:r>
      <w:r w:rsidRPr="004A3A10">
        <w:rPr>
          <w:rFonts w:eastAsia="Times New Roman"/>
          <w:sz w:val="20"/>
          <w:szCs w:val="20"/>
          <w:lang w:val="fr-CA" w:eastAsia="en-CA"/>
        </w:rPr>
        <w:noBreakHyphen/>
        <w:t xml:space="preserve"> Agents témoins </w:t>
      </w:r>
      <w:r w:rsidRPr="004A3A10">
        <w:rPr>
          <w:rFonts w:eastAsia="Times New Roman"/>
          <w:sz w:val="20"/>
          <w:szCs w:val="20"/>
          <w:lang w:val="fr-CA" w:eastAsia="en-CA"/>
        </w:rPr>
        <w:noBreakHyphen/>
        <w:t xml:space="preserve"> La Cour d’appel de l’Ontario a</w:t>
      </w:r>
      <w:r w:rsidRPr="004A3A10">
        <w:rPr>
          <w:rFonts w:eastAsia="Times New Roman"/>
          <w:sz w:val="20"/>
          <w:szCs w:val="20"/>
          <w:lang w:val="fr-CA" w:eastAsia="en-CA"/>
        </w:rPr>
        <w:noBreakHyphen/>
        <w:t>t</w:t>
      </w:r>
      <w:r w:rsidRPr="004A3A10">
        <w:rPr>
          <w:rFonts w:eastAsia="Times New Roman"/>
          <w:sz w:val="20"/>
          <w:szCs w:val="20"/>
          <w:lang w:val="fr-CA" w:eastAsia="en-CA"/>
        </w:rPr>
        <w:noBreakHyphen/>
        <w:t xml:space="preserve">elle commis une erreur en limitant la portée et l’étendue du droit d’un policier à l’assistance d’un avocat en considérant, ce qui est sans précédent, que le devoir de l’agent de police de rédiger ses notes « conformément à son obligation » lui interdit d’obtenir des conseils valables d’un avocat à cet égard? </w:t>
      </w:r>
      <w:r w:rsidRPr="004A3A10">
        <w:rPr>
          <w:rFonts w:eastAsia="Times New Roman"/>
          <w:sz w:val="20"/>
          <w:szCs w:val="20"/>
          <w:lang w:val="fr-CA" w:eastAsia="en-CA"/>
        </w:rPr>
        <w:noBreakHyphen/>
        <w:t xml:space="preserve"> La Cour d’appel a</w:t>
      </w:r>
      <w:r w:rsidRPr="004A3A10">
        <w:rPr>
          <w:rFonts w:eastAsia="Times New Roman"/>
          <w:sz w:val="20"/>
          <w:szCs w:val="20"/>
          <w:lang w:val="fr-CA" w:eastAsia="en-CA"/>
        </w:rPr>
        <w:noBreakHyphen/>
        <w:t>t</w:t>
      </w:r>
      <w:r w:rsidRPr="004A3A10">
        <w:rPr>
          <w:rFonts w:eastAsia="Times New Roman"/>
          <w:sz w:val="20"/>
          <w:szCs w:val="20"/>
          <w:lang w:val="fr-CA" w:eastAsia="en-CA"/>
        </w:rPr>
        <w:noBreakHyphen/>
        <w:t xml:space="preserve">elle commis une erreur en abrogeant le droit d’obtenir les conseils valables d’un avocat même si la loi ne limite aucunement, de manière expresse ou nécessairement implicite, le droit à l’assistance d’un avocat? </w:t>
      </w:r>
      <w:r w:rsidRPr="004A3A10">
        <w:rPr>
          <w:rFonts w:eastAsia="Times New Roman"/>
          <w:sz w:val="20"/>
          <w:szCs w:val="20"/>
          <w:lang w:val="fr-CA" w:eastAsia="en-CA"/>
        </w:rPr>
        <w:noBreakHyphen/>
        <w:t xml:space="preserve"> La Cour d’appel a</w:t>
      </w:r>
      <w:r w:rsidRPr="004A3A10">
        <w:rPr>
          <w:rFonts w:eastAsia="Times New Roman"/>
          <w:sz w:val="20"/>
          <w:szCs w:val="20"/>
          <w:lang w:val="fr-CA" w:eastAsia="en-CA"/>
        </w:rPr>
        <w:noBreakHyphen/>
        <w:t>t</w:t>
      </w:r>
      <w:r w:rsidRPr="004A3A10">
        <w:rPr>
          <w:rFonts w:eastAsia="Times New Roman"/>
          <w:sz w:val="20"/>
          <w:szCs w:val="20"/>
          <w:lang w:val="fr-CA" w:eastAsia="en-CA"/>
        </w:rPr>
        <w:noBreakHyphen/>
        <w:t xml:space="preserve">elle eu tort de limiter la portée et l’étendue du droit de l’agent de police à l’assistance d’un avocat en interprétant l’exigence que des notes soient rédigées « conformément à son obligation » comme interdisant l’obtention de conseils valables d’un avocat à cet égard? </w:t>
      </w:r>
      <w:r w:rsidRPr="004A3A10">
        <w:rPr>
          <w:rFonts w:eastAsia="Times New Roman"/>
          <w:sz w:val="20"/>
          <w:szCs w:val="20"/>
          <w:lang w:val="fr-CA" w:eastAsia="en-CA"/>
        </w:rPr>
        <w:noBreakHyphen/>
        <w:t xml:space="preserve"> La Cour d’appel a</w:t>
      </w:r>
      <w:r w:rsidRPr="004A3A10">
        <w:rPr>
          <w:rFonts w:eastAsia="Times New Roman"/>
          <w:sz w:val="20"/>
          <w:szCs w:val="20"/>
          <w:lang w:val="fr-CA" w:eastAsia="en-CA"/>
        </w:rPr>
        <w:noBreakHyphen/>
        <w:t>t</w:t>
      </w:r>
      <w:r w:rsidRPr="004A3A10">
        <w:rPr>
          <w:rFonts w:eastAsia="Times New Roman"/>
          <w:sz w:val="20"/>
          <w:szCs w:val="20"/>
          <w:lang w:val="fr-CA" w:eastAsia="en-CA"/>
        </w:rPr>
        <w:noBreakHyphen/>
        <w:t>elle eu tort d’élaborer un protocole inapplicable qui transforme en champs de mine sur les plans déontologique et pratique la quasi</w:t>
      </w:r>
      <w:r w:rsidRPr="004A3A10">
        <w:rPr>
          <w:rFonts w:eastAsia="Times New Roman"/>
          <w:sz w:val="20"/>
          <w:szCs w:val="20"/>
          <w:lang w:val="fr-CA" w:eastAsia="en-CA"/>
        </w:rPr>
        <w:noBreakHyphen/>
        <w:t xml:space="preserve">totalité des conversations entre un agent de police et un avocat? </w:t>
      </w:r>
      <w:r w:rsidRPr="004A3A10">
        <w:rPr>
          <w:rFonts w:eastAsia="Times New Roman"/>
          <w:bCs/>
          <w:sz w:val="20"/>
          <w:szCs w:val="20"/>
          <w:lang w:val="fr-CA" w:eastAsia="en-CA"/>
        </w:rPr>
        <w:noBreakHyphen/>
      </w:r>
      <w:r w:rsidRPr="004A3A10">
        <w:rPr>
          <w:rFonts w:eastAsia="Times New Roman"/>
          <w:bCs/>
          <w:i/>
          <w:sz w:val="20"/>
          <w:szCs w:val="20"/>
          <w:lang w:val="fr-CA" w:eastAsia="en-CA"/>
        </w:rPr>
        <w:t xml:space="preserve"> Conduite et obligations des agents de police en ce qui concerne les enquêtes de l’unité des enquêtes spéciales</w:t>
      </w:r>
      <w:r w:rsidRPr="004A3A10">
        <w:rPr>
          <w:rFonts w:eastAsia="Times New Roman"/>
          <w:bCs/>
          <w:sz w:val="20"/>
          <w:szCs w:val="20"/>
          <w:lang w:val="fr-CA" w:eastAsia="en-CA"/>
        </w:rPr>
        <w:t>, Règl. de l’Ont. 267/10.</w:t>
      </w:r>
    </w:p>
    <w:p w:rsidR="00E26E38" w:rsidRPr="004A3A10" w:rsidRDefault="00E26E38" w:rsidP="00E26E38">
      <w:pPr>
        <w:widowControl w:val="0"/>
        <w:jc w:val="both"/>
        <w:rPr>
          <w:rFonts w:eastAsia="Times New Roman"/>
          <w:sz w:val="20"/>
          <w:szCs w:val="20"/>
          <w:lang w:val="fr-CA" w:eastAsia="en-CA"/>
        </w:rPr>
      </w:pPr>
    </w:p>
    <w:p w:rsidR="00E26E38" w:rsidRPr="004A3A10" w:rsidRDefault="00E26E38" w:rsidP="00E26E38">
      <w:pPr>
        <w:widowControl w:val="0"/>
        <w:jc w:val="both"/>
        <w:rPr>
          <w:rFonts w:eastAsia="Times New Roman"/>
          <w:sz w:val="20"/>
          <w:szCs w:val="20"/>
          <w:lang w:val="fr-CA" w:eastAsia="en-CA"/>
        </w:rPr>
      </w:pPr>
      <w:r w:rsidRPr="004A3A10">
        <w:rPr>
          <w:rFonts w:eastAsia="Times New Roman"/>
          <w:sz w:val="20"/>
          <w:szCs w:val="20"/>
          <w:lang w:val="fr-CA" w:eastAsia="en-CA"/>
        </w:rPr>
        <w:t>En juin 2009, l’unité des enquêtes spéciales est appelée à enquêter sur la conduite d’agents de police mêlés à deux incidents distincts au cours desquels des policiers ont tué des civils.  Dans les deux cas, l’agent impliqué  et les agents témoins reçoivent pour instruction de ne pas prendre de notes avant d’avoir parlé à un avocat, et on leur permet de compléter leurs notes après le quart de travail.  En novembre 2009, les familles des civils décédés demandent à la cour d’interpréter le régime réglementaire applicable aux droits et aux obligations des agents mêlés aux enquêtes de l’UES.  La demande est rejetée en raison de l’absence de qualité pour agir des demandeurs, du caractère théorique de la demande et de la non</w:t>
      </w:r>
      <w:r w:rsidRPr="004A3A10">
        <w:rPr>
          <w:rFonts w:eastAsia="Times New Roman"/>
          <w:sz w:val="20"/>
          <w:szCs w:val="20"/>
          <w:lang w:val="fr-CA" w:eastAsia="en-CA"/>
        </w:rPr>
        <w:noBreakHyphen/>
        <w:t>justiciabilité des actes en cause.  La Cour d’appel conclut que le juge saisi de la demande s’est trompé à l’égard des trois motifs.  Elle accueille l’appel interjeté contre l’ordonnance radiant la demande et déclare que le régime réglementaire ne permet pas (i) aux agents mêlés à une enquête de l’UES de faire contrôler leurs notes par un avocat ou d’obtenir son assistance dans la rédaction de leurs notes ou (ii) aux superviseurs d’autoriser couramment l’agent impliqué et les agents témoins à s’abstenir de rédiger leurs notes pour leur donner l’occasion de consulter un avocat, sans égard à la fin de leur quart, mais il permet (iii) aux agents d’obtenir les conseils d’un avocat quant à la nature de leurs droits et obligations concernant les enquêtes de l’UES, pourvu que l’obtention de ces conseils ne les empêche pas d’achever leurs notes avant la fin de leur période de service.</w:t>
      </w:r>
    </w:p>
    <w:p w:rsidR="00E26E38" w:rsidRPr="004A3A10" w:rsidRDefault="00E26E38" w:rsidP="00E26E38">
      <w:pPr>
        <w:widowControl w:val="0"/>
        <w:jc w:val="both"/>
        <w:rPr>
          <w:rFonts w:eastAsia="Times New Roman"/>
          <w:sz w:val="20"/>
          <w:szCs w:val="20"/>
          <w:lang w:val="fr-CA" w:eastAsia="en-CA"/>
        </w:rPr>
      </w:pPr>
    </w:p>
    <w:p w:rsidR="00E26E38" w:rsidRPr="004A3A10" w:rsidRDefault="00E26E38" w:rsidP="00E26E38">
      <w:pPr>
        <w:widowControl w:val="0"/>
        <w:jc w:val="both"/>
        <w:rPr>
          <w:rFonts w:eastAsia="Times New Roman"/>
          <w:sz w:val="20"/>
          <w:szCs w:val="20"/>
          <w:lang w:val="fr-CA" w:eastAsia="en-CA"/>
        </w:rPr>
      </w:pPr>
    </w:p>
    <w:p w:rsidR="00E26E38" w:rsidRPr="004A3A10" w:rsidRDefault="00E26E38" w:rsidP="006D3141">
      <w:pPr>
        <w:widowControl w:val="0"/>
        <w:ind w:left="2880" w:hanging="2880"/>
        <w:jc w:val="both"/>
        <w:rPr>
          <w:rFonts w:eastAsia="Times New Roman"/>
          <w:sz w:val="20"/>
          <w:szCs w:val="20"/>
          <w:lang w:val="fr-CA" w:eastAsia="en-CA"/>
        </w:rPr>
      </w:pPr>
      <w:r w:rsidRPr="004A3A10">
        <w:rPr>
          <w:rFonts w:eastAsia="Times New Roman"/>
          <w:sz w:val="20"/>
          <w:szCs w:val="20"/>
          <w:lang w:val="fr-CA" w:eastAsia="en-CA"/>
        </w:rPr>
        <w:t>Origine :</w:t>
      </w:r>
      <w:r w:rsidRPr="004A3A10">
        <w:rPr>
          <w:rFonts w:eastAsia="Times New Roman"/>
          <w:sz w:val="20"/>
          <w:szCs w:val="20"/>
          <w:lang w:val="fr-CA" w:eastAsia="en-CA"/>
        </w:rPr>
        <w:tab/>
        <w:t>Ontario</w:t>
      </w:r>
    </w:p>
    <w:p w:rsidR="00E26E38" w:rsidRPr="004A3A10" w:rsidRDefault="00E26E38" w:rsidP="006D3141">
      <w:pPr>
        <w:widowControl w:val="0"/>
        <w:ind w:left="2880" w:hanging="2880"/>
        <w:jc w:val="both"/>
        <w:rPr>
          <w:rFonts w:eastAsia="Times New Roman"/>
          <w:sz w:val="20"/>
          <w:szCs w:val="20"/>
          <w:lang w:val="fr-CA" w:eastAsia="en-CA"/>
        </w:rPr>
      </w:pPr>
    </w:p>
    <w:p w:rsidR="00E26E38" w:rsidRPr="004A3A10" w:rsidRDefault="00E26E38" w:rsidP="006D3141">
      <w:pPr>
        <w:widowControl w:val="0"/>
        <w:ind w:left="2880" w:hanging="2880"/>
        <w:jc w:val="both"/>
        <w:rPr>
          <w:rFonts w:eastAsia="Times New Roman"/>
          <w:sz w:val="20"/>
          <w:szCs w:val="20"/>
          <w:lang w:val="fr-CA" w:eastAsia="en-CA"/>
        </w:rPr>
      </w:pPr>
      <w:r w:rsidRPr="004A3A10">
        <w:rPr>
          <w:rFonts w:eastAsia="Times New Roman"/>
          <w:sz w:val="20"/>
          <w:szCs w:val="20"/>
          <w:lang w:val="fr-CA" w:eastAsia="en-CA"/>
        </w:rPr>
        <w:t>N</w:t>
      </w:r>
      <w:r w:rsidRPr="004A3A10">
        <w:rPr>
          <w:rFonts w:eastAsia="Times New Roman"/>
          <w:sz w:val="20"/>
          <w:szCs w:val="20"/>
          <w:vertAlign w:val="superscript"/>
          <w:lang w:val="fr-CA" w:eastAsia="en-CA"/>
        </w:rPr>
        <w:t>o</w:t>
      </w:r>
      <w:r w:rsidRPr="004A3A10">
        <w:rPr>
          <w:rFonts w:eastAsia="Times New Roman"/>
          <w:sz w:val="20"/>
          <w:szCs w:val="20"/>
          <w:lang w:val="fr-CA" w:eastAsia="en-CA"/>
        </w:rPr>
        <w:t xml:space="preserve"> du greffe :</w:t>
      </w:r>
      <w:r w:rsidRPr="004A3A10">
        <w:rPr>
          <w:rFonts w:eastAsia="Times New Roman"/>
          <w:sz w:val="20"/>
          <w:szCs w:val="20"/>
          <w:lang w:val="fr-CA" w:eastAsia="en-CA"/>
        </w:rPr>
        <w:tab/>
        <w:t>34621</w:t>
      </w:r>
    </w:p>
    <w:p w:rsidR="00E26E38" w:rsidRPr="004A3A10" w:rsidRDefault="00E26E38" w:rsidP="006D3141">
      <w:pPr>
        <w:widowControl w:val="0"/>
        <w:ind w:left="2880" w:hanging="2880"/>
        <w:jc w:val="both"/>
        <w:rPr>
          <w:rFonts w:eastAsia="Times New Roman"/>
          <w:sz w:val="20"/>
          <w:szCs w:val="20"/>
          <w:lang w:val="fr-CA" w:eastAsia="en-CA"/>
        </w:rPr>
      </w:pPr>
    </w:p>
    <w:p w:rsidR="00E26E38" w:rsidRPr="004A3A10" w:rsidRDefault="00E26E38" w:rsidP="006D3141">
      <w:pPr>
        <w:widowControl w:val="0"/>
        <w:ind w:left="2880" w:hanging="2880"/>
        <w:jc w:val="both"/>
        <w:rPr>
          <w:rFonts w:eastAsia="Times New Roman"/>
          <w:sz w:val="20"/>
          <w:szCs w:val="20"/>
          <w:lang w:val="fr-CA" w:eastAsia="en-CA"/>
        </w:rPr>
      </w:pPr>
      <w:r w:rsidRPr="004A3A10">
        <w:rPr>
          <w:rFonts w:eastAsia="Times New Roman"/>
          <w:sz w:val="20"/>
          <w:szCs w:val="20"/>
          <w:lang w:val="fr-CA" w:eastAsia="en-CA"/>
        </w:rPr>
        <w:t>Arrêt de la Cour d’appel :</w:t>
      </w:r>
      <w:r w:rsidRPr="004A3A10">
        <w:rPr>
          <w:rFonts w:eastAsia="Times New Roman"/>
          <w:sz w:val="20"/>
          <w:szCs w:val="20"/>
          <w:lang w:val="fr-CA" w:eastAsia="en-CA"/>
        </w:rPr>
        <w:tab/>
        <w:t>le 15 novembre 2011</w:t>
      </w:r>
    </w:p>
    <w:p w:rsidR="00E26E38" w:rsidRPr="004A3A10" w:rsidRDefault="00E26E38" w:rsidP="006D3141">
      <w:pPr>
        <w:widowControl w:val="0"/>
        <w:ind w:left="2880" w:hanging="2880"/>
        <w:jc w:val="both"/>
        <w:rPr>
          <w:rFonts w:eastAsia="Times New Roman"/>
          <w:sz w:val="20"/>
          <w:szCs w:val="20"/>
          <w:lang w:val="fr-CA" w:eastAsia="en-CA"/>
        </w:rPr>
      </w:pPr>
    </w:p>
    <w:p w:rsidR="00E26E38" w:rsidRPr="004A3A10" w:rsidRDefault="00E26E38" w:rsidP="006D3141">
      <w:pPr>
        <w:widowControl w:val="0"/>
        <w:ind w:left="2880" w:hanging="2880"/>
        <w:jc w:val="both"/>
        <w:rPr>
          <w:rFonts w:eastAsia="Times New Roman"/>
          <w:sz w:val="20"/>
          <w:szCs w:val="20"/>
          <w:lang w:val="fr-CA" w:eastAsia="en-CA"/>
        </w:rPr>
      </w:pPr>
      <w:r w:rsidRPr="004A3A10">
        <w:rPr>
          <w:rFonts w:eastAsia="Times New Roman"/>
          <w:sz w:val="20"/>
          <w:szCs w:val="20"/>
          <w:lang w:val="fr-CA" w:eastAsia="en-CA"/>
        </w:rPr>
        <w:t>Avocats :</w:t>
      </w:r>
      <w:r w:rsidRPr="004A3A10">
        <w:rPr>
          <w:rFonts w:eastAsia="Times New Roman"/>
          <w:sz w:val="20"/>
          <w:szCs w:val="20"/>
          <w:lang w:val="fr-CA" w:eastAsia="en-CA"/>
        </w:rPr>
        <w:tab/>
        <w:t>Brian H. Greenspan, David M. Humphrey et Jill D. Makepeace pour les appelants/intimés incidents</w:t>
      </w:r>
    </w:p>
    <w:p w:rsidR="00E26E38" w:rsidRPr="004A3A10" w:rsidRDefault="00E26E38" w:rsidP="006D3141">
      <w:pPr>
        <w:widowControl w:val="0"/>
        <w:ind w:left="2880" w:hanging="2880"/>
        <w:jc w:val="both"/>
        <w:rPr>
          <w:rFonts w:eastAsia="Times New Roman"/>
          <w:sz w:val="20"/>
          <w:szCs w:val="20"/>
          <w:lang w:val="fr-CA" w:eastAsia="en-CA"/>
        </w:rPr>
      </w:pPr>
      <w:r w:rsidRPr="004A3A10">
        <w:rPr>
          <w:rFonts w:eastAsia="Times New Roman"/>
          <w:sz w:val="20"/>
          <w:szCs w:val="20"/>
          <w:lang w:val="fr-CA" w:eastAsia="en-CA"/>
        </w:rPr>
        <w:tab/>
        <w:t>Julian Falconer pour les intimées/appelantes incidentes Ruth Schaeffer, Evelyn Minty et Diane Pinder</w:t>
      </w:r>
    </w:p>
    <w:p w:rsidR="00E26E38" w:rsidRPr="004A3A10" w:rsidRDefault="00E26E38" w:rsidP="006D3141">
      <w:pPr>
        <w:widowControl w:val="0"/>
        <w:ind w:left="2880" w:hanging="2880"/>
        <w:jc w:val="both"/>
        <w:rPr>
          <w:rFonts w:eastAsia="Times New Roman"/>
          <w:sz w:val="20"/>
          <w:szCs w:val="20"/>
          <w:lang w:val="fr-CA" w:eastAsia="en-CA"/>
        </w:rPr>
      </w:pPr>
      <w:r w:rsidRPr="004A3A10">
        <w:rPr>
          <w:rFonts w:eastAsia="Times New Roman"/>
          <w:sz w:val="20"/>
          <w:szCs w:val="20"/>
          <w:lang w:val="fr-CA" w:eastAsia="en-CA"/>
        </w:rPr>
        <w:tab/>
        <w:t xml:space="preserve">Marlys Edwardh pour l’intimé/appelant incident Ian Scott, </w:t>
      </w:r>
      <w:r w:rsidRPr="004A3A10">
        <w:rPr>
          <w:rFonts w:eastAsia="Times New Roman"/>
          <w:sz w:val="20"/>
          <w:szCs w:val="20"/>
          <w:lang w:val="fr-FR" w:eastAsia="en-CA"/>
        </w:rPr>
        <w:t>directeur de l’unité des enquêtes spéciales</w:t>
      </w:r>
    </w:p>
    <w:p w:rsidR="00E26E38" w:rsidRDefault="00E26E38" w:rsidP="006D3141">
      <w:pPr>
        <w:widowControl w:val="0"/>
        <w:ind w:left="2880" w:hanging="2880"/>
        <w:jc w:val="both"/>
        <w:rPr>
          <w:rFonts w:eastAsia="Times New Roman"/>
          <w:sz w:val="20"/>
          <w:szCs w:val="20"/>
          <w:lang w:val="fr-CA" w:eastAsia="en-CA"/>
        </w:rPr>
      </w:pPr>
      <w:r w:rsidRPr="004A3A10">
        <w:rPr>
          <w:rFonts w:eastAsia="Times New Roman"/>
          <w:sz w:val="20"/>
          <w:szCs w:val="20"/>
          <w:lang w:val="fr-CA" w:eastAsia="en-CA"/>
        </w:rPr>
        <w:tab/>
        <w:t>Christopher Diana pour l’intimé Julian Fantino, commissaire de la Police provinciale de l’Ontario</w:t>
      </w:r>
    </w:p>
    <w:p w:rsidR="00E26E38" w:rsidRPr="00972800" w:rsidRDefault="00E26E38" w:rsidP="00E26E38">
      <w:pPr>
        <w:jc w:val="both"/>
        <w:rPr>
          <w:sz w:val="20"/>
          <w:szCs w:val="20"/>
          <w:lang w:val="fr-CA"/>
        </w:rPr>
      </w:pPr>
    </w:p>
    <w:p w:rsidR="00E26E38" w:rsidRDefault="00B74DD2" w:rsidP="00E26E38">
      <w:pPr>
        <w:tabs>
          <w:tab w:val="left" w:pos="-1440"/>
          <w:tab w:val="left" w:pos="-720"/>
        </w:tabs>
        <w:jc w:val="both"/>
        <w:rPr>
          <w:sz w:val="20"/>
          <w:szCs w:val="20"/>
          <w:lang w:val="fr-CA"/>
        </w:rPr>
      </w:pPr>
      <w:r w:rsidRPr="00B74DD2">
        <w:rPr>
          <w:sz w:val="20"/>
          <w:szCs w:val="20"/>
          <w:lang w:val="fr-CA"/>
        </w:rPr>
        <w:pict>
          <v:rect id="_x0000_i1095" style="width:2in;height:1pt" o:hrpct="0" o:hralign="center" o:hrstd="t" o:hrnoshade="t" o:hr="t" fillcolor="black [3213]" stroked="f"/>
        </w:pict>
      </w:r>
    </w:p>
    <w:p w:rsidR="00E26E38" w:rsidRDefault="00E26E38" w:rsidP="00E26E38">
      <w:pPr>
        <w:tabs>
          <w:tab w:val="left" w:pos="-1440"/>
          <w:tab w:val="left" w:pos="-720"/>
        </w:tabs>
        <w:jc w:val="both"/>
        <w:rPr>
          <w:sz w:val="20"/>
          <w:szCs w:val="20"/>
          <w:lang w:val="fr-CA"/>
        </w:rPr>
      </w:pPr>
    </w:p>
    <w:p w:rsidR="00E26E38" w:rsidRDefault="00E26E38" w:rsidP="00E26E38">
      <w:pPr>
        <w:rPr>
          <w:sz w:val="20"/>
          <w:szCs w:val="20"/>
          <w:lang w:val="fr-CA"/>
        </w:rPr>
      </w:pPr>
      <w:r>
        <w:rPr>
          <w:sz w:val="20"/>
          <w:szCs w:val="20"/>
          <w:lang w:val="fr-CA"/>
        </w:rPr>
        <w:br w:type="page"/>
      </w:r>
    </w:p>
    <w:p w:rsidR="00E26E38" w:rsidRPr="00972800" w:rsidRDefault="00E26E38" w:rsidP="00E26E38">
      <w:pPr>
        <w:ind w:left="720" w:hanging="720"/>
        <w:jc w:val="both"/>
        <w:rPr>
          <w:b/>
          <w:i/>
          <w:sz w:val="20"/>
          <w:szCs w:val="20"/>
        </w:rPr>
      </w:pPr>
      <w:r w:rsidRPr="00972800">
        <w:rPr>
          <w:b/>
          <w:sz w:val="20"/>
          <w:szCs w:val="20"/>
        </w:rPr>
        <w:t>34650</w:t>
      </w:r>
      <w:r w:rsidRPr="00972800">
        <w:rPr>
          <w:b/>
          <w:sz w:val="20"/>
          <w:szCs w:val="20"/>
        </w:rPr>
        <w:tab/>
      </w:r>
      <w:r w:rsidRPr="00972800">
        <w:rPr>
          <w:b/>
          <w:i/>
          <w:sz w:val="20"/>
          <w:szCs w:val="20"/>
        </w:rPr>
        <w:t xml:space="preserve">Her Majesty the Queen v. Ernest Fenwick MacIntosh </w:t>
      </w:r>
    </w:p>
    <w:p w:rsidR="00E26E38" w:rsidRPr="00972800" w:rsidRDefault="00E26E38" w:rsidP="00E26E38">
      <w:pPr>
        <w:ind w:left="720" w:hanging="720"/>
        <w:jc w:val="both"/>
        <w:rPr>
          <w:i/>
          <w:sz w:val="20"/>
          <w:szCs w:val="20"/>
        </w:rPr>
      </w:pPr>
    </w:p>
    <w:p w:rsidR="00E26E38" w:rsidRPr="00972800" w:rsidRDefault="00E26E38" w:rsidP="00E26E38">
      <w:pPr>
        <w:pStyle w:val="SCCBanSummary"/>
        <w:rPr>
          <w:sz w:val="20"/>
          <w:szCs w:val="20"/>
        </w:rPr>
      </w:pPr>
      <w:r w:rsidRPr="00972800">
        <w:rPr>
          <w:sz w:val="20"/>
          <w:szCs w:val="20"/>
        </w:rPr>
        <w:t xml:space="preserve">(Publication </w:t>
      </w:r>
      <w:r w:rsidR="006D2FF2">
        <w:rPr>
          <w:sz w:val="20"/>
          <w:szCs w:val="20"/>
        </w:rPr>
        <w:t>B</w:t>
      </w:r>
      <w:r w:rsidRPr="00972800">
        <w:rPr>
          <w:sz w:val="20"/>
          <w:szCs w:val="20"/>
        </w:rPr>
        <w:t xml:space="preserve">an in </w:t>
      </w:r>
      <w:r w:rsidR="006D2FF2">
        <w:rPr>
          <w:sz w:val="20"/>
          <w:szCs w:val="20"/>
        </w:rPr>
        <w:t>C</w:t>
      </w:r>
      <w:r w:rsidRPr="00972800">
        <w:rPr>
          <w:sz w:val="20"/>
          <w:szCs w:val="20"/>
        </w:rPr>
        <w:t>ase)</w:t>
      </w:r>
    </w:p>
    <w:p w:rsidR="00E26E38" w:rsidRPr="00972800" w:rsidRDefault="00E26E38" w:rsidP="00E26E38">
      <w:pPr>
        <w:jc w:val="both"/>
        <w:rPr>
          <w:i/>
          <w:sz w:val="20"/>
          <w:szCs w:val="20"/>
        </w:rPr>
      </w:pPr>
    </w:p>
    <w:p w:rsidR="00E26E38" w:rsidRDefault="00E26E38" w:rsidP="00E26E38">
      <w:pPr>
        <w:jc w:val="both"/>
        <w:rPr>
          <w:sz w:val="20"/>
          <w:szCs w:val="20"/>
        </w:rPr>
      </w:pPr>
      <w:r w:rsidRPr="00972800">
        <w:rPr>
          <w:i/>
          <w:sz w:val="20"/>
          <w:szCs w:val="20"/>
        </w:rPr>
        <w:t>Charter of Rights and Freedoms</w:t>
      </w:r>
      <w:r w:rsidRPr="00972800">
        <w:rPr>
          <w:sz w:val="20"/>
          <w:szCs w:val="20"/>
        </w:rPr>
        <w:t xml:space="preserve"> </w:t>
      </w:r>
      <w:r w:rsidRPr="00972800">
        <w:rPr>
          <w:sz w:val="20"/>
          <w:szCs w:val="20"/>
        </w:rPr>
        <w:noBreakHyphen/>
        <w:t xml:space="preserve"> Right to be tried within a reasonable time </w:t>
      </w:r>
      <w:r w:rsidRPr="00972800">
        <w:rPr>
          <w:sz w:val="20"/>
          <w:szCs w:val="20"/>
        </w:rPr>
        <w:noBreakHyphen/>
        <w:t xml:space="preserve"> Extradition </w:t>
      </w:r>
      <w:r w:rsidRPr="00972800">
        <w:rPr>
          <w:sz w:val="20"/>
          <w:szCs w:val="20"/>
        </w:rPr>
        <w:noBreakHyphen/>
        <w:t xml:space="preserve"> Section 11(</w:t>
      </w:r>
      <w:r w:rsidRPr="00972800">
        <w:rPr>
          <w:i/>
          <w:sz w:val="20"/>
          <w:szCs w:val="20"/>
        </w:rPr>
        <w:t>b</w:t>
      </w:r>
      <w:r w:rsidRPr="00972800">
        <w:rPr>
          <w:sz w:val="20"/>
          <w:szCs w:val="20"/>
        </w:rPr>
        <w:t xml:space="preserve">) of the </w:t>
      </w:r>
      <w:r w:rsidRPr="00972800">
        <w:rPr>
          <w:i/>
          <w:sz w:val="20"/>
          <w:szCs w:val="20"/>
        </w:rPr>
        <w:t xml:space="preserve">Charter </w:t>
      </w:r>
      <w:r w:rsidRPr="00972800">
        <w:rPr>
          <w:sz w:val="20"/>
          <w:szCs w:val="20"/>
        </w:rPr>
        <w:noBreakHyphen/>
        <w:t xml:space="preserve"> Whether Court of Appeal erred by imposing a stay and quashing convictions </w:t>
      </w:r>
      <w:r w:rsidRPr="00972800">
        <w:rPr>
          <w:sz w:val="20"/>
          <w:szCs w:val="20"/>
        </w:rPr>
        <w:noBreakHyphen/>
        <w:t xml:space="preserve"> Whether trial judge misapprehended evidence </w:t>
      </w:r>
      <w:r w:rsidRPr="00972800">
        <w:rPr>
          <w:sz w:val="20"/>
          <w:szCs w:val="20"/>
        </w:rPr>
        <w:noBreakHyphen/>
        <w:t xml:space="preserve"> Whether trial judge failed to consider collusion </w:t>
      </w:r>
      <w:r w:rsidRPr="00972800">
        <w:rPr>
          <w:sz w:val="20"/>
          <w:szCs w:val="20"/>
        </w:rPr>
        <w:noBreakHyphen/>
        <w:t xml:space="preserve"> Whether trial judge erred with respect to credibility.</w:t>
      </w:r>
    </w:p>
    <w:p w:rsidR="00E26E38" w:rsidRPr="00972800" w:rsidRDefault="00E26E38" w:rsidP="00E26E38">
      <w:pPr>
        <w:jc w:val="both"/>
        <w:rPr>
          <w:sz w:val="20"/>
          <w:szCs w:val="20"/>
        </w:rPr>
      </w:pPr>
    </w:p>
    <w:p w:rsidR="00E26E38" w:rsidRPr="00972800" w:rsidRDefault="00E26E38" w:rsidP="00E26E38">
      <w:pPr>
        <w:jc w:val="both"/>
        <w:rPr>
          <w:sz w:val="20"/>
          <w:szCs w:val="20"/>
        </w:rPr>
      </w:pPr>
      <w:r w:rsidRPr="00972800">
        <w:rPr>
          <w:sz w:val="20"/>
          <w:szCs w:val="20"/>
        </w:rPr>
        <w:t>In January 1995, police received the first of many complaints of indecent assault and gross indecency alleged to have been committed by the respondent in the 1970s.  The last complainant came forward in 2001.  As the respondent had moved to India for work in 1994, the Crown undertook the process to have him extradited.  Proceedings were started in September 1997 and a formal request for extradition was forwarded in July 2006.  India agreed to the extradition on May 26, 2007.  The respondent applied for a stay of proceedings on the basis that his rights under s. 11(</w:t>
      </w:r>
      <w:r w:rsidRPr="00972800">
        <w:rPr>
          <w:i/>
          <w:sz w:val="20"/>
          <w:szCs w:val="20"/>
        </w:rPr>
        <w:t>b</w:t>
      </w:r>
      <w:r w:rsidRPr="00972800">
        <w:rPr>
          <w:sz w:val="20"/>
          <w:szCs w:val="20"/>
        </w:rPr>
        <w:t xml:space="preserve">) of the </w:t>
      </w:r>
      <w:r w:rsidRPr="00972800">
        <w:rPr>
          <w:i/>
          <w:sz w:val="20"/>
          <w:szCs w:val="20"/>
        </w:rPr>
        <w:t>Charter</w:t>
      </w:r>
      <w:r w:rsidRPr="00972800">
        <w:rPr>
          <w:sz w:val="20"/>
          <w:szCs w:val="20"/>
        </w:rPr>
        <w:t xml:space="preserve"> to be tried within a reasonable time had been infringed.  This motion was dismissed.  As some of the charges in the Indictment were severed, there were two separate trials before a judge alone.  The respondent was convicted of some charges and acquitted of others.  His appeal to the Court of Appeal of Nova Scotia was allowed.  The convictions were quashed and the proceedings on all charges were stayed.  </w:t>
      </w:r>
    </w:p>
    <w:p w:rsidR="00E26E38" w:rsidRPr="00972800" w:rsidRDefault="00E26E38" w:rsidP="00E26E38">
      <w:pPr>
        <w:jc w:val="both"/>
        <w:rPr>
          <w:sz w:val="20"/>
          <w:szCs w:val="20"/>
        </w:rPr>
      </w:pPr>
    </w:p>
    <w:p w:rsidR="00E26E38" w:rsidRPr="00972800" w:rsidRDefault="00E26E38" w:rsidP="00E26E38">
      <w:pPr>
        <w:jc w:val="both"/>
        <w:rPr>
          <w:sz w:val="20"/>
          <w:szCs w:val="20"/>
        </w:rPr>
      </w:pPr>
    </w:p>
    <w:p w:rsidR="00E26E38" w:rsidRPr="00972800" w:rsidRDefault="00E26E38" w:rsidP="00FE6CA2">
      <w:pPr>
        <w:widowControl w:val="0"/>
        <w:ind w:left="2880" w:hanging="2880"/>
        <w:jc w:val="both"/>
        <w:rPr>
          <w:sz w:val="20"/>
          <w:szCs w:val="20"/>
        </w:rPr>
      </w:pPr>
      <w:r w:rsidRPr="00972800">
        <w:rPr>
          <w:sz w:val="20"/>
          <w:szCs w:val="20"/>
        </w:rPr>
        <w:t>Origin of the case:</w:t>
      </w:r>
      <w:r w:rsidRPr="00972800">
        <w:rPr>
          <w:sz w:val="20"/>
          <w:szCs w:val="20"/>
        </w:rPr>
        <w:tab/>
        <w:t>Nova Scotia</w:t>
      </w:r>
    </w:p>
    <w:p w:rsidR="00E26E38" w:rsidRDefault="00E26E38" w:rsidP="00FE6CA2">
      <w:pPr>
        <w:widowControl w:val="0"/>
        <w:ind w:left="2880" w:hanging="2880"/>
        <w:jc w:val="both"/>
        <w:rPr>
          <w:sz w:val="20"/>
          <w:szCs w:val="20"/>
        </w:rPr>
      </w:pPr>
    </w:p>
    <w:p w:rsidR="00E26E38" w:rsidRDefault="00E26E38" w:rsidP="00FE6CA2">
      <w:pPr>
        <w:widowControl w:val="0"/>
        <w:ind w:left="2880" w:hanging="2880"/>
        <w:jc w:val="both"/>
        <w:rPr>
          <w:sz w:val="20"/>
          <w:szCs w:val="20"/>
        </w:rPr>
      </w:pPr>
      <w:r w:rsidRPr="00972800">
        <w:rPr>
          <w:sz w:val="20"/>
          <w:szCs w:val="20"/>
        </w:rPr>
        <w:t>File No.:</w:t>
      </w:r>
      <w:r w:rsidRPr="00972800">
        <w:rPr>
          <w:sz w:val="20"/>
          <w:szCs w:val="20"/>
        </w:rPr>
        <w:tab/>
        <w:t>34650</w:t>
      </w:r>
    </w:p>
    <w:p w:rsidR="00E26E38" w:rsidRDefault="00E26E38" w:rsidP="00FE6CA2">
      <w:pPr>
        <w:widowControl w:val="0"/>
        <w:ind w:left="2880" w:hanging="2880"/>
        <w:jc w:val="both"/>
        <w:rPr>
          <w:sz w:val="20"/>
          <w:szCs w:val="20"/>
        </w:rPr>
      </w:pPr>
    </w:p>
    <w:p w:rsidR="00E26E38" w:rsidRPr="00972800" w:rsidRDefault="00E26E38" w:rsidP="00FE6CA2">
      <w:pPr>
        <w:widowControl w:val="0"/>
        <w:ind w:left="2880" w:hanging="2880"/>
        <w:jc w:val="both"/>
        <w:rPr>
          <w:sz w:val="20"/>
          <w:szCs w:val="20"/>
        </w:rPr>
      </w:pPr>
      <w:r w:rsidRPr="00972800">
        <w:rPr>
          <w:sz w:val="20"/>
          <w:szCs w:val="20"/>
        </w:rPr>
        <w:t>Judgment of the Court of Appeal:</w:t>
      </w:r>
      <w:r w:rsidRPr="00972800">
        <w:rPr>
          <w:sz w:val="20"/>
          <w:szCs w:val="20"/>
        </w:rPr>
        <w:tab/>
        <w:t>December 8, 2011</w:t>
      </w:r>
    </w:p>
    <w:p w:rsidR="00E26E38" w:rsidRDefault="00E26E38" w:rsidP="00FE6CA2">
      <w:pPr>
        <w:ind w:left="2880" w:hanging="2880"/>
        <w:jc w:val="both"/>
        <w:rPr>
          <w:sz w:val="20"/>
          <w:szCs w:val="20"/>
        </w:rPr>
      </w:pPr>
    </w:p>
    <w:p w:rsidR="00E26E38" w:rsidRPr="00972800" w:rsidRDefault="00E26E38" w:rsidP="00FE6CA2">
      <w:pPr>
        <w:ind w:left="2880" w:hanging="2880"/>
        <w:jc w:val="both"/>
        <w:rPr>
          <w:sz w:val="20"/>
          <w:szCs w:val="20"/>
        </w:rPr>
      </w:pPr>
      <w:r w:rsidRPr="00972800">
        <w:rPr>
          <w:sz w:val="20"/>
          <w:szCs w:val="20"/>
        </w:rPr>
        <w:t>Counsel:</w:t>
      </w:r>
      <w:r w:rsidRPr="00972800">
        <w:rPr>
          <w:sz w:val="20"/>
          <w:szCs w:val="20"/>
        </w:rPr>
        <w:tab/>
        <w:t>Jennifer A. MacLellan for the appellant</w:t>
      </w:r>
    </w:p>
    <w:p w:rsidR="00E26E38" w:rsidRPr="00972800" w:rsidRDefault="00E26E38" w:rsidP="00FE6CA2">
      <w:pPr>
        <w:ind w:left="2880" w:hanging="2880"/>
        <w:jc w:val="both"/>
        <w:rPr>
          <w:sz w:val="20"/>
          <w:szCs w:val="20"/>
        </w:rPr>
      </w:pPr>
      <w:r w:rsidRPr="00972800">
        <w:rPr>
          <w:sz w:val="20"/>
          <w:szCs w:val="20"/>
        </w:rPr>
        <w:tab/>
        <w:t>Brian P. Casey and David J. Bright Q.C. for the respondent</w:t>
      </w:r>
      <w:r w:rsidRPr="00972800">
        <w:rPr>
          <w:sz w:val="20"/>
          <w:szCs w:val="20"/>
        </w:rPr>
        <w:tab/>
      </w:r>
    </w:p>
    <w:p w:rsidR="00E26E38" w:rsidRPr="00A33A9D" w:rsidRDefault="00E26E38" w:rsidP="00E26E38">
      <w:pPr>
        <w:jc w:val="both"/>
        <w:rPr>
          <w:sz w:val="20"/>
          <w:szCs w:val="20"/>
          <w:lang w:val="en-US"/>
        </w:rPr>
      </w:pPr>
    </w:p>
    <w:p w:rsidR="00E26E38" w:rsidRDefault="00B74DD2" w:rsidP="00E26E38">
      <w:pPr>
        <w:tabs>
          <w:tab w:val="left" w:pos="-1440"/>
          <w:tab w:val="left" w:pos="-720"/>
        </w:tabs>
        <w:jc w:val="both"/>
        <w:rPr>
          <w:sz w:val="20"/>
          <w:szCs w:val="20"/>
          <w:lang w:val="fr-CA"/>
        </w:rPr>
      </w:pPr>
      <w:r w:rsidRPr="00B74DD2">
        <w:rPr>
          <w:sz w:val="20"/>
          <w:szCs w:val="20"/>
          <w:lang w:val="fr-CA"/>
        </w:rPr>
        <w:pict>
          <v:rect id="_x0000_i1096" style="width:2in;height:1pt" o:hrpct="0" o:hralign="center" o:hrstd="t" o:hrnoshade="t" o:hr="t" fillcolor="black [3213]" stroked="f"/>
        </w:pict>
      </w:r>
    </w:p>
    <w:p w:rsidR="00E26E38" w:rsidRDefault="00E26E38" w:rsidP="00E26E38">
      <w:pPr>
        <w:tabs>
          <w:tab w:val="left" w:pos="-1440"/>
          <w:tab w:val="left" w:pos="-720"/>
        </w:tabs>
        <w:jc w:val="both"/>
        <w:rPr>
          <w:sz w:val="20"/>
          <w:szCs w:val="20"/>
          <w:lang w:val="fr-CA"/>
        </w:rPr>
      </w:pPr>
    </w:p>
    <w:p w:rsidR="00E26E38" w:rsidRDefault="00E26E38" w:rsidP="00E26E38">
      <w:pPr>
        <w:rPr>
          <w:sz w:val="20"/>
          <w:szCs w:val="20"/>
          <w:lang w:val="fr-CA"/>
        </w:rPr>
      </w:pPr>
      <w:r>
        <w:rPr>
          <w:sz w:val="20"/>
          <w:szCs w:val="20"/>
          <w:lang w:val="fr-CA"/>
        </w:rPr>
        <w:br w:type="page"/>
      </w:r>
    </w:p>
    <w:p w:rsidR="00E26E38" w:rsidRPr="00972800" w:rsidRDefault="00E26E38" w:rsidP="00E26E38">
      <w:pPr>
        <w:ind w:left="851" w:hanging="851"/>
        <w:rPr>
          <w:b/>
          <w:i/>
          <w:sz w:val="20"/>
          <w:szCs w:val="20"/>
          <w:lang w:val="fr-CA"/>
        </w:rPr>
      </w:pPr>
      <w:r w:rsidRPr="00972800">
        <w:rPr>
          <w:b/>
          <w:sz w:val="20"/>
          <w:szCs w:val="20"/>
          <w:lang w:val="fr-CA"/>
        </w:rPr>
        <w:t>34650</w:t>
      </w:r>
      <w:r w:rsidRPr="00972800">
        <w:rPr>
          <w:b/>
          <w:sz w:val="20"/>
          <w:szCs w:val="20"/>
          <w:lang w:val="fr-CA"/>
        </w:rPr>
        <w:tab/>
      </w:r>
      <w:r w:rsidRPr="00972800">
        <w:rPr>
          <w:b/>
          <w:i/>
          <w:sz w:val="20"/>
          <w:szCs w:val="20"/>
          <w:lang w:val="fr-CA"/>
        </w:rPr>
        <w:t>Sa Majesté la Reine c. Ernest Fenwick</w:t>
      </w:r>
      <w:r w:rsidR="006D2FF2" w:rsidRPr="006D2FF2">
        <w:rPr>
          <w:b/>
          <w:i/>
          <w:sz w:val="20"/>
          <w:szCs w:val="20"/>
          <w:lang w:val="fr-CA"/>
        </w:rPr>
        <w:t xml:space="preserve"> MacIntosh</w:t>
      </w:r>
      <w:r w:rsidRPr="00972800">
        <w:rPr>
          <w:b/>
          <w:i/>
          <w:sz w:val="20"/>
          <w:szCs w:val="20"/>
          <w:lang w:val="fr-CA"/>
        </w:rPr>
        <w:t xml:space="preserve"> </w:t>
      </w:r>
    </w:p>
    <w:p w:rsidR="00E26E38" w:rsidRPr="00972800" w:rsidRDefault="00E26E38" w:rsidP="00E26E38">
      <w:pPr>
        <w:ind w:left="851" w:hanging="851"/>
        <w:rPr>
          <w:b/>
          <w:sz w:val="20"/>
          <w:szCs w:val="20"/>
          <w:lang w:val="fr-CA"/>
        </w:rPr>
      </w:pPr>
    </w:p>
    <w:p w:rsidR="00E26E38" w:rsidRPr="00972800" w:rsidRDefault="00E26E38" w:rsidP="00E26E38">
      <w:pPr>
        <w:spacing w:after="240"/>
        <w:rPr>
          <w:sz w:val="20"/>
          <w:szCs w:val="20"/>
          <w:lang w:val="fr-CA"/>
        </w:rPr>
      </w:pPr>
      <w:r w:rsidRPr="00972800">
        <w:rPr>
          <w:smallCaps/>
          <w:sz w:val="20"/>
          <w:szCs w:val="20"/>
          <w:lang w:val="fr-CA"/>
        </w:rPr>
        <w:t>(Ordonnance de non</w:t>
      </w:r>
      <w:r w:rsidRPr="00972800">
        <w:rPr>
          <w:smallCaps/>
          <w:sz w:val="20"/>
          <w:szCs w:val="20"/>
          <w:lang w:val="fr-CA"/>
        </w:rPr>
        <w:noBreakHyphen/>
        <w:t>publication dans le dossier)</w:t>
      </w:r>
    </w:p>
    <w:p w:rsidR="00E26E38" w:rsidRPr="00972800" w:rsidRDefault="00E26E38" w:rsidP="00E26E38">
      <w:pPr>
        <w:jc w:val="both"/>
        <w:rPr>
          <w:sz w:val="20"/>
          <w:szCs w:val="20"/>
          <w:lang w:val="fr-CA"/>
        </w:rPr>
      </w:pPr>
      <w:r w:rsidRPr="00972800">
        <w:rPr>
          <w:sz w:val="20"/>
          <w:szCs w:val="20"/>
          <w:lang w:val="fr-CA"/>
        </w:rPr>
        <w:t xml:space="preserve">Charte des droits et libertés </w:t>
      </w:r>
      <w:r w:rsidRPr="00972800">
        <w:rPr>
          <w:sz w:val="20"/>
          <w:szCs w:val="20"/>
          <w:lang w:val="fr-CA"/>
        </w:rPr>
        <w:noBreakHyphen/>
        <w:t xml:space="preserve"> Procès dans un délai raisonnable </w:t>
      </w:r>
      <w:r w:rsidRPr="00972800">
        <w:rPr>
          <w:sz w:val="20"/>
          <w:szCs w:val="20"/>
          <w:lang w:val="fr-CA"/>
        </w:rPr>
        <w:noBreakHyphen/>
        <w:t xml:space="preserve"> Extradition </w:t>
      </w:r>
      <w:r w:rsidRPr="00972800">
        <w:rPr>
          <w:sz w:val="20"/>
          <w:szCs w:val="20"/>
          <w:lang w:val="fr-CA"/>
        </w:rPr>
        <w:noBreakHyphen/>
        <w:t xml:space="preserve"> Alinéa 11b) de la Charte </w:t>
      </w:r>
      <w:r w:rsidRPr="00972800">
        <w:rPr>
          <w:sz w:val="20"/>
          <w:szCs w:val="20"/>
          <w:lang w:val="fr-CA"/>
        </w:rPr>
        <w:noBreakHyphen/>
        <w:t xml:space="preserve"> La Cour d’appel a</w:t>
      </w:r>
      <w:r w:rsidRPr="00972800">
        <w:rPr>
          <w:sz w:val="20"/>
          <w:szCs w:val="20"/>
          <w:lang w:val="fr-CA"/>
        </w:rPr>
        <w:noBreakHyphen/>
        <w:t>t</w:t>
      </w:r>
      <w:r w:rsidRPr="00972800">
        <w:rPr>
          <w:sz w:val="20"/>
          <w:szCs w:val="20"/>
          <w:lang w:val="fr-CA"/>
        </w:rPr>
        <w:noBreakHyphen/>
        <w:t xml:space="preserve">elle eu tort d’imposer l’arrêt des procédures et d’annuler les déclarations de culpabilité? </w:t>
      </w:r>
      <w:r w:rsidRPr="00972800">
        <w:rPr>
          <w:sz w:val="20"/>
          <w:szCs w:val="20"/>
          <w:lang w:val="fr-CA"/>
        </w:rPr>
        <w:noBreakHyphen/>
        <w:t xml:space="preserve"> Le juge du procès a</w:t>
      </w:r>
      <w:r w:rsidRPr="00972800">
        <w:rPr>
          <w:sz w:val="20"/>
          <w:szCs w:val="20"/>
          <w:lang w:val="fr-CA"/>
        </w:rPr>
        <w:noBreakHyphen/>
        <w:t>t</w:t>
      </w:r>
      <w:r w:rsidRPr="00972800">
        <w:rPr>
          <w:sz w:val="20"/>
          <w:szCs w:val="20"/>
          <w:lang w:val="fr-CA"/>
        </w:rPr>
        <w:noBreakHyphen/>
        <w:t xml:space="preserve">il mal interprété la preuve? </w:t>
      </w:r>
      <w:r w:rsidRPr="00972800">
        <w:rPr>
          <w:sz w:val="20"/>
          <w:szCs w:val="20"/>
          <w:lang w:val="fr-CA"/>
        </w:rPr>
        <w:noBreakHyphen/>
        <w:t xml:space="preserve"> Le juge du procès a</w:t>
      </w:r>
      <w:r w:rsidRPr="00972800">
        <w:rPr>
          <w:sz w:val="20"/>
          <w:szCs w:val="20"/>
          <w:lang w:val="fr-CA"/>
        </w:rPr>
        <w:noBreakHyphen/>
        <w:t>t</w:t>
      </w:r>
      <w:r w:rsidRPr="00972800">
        <w:rPr>
          <w:sz w:val="20"/>
          <w:szCs w:val="20"/>
          <w:lang w:val="fr-CA"/>
        </w:rPr>
        <w:noBreakHyphen/>
        <w:t xml:space="preserve">il omis de considérer la collusion? </w:t>
      </w:r>
      <w:r w:rsidRPr="00972800">
        <w:rPr>
          <w:sz w:val="20"/>
          <w:szCs w:val="20"/>
          <w:lang w:val="fr-CA"/>
        </w:rPr>
        <w:noBreakHyphen/>
        <w:t xml:space="preserve"> Le juge du procès a</w:t>
      </w:r>
      <w:r w:rsidRPr="00972800">
        <w:rPr>
          <w:sz w:val="20"/>
          <w:szCs w:val="20"/>
          <w:lang w:val="fr-CA"/>
        </w:rPr>
        <w:noBreakHyphen/>
        <w:t>t</w:t>
      </w:r>
      <w:r w:rsidRPr="00972800">
        <w:rPr>
          <w:sz w:val="20"/>
          <w:szCs w:val="20"/>
          <w:lang w:val="fr-CA"/>
        </w:rPr>
        <w:noBreakHyphen/>
        <w:t>il commis une erreur quant à la crédibilité?</w:t>
      </w:r>
    </w:p>
    <w:p w:rsidR="00E26E38" w:rsidRPr="00972800" w:rsidRDefault="00E26E38" w:rsidP="00E26E38">
      <w:pPr>
        <w:rPr>
          <w:sz w:val="20"/>
          <w:szCs w:val="20"/>
          <w:lang w:val="fr-CA"/>
        </w:rPr>
      </w:pPr>
    </w:p>
    <w:p w:rsidR="00E26E38" w:rsidRPr="00972800" w:rsidRDefault="00E26E38" w:rsidP="00E26E38">
      <w:pPr>
        <w:jc w:val="both"/>
        <w:rPr>
          <w:sz w:val="20"/>
          <w:szCs w:val="20"/>
          <w:lang w:val="fr-CA"/>
        </w:rPr>
      </w:pPr>
      <w:r w:rsidRPr="00972800">
        <w:rPr>
          <w:sz w:val="20"/>
          <w:szCs w:val="20"/>
          <w:lang w:val="fr-CA"/>
        </w:rPr>
        <w:t>En janvier 1995, la police a reçu la première de plusieurs plaintes d’attentats à la pudeur et de grossière indécence qui auraient été commis par l’intimé dans les années 1970.  Le dernier plaignant s’est manifesté en 2001.  Puisque l’intimé avait déménagé en Inde pour le travail en 1994, le ministère public a entrepris le processus pour le faire extrader.  La procédure d’extradition a été entreprise en septembre 1997 et une demande officielle d’extradition a été transmise en juillet 2006.  L’Inde a accepté l’extradition le 26 mai 2007.  L’intimé a demandé l’arrêt des procédures, plaidant que son droit d’être jugé dans un délai raisonnable, garanti par l’al. 11b) de la Charte, avait été violé.  Cette requête a été rejetée.  Parce que certaines accusations dans l’acte d’accusation avaient été séparées, il y a eu deux procès distincts devant juge seul.  L’intimé a été déclaré coupable relativement à certaines accusation et acquitté relativement à d’autres.  Son appel à la Cour d’appel de la Nouvelle</w:t>
      </w:r>
      <w:r w:rsidRPr="00972800">
        <w:rPr>
          <w:sz w:val="20"/>
          <w:szCs w:val="20"/>
          <w:lang w:val="fr-CA"/>
        </w:rPr>
        <w:noBreakHyphen/>
        <w:t>Écosse a été accueilli.  Les déclarations de culpabilité ont été annulées et l’arrêt des procédures a été prononcé relativement à toutes les accusations.</w:t>
      </w:r>
    </w:p>
    <w:p w:rsidR="00E26E38" w:rsidRPr="00972800" w:rsidRDefault="00E26E38" w:rsidP="00E26E38">
      <w:pPr>
        <w:rPr>
          <w:sz w:val="20"/>
          <w:szCs w:val="20"/>
          <w:lang w:val="fr-CA"/>
        </w:rPr>
      </w:pPr>
    </w:p>
    <w:p w:rsidR="00E26E38" w:rsidRPr="00972800" w:rsidRDefault="00E26E38" w:rsidP="00E26E38">
      <w:pPr>
        <w:rPr>
          <w:sz w:val="20"/>
          <w:szCs w:val="20"/>
          <w:lang w:val="fr-CA"/>
        </w:rPr>
      </w:pPr>
    </w:p>
    <w:p w:rsidR="00E26E38" w:rsidRPr="00972800" w:rsidRDefault="00E26E38" w:rsidP="006D2FF2">
      <w:pPr>
        <w:widowControl w:val="0"/>
        <w:ind w:left="2880" w:hanging="2880"/>
        <w:jc w:val="both"/>
        <w:rPr>
          <w:sz w:val="20"/>
          <w:szCs w:val="20"/>
          <w:lang w:val="fr-CA"/>
        </w:rPr>
      </w:pPr>
      <w:r w:rsidRPr="00972800">
        <w:rPr>
          <w:sz w:val="20"/>
          <w:szCs w:val="20"/>
          <w:lang w:val="fr-CA"/>
        </w:rPr>
        <w:t>Origine :</w:t>
      </w:r>
      <w:r w:rsidRPr="00972800">
        <w:rPr>
          <w:sz w:val="20"/>
          <w:szCs w:val="20"/>
          <w:lang w:val="fr-CA"/>
        </w:rPr>
        <w:tab/>
        <w:t>Nouvelle</w:t>
      </w:r>
      <w:r w:rsidRPr="00972800">
        <w:rPr>
          <w:sz w:val="20"/>
          <w:szCs w:val="20"/>
          <w:lang w:val="fr-CA"/>
        </w:rPr>
        <w:noBreakHyphen/>
        <w:t>Écosse</w:t>
      </w:r>
    </w:p>
    <w:p w:rsidR="00E26E38" w:rsidRPr="00972800" w:rsidRDefault="00E26E38" w:rsidP="006D2FF2">
      <w:pPr>
        <w:widowControl w:val="0"/>
        <w:ind w:left="2880" w:hanging="2880"/>
        <w:jc w:val="both"/>
        <w:rPr>
          <w:sz w:val="20"/>
          <w:szCs w:val="20"/>
          <w:lang w:val="fr-CA"/>
        </w:rPr>
      </w:pPr>
    </w:p>
    <w:p w:rsidR="00E26E38" w:rsidRPr="00972800" w:rsidRDefault="00E26E38" w:rsidP="006D2FF2">
      <w:pPr>
        <w:widowControl w:val="0"/>
        <w:ind w:left="2880" w:hanging="2880"/>
        <w:jc w:val="both"/>
        <w:rPr>
          <w:sz w:val="20"/>
          <w:szCs w:val="20"/>
          <w:lang w:val="fr-CA"/>
        </w:rPr>
      </w:pPr>
      <w:r w:rsidRPr="00972800">
        <w:rPr>
          <w:sz w:val="20"/>
          <w:szCs w:val="20"/>
          <w:lang w:val="fr-CA"/>
        </w:rPr>
        <w:t>N</w:t>
      </w:r>
      <w:r w:rsidRPr="00972800">
        <w:rPr>
          <w:sz w:val="20"/>
          <w:szCs w:val="20"/>
          <w:vertAlign w:val="superscript"/>
          <w:lang w:val="fr-CA"/>
        </w:rPr>
        <w:t>o</w:t>
      </w:r>
      <w:r w:rsidRPr="00972800">
        <w:rPr>
          <w:sz w:val="20"/>
          <w:szCs w:val="20"/>
          <w:lang w:val="fr-CA"/>
        </w:rPr>
        <w:t xml:space="preserve"> du greffe :</w:t>
      </w:r>
      <w:r w:rsidRPr="00972800">
        <w:rPr>
          <w:sz w:val="20"/>
          <w:szCs w:val="20"/>
          <w:lang w:val="fr-CA"/>
        </w:rPr>
        <w:tab/>
        <w:t>34650</w:t>
      </w:r>
    </w:p>
    <w:p w:rsidR="00E26E38" w:rsidRPr="00972800" w:rsidRDefault="00E26E38" w:rsidP="006D2FF2">
      <w:pPr>
        <w:widowControl w:val="0"/>
        <w:ind w:left="2880" w:hanging="2880"/>
        <w:jc w:val="both"/>
        <w:rPr>
          <w:sz w:val="20"/>
          <w:szCs w:val="20"/>
          <w:lang w:val="fr-CA"/>
        </w:rPr>
      </w:pPr>
    </w:p>
    <w:p w:rsidR="00E26E38" w:rsidRPr="00972800" w:rsidRDefault="00E26E38" w:rsidP="006D2FF2">
      <w:pPr>
        <w:widowControl w:val="0"/>
        <w:ind w:left="2880" w:hanging="2880"/>
        <w:jc w:val="both"/>
        <w:rPr>
          <w:sz w:val="20"/>
          <w:szCs w:val="20"/>
          <w:lang w:val="fr-CA"/>
        </w:rPr>
      </w:pPr>
      <w:r w:rsidRPr="00972800">
        <w:rPr>
          <w:sz w:val="20"/>
          <w:szCs w:val="20"/>
          <w:lang w:val="fr-CA"/>
        </w:rPr>
        <w:t>Arrêt de la Cour d’appel :</w:t>
      </w:r>
      <w:r w:rsidRPr="00972800">
        <w:rPr>
          <w:sz w:val="20"/>
          <w:szCs w:val="20"/>
          <w:lang w:val="fr-CA"/>
        </w:rPr>
        <w:tab/>
        <w:t>le 8 décembre 2011</w:t>
      </w:r>
    </w:p>
    <w:p w:rsidR="00E26E38" w:rsidRPr="00972800" w:rsidRDefault="00E26E38" w:rsidP="006D2FF2">
      <w:pPr>
        <w:widowControl w:val="0"/>
        <w:ind w:left="2880" w:hanging="2880"/>
        <w:jc w:val="both"/>
        <w:rPr>
          <w:sz w:val="20"/>
          <w:szCs w:val="20"/>
          <w:lang w:val="fr-CA"/>
        </w:rPr>
      </w:pPr>
    </w:p>
    <w:p w:rsidR="00E26E38" w:rsidRPr="00972800" w:rsidRDefault="00E26E38" w:rsidP="006D2FF2">
      <w:pPr>
        <w:ind w:left="2880" w:hanging="2880"/>
        <w:rPr>
          <w:sz w:val="20"/>
          <w:szCs w:val="20"/>
          <w:lang w:val="fr-CA"/>
        </w:rPr>
      </w:pPr>
      <w:r w:rsidRPr="00972800">
        <w:rPr>
          <w:sz w:val="20"/>
          <w:szCs w:val="20"/>
          <w:lang w:val="fr-CA"/>
        </w:rPr>
        <w:t>Avocats :</w:t>
      </w:r>
      <w:r w:rsidRPr="00972800">
        <w:rPr>
          <w:sz w:val="20"/>
          <w:szCs w:val="20"/>
          <w:lang w:val="fr-CA"/>
        </w:rPr>
        <w:tab/>
        <w:t>Jennifer A. MacLellan pour l’appelant</w:t>
      </w:r>
    </w:p>
    <w:p w:rsidR="00E26E38" w:rsidRPr="00972800" w:rsidRDefault="00E26E38" w:rsidP="006D2FF2">
      <w:pPr>
        <w:ind w:left="2880" w:hanging="2880"/>
        <w:rPr>
          <w:sz w:val="20"/>
          <w:szCs w:val="20"/>
          <w:lang w:val="fr-CA"/>
        </w:rPr>
      </w:pPr>
      <w:r w:rsidRPr="00972800">
        <w:rPr>
          <w:sz w:val="20"/>
          <w:szCs w:val="20"/>
          <w:lang w:val="fr-CA"/>
        </w:rPr>
        <w:tab/>
        <w:t>Brian P. Casey et David J. Bright Q.C. pour les intimés</w:t>
      </w:r>
    </w:p>
    <w:p w:rsidR="00E26E38" w:rsidRPr="00972800" w:rsidRDefault="00E26E38" w:rsidP="00E26E38">
      <w:pPr>
        <w:jc w:val="both"/>
        <w:rPr>
          <w:sz w:val="20"/>
          <w:szCs w:val="20"/>
          <w:lang w:val="fr-CA"/>
        </w:rPr>
      </w:pPr>
    </w:p>
    <w:p w:rsidR="00E26E38" w:rsidRDefault="00B74DD2" w:rsidP="00E26E38">
      <w:pPr>
        <w:tabs>
          <w:tab w:val="left" w:pos="-1440"/>
          <w:tab w:val="left" w:pos="-720"/>
        </w:tabs>
        <w:jc w:val="both"/>
        <w:rPr>
          <w:sz w:val="20"/>
          <w:szCs w:val="20"/>
          <w:lang w:val="fr-CA"/>
        </w:rPr>
      </w:pPr>
      <w:r w:rsidRPr="00B74DD2">
        <w:rPr>
          <w:sz w:val="20"/>
          <w:szCs w:val="20"/>
          <w:lang w:val="fr-CA"/>
        </w:rPr>
        <w:pict>
          <v:rect id="_x0000_i1097" style="width:2in;height:1pt" o:hrpct="0" o:hralign="center" o:hrstd="t" o:hrnoshade="t" o:hr="t" fillcolor="black [3213]" stroked="f"/>
        </w:pict>
      </w:r>
    </w:p>
    <w:p w:rsidR="00E26E38" w:rsidRDefault="00E26E38" w:rsidP="00E26E38">
      <w:pPr>
        <w:tabs>
          <w:tab w:val="left" w:pos="-1440"/>
          <w:tab w:val="left" w:pos="-720"/>
        </w:tabs>
        <w:jc w:val="both"/>
        <w:rPr>
          <w:sz w:val="20"/>
          <w:szCs w:val="20"/>
          <w:lang w:val="fr-CA"/>
        </w:rPr>
      </w:pPr>
    </w:p>
    <w:p w:rsidR="00E26E38" w:rsidRDefault="00E26E38" w:rsidP="00E26E38">
      <w:pPr>
        <w:rPr>
          <w:sz w:val="20"/>
          <w:szCs w:val="20"/>
          <w:lang w:val="fr-CA"/>
        </w:rPr>
      </w:pPr>
      <w:r>
        <w:rPr>
          <w:sz w:val="20"/>
          <w:szCs w:val="20"/>
          <w:lang w:val="fr-CA"/>
        </w:rPr>
        <w:br w:type="page"/>
      </w:r>
    </w:p>
    <w:p w:rsidR="00E26E38" w:rsidRPr="00972800" w:rsidRDefault="00B74DD2" w:rsidP="00187D43">
      <w:pPr>
        <w:widowControl w:val="0"/>
        <w:ind w:left="720" w:hanging="720"/>
        <w:jc w:val="both"/>
        <w:rPr>
          <w:sz w:val="20"/>
          <w:szCs w:val="20"/>
        </w:rPr>
      </w:pPr>
      <w:r w:rsidRPr="00972800">
        <w:rPr>
          <w:b/>
          <w:sz w:val="20"/>
          <w:szCs w:val="20"/>
        </w:rPr>
        <w:fldChar w:fldCharType="begin"/>
      </w:r>
      <w:r w:rsidR="00E26E38" w:rsidRPr="00972800">
        <w:rPr>
          <w:b/>
          <w:sz w:val="20"/>
          <w:szCs w:val="20"/>
        </w:rPr>
        <w:instrText xml:space="preserve"> SEQ CHAPTER \h \r 1</w:instrText>
      </w:r>
      <w:r w:rsidRPr="00972800">
        <w:rPr>
          <w:b/>
          <w:sz w:val="20"/>
          <w:szCs w:val="20"/>
        </w:rPr>
        <w:fldChar w:fldCharType="end"/>
      </w:r>
      <w:r w:rsidR="00E26E38" w:rsidRPr="00972800">
        <w:rPr>
          <w:b/>
          <w:sz w:val="20"/>
          <w:szCs w:val="20"/>
        </w:rPr>
        <w:t>33536</w:t>
      </w:r>
      <w:r w:rsidR="00E26E38" w:rsidRPr="00972800">
        <w:rPr>
          <w:sz w:val="20"/>
          <w:szCs w:val="20"/>
        </w:rPr>
        <w:tab/>
      </w:r>
      <w:r w:rsidR="00E26E38" w:rsidRPr="00972800">
        <w:rPr>
          <w:b/>
          <w:i/>
          <w:sz w:val="20"/>
          <w:szCs w:val="20"/>
        </w:rPr>
        <w:t>Leighton Hay v. Her Majesty the Queen</w:t>
      </w:r>
    </w:p>
    <w:p w:rsidR="00E26E38" w:rsidRPr="00972800" w:rsidRDefault="00E26E38" w:rsidP="00E26E38">
      <w:pPr>
        <w:widowControl w:val="0"/>
        <w:jc w:val="both"/>
        <w:rPr>
          <w:sz w:val="20"/>
          <w:szCs w:val="20"/>
        </w:rPr>
      </w:pPr>
    </w:p>
    <w:p w:rsidR="00E26E38" w:rsidRPr="00972800" w:rsidRDefault="00E26E38" w:rsidP="00E26E38">
      <w:pPr>
        <w:widowControl w:val="0"/>
        <w:jc w:val="both"/>
        <w:rPr>
          <w:sz w:val="20"/>
          <w:szCs w:val="20"/>
        </w:rPr>
      </w:pPr>
      <w:r w:rsidRPr="00972800">
        <w:rPr>
          <w:sz w:val="20"/>
          <w:szCs w:val="20"/>
        </w:rPr>
        <w:t xml:space="preserve">Criminal Law </w:t>
      </w:r>
      <w:r w:rsidRPr="00972800">
        <w:rPr>
          <w:sz w:val="20"/>
          <w:szCs w:val="20"/>
        </w:rPr>
        <w:noBreakHyphen/>
        <w:t xml:space="preserve"> Evidence </w:t>
      </w:r>
      <w:r w:rsidRPr="00972800">
        <w:rPr>
          <w:sz w:val="20"/>
          <w:szCs w:val="20"/>
        </w:rPr>
        <w:noBreakHyphen/>
        <w:t xml:space="preserve"> Assessment </w:t>
      </w:r>
      <w:r w:rsidRPr="00972800">
        <w:rPr>
          <w:sz w:val="20"/>
          <w:szCs w:val="20"/>
        </w:rPr>
        <w:noBreakHyphen/>
        <w:t xml:space="preserve"> Unreasonable verdict </w:t>
      </w:r>
      <w:r w:rsidRPr="00972800">
        <w:rPr>
          <w:sz w:val="20"/>
          <w:szCs w:val="20"/>
        </w:rPr>
        <w:noBreakHyphen/>
        <w:t xml:space="preserve"> Eyewitness identification evidence </w:t>
      </w:r>
      <w:r w:rsidRPr="00972800">
        <w:rPr>
          <w:sz w:val="20"/>
          <w:szCs w:val="20"/>
        </w:rPr>
        <w:noBreakHyphen/>
        <w:t xml:space="preserve"> Jury charge </w:t>
      </w:r>
      <w:r w:rsidRPr="00972800">
        <w:rPr>
          <w:sz w:val="20"/>
          <w:szCs w:val="20"/>
        </w:rPr>
        <w:noBreakHyphen/>
        <w:t xml:space="preserve"> Whether the trial judge erred in directing the jury that a conviction could rest on the evidence of the eye witness alone.</w:t>
      </w:r>
    </w:p>
    <w:p w:rsidR="00E26E38" w:rsidRPr="00972800" w:rsidRDefault="00E26E38" w:rsidP="00E26E38">
      <w:pPr>
        <w:widowControl w:val="0"/>
        <w:jc w:val="both"/>
        <w:rPr>
          <w:sz w:val="20"/>
          <w:szCs w:val="20"/>
        </w:rPr>
      </w:pPr>
    </w:p>
    <w:p w:rsidR="00E26E38" w:rsidRPr="00972800" w:rsidRDefault="00E26E38" w:rsidP="00E26E38">
      <w:pPr>
        <w:widowControl w:val="0"/>
        <w:jc w:val="both"/>
        <w:rPr>
          <w:sz w:val="20"/>
          <w:szCs w:val="20"/>
        </w:rPr>
      </w:pPr>
      <w:r w:rsidRPr="00972800">
        <w:rPr>
          <w:sz w:val="20"/>
          <w:szCs w:val="20"/>
        </w:rPr>
        <w:t xml:space="preserve">Collin Moore was murdered and Roger Moore was wounded when two gunmen opened fire on them in a Toronto nightclub.  The evidence suggesting that the appellant, Hay, was one of the shooters consists of one eyewitness' identification of Hay and circumstantial evidence.  The Crown argued at trial that the circumstantial evidence confirmed that Hay was the second shooter. </w:t>
      </w:r>
    </w:p>
    <w:p w:rsidR="00E26E38" w:rsidRPr="00972800" w:rsidRDefault="00E26E38" w:rsidP="00E26E38">
      <w:pPr>
        <w:widowControl w:val="0"/>
        <w:jc w:val="both"/>
        <w:rPr>
          <w:sz w:val="20"/>
          <w:szCs w:val="20"/>
        </w:rPr>
      </w:pPr>
    </w:p>
    <w:p w:rsidR="00E26E38" w:rsidRPr="00972800" w:rsidRDefault="00E26E38" w:rsidP="00E26E38">
      <w:pPr>
        <w:widowControl w:val="0"/>
        <w:jc w:val="both"/>
        <w:rPr>
          <w:sz w:val="20"/>
          <w:szCs w:val="20"/>
        </w:rPr>
      </w:pPr>
    </w:p>
    <w:p w:rsidR="00E26E38" w:rsidRPr="00972800" w:rsidRDefault="00E26E38" w:rsidP="00187D43">
      <w:pPr>
        <w:widowControl w:val="0"/>
        <w:ind w:left="2880" w:hanging="2880"/>
        <w:jc w:val="both"/>
        <w:rPr>
          <w:sz w:val="20"/>
          <w:szCs w:val="20"/>
        </w:rPr>
      </w:pPr>
      <w:r w:rsidRPr="00972800">
        <w:rPr>
          <w:sz w:val="20"/>
          <w:szCs w:val="20"/>
        </w:rPr>
        <w:t>Origin of the case:</w:t>
      </w:r>
      <w:r w:rsidRPr="00972800">
        <w:rPr>
          <w:sz w:val="20"/>
          <w:szCs w:val="20"/>
        </w:rPr>
        <w:tab/>
        <w:t>Ontario</w:t>
      </w:r>
    </w:p>
    <w:p w:rsidR="00E26E38" w:rsidRPr="00972800" w:rsidRDefault="00E26E38" w:rsidP="00187D43">
      <w:pPr>
        <w:widowControl w:val="0"/>
        <w:ind w:left="2880" w:hanging="2880"/>
        <w:jc w:val="both"/>
        <w:rPr>
          <w:sz w:val="20"/>
          <w:szCs w:val="20"/>
        </w:rPr>
      </w:pPr>
    </w:p>
    <w:p w:rsidR="00E26E38" w:rsidRPr="00972800" w:rsidRDefault="00E26E38" w:rsidP="00187D43">
      <w:pPr>
        <w:widowControl w:val="0"/>
        <w:ind w:left="2880" w:hanging="2880"/>
        <w:jc w:val="both"/>
        <w:rPr>
          <w:sz w:val="20"/>
          <w:szCs w:val="20"/>
        </w:rPr>
      </w:pPr>
      <w:r w:rsidRPr="00972800">
        <w:rPr>
          <w:sz w:val="20"/>
          <w:szCs w:val="20"/>
        </w:rPr>
        <w:t>File No.:</w:t>
      </w:r>
      <w:r w:rsidRPr="00972800">
        <w:rPr>
          <w:sz w:val="20"/>
          <w:szCs w:val="20"/>
        </w:rPr>
        <w:tab/>
        <w:t>33536</w:t>
      </w:r>
    </w:p>
    <w:p w:rsidR="00E26E38" w:rsidRPr="00972800" w:rsidRDefault="00E26E38" w:rsidP="00187D43">
      <w:pPr>
        <w:widowControl w:val="0"/>
        <w:ind w:left="2880" w:hanging="2880"/>
        <w:jc w:val="both"/>
        <w:rPr>
          <w:sz w:val="20"/>
          <w:szCs w:val="20"/>
        </w:rPr>
      </w:pPr>
    </w:p>
    <w:p w:rsidR="00E26E38" w:rsidRPr="00972800" w:rsidRDefault="00E26E38" w:rsidP="00187D43">
      <w:pPr>
        <w:widowControl w:val="0"/>
        <w:ind w:left="2880" w:hanging="2880"/>
        <w:jc w:val="both"/>
        <w:rPr>
          <w:sz w:val="20"/>
          <w:szCs w:val="20"/>
        </w:rPr>
      </w:pPr>
      <w:r w:rsidRPr="00972800">
        <w:rPr>
          <w:sz w:val="20"/>
          <w:szCs w:val="20"/>
        </w:rPr>
        <w:t>Judgment of the Court of Appeal:</w:t>
      </w:r>
      <w:r w:rsidRPr="00972800">
        <w:rPr>
          <w:sz w:val="20"/>
          <w:szCs w:val="20"/>
        </w:rPr>
        <w:tab/>
        <w:t>May 12, 2009</w:t>
      </w:r>
    </w:p>
    <w:p w:rsidR="00E26E38" w:rsidRPr="00972800" w:rsidRDefault="00E26E38" w:rsidP="00187D43">
      <w:pPr>
        <w:widowControl w:val="0"/>
        <w:ind w:left="2880" w:hanging="2880"/>
        <w:jc w:val="both"/>
        <w:rPr>
          <w:sz w:val="20"/>
          <w:szCs w:val="20"/>
        </w:rPr>
      </w:pPr>
    </w:p>
    <w:p w:rsidR="00E26E38" w:rsidRPr="00972800" w:rsidRDefault="00E26E38" w:rsidP="00187D43">
      <w:pPr>
        <w:widowControl w:val="0"/>
        <w:ind w:left="2880" w:hanging="2880"/>
        <w:jc w:val="both"/>
        <w:rPr>
          <w:sz w:val="20"/>
          <w:szCs w:val="20"/>
        </w:rPr>
      </w:pPr>
      <w:r w:rsidRPr="00972800">
        <w:rPr>
          <w:sz w:val="20"/>
          <w:szCs w:val="20"/>
        </w:rPr>
        <w:t>Counsel:</w:t>
      </w:r>
      <w:r w:rsidRPr="00972800">
        <w:rPr>
          <w:sz w:val="20"/>
          <w:szCs w:val="20"/>
        </w:rPr>
        <w:tab/>
        <w:t>James Lockyer for the appellant</w:t>
      </w:r>
    </w:p>
    <w:p w:rsidR="00E26E38" w:rsidRPr="00B87D22" w:rsidRDefault="00E26E38" w:rsidP="00187D43">
      <w:pPr>
        <w:widowControl w:val="0"/>
        <w:ind w:left="2880" w:hanging="2880"/>
        <w:jc w:val="both"/>
        <w:rPr>
          <w:sz w:val="20"/>
          <w:szCs w:val="20"/>
        </w:rPr>
      </w:pPr>
      <w:r w:rsidRPr="00972800">
        <w:rPr>
          <w:sz w:val="20"/>
          <w:szCs w:val="20"/>
        </w:rPr>
        <w:tab/>
      </w:r>
      <w:r w:rsidRPr="00B87D22">
        <w:rPr>
          <w:sz w:val="20"/>
          <w:szCs w:val="20"/>
        </w:rPr>
        <w:t>Susan Reid for the respondent</w:t>
      </w:r>
    </w:p>
    <w:p w:rsidR="00E26E38" w:rsidRPr="00B87D22" w:rsidRDefault="00E26E38" w:rsidP="00E26E38">
      <w:pPr>
        <w:jc w:val="both"/>
        <w:rPr>
          <w:sz w:val="20"/>
          <w:szCs w:val="20"/>
        </w:rPr>
      </w:pPr>
    </w:p>
    <w:p w:rsidR="00E26E38" w:rsidRDefault="00B74DD2" w:rsidP="00E26E38">
      <w:pPr>
        <w:tabs>
          <w:tab w:val="left" w:pos="-1440"/>
          <w:tab w:val="left" w:pos="-720"/>
        </w:tabs>
        <w:jc w:val="both"/>
        <w:rPr>
          <w:sz w:val="20"/>
          <w:szCs w:val="20"/>
          <w:lang w:val="fr-CA"/>
        </w:rPr>
      </w:pPr>
      <w:r w:rsidRPr="00B74DD2">
        <w:rPr>
          <w:sz w:val="20"/>
          <w:szCs w:val="20"/>
          <w:lang w:val="fr-CA"/>
        </w:rPr>
        <w:pict>
          <v:rect id="_x0000_i1098" style="width:2in;height:1pt" o:hrpct="0" o:hralign="center" o:hrstd="t" o:hrnoshade="t" o:hr="t" fillcolor="black [3213]" stroked="f"/>
        </w:pict>
      </w:r>
    </w:p>
    <w:p w:rsidR="00E26E38" w:rsidRDefault="00E26E38" w:rsidP="00E26E38">
      <w:pPr>
        <w:tabs>
          <w:tab w:val="left" w:pos="-1440"/>
          <w:tab w:val="left" w:pos="-720"/>
        </w:tabs>
        <w:jc w:val="both"/>
        <w:rPr>
          <w:sz w:val="20"/>
          <w:szCs w:val="20"/>
          <w:lang w:val="fr-CA"/>
        </w:rPr>
      </w:pPr>
    </w:p>
    <w:p w:rsidR="00E26E38" w:rsidRDefault="00E26E38" w:rsidP="00E26E38">
      <w:pPr>
        <w:rPr>
          <w:sz w:val="20"/>
          <w:szCs w:val="20"/>
          <w:lang w:val="fr-CA"/>
        </w:rPr>
      </w:pPr>
      <w:r>
        <w:rPr>
          <w:sz w:val="20"/>
          <w:szCs w:val="20"/>
          <w:lang w:val="fr-CA"/>
        </w:rPr>
        <w:br w:type="page"/>
      </w:r>
    </w:p>
    <w:p w:rsidR="00E26E38" w:rsidRPr="00972800" w:rsidRDefault="00B74DD2" w:rsidP="00B87D22">
      <w:pPr>
        <w:widowControl w:val="0"/>
        <w:ind w:left="720" w:hanging="720"/>
        <w:jc w:val="both"/>
        <w:rPr>
          <w:sz w:val="20"/>
          <w:szCs w:val="20"/>
          <w:lang w:val="fr-CA"/>
        </w:rPr>
      </w:pPr>
      <w:r w:rsidRPr="00972800">
        <w:rPr>
          <w:b/>
          <w:sz w:val="20"/>
          <w:szCs w:val="20"/>
          <w:lang w:val="fr-CA"/>
        </w:rPr>
        <w:fldChar w:fldCharType="begin"/>
      </w:r>
      <w:r w:rsidR="00E26E38" w:rsidRPr="00972800">
        <w:rPr>
          <w:b/>
          <w:sz w:val="20"/>
          <w:szCs w:val="20"/>
          <w:lang w:val="fr-CA"/>
        </w:rPr>
        <w:instrText xml:space="preserve"> SEQ CHAPTER \h \r 1</w:instrText>
      </w:r>
      <w:r w:rsidRPr="00972800">
        <w:rPr>
          <w:b/>
          <w:sz w:val="20"/>
          <w:szCs w:val="20"/>
          <w:lang w:val="fr-CA"/>
        </w:rPr>
        <w:fldChar w:fldCharType="end"/>
      </w:r>
      <w:r w:rsidR="00E26E38" w:rsidRPr="00972800">
        <w:rPr>
          <w:b/>
          <w:sz w:val="20"/>
          <w:szCs w:val="20"/>
          <w:lang w:val="fr-CA"/>
        </w:rPr>
        <w:t>33536</w:t>
      </w:r>
      <w:r w:rsidR="00E26E38" w:rsidRPr="00972800">
        <w:rPr>
          <w:sz w:val="20"/>
          <w:szCs w:val="20"/>
          <w:lang w:val="fr-CA"/>
        </w:rPr>
        <w:tab/>
      </w:r>
      <w:r w:rsidR="00E26E38" w:rsidRPr="00972800">
        <w:rPr>
          <w:b/>
          <w:i/>
          <w:sz w:val="20"/>
          <w:szCs w:val="20"/>
          <w:lang w:val="fr-CA"/>
        </w:rPr>
        <w:t>Leighton Hay c. Sa Majesté la Reine</w:t>
      </w:r>
    </w:p>
    <w:p w:rsidR="00E26E38" w:rsidRPr="00972800" w:rsidRDefault="00E26E38" w:rsidP="00E26E38">
      <w:pPr>
        <w:widowControl w:val="0"/>
        <w:jc w:val="both"/>
        <w:rPr>
          <w:sz w:val="20"/>
          <w:szCs w:val="20"/>
          <w:lang w:val="fr-CA"/>
        </w:rPr>
      </w:pPr>
    </w:p>
    <w:p w:rsidR="00E26E38" w:rsidRPr="00972800" w:rsidRDefault="00E26E38" w:rsidP="00E26E38">
      <w:pPr>
        <w:widowControl w:val="0"/>
        <w:jc w:val="both"/>
        <w:rPr>
          <w:sz w:val="20"/>
          <w:szCs w:val="20"/>
          <w:lang w:val="fr-CA"/>
        </w:rPr>
      </w:pPr>
      <w:r w:rsidRPr="00972800">
        <w:rPr>
          <w:sz w:val="20"/>
          <w:szCs w:val="20"/>
          <w:lang w:val="fr-CA"/>
        </w:rPr>
        <w:t xml:space="preserve">Droit criminel </w:t>
      </w:r>
      <w:r w:rsidRPr="00972800">
        <w:rPr>
          <w:sz w:val="20"/>
          <w:szCs w:val="20"/>
          <w:lang w:val="fr-CA"/>
        </w:rPr>
        <w:noBreakHyphen/>
        <w:t xml:space="preserve"> Preuve </w:t>
      </w:r>
      <w:r w:rsidRPr="00972800">
        <w:rPr>
          <w:sz w:val="20"/>
          <w:szCs w:val="20"/>
          <w:lang w:val="fr-CA"/>
        </w:rPr>
        <w:noBreakHyphen/>
        <w:t xml:space="preserve"> Appréciation </w:t>
      </w:r>
      <w:r w:rsidRPr="00972800">
        <w:rPr>
          <w:sz w:val="20"/>
          <w:szCs w:val="20"/>
          <w:lang w:val="fr-CA"/>
        </w:rPr>
        <w:noBreakHyphen/>
        <w:t xml:space="preserve"> Verdict déraisonnable </w:t>
      </w:r>
      <w:r w:rsidRPr="00972800">
        <w:rPr>
          <w:sz w:val="20"/>
          <w:szCs w:val="20"/>
          <w:lang w:val="fr-CA"/>
        </w:rPr>
        <w:noBreakHyphen/>
        <w:t xml:space="preserve"> Preuve d</w:t>
      </w:r>
      <w:r w:rsidRPr="00972800">
        <w:rPr>
          <w:sz w:val="20"/>
          <w:szCs w:val="20"/>
          <w:lang w:val="fr-CA"/>
        </w:rPr>
        <w:sym w:font="WP TypographicSymbols" w:char="003D"/>
      </w:r>
      <w:r w:rsidRPr="00972800">
        <w:rPr>
          <w:sz w:val="20"/>
          <w:szCs w:val="20"/>
          <w:lang w:val="fr-CA"/>
        </w:rPr>
        <w:t xml:space="preserve">identification par un témoin oculaire </w:t>
      </w:r>
      <w:r w:rsidRPr="00972800">
        <w:rPr>
          <w:sz w:val="20"/>
          <w:szCs w:val="20"/>
          <w:lang w:val="fr-CA"/>
        </w:rPr>
        <w:noBreakHyphen/>
        <w:t xml:space="preserve"> Exposé au jury </w:t>
      </w:r>
      <w:r w:rsidRPr="00972800">
        <w:rPr>
          <w:sz w:val="20"/>
          <w:szCs w:val="20"/>
          <w:lang w:val="fr-CA"/>
        </w:rPr>
        <w:noBreakHyphen/>
        <w:t xml:space="preserve"> Le juge du procès a</w:t>
      </w:r>
      <w:r w:rsidRPr="00972800">
        <w:rPr>
          <w:sz w:val="20"/>
          <w:szCs w:val="20"/>
          <w:lang w:val="fr-CA"/>
        </w:rPr>
        <w:noBreakHyphen/>
        <w:t>t</w:t>
      </w:r>
      <w:r w:rsidRPr="00972800">
        <w:rPr>
          <w:sz w:val="20"/>
          <w:szCs w:val="20"/>
          <w:lang w:val="fr-CA"/>
        </w:rPr>
        <w:noBreakHyphen/>
        <w:t>il eu tort de dire au jury qu’une déclaration de culpabilité pouvait reposer uniquement sur la preuve du témoin oculaire?</w:t>
      </w:r>
    </w:p>
    <w:p w:rsidR="00E26E38" w:rsidRPr="00972800" w:rsidRDefault="00E26E38" w:rsidP="00E26E38">
      <w:pPr>
        <w:widowControl w:val="0"/>
        <w:jc w:val="both"/>
        <w:rPr>
          <w:sz w:val="20"/>
          <w:szCs w:val="20"/>
          <w:lang w:val="fr-CA"/>
        </w:rPr>
      </w:pPr>
    </w:p>
    <w:p w:rsidR="00E26E38" w:rsidRPr="00972800" w:rsidRDefault="00E26E38" w:rsidP="00E26E38">
      <w:pPr>
        <w:widowControl w:val="0"/>
        <w:jc w:val="both"/>
        <w:rPr>
          <w:sz w:val="20"/>
          <w:szCs w:val="20"/>
          <w:lang w:val="fr-CA"/>
        </w:rPr>
      </w:pPr>
      <w:r w:rsidRPr="00972800">
        <w:rPr>
          <w:sz w:val="20"/>
          <w:szCs w:val="20"/>
          <w:lang w:val="fr-CA"/>
        </w:rPr>
        <w:t>Collin Moore a été assassiné et Roger Moore a été blessé lorsque deux tireurs ont ouvert le feu sur eux dans une boîte de nuit de Toronto.  Les éléments preuve qui tendent à démontrer que l’appelant, M. Hay était un des tireurs comprennent l</w:t>
      </w:r>
      <w:r w:rsidR="009341C3" w:rsidRPr="009341C3">
        <w:rPr>
          <w:sz w:val="20"/>
          <w:szCs w:val="20"/>
          <w:lang w:val="fr-CA"/>
        </w:rPr>
        <w:t>’</w:t>
      </w:r>
      <w:r w:rsidRPr="00972800">
        <w:rPr>
          <w:sz w:val="20"/>
          <w:szCs w:val="20"/>
          <w:lang w:val="fr-CA"/>
        </w:rPr>
        <w:t xml:space="preserve">identification de M. Hay par un témoin oculaire et une preuve circonstancielle.  Le ministère public a plaidé au procès que la preuve circonstancielle confirmait que M. Hay était le deuxième tireur. </w:t>
      </w:r>
    </w:p>
    <w:p w:rsidR="00E26E38" w:rsidRPr="00972800" w:rsidRDefault="00E26E38" w:rsidP="00E26E38">
      <w:pPr>
        <w:widowControl w:val="0"/>
        <w:jc w:val="both"/>
        <w:rPr>
          <w:sz w:val="20"/>
          <w:szCs w:val="20"/>
          <w:lang w:val="fr-CA"/>
        </w:rPr>
      </w:pPr>
    </w:p>
    <w:p w:rsidR="00E26E38" w:rsidRPr="00972800" w:rsidRDefault="00E26E38" w:rsidP="00E26E38">
      <w:pPr>
        <w:widowControl w:val="0"/>
        <w:jc w:val="both"/>
        <w:rPr>
          <w:sz w:val="20"/>
          <w:szCs w:val="20"/>
          <w:lang w:val="fr-CA"/>
        </w:rPr>
      </w:pPr>
    </w:p>
    <w:p w:rsidR="00E26E38" w:rsidRPr="00972800" w:rsidRDefault="00E26E38" w:rsidP="00B87D22">
      <w:pPr>
        <w:widowControl w:val="0"/>
        <w:ind w:left="2880" w:hanging="2880"/>
        <w:jc w:val="both"/>
        <w:rPr>
          <w:sz w:val="20"/>
          <w:szCs w:val="20"/>
          <w:lang w:val="fr-CA"/>
        </w:rPr>
      </w:pPr>
      <w:r w:rsidRPr="00972800">
        <w:rPr>
          <w:sz w:val="20"/>
          <w:szCs w:val="20"/>
          <w:lang w:val="fr-CA"/>
        </w:rPr>
        <w:t>Origine :</w:t>
      </w:r>
      <w:r w:rsidRPr="00972800">
        <w:rPr>
          <w:sz w:val="20"/>
          <w:szCs w:val="20"/>
          <w:lang w:val="fr-CA"/>
        </w:rPr>
        <w:tab/>
        <w:t>Ontario</w:t>
      </w:r>
    </w:p>
    <w:p w:rsidR="00E26E38" w:rsidRPr="00972800" w:rsidRDefault="00E26E38" w:rsidP="00B87D22">
      <w:pPr>
        <w:widowControl w:val="0"/>
        <w:ind w:left="2880" w:hanging="2880"/>
        <w:jc w:val="both"/>
        <w:rPr>
          <w:sz w:val="20"/>
          <w:szCs w:val="20"/>
          <w:lang w:val="fr-CA"/>
        </w:rPr>
      </w:pPr>
    </w:p>
    <w:p w:rsidR="00E26E38" w:rsidRPr="00972800" w:rsidRDefault="00E26E38" w:rsidP="00B87D22">
      <w:pPr>
        <w:widowControl w:val="0"/>
        <w:ind w:left="2880" w:hanging="2880"/>
        <w:jc w:val="both"/>
        <w:rPr>
          <w:sz w:val="20"/>
          <w:szCs w:val="20"/>
          <w:lang w:val="fr-CA"/>
        </w:rPr>
      </w:pPr>
      <w:r w:rsidRPr="00972800">
        <w:rPr>
          <w:sz w:val="20"/>
          <w:szCs w:val="20"/>
          <w:lang w:val="fr-CA"/>
        </w:rPr>
        <w:t>N</w:t>
      </w:r>
      <w:r w:rsidRPr="00972800">
        <w:rPr>
          <w:sz w:val="20"/>
          <w:szCs w:val="20"/>
          <w:vertAlign w:val="superscript"/>
          <w:lang w:val="fr-CA"/>
        </w:rPr>
        <w:t>o</w:t>
      </w:r>
      <w:r w:rsidRPr="00972800">
        <w:rPr>
          <w:sz w:val="20"/>
          <w:szCs w:val="20"/>
          <w:lang w:val="fr-CA"/>
        </w:rPr>
        <w:t xml:space="preserve"> du greffe :</w:t>
      </w:r>
      <w:r w:rsidRPr="00972800">
        <w:rPr>
          <w:sz w:val="20"/>
          <w:szCs w:val="20"/>
          <w:lang w:val="fr-CA"/>
        </w:rPr>
        <w:tab/>
        <w:t>33536</w:t>
      </w:r>
    </w:p>
    <w:p w:rsidR="00E26E38" w:rsidRPr="00972800" w:rsidRDefault="00E26E38" w:rsidP="00B87D22">
      <w:pPr>
        <w:widowControl w:val="0"/>
        <w:ind w:left="2880" w:hanging="2880"/>
        <w:jc w:val="both"/>
        <w:rPr>
          <w:sz w:val="20"/>
          <w:szCs w:val="20"/>
          <w:lang w:val="fr-CA"/>
        </w:rPr>
      </w:pPr>
    </w:p>
    <w:p w:rsidR="00E26E38" w:rsidRPr="00972800" w:rsidRDefault="00E26E38" w:rsidP="00B87D22">
      <w:pPr>
        <w:widowControl w:val="0"/>
        <w:ind w:left="2880" w:hanging="2880"/>
        <w:jc w:val="both"/>
        <w:rPr>
          <w:sz w:val="20"/>
          <w:szCs w:val="20"/>
          <w:lang w:val="fr-CA"/>
        </w:rPr>
      </w:pPr>
      <w:r w:rsidRPr="00972800">
        <w:rPr>
          <w:sz w:val="20"/>
          <w:szCs w:val="20"/>
          <w:lang w:val="fr-CA"/>
        </w:rPr>
        <w:t>Arrêt de la Cour d’appel :</w:t>
      </w:r>
      <w:r w:rsidRPr="00972800">
        <w:rPr>
          <w:sz w:val="20"/>
          <w:szCs w:val="20"/>
          <w:lang w:val="fr-CA"/>
        </w:rPr>
        <w:tab/>
        <w:t>le 12 mai 2009</w:t>
      </w:r>
    </w:p>
    <w:p w:rsidR="00E26E38" w:rsidRPr="00972800" w:rsidRDefault="00E26E38" w:rsidP="00B87D22">
      <w:pPr>
        <w:widowControl w:val="0"/>
        <w:ind w:left="2880" w:hanging="2880"/>
        <w:jc w:val="both"/>
        <w:rPr>
          <w:sz w:val="20"/>
          <w:szCs w:val="20"/>
          <w:lang w:val="fr-CA"/>
        </w:rPr>
      </w:pPr>
    </w:p>
    <w:p w:rsidR="00E26E38" w:rsidRPr="00972800" w:rsidRDefault="00E26E38" w:rsidP="00B87D22">
      <w:pPr>
        <w:widowControl w:val="0"/>
        <w:ind w:left="2880" w:hanging="2880"/>
        <w:jc w:val="both"/>
        <w:rPr>
          <w:sz w:val="20"/>
          <w:szCs w:val="20"/>
          <w:lang w:val="fr-CA"/>
        </w:rPr>
      </w:pPr>
      <w:r w:rsidRPr="00972800">
        <w:rPr>
          <w:sz w:val="20"/>
          <w:szCs w:val="20"/>
          <w:lang w:val="fr-CA"/>
        </w:rPr>
        <w:t>Avocats :</w:t>
      </w:r>
      <w:r w:rsidRPr="00972800">
        <w:rPr>
          <w:sz w:val="20"/>
          <w:szCs w:val="20"/>
          <w:lang w:val="fr-CA"/>
        </w:rPr>
        <w:tab/>
        <w:t>James Lockyer pour l’appelant</w:t>
      </w:r>
    </w:p>
    <w:p w:rsidR="00E26E38" w:rsidRPr="00972800" w:rsidRDefault="00E26E38" w:rsidP="00B87D22">
      <w:pPr>
        <w:widowControl w:val="0"/>
        <w:ind w:left="2880" w:hanging="2880"/>
        <w:jc w:val="both"/>
        <w:rPr>
          <w:sz w:val="20"/>
          <w:szCs w:val="20"/>
          <w:lang w:val="fr-CA"/>
        </w:rPr>
      </w:pPr>
      <w:r w:rsidRPr="00972800">
        <w:rPr>
          <w:sz w:val="20"/>
          <w:szCs w:val="20"/>
          <w:lang w:val="fr-CA"/>
        </w:rPr>
        <w:tab/>
        <w:t>Susan Reid pour l’intimée</w:t>
      </w:r>
    </w:p>
    <w:p w:rsidR="00E26E38" w:rsidRPr="00972800" w:rsidRDefault="00E26E38" w:rsidP="00E26E38">
      <w:pPr>
        <w:jc w:val="both"/>
        <w:rPr>
          <w:sz w:val="20"/>
          <w:szCs w:val="20"/>
          <w:lang w:val="fr-CA"/>
        </w:rPr>
      </w:pPr>
    </w:p>
    <w:p w:rsidR="00E26E38" w:rsidRDefault="00B74DD2" w:rsidP="00E26E38">
      <w:pPr>
        <w:tabs>
          <w:tab w:val="left" w:pos="-1440"/>
          <w:tab w:val="left" w:pos="-720"/>
        </w:tabs>
        <w:jc w:val="both"/>
        <w:rPr>
          <w:sz w:val="20"/>
          <w:szCs w:val="20"/>
          <w:lang w:val="fr-CA"/>
        </w:rPr>
      </w:pPr>
      <w:r w:rsidRPr="00B74DD2">
        <w:rPr>
          <w:sz w:val="20"/>
          <w:szCs w:val="20"/>
          <w:lang w:val="fr-CA"/>
        </w:rPr>
        <w:pict>
          <v:rect id="_x0000_i1099" style="width:2in;height:1pt" o:hrpct="0" o:hralign="center" o:hrstd="t" o:hrnoshade="t" o:hr="t" fillcolor="black [3213]" stroked="f"/>
        </w:pict>
      </w:r>
    </w:p>
    <w:p w:rsidR="00E26E38" w:rsidRDefault="00E26E38" w:rsidP="00E26E38">
      <w:pPr>
        <w:tabs>
          <w:tab w:val="left" w:pos="-1440"/>
          <w:tab w:val="left" w:pos="-720"/>
        </w:tabs>
        <w:jc w:val="both"/>
        <w:rPr>
          <w:sz w:val="20"/>
          <w:szCs w:val="20"/>
          <w:lang w:val="fr-CA"/>
        </w:rPr>
      </w:pPr>
    </w:p>
    <w:p w:rsidR="00E26E38" w:rsidRDefault="00E26E38" w:rsidP="00E26E38">
      <w:pPr>
        <w:rPr>
          <w:sz w:val="20"/>
          <w:szCs w:val="20"/>
          <w:lang w:val="fr-CA"/>
        </w:rPr>
      </w:pPr>
      <w:r>
        <w:rPr>
          <w:sz w:val="20"/>
          <w:szCs w:val="20"/>
          <w:lang w:val="fr-CA"/>
        </w:rPr>
        <w:br w:type="page"/>
      </w:r>
    </w:p>
    <w:p w:rsidR="00E26E38" w:rsidRPr="00972800" w:rsidRDefault="00B74DD2" w:rsidP="00E26E38">
      <w:pPr>
        <w:widowControl w:val="0"/>
        <w:ind w:left="720" w:hanging="720"/>
        <w:jc w:val="both"/>
        <w:rPr>
          <w:sz w:val="20"/>
          <w:szCs w:val="20"/>
          <w:lang w:val="fr-CA"/>
        </w:rPr>
      </w:pPr>
      <w:r w:rsidRPr="00972800">
        <w:rPr>
          <w:b/>
          <w:sz w:val="20"/>
          <w:szCs w:val="20"/>
        </w:rPr>
        <w:fldChar w:fldCharType="begin"/>
      </w:r>
      <w:r w:rsidR="00E26E38" w:rsidRPr="00972800">
        <w:rPr>
          <w:b/>
          <w:sz w:val="20"/>
          <w:szCs w:val="20"/>
          <w:lang w:val="fr-CA"/>
        </w:rPr>
        <w:instrText xml:space="preserve"> SEQ CHAPTER \h \r 1</w:instrText>
      </w:r>
      <w:r w:rsidRPr="00972800">
        <w:rPr>
          <w:b/>
          <w:sz w:val="20"/>
          <w:szCs w:val="20"/>
        </w:rPr>
        <w:fldChar w:fldCharType="end"/>
      </w:r>
      <w:r w:rsidR="00E26E38" w:rsidRPr="00972800">
        <w:rPr>
          <w:b/>
          <w:sz w:val="20"/>
          <w:szCs w:val="20"/>
          <w:lang w:val="fr-CA"/>
        </w:rPr>
        <w:t>34800</w:t>
      </w:r>
      <w:r w:rsidR="00E26E38" w:rsidRPr="00972800">
        <w:rPr>
          <w:sz w:val="20"/>
          <w:szCs w:val="20"/>
          <w:lang w:val="fr-CA"/>
        </w:rPr>
        <w:tab/>
      </w:r>
      <w:r w:rsidR="00E26E38" w:rsidRPr="00972800">
        <w:rPr>
          <w:b/>
          <w:i/>
          <w:sz w:val="20"/>
          <w:szCs w:val="20"/>
          <w:lang w:val="fr-CA"/>
        </w:rPr>
        <w:t>Vivendi Canada Inc. v. Michel Dell’Aniello</w:t>
      </w:r>
    </w:p>
    <w:p w:rsidR="00E26E38" w:rsidRPr="00972800" w:rsidRDefault="00E26E38" w:rsidP="00E26E38">
      <w:pPr>
        <w:widowControl w:val="0"/>
        <w:jc w:val="both"/>
        <w:rPr>
          <w:sz w:val="20"/>
          <w:szCs w:val="20"/>
          <w:lang w:val="fr-CA"/>
        </w:rPr>
      </w:pPr>
    </w:p>
    <w:p w:rsidR="00E26E38" w:rsidRPr="00972800" w:rsidRDefault="00E26E38" w:rsidP="00E26E38">
      <w:pPr>
        <w:widowControl w:val="0"/>
        <w:jc w:val="both"/>
        <w:rPr>
          <w:sz w:val="20"/>
          <w:szCs w:val="20"/>
        </w:rPr>
      </w:pPr>
      <w:r w:rsidRPr="00972800">
        <w:rPr>
          <w:sz w:val="20"/>
          <w:szCs w:val="20"/>
        </w:rPr>
        <w:t xml:space="preserve">Civil procedure </w:t>
      </w:r>
      <w:r w:rsidRPr="00972800">
        <w:rPr>
          <w:sz w:val="20"/>
          <w:szCs w:val="20"/>
        </w:rPr>
        <w:noBreakHyphen/>
        <w:t xml:space="preserve"> Class actions </w:t>
      </w:r>
      <w:r w:rsidRPr="00972800">
        <w:rPr>
          <w:sz w:val="20"/>
          <w:szCs w:val="20"/>
        </w:rPr>
        <w:noBreakHyphen/>
        <w:t xml:space="preserve"> Conditions for instituting class action </w:t>
      </w:r>
      <w:r w:rsidRPr="00972800">
        <w:rPr>
          <w:sz w:val="20"/>
          <w:szCs w:val="20"/>
        </w:rPr>
        <w:noBreakHyphen/>
        <w:t xml:space="preserve"> Members of proposed group </w:t>
      </w:r>
      <w:r w:rsidRPr="00972800">
        <w:rPr>
          <w:sz w:val="20"/>
          <w:szCs w:val="20"/>
        </w:rPr>
        <w:noBreakHyphen/>
        <w:t xml:space="preserve"> Post</w:t>
      </w:r>
      <w:r w:rsidRPr="00972800">
        <w:rPr>
          <w:sz w:val="20"/>
          <w:szCs w:val="20"/>
        </w:rPr>
        <w:noBreakHyphen/>
        <w:t xml:space="preserve">retirement insurance benefits </w:t>
      </w:r>
      <w:r w:rsidRPr="00972800">
        <w:rPr>
          <w:sz w:val="20"/>
          <w:szCs w:val="20"/>
        </w:rPr>
        <w:noBreakHyphen/>
        <w:t xml:space="preserve"> Standard for intervention applicable on appeal from decision determining that question not identical, similar or related </w:t>
      </w:r>
      <w:r w:rsidRPr="00972800">
        <w:rPr>
          <w:sz w:val="20"/>
          <w:szCs w:val="20"/>
        </w:rPr>
        <w:noBreakHyphen/>
        <w:t xml:space="preserve"> Whether question can be found identical, similar or related within meaning of art. 1003(</w:t>
      </w:r>
      <w:r w:rsidRPr="00972800">
        <w:rPr>
          <w:i/>
          <w:sz w:val="20"/>
          <w:szCs w:val="20"/>
        </w:rPr>
        <w:t>a</w:t>
      </w:r>
      <w:r w:rsidRPr="00972800">
        <w:rPr>
          <w:sz w:val="20"/>
          <w:szCs w:val="20"/>
        </w:rPr>
        <w:t xml:space="preserve">) </w:t>
      </w:r>
      <w:r w:rsidRPr="00972800">
        <w:rPr>
          <w:i/>
          <w:sz w:val="20"/>
          <w:szCs w:val="20"/>
        </w:rPr>
        <w:t>C.C.P. </w:t>
      </w:r>
      <w:r w:rsidRPr="00972800">
        <w:rPr>
          <w:sz w:val="20"/>
          <w:szCs w:val="20"/>
        </w:rPr>
        <w:t xml:space="preserve">if it appears from record that underlying analysis and answer to question posed will likely be different from one subgroup to another </w:t>
      </w:r>
      <w:r w:rsidRPr="00972800">
        <w:rPr>
          <w:sz w:val="20"/>
          <w:szCs w:val="20"/>
        </w:rPr>
        <w:noBreakHyphen/>
        <w:t xml:space="preserve"> Test laid down in </w:t>
      </w:r>
      <w:r w:rsidRPr="00972800">
        <w:rPr>
          <w:i/>
          <w:sz w:val="20"/>
          <w:szCs w:val="20"/>
        </w:rPr>
        <w:t>Western Canadian Shopping Centres Inc. v. Dutton</w:t>
      </w:r>
      <w:r w:rsidRPr="00972800">
        <w:rPr>
          <w:sz w:val="20"/>
          <w:szCs w:val="20"/>
        </w:rPr>
        <w:t xml:space="preserve">, [2001] 2 S.C.R. 534 </w:t>
      </w:r>
      <w:r w:rsidRPr="00972800">
        <w:rPr>
          <w:sz w:val="20"/>
          <w:szCs w:val="20"/>
        </w:rPr>
        <w:noBreakHyphen/>
        <w:t xml:space="preserve"> </w:t>
      </w:r>
      <w:r w:rsidRPr="00972800">
        <w:rPr>
          <w:i/>
          <w:sz w:val="20"/>
          <w:szCs w:val="20"/>
        </w:rPr>
        <w:t>Code of Civil Procedure</w:t>
      </w:r>
      <w:r w:rsidRPr="00972800">
        <w:rPr>
          <w:sz w:val="20"/>
          <w:szCs w:val="20"/>
        </w:rPr>
        <w:t>, R.S.Q. c. C</w:t>
      </w:r>
      <w:r w:rsidRPr="00972800">
        <w:rPr>
          <w:sz w:val="20"/>
          <w:szCs w:val="20"/>
        </w:rPr>
        <w:noBreakHyphen/>
        <w:t>25, art. 1003(</w:t>
      </w:r>
      <w:r w:rsidRPr="00972800">
        <w:rPr>
          <w:i/>
          <w:sz w:val="20"/>
          <w:szCs w:val="20"/>
        </w:rPr>
        <w:t>a</w:t>
      </w:r>
      <w:r w:rsidRPr="00972800">
        <w:rPr>
          <w:sz w:val="20"/>
          <w:szCs w:val="20"/>
        </w:rPr>
        <w:t>).</w:t>
      </w:r>
    </w:p>
    <w:p w:rsidR="00E26E38" w:rsidRPr="00972800" w:rsidRDefault="00E26E38" w:rsidP="00E26E38">
      <w:pPr>
        <w:widowControl w:val="0"/>
        <w:jc w:val="both"/>
        <w:rPr>
          <w:sz w:val="20"/>
          <w:szCs w:val="20"/>
        </w:rPr>
      </w:pPr>
    </w:p>
    <w:p w:rsidR="00E26E38" w:rsidRPr="00972800" w:rsidRDefault="00E26E38" w:rsidP="00E26E38">
      <w:pPr>
        <w:widowControl w:val="0"/>
        <w:jc w:val="both"/>
        <w:rPr>
          <w:sz w:val="20"/>
          <w:szCs w:val="20"/>
        </w:rPr>
      </w:pPr>
      <w:r w:rsidRPr="00972800">
        <w:rPr>
          <w:sz w:val="20"/>
          <w:szCs w:val="20"/>
        </w:rPr>
        <w:t>The respondent, Michel Dell’Aniello, is a former employee of the Seagram Company Limited (“Seagram”) and the vice</w:t>
      </w:r>
      <w:r w:rsidRPr="00972800">
        <w:rPr>
          <w:sz w:val="20"/>
          <w:szCs w:val="20"/>
        </w:rPr>
        <w:noBreakHyphen/>
        <w:t>president of a Seagram subsidiary.  In December 2000, Vivendi S.A. acquired Seagram, which at the time was a leading producer of wine and spirits in Canada.  In December 2001, Seagram’s assets related to the production and distribution of wine and spirits were sold.  Seagram then became Vivendi Universal Canada Inc., which in turn became Vivendi Canada Inc.  The employment contract of Seagram’s officers and employees had various components, including the supplementary health insurance plan, the predecessor of the current insurance coverage plan (“plan”), which covered them and their dependents both during their working lives and for the full length of their retirement, as shown by a 1977 document describing the plan.  Seagram’s plan covered employees not only during their working lives but also for the full length of their retirement.  On July 15, 1985, the plan was revised and its name changed to Supplementary (Extended) Health Insurance.  The company added the following footnote, which had not been in the 1977 document:  “While Seagram expects to continue this Supplementary Health Insurance Plan indefinitely, future conditions cannot be foreseen, thus it necessarily reserves the right to modify or suspend the Plan at any time, or to increase the portion of the cost you pay, whether you are active or retired.”  On September 5, 2008, Vivendi wrote to all retirees and surviving spouses to inform them that it was unilaterally reducing the plan’s benefits starting on January 1, 2009.  Only retirees were still in the plan, since Vivendi no longer had any operations in Canada related to the production and distribution of wine and spirits.</w:t>
      </w:r>
    </w:p>
    <w:p w:rsidR="00E26E38" w:rsidRPr="00972800" w:rsidRDefault="00E26E38" w:rsidP="00E26E38">
      <w:pPr>
        <w:widowControl w:val="0"/>
        <w:jc w:val="both"/>
        <w:rPr>
          <w:sz w:val="20"/>
          <w:szCs w:val="20"/>
        </w:rPr>
      </w:pPr>
    </w:p>
    <w:p w:rsidR="00E26E38" w:rsidRPr="00972800" w:rsidRDefault="00E26E38" w:rsidP="00E26E38">
      <w:pPr>
        <w:widowControl w:val="0"/>
        <w:jc w:val="both"/>
        <w:rPr>
          <w:sz w:val="20"/>
          <w:szCs w:val="20"/>
        </w:rPr>
      </w:pPr>
    </w:p>
    <w:p w:rsidR="00E26E38" w:rsidRPr="00972800" w:rsidRDefault="00E26E38" w:rsidP="00A72437">
      <w:pPr>
        <w:widowControl w:val="0"/>
        <w:ind w:left="2880" w:hanging="2880"/>
        <w:jc w:val="both"/>
        <w:rPr>
          <w:sz w:val="20"/>
          <w:szCs w:val="20"/>
        </w:rPr>
      </w:pPr>
      <w:r w:rsidRPr="00972800">
        <w:rPr>
          <w:sz w:val="20"/>
          <w:szCs w:val="20"/>
        </w:rPr>
        <w:t>Origin of the case:</w:t>
      </w:r>
      <w:r w:rsidRPr="00972800">
        <w:rPr>
          <w:sz w:val="20"/>
          <w:szCs w:val="20"/>
        </w:rPr>
        <w:tab/>
        <w:t>Quebec</w:t>
      </w:r>
    </w:p>
    <w:p w:rsidR="00E26E38" w:rsidRPr="00972800" w:rsidRDefault="00E26E38" w:rsidP="00A72437">
      <w:pPr>
        <w:widowControl w:val="0"/>
        <w:ind w:left="2880" w:hanging="2880"/>
        <w:jc w:val="both"/>
        <w:rPr>
          <w:sz w:val="20"/>
          <w:szCs w:val="20"/>
        </w:rPr>
      </w:pPr>
    </w:p>
    <w:p w:rsidR="00E26E38" w:rsidRPr="00972800" w:rsidRDefault="00E26E38" w:rsidP="00A72437">
      <w:pPr>
        <w:widowControl w:val="0"/>
        <w:ind w:left="2880" w:hanging="2880"/>
        <w:jc w:val="both"/>
        <w:rPr>
          <w:sz w:val="20"/>
          <w:szCs w:val="20"/>
        </w:rPr>
      </w:pPr>
      <w:r w:rsidRPr="00972800">
        <w:rPr>
          <w:sz w:val="20"/>
          <w:szCs w:val="20"/>
        </w:rPr>
        <w:t>File No.:</w:t>
      </w:r>
      <w:r w:rsidRPr="00972800">
        <w:rPr>
          <w:sz w:val="20"/>
          <w:szCs w:val="20"/>
        </w:rPr>
        <w:tab/>
        <w:t>34800</w:t>
      </w:r>
    </w:p>
    <w:p w:rsidR="00E26E38" w:rsidRPr="00972800" w:rsidRDefault="00E26E38" w:rsidP="00A72437">
      <w:pPr>
        <w:widowControl w:val="0"/>
        <w:ind w:left="2880" w:hanging="2880"/>
        <w:jc w:val="both"/>
        <w:rPr>
          <w:sz w:val="20"/>
          <w:szCs w:val="20"/>
        </w:rPr>
      </w:pPr>
    </w:p>
    <w:p w:rsidR="00E26E38" w:rsidRPr="00972800" w:rsidRDefault="00E26E38" w:rsidP="00A72437">
      <w:pPr>
        <w:widowControl w:val="0"/>
        <w:ind w:left="2880" w:hanging="2880"/>
        <w:jc w:val="both"/>
        <w:rPr>
          <w:sz w:val="20"/>
          <w:szCs w:val="20"/>
        </w:rPr>
      </w:pPr>
      <w:r w:rsidRPr="00972800">
        <w:rPr>
          <w:sz w:val="20"/>
          <w:szCs w:val="20"/>
        </w:rPr>
        <w:t>Judgment of the Court of Appeal:</w:t>
      </w:r>
      <w:r w:rsidRPr="00972800">
        <w:rPr>
          <w:sz w:val="20"/>
          <w:szCs w:val="20"/>
        </w:rPr>
        <w:tab/>
        <w:t>February 29, 2012</w:t>
      </w:r>
    </w:p>
    <w:p w:rsidR="00E26E38" w:rsidRPr="00972800" w:rsidRDefault="00E26E38" w:rsidP="00A72437">
      <w:pPr>
        <w:widowControl w:val="0"/>
        <w:ind w:left="2880" w:hanging="2880"/>
        <w:jc w:val="both"/>
        <w:rPr>
          <w:sz w:val="20"/>
          <w:szCs w:val="20"/>
        </w:rPr>
      </w:pPr>
    </w:p>
    <w:p w:rsidR="00E26E38" w:rsidRPr="00972800" w:rsidRDefault="00E26E38" w:rsidP="00A72437">
      <w:pPr>
        <w:widowControl w:val="0"/>
        <w:ind w:left="2880" w:hanging="2880"/>
        <w:jc w:val="both"/>
        <w:rPr>
          <w:sz w:val="20"/>
          <w:szCs w:val="20"/>
        </w:rPr>
      </w:pPr>
      <w:r w:rsidRPr="00972800">
        <w:rPr>
          <w:sz w:val="20"/>
          <w:szCs w:val="20"/>
        </w:rPr>
        <w:t>Counsel:</w:t>
      </w:r>
      <w:r>
        <w:rPr>
          <w:sz w:val="20"/>
          <w:szCs w:val="20"/>
        </w:rPr>
        <w:tab/>
      </w:r>
      <w:r w:rsidRPr="00972800">
        <w:rPr>
          <w:sz w:val="20"/>
          <w:szCs w:val="20"/>
        </w:rPr>
        <w:t>Michel B. Benoit, Sylvain Lussier, Ad. E., and Julien Ranger</w:t>
      </w:r>
      <w:r w:rsidR="00A57C27">
        <w:rPr>
          <w:sz w:val="20"/>
          <w:szCs w:val="20"/>
        </w:rPr>
        <w:t>-</w:t>
      </w:r>
      <w:r w:rsidRPr="00972800">
        <w:rPr>
          <w:sz w:val="20"/>
          <w:szCs w:val="20"/>
        </w:rPr>
        <w:t>Musiol for the appellant</w:t>
      </w:r>
    </w:p>
    <w:p w:rsidR="00E26E38" w:rsidRPr="00972800" w:rsidRDefault="00E26E38" w:rsidP="00A72437">
      <w:pPr>
        <w:widowControl w:val="0"/>
        <w:ind w:left="2880" w:hanging="2880"/>
        <w:jc w:val="both"/>
        <w:rPr>
          <w:sz w:val="20"/>
          <w:szCs w:val="20"/>
        </w:rPr>
      </w:pPr>
      <w:r>
        <w:rPr>
          <w:sz w:val="20"/>
          <w:szCs w:val="20"/>
        </w:rPr>
        <w:tab/>
      </w:r>
      <w:r w:rsidRPr="00972800">
        <w:rPr>
          <w:sz w:val="20"/>
          <w:szCs w:val="20"/>
        </w:rPr>
        <w:t>Claude Tardif and Catherine Massé</w:t>
      </w:r>
      <w:r w:rsidR="00A57C27">
        <w:rPr>
          <w:sz w:val="20"/>
          <w:szCs w:val="20"/>
        </w:rPr>
        <w:t>-</w:t>
      </w:r>
      <w:r w:rsidRPr="00972800">
        <w:rPr>
          <w:sz w:val="20"/>
          <w:szCs w:val="20"/>
        </w:rPr>
        <w:t>Lacoste for the respondent</w:t>
      </w:r>
    </w:p>
    <w:p w:rsidR="00E26E38" w:rsidRPr="00A33A9D" w:rsidRDefault="00E26E38" w:rsidP="00E26E38">
      <w:pPr>
        <w:jc w:val="both"/>
        <w:rPr>
          <w:sz w:val="20"/>
          <w:szCs w:val="20"/>
          <w:lang w:val="en-US"/>
        </w:rPr>
      </w:pPr>
    </w:p>
    <w:p w:rsidR="00E26E38" w:rsidRDefault="00B74DD2" w:rsidP="00E26E38">
      <w:pPr>
        <w:tabs>
          <w:tab w:val="left" w:pos="-1440"/>
          <w:tab w:val="left" w:pos="-720"/>
        </w:tabs>
        <w:jc w:val="both"/>
        <w:rPr>
          <w:sz w:val="20"/>
          <w:szCs w:val="20"/>
          <w:lang w:val="fr-CA"/>
        </w:rPr>
      </w:pPr>
      <w:r w:rsidRPr="00B74DD2">
        <w:rPr>
          <w:sz w:val="20"/>
          <w:szCs w:val="20"/>
          <w:lang w:val="fr-CA"/>
        </w:rPr>
        <w:pict>
          <v:rect id="_x0000_i1100" style="width:2in;height:1pt" o:hrpct="0" o:hralign="center" o:hrstd="t" o:hrnoshade="t" o:hr="t" fillcolor="black [3213]" stroked="f"/>
        </w:pict>
      </w:r>
    </w:p>
    <w:p w:rsidR="00E26E38" w:rsidRDefault="00E26E38" w:rsidP="00E26E38">
      <w:pPr>
        <w:tabs>
          <w:tab w:val="left" w:pos="-1440"/>
          <w:tab w:val="left" w:pos="-720"/>
        </w:tabs>
        <w:jc w:val="both"/>
        <w:rPr>
          <w:sz w:val="20"/>
          <w:szCs w:val="20"/>
          <w:lang w:val="fr-CA"/>
        </w:rPr>
      </w:pPr>
    </w:p>
    <w:p w:rsidR="00E26E38" w:rsidRDefault="00E26E38" w:rsidP="00E26E38">
      <w:pPr>
        <w:rPr>
          <w:sz w:val="20"/>
          <w:szCs w:val="20"/>
          <w:lang w:val="fr-CA"/>
        </w:rPr>
      </w:pPr>
      <w:r>
        <w:rPr>
          <w:sz w:val="20"/>
          <w:szCs w:val="20"/>
          <w:lang w:val="fr-CA"/>
        </w:rPr>
        <w:br w:type="page"/>
      </w:r>
    </w:p>
    <w:p w:rsidR="00E26E38" w:rsidRPr="00972800" w:rsidRDefault="00B74DD2" w:rsidP="00E26E38">
      <w:pPr>
        <w:widowControl w:val="0"/>
        <w:ind w:left="720" w:hanging="720"/>
        <w:jc w:val="both"/>
        <w:rPr>
          <w:sz w:val="20"/>
          <w:szCs w:val="20"/>
          <w:lang w:val="fr-CA"/>
        </w:rPr>
      </w:pPr>
      <w:r w:rsidRPr="00B74DD2">
        <w:rPr>
          <w:b/>
          <w:sz w:val="20"/>
          <w:szCs w:val="20"/>
          <w:lang w:val="fr-CA"/>
        </w:rPr>
        <w:fldChar w:fldCharType="begin"/>
      </w:r>
      <w:r w:rsidR="00E26E38" w:rsidRPr="00972800">
        <w:rPr>
          <w:b/>
          <w:sz w:val="20"/>
          <w:szCs w:val="20"/>
          <w:lang w:val="fr-CA"/>
        </w:rPr>
        <w:instrText xml:space="preserve"> SEQ CHAPTER \h \r 1</w:instrText>
      </w:r>
      <w:r w:rsidRPr="00972800">
        <w:rPr>
          <w:b/>
          <w:sz w:val="20"/>
          <w:szCs w:val="20"/>
        </w:rPr>
        <w:fldChar w:fldCharType="end"/>
      </w:r>
      <w:r w:rsidR="00E26E38" w:rsidRPr="00972800">
        <w:rPr>
          <w:b/>
          <w:sz w:val="20"/>
          <w:szCs w:val="20"/>
          <w:lang w:val="fr-CA"/>
        </w:rPr>
        <w:t>34800</w:t>
      </w:r>
      <w:r w:rsidR="00E26E38" w:rsidRPr="00972800">
        <w:rPr>
          <w:sz w:val="20"/>
          <w:szCs w:val="20"/>
          <w:lang w:val="fr-CA"/>
        </w:rPr>
        <w:tab/>
      </w:r>
      <w:r w:rsidR="00E26E38" w:rsidRPr="00972800">
        <w:rPr>
          <w:b/>
          <w:i/>
          <w:sz w:val="20"/>
          <w:szCs w:val="20"/>
          <w:lang w:val="fr-CA"/>
        </w:rPr>
        <w:t>Vivendi Canada Inc. c. Michel Dell’Aniello</w:t>
      </w:r>
    </w:p>
    <w:p w:rsidR="00E26E38" w:rsidRPr="00972800" w:rsidRDefault="00E26E38" w:rsidP="00E26E38">
      <w:pPr>
        <w:widowControl w:val="0"/>
        <w:jc w:val="both"/>
        <w:rPr>
          <w:sz w:val="20"/>
          <w:szCs w:val="20"/>
          <w:lang w:val="fr-CA"/>
        </w:rPr>
      </w:pPr>
    </w:p>
    <w:p w:rsidR="00E26E38" w:rsidRPr="00972800" w:rsidRDefault="00E26E38" w:rsidP="00E26E38">
      <w:pPr>
        <w:widowControl w:val="0"/>
        <w:jc w:val="both"/>
        <w:rPr>
          <w:sz w:val="20"/>
          <w:szCs w:val="20"/>
          <w:lang w:val="fr-CA"/>
        </w:rPr>
      </w:pPr>
      <w:r w:rsidRPr="00972800">
        <w:rPr>
          <w:sz w:val="20"/>
          <w:szCs w:val="20"/>
          <w:lang w:val="fr-CA"/>
        </w:rPr>
        <w:t>Procédure civile - Recours collectifs - Conditions d’exercice - Membres du groupe proposé - Prestations d’assurance post-retraites -</w:t>
      </w:r>
      <w:r w:rsidR="009341C3">
        <w:rPr>
          <w:sz w:val="20"/>
          <w:szCs w:val="20"/>
          <w:lang w:val="fr-CA"/>
        </w:rPr>
        <w:t xml:space="preserve"> </w:t>
      </w:r>
      <w:r w:rsidRPr="00972800">
        <w:rPr>
          <w:sz w:val="20"/>
          <w:szCs w:val="20"/>
          <w:lang w:val="fr-CA"/>
        </w:rPr>
        <w:t xml:space="preserve">Quelle est la norme d’intervention applicable en appel d’une décision ayant déterminé qu’une question n’est pas identique, similaire ou connexe? - Une question peut-elle être déclarée identique, similaire ou connexe au sens du par. 1003a) </w:t>
      </w:r>
      <w:r w:rsidRPr="00972800">
        <w:rPr>
          <w:i/>
          <w:sz w:val="20"/>
          <w:szCs w:val="20"/>
          <w:lang w:val="fr-CA"/>
        </w:rPr>
        <w:t>C.p.c.</w:t>
      </w:r>
      <w:r w:rsidRPr="00972800">
        <w:rPr>
          <w:sz w:val="20"/>
          <w:szCs w:val="20"/>
          <w:lang w:val="fr-CA"/>
        </w:rPr>
        <w:t xml:space="preserve"> s’il appert du dossier que l’analyse sous-jacente et la réponse à la question posée seront vraisemblablement différents d’un sous-groupe à l’autre? - Test prescrit dans l’arrêt </w:t>
      </w:r>
      <w:r w:rsidRPr="00972800">
        <w:rPr>
          <w:i/>
          <w:sz w:val="20"/>
          <w:szCs w:val="20"/>
          <w:lang w:val="fr-CA"/>
        </w:rPr>
        <w:t>Western Canadian Shopping Centres Inc. c. Dutton</w:t>
      </w:r>
      <w:r w:rsidRPr="00972800">
        <w:rPr>
          <w:sz w:val="20"/>
          <w:szCs w:val="20"/>
          <w:lang w:val="fr-CA"/>
        </w:rPr>
        <w:t xml:space="preserve">, [2001] 2 R.C.S. 534 - </w:t>
      </w:r>
      <w:r w:rsidRPr="00972800">
        <w:rPr>
          <w:i/>
          <w:sz w:val="20"/>
          <w:szCs w:val="20"/>
          <w:lang w:val="fr-CA"/>
        </w:rPr>
        <w:t>Code de procédure civile</w:t>
      </w:r>
      <w:r w:rsidRPr="00972800">
        <w:rPr>
          <w:sz w:val="20"/>
          <w:szCs w:val="20"/>
          <w:lang w:val="fr-CA"/>
        </w:rPr>
        <w:t>, L.R.Q. ch. C-25, art. 1003a).</w:t>
      </w:r>
    </w:p>
    <w:p w:rsidR="00E26E38" w:rsidRPr="00972800" w:rsidRDefault="00E26E38" w:rsidP="00E26E38">
      <w:pPr>
        <w:widowControl w:val="0"/>
        <w:jc w:val="both"/>
        <w:rPr>
          <w:sz w:val="20"/>
          <w:szCs w:val="20"/>
          <w:lang w:val="fr-CA"/>
        </w:rPr>
      </w:pPr>
    </w:p>
    <w:p w:rsidR="00E26E38" w:rsidRPr="00972800" w:rsidRDefault="00E26E38" w:rsidP="00E26E38">
      <w:pPr>
        <w:widowControl w:val="0"/>
        <w:jc w:val="both"/>
        <w:rPr>
          <w:sz w:val="20"/>
          <w:szCs w:val="20"/>
          <w:lang w:val="fr-CA"/>
        </w:rPr>
      </w:pPr>
      <w:r w:rsidRPr="00972800">
        <w:rPr>
          <w:sz w:val="20"/>
          <w:szCs w:val="20"/>
          <w:lang w:val="fr-CA"/>
        </w:rPr>
        <w:t xml:space="preserve">L’intimé, Michel Dell’Aniello, est un ancien employé de la Compagnie Seagram Limitée (« Seagram »), et vice-président d’une filiale de la compagnie Seagram.  En décembre 2000, Vivendi S.A. acquiert Seagram, alors chef de file au Canada dans la production de vins et spiritueux.  En décembre 2001, les actifs reliés à la production et à la distribution de vins et spiritueux de Seagram sont vendus, Seagram devient alors Vivendi Universal Canada Inc. qui, à son tour, devient Vivendi Canada Inc.  Le contrat d’emploi des membres de la direction et salariés de Seagram comprend différentes composantes dont, notamment, le régime d’assurance maladie complémentaire, soit l’ancêtre du régime de couverture d’assurance (« Régime ») actuel, qui les couvrait, ainsi que leurs personnes à charge, tant pendant leur vie active de travail que pendant toute la durée de leur retraite, tel qu’il appert d’un document en date de 1977 décrivant le Régime.  Le Régime de Seagram couvre les employés non seulement pendant leur vie active, mais également pendant toute la durée de la retraite.  Le 15 juillet 1985, le nom du Régime est changé en </w:t>
      </w:r>
      <w:r w:rsidRPr="00972800">
        <w:rPr>
          <w:i/>
          <w:sz w:val="20"/>
          <w:szCs w:val="20"/>
          <w:lang w:val="fr-CA"/>
        </w:rPr>
        <w:t>Supplementary (Extended) Health Insurance</w:t>
      </w:r>
      <w:r w:rsidRPr="00972800">
        <w:rPr>
          <w:sz w:val="20"/>
          <w:szCs w:val="20"/>
          <w:lang w:val="fr-CA"/>
        </w:rPr>
        <w:t xml:space="preserve"> et il est révisé.  </w:t>
      </w:r>
      <w:r w:rsidRPr="00972800">
        <w:rPr>
          <w:sz w:val="20"/>
          <w:szCs w:val="20"/>
        </w:rPr>
        <w:t xml:space="preserve">La compagnie ajoute une note de bas de page qui n’existe pas dans le document de 1977 et qui indique : « While Seagram expects to continue this Supplementary Health Insurance Plan indefinitely, future conditions cannot be foreseen, thus it necessarily reserves the right to modify or suspend the Plan at any time, or to increase the portion of the cost you pay, whether you are active or retired ».  </w:t>
      </w:r>
      <w:r w:rsidRPr="00972800">
        <w:rPr>
          <w:sz w:val="20"/>
          <w:szCs w:val="20"/>
          <w:lang w:val="fr-CA"/>
        </w:rPr>
        <w:t>Le 5 septembre 2008, Vivendi écrit à tous les retraités et conjoints survivants pour les informer qu’elle réduit unilatéralement les bénéfices du Régime à compter du 1</w:t>
      </w:r>
      <w:r w:rsidRPr="00972800">
        <w:rPr>
          <w:sz w:val="20"/>
          <w:szCs w:val="20"/>
          <w:vertAlign w:val="superscript"/>
          <w:lang w:val="fr-CA"/>
        </w:rPr>
        <w:t>er</w:t>
      </w:r>
      <w:r w:rsidRPr="00972800">
        <w:rPr>
          <w:sz w:val="20"/>
          <w:szCs w:val="20"/>
          <w:lang w:val="fr-CA"/>
        </w:rPr>
        <w:t> janvier 2009.  Le Régime ne compte plus que des retraités puisque Vivendi n’a plus d’opérations au Canada reliées à la production et à la distribution de vins et spiritueux.</w:t>
      </w:r>
    </w:p>
    <w:p w:rsidR="00E26E38" w:rsidRPr="00972800" w:rsidRDefault="00E26E38" w:rsidP="00E26E38">
      <w:pPr>
        <w:widowControl w:val="0"/>
        <w:jc w:val="both"/>
        <w:rPr>
          <w:sz w:val="20"/>
          <w:szCs w:val="20"/>
          <w:lang w:val="fr-CA"/>
        </w:rPr>
      </w:pPr>
    </w:p>
    <w:p w:rsidR="00E26E38" w:rsidRPr="00972800" w:rsidRDefault="00E26E38" w:rsidP="00E26E38">
      <w:pPr>
        <w:widowControl w:val="0"/>
        <w:jc w:val="both"/>
        <w:rPr>
          <w:sz w:val="20"/>
          <w:szCs w:val="20"/>
          <w:lang w:val="fr-CA"/>
        </w:rPr>
      </w:pPr>
    </w:p>
    <w:p w:rsidR="00E26E38" w:rsidRPr="00972800" w:rsidRDefault="00E26E38" w:rsidP="00A72437">
      <w:pPr>
        <w:widowControl w:val="0"/>
        <w:ind w:left="2880" w:hanging="2880"/>
        <w:jc w:val="both"/>
        <w:rPr>
          <w:sz w:val="20"/>
          <w:szCs w:val="20"/>
          <w:lang w:val="fr-CA"/>
        </w:rPr>
      </w:pPr>
      <w:r w:rsidRPr="00972800">
        <w:rPr>
          <w:sz w:val="20"/>
          <w:szCs w:val="20"/>
          <w:lang w:val="fr-CA"/>
        </w:rPr>
        <w:t>Origine :</w:t>
      </w:r>
      <w:r w:rsidRPr="00972800">
        <w:rPr>
          <w:sz w:val="20"/>
          <w:szCs w:val="20"/>
          <w:lang w:val="fr-CA"/>
        </w:rPr>
        <w:tab/>
        <w:t>Québec</w:t>
      </w:r>
    </w:p>
    <w:p w:rsidR="00E26E38" w:rsidRPr="00972800" w:rsidRDefault="00E26E38" w:rsidP="00A72437">
      <w:pPr>
        <w:widowControl w:val="0"/>
        <w:ind w:left="2880" w:hanging="2880"/>
        <w:jc w:val="both"/>
        <w:rPr>
          <w:sz w:val="20"/>
          <w:szCs w:val="20"/>
          <w:lang w:val="fr-CA"/>
        </w:rPr>
      </w:pPr>
    </w:p>
    <w:p w:rsidR="00E26E38" w:rsidRPr="00972800" w:rsidRDefault="00E26E38" w:rsidP="00A72437">
      <w:pPr>
        <w:widowControl w:val="0"/>
        <w:ind w:left="2880" w:hanging="2880"/>
        <w:jc w:val="both"/>
        <w:rPr>
          <w:sz w:val="20"/>
          <w:szCs w:val="20"/>
          <w:lang w:val="fr-CA"/>
        </w:rPr>
      </w:pPr>
      <w:r w:rsidRPr="00972800">
        <w:rPr>
          <w:sz w:val="20"/>
          <w:szCs w:val="20"/>
          <w:lang w:val="fr-CA"/>
        </w:rPr>
        <w:t>N</w:t>
      </w:r>
      <w:r w:rsidRPr="00972800">
        <w:rPr>
          <w:sz w:val="20"/>
          <w:szCs w:val="20"/>
          <w:vertAlign w:val="superscript"/>
          <w:lang w:val="fr-CA"/>
        </w:rPr>
        <w:t>o</w:t>
      </w:r>
      <w:r w:rsidRPr="00972800">
        <w:rPr>
          <w:sz w:val="20"/>
          <w:szCs w:val="20"/>
          <w:lang w:val="fr-CA"/>
        </w:rPr>
        <w:t xml:space="preserve"> du greffe :</w:t>
      </w:r>
      <w:r w:rsidRPr="00972800">
        <w:rPr>
          <w:sz w:val="20"/>
          <w:szCs w:val="20"/>
          <w:lang w:val="fr-CA"/>
        </w:rPr>
        <w:tab/>
        <w:t>34800</w:t>
      </w:r>
    </w:p>
    <w:p w:rsidR="00E26E38" w:rsidRPr="00972800" w:rsidRDefault="00E26E38" w:rsidP="00A72437">
      <w:pPr>
        <w:widowControl w:val="0"/>
        <w:ind w:left="2880" w:hanging="2880"/>
        <w:jc w:val="both"/>
        <w:rPr>
          <w:sz w:val="20"/>
          <w:szCs w:val="20"/>
          <w:lang w:val="fr-CA"/>
        </w:rPr>
      </w:pPr>
    </w:p>
    <w:p w:rsidR="00E26E38" w:rsidRPr="00972800" w:rsidRDefault="00E26E38" w:rsidP="00A72437">
      <w:pPr>
        <w:widowControl w:val="0"/>
        <w:ind w:left="2880" w:hanging="2880"/>
        <w:jc w:val="both"/>
        <w:rPr>
          <w:sz w:val="20"/>
          <w:szCs w:val="20"/>
          <w:lang w:val="fr-CA"/>
        </w:rPr>
      </w:pPr>
      <w:r w:rsidRPr="00972800">
        <w:rPr>
          <w:sz w:val="20"/>
          <w:szCs w:val="20"/>
          <w:lang w:val="fr-CA"/>
        </w:rPr>
        <w:t>Arrêt de la Cour d’appel :</w:t>
      </w:r>
      <w:r w:rsidRPr="00972800">
        <w:rPr>
          <w:sz w:val="20"/>
          <w:szCs w:val="20"/>
          <w:lang w:val="fr-CA"/>
        </w:rPr>
        <w:tab/>
        <w:t>Le 29 février 2012</w:t>
      </w:r>
    </w:p>
    <w:p w:rsidR="00E26E38" w:rsidRPr="00972800" w:rsidRDefault="00E26E38" w:rsidP="00A72437">
      <w:pPr>
        <w:widowControl w:val="0"/>
        <w:ind w:left="2880" w:hanging="2880"/>
        <w:jc w:val="both"/>
        <w:rPr>
          <w:sz w:val="20"/>
          <w:szCs w:val="20"/>
          <w:lang w:val="fr-CA"/>
        </w:rPr>
      </w:pPr>
    </w:p>
    <w:p w:rsidR="00E26E38" w:rsidRPr="00972800" w:rsidRDefault="00E26E38" w:rsidP="00A72437">
      <w:pPr>
        <w:widowControl w:val="0"/>
        <w:ind w:left="2880" w:hanging="2880"/>
        <w:jc w:val="both"/>
        <w:rPr>
          <w:sz w:val="20"/>
          <w:szCs w:val="20"/>
          <w:lang w:val="fr-CA"/>
        </w:rPr>
      </w:pPr>
      <w:r w:rsidRPr="00972800">
        <w:rPr>
          <w:sz w:val="20"/>
          <w:szCs w:val="20"/>
          <w:lang w:val="fr-CA"/>
        </w:rPr>
        <w:t>Avocats :</w:t>
      </w:r>
      <w:r w:rsidRPr="00972800">
        <w:rPr>
          <w:sz w:val="20"/>
          <w:szCs w:val="20"/>
          <w:lang w:val="fr-CA"/>
        </w:rPr>
        <w:tab/>
        <w:t>Michel B. Benoit, Sylvain Lussier, Ad. E. et Julien Ranger</w:t>
      </w:r>
      <w:r w:rsidR="00A72437">
        <w:rPr>
          <w:sz w:val="20"/>
          <w:szCs w:val="20"/>
          <w:lang w:val="fr-CA"/>
        </w:rPr>
        <w:t>-</w:t>
      </w:r>
      <w:r w:rsidRPr="00972800">
        <w:rPr>
          <w:sz w:val="20"/>
          <w:szCs w:val="20"/>
          <w:lang w:val="fr-CA"/>
        </w:rPr>
        <w:t>Musiol pour l’appelante</w:t>
      </w:r>
    </w:p>
    <w:p w:rsidR="00E26E38" w:rsidRPr="00972800" w:rsidRDefault="00E26E38" w:rsidP="00A72437">
      <w:pPr>
        <w:widowControl w:val="0"/>
        <w:ind w:left="2880" w:hanging="2880"/>
        <w:jc w:val="both"/>
        <w:rPr>
          <w:sz w:val="20"/>
          <w:szCs w:val="20"/>
          <w:lang w:val="fr-CA"/>
        </w:rPr>
      </w:pPr>
      <w:r w:rsidRPr="00972800">
        <w:rPr>
          <w:sz w:val="20"/>
          <w:szCs w:val="20"/>
          <w:lang w:val="fr-CA"/>
        </w:rPr>
        <w:tab/>
        <w:t>Claude Tardif et Catherine Massé-Lacoste pour l’intimé</w:t>
      </w:r>
    </w:p>
    <w:p w:rsidR="00E26E38" w:rsidRPr="00972800" w:rsidRDefault="00E26E38" w:rsidP="00E26E38">
      <w:pPr>
        <w:jc w:val="both"/>
        <w:rPr>
          <w:sz w:val="20"/>
          <w:szCs w:val="20"/>
          <w:lang w:val="fr-CA"/>
        </w:rPr>
      </w:pPr>
    </w:p>
    <w:p w:rsidR="00E26E38" w:rsidRDefault="00B74DD2" w:rsidP="00E26E38">
      <w:pPr>
        <w:tabs>
          <w:tab w:val="left" w:pos="-1440"/>
          <w:tab w:val="left" w:pos="-720"/>
        </w:tabs>
        <w:jc w:val="both"/>
        <w:rPr>
          <w:sz w:val="20"/>
          <w:szCs w:val="20"/>
          <w:lang w:val="fr-CA"/>
        </w:rPr>
      </w:pPr>
      <w:r w:rsidRPr="00B74DD2">
        <w:rPr>
          <w:sz w:val="20"/>
          <w:szCs w:val="20"/>
          <w:lang w:val="fr-CA"/>
        </w:rPr>
        <w:pict>
          <v:rect id="_x0000_i1101" style="width:2in;height:1pt" o:hrpct="0" o:hralign="center" o:hrstd="t" o:hrnoshade="t" o:hr="t" fillcolor="black [3213]" stroked="f"/>
        </w:pict>
      </w:r>
    </w:p>
    <w:p w:rsidR="00E26E38" w:rsidRDefault="00E26E38" w:rsidP="00E26E38">
      <w:pPr>
        <w:tabs>
          <w:tab w:val="left" w:pos="-1440"/>
          <w:tab w:val="left" w:pos="-720"/>
        </w:tabs>
        <w:jc w:val="both"/>
        <w:rPr>
          <w:sz w:val="20"/>
          <w:szCs w:val="20"/>
          <w:lang w:val="fr-CA"/>
        </w:rPr>
      </w:pPr>
    </w:p>
    <w:p w:rsidR="00E26E38" w:rsidRDefault="00E26E38" w:rsidP="00E26E38">
      <w:pPr>
        <w:rPr>
          <w:sz w:val="20"/>
          <w:szCs w:val="20"/>
          <w:lang w:val="fr-CA"/>
        </w:rPr>
      </w:pPr>
      <w:r>
        <w:rPr>
          <w:sz w:val="20"/>
          <w:szCs w:val="20"/>
          <w:lang w:val="fr-CA"/>
        </w:rPr>
        <w:br w:type="page"/>
      </w:r>
    </w:p>
    <w:p w:rsidR="00E26E38" w:rsidRPr="00972800" w:rsidRDefault="00B74DD2" w:rsidP="00E26E38">
      <w:pPr>
        <w:widowControl w:val="0"/>
        <w:ind w:left="720" w:hanging="720"/>
        <w:jc w:val="both"/>
        <w:rPr>
          <w:sz w:val="20"/>
          <w:szCs w:val="20"/>
        </w:rPr>
      </w:pPr>
      <w:r w:rsidRPr="00972800">
        <w:rPr>
          <w:b/>
          <w:sz w:val="20"/>
          <w:szCs w:val="20"/>
        </w:rPr>
        <w:fldChar w:fldCharType="begin"/>
      </w:r>
      <w:r w:rsidR="00E26E38" w:rsidRPr="00972800">
        <w:rPr>
          <w:b/>
          <w:sz w:val="20"/>
          <w:szCs w:val="20"/>
        </w:rPr>
        <w:instrText xml:space="preserve"> SEQ CHAPTER \h \r 1</w:instrText>
      </w:r>
      <w:r w:rsidRPr="00972800">
        <w:rPr>
          <w:b/>
          <w:sz w:val="20"/>
          <w:szCs w:val="20"/>
        </w:rPr>
        <w:fldChar w:fldCharType="end"/>
      </w:r>
      <w:r w:rsidR="00E26E38" w:rsidRPr="00972800">
        <w:rPr>
          <w:b/>
          <w:sz w:val="20"/>
          <w:szCs w:val="20"/>
        </w:rPr>
        <w:t>34952</w:t>
      </w:r>
      <w:r w:rsidR="00E26E38" w:rsidRPr="00972800">
        <w:rPr>
          <w:sz w:val="20"/>
          <w:szCs w:val="20"/>
        </w:rPr>
        <w:tab/>
      </w:r>
      <w:r w:rsidR="00E26E38" w:rsidRPr="00972800">
        <w:rPr>
          <w:b/>
          <w:i/>
          <w:sz w:val="20"/>
          <w:szCs w:val="20"/>
        </w:rPr>
        <w:t>Her Majesty the Queen v. G.M.</w:t>
      </w:r>
    </w:p>
    <w:p w:rsidR="00E26E38" w:rsidRPr="00972800" w:rsidRDefault="00E26E38" w:rsidP="00E26E38">
      <w:pPr>
        <w:widowControl w:val="0"/>
        <w:jc w:val="both"/>
        <w:rPr>
          <w:sz w:val="20"/>
          <w:szCs w:val="20"/>
        </w:rPr>
      </w:pPr>
    </w:p>
    <w:p w:rsidR="00E26E38" w:rsidRPr="00972800" w:rsidRDefault="00E26E38" w:rsidP="00E26E38">
      <w:pPr>
        <w:widowControl w:val="0"/>
        <w:jc w:val="both"/>
        <w:rPr>
          <w:smallCaps/>
          <w:sz w:val="20"/>
          <w:szCs w:val="20"/>
        </w:rPr>
      </w:pPr>
      <w:r w:rsidRPr="00972800">
        <w:rPr>
          <w:smallCaps/>
          <w:sz w:val="20"/>
          <w:szCs w:val="20"/>
        </w:rPr>
        <w:t xml:space="preserve">(Publication </w:t>
      </w:r>
      <w:r w:rsidR="00A57C27">
        <w:rPr>
          <w:smallCaps/>
          <w:sz w:val="20"/>
          <w:szCs w:val="20"/>
        </w:rPr>
        <w:t>B</w:t>
      </w:r>
      <w:r w:rsidRPr="00972800">
        <w:rPr>
          <w:smallCaps/>
          <w:sz w:val="20"/>
          <w:szCs w:val="20"/>
        </w:rPr>
        <w:t xml:space="preserve">an in </w:t>
      </w:r>
      <w:r w:rsidR="00A57C27">
        <w:rPr>
          <w:smallCaps/>
          <w:sz w:val="20"/>
          <w:szCs w:val="20"/>
        </w:rPr>
        <w:t>C</w:t>
      </w:r>
      <w:r w:rsidRPr="00972800">
        <w:rPr>
          <w:smallCaps/>
          <w:sz w:val="20"/>
          <w:szCs w:val="20"/>
        </w:rPr>
        <w:t xml:space="preserve">ase) (Publication </w:t>
      </w:r>
      <w:r w:rsidR="00A57C27">
        <w:rPr>
          <w:smallCaps/>
          <w:sz w:val="20"/>
          <w:szCs w:val="20"/>
        </w:rPr>
        <w:t>B</w:t>
      </w:r>
      <w:r w:rsidRPr="00972800">
        <w:rPr>
          <w:smallCaps/>
          <w:sz w:val="20"/>
          <w:szCs w:val="20"/>
        </w:rPr>
        <w:t xml:space="preserve">an on </w:t>
      </w:r>
      <w:r w:rsidR="00A57C27">
        <w:rPr>
          <w:smallCaps/>
          <w:sz w:val="20"/>
          <w:szCs w:val="20"/>
        </w:rPr>
        <w:t>P</w:t>
      </w:r>
      <w:r w:rsidRPr="00972800">
        <w:rPr>
          <w:smallCaps/>
          <w:sz w:val="20"/>
          <w:szCs w:val="20"/>
        </w:rPr>
        <w:t>arty)</w:t>
      </w:r>
    </w:p>
    <w:p w:rsidR="00E26E38" w:rsidRPr="00972800" w:rsidRDefault="00E26E38" w:rsidP="00E26E38">
      <w:pPr>
        <w:widowControl w:val="0"/>
        <w:jc w:val="both"/>
        <w:rPr>
          <w:sz w:val="20"/>
          <w:szCs w:val="20"/>
        </w:rPr>
      </w:pPr>
    </w:p>
    <w:p w:rsidR="00E26E38" w:rsidRPr="00972800" w:rsidRDefault="00E26E38" w:rsidP="00E26E38">
      <w:pPr>
        <w:widowControl w:val="0"/>
        <w:jc w:val="both"/>
        <w:rPr>
          <w:sz w:val="20"/>
          <w:szCs w:val="20"/>
        </w:rPr>
      </w:pPr>
      <w:r w:rsidRPr="00972800">
        <w:rPr>
          <w:sz w:val="20"/>
          <w:szCs w:val="20"/>
        </w:rPr>
        <w:t xml:space="preserve">Criminal law </w:t>
      </w:r>
      <w:r w:rsidRPr="00972800">
        <w:rPr>
          <w:sz w:val="20"/>
          <w:szCs w:val="20"/>
        </w:rPr>
        <w:noBreakHyphen/>
        <w:t xml:space="preserve"> Trial </w:t>
      </w:r>
      <w:r w:rsidRPr="00972800">
        <w:rPr>
          <w:sz w:val="20"/>
          <w:szCs w:val="20"/>
        </w:rPr>
        <w:noBreakHyphen/>
        <w:t xml:space="preserve"> Ineffective representation by counsel </w:t>
      </w:r>
      <w:r w:rsidRPr="00972800">
        <w:rPr>
          <w:sz w:val="20"/>
          <w:szCs w:val="20"/>
        </w:rPr>
        <w:noBreakHyphen/>
        <w:t xml:space="preserve"> Fresh evidence </w:t>
      </w:r>
      <w:r w:rsidRPr="00972800">
        <w:rPr>
          <w:sz w:val="20"/>
          <w:szCs w:val="20"/>
        </w:rPr>
        <w:noBreakHyphen/>
        <w:t xml:space="preserve"> Whether the Court of Appeal erred in its interpretation and application of </w:t>
      </w:r>
      <w:r w:rsidRPr="00972800">
        <w:rPr>
          <w:i/>
          <w:sz w:val="20"/>
          <w:szCs w:val="20"/>
        </w:rPr>
        <w:t>R. v. G.D.B.</w:t>
      </w:r>
      <w:r w:rsidRPr="00972800">
        <w:rPr>
          <w:sz w:val="20"/>
          <w:szCs w:val="20"/>
        </w:rPr>
        <w:t>, [2000] 1 S.C.R. 520, by allowing the fresh evidence application in the circumstances of this case.</w:t>
      </w:r>
    </w:p>
    <w:p w:rsidR="00E26E38" w:rsidRPr="00972800" w:rsidRDefault="00E26E38" w:rsidP="00E26E38">
      <w:pPr>
        <w:widowControl w:val="0"/>
        <w:jc w:val="both"/>
        <w:rPr>
          <w:sz w:val="20"/>
          <w:szCs w:val="20"/>
        </w:rPr>
      </w:pPr>
    </w:p>
    <w:p w:rsidR="00E26E38" w:rsidRPr="00972800" w:rsidRDefault="00E26E38" w:rsidP="00E26E38">
      <w:pPr>
        <w:widowControl w:val="0"/>
        <w:jc w:val="both"/>
        <w:rPr>
          <w:sz w:val="20"/>
          <w:szCs w:val="20"/>
        </w:rPr>
      </w:pPr>
      <w:r w:rsidRPr="00972800">
        <w:rPr>
          <w:sz w:val="20"/>
          <w:szCs w:val="20"/>
        </w:rPr>
        <w:t>The respondent was convicted of incest and sexual assault with respect to his daughter.  The basis for the respondent’s appeal from conviction was an application for fresh evidence which he claimed would demonstrate that his trial counsel failed to provide him with effective assistance relating to the presentation of evidence and the provision of advice as to an appropriate strategy.  The respondent submitted eight affidavits proffering fresh evidence.  The majority of the Court of Appeal allowed the appeal and ordered a new trial on the basis that trial counsel’s decisions and omissions had the effect of undermining the reliability of the trial judge’s conviction such that the respondent suffered a miscarriage of justice.  Hoegg J.A., dissenting, would have dismissed the appeal.  In her view, the majority decision set an unacceptably low standard for an appellate court to interfere with a properly</w:t>
      </w:r>
      <w:r w:rsidRPr="00972800">
        <w:rPr>
          <w:sz w:val="20"/>
          <w:szCs w:val="20"/>
        </w:rPr>
        <w:noBreakHyphen/>
        <w:t xml:space="preserve">rendered trial decision. </w:t>
      </w:r>
    </w:p>
    <w:p w:rsidR="00E26E38" w:rsidRPr="00972800" w:rsidRDefault="00E26E38" w:rsidP="00E26E38">
      <w:pPr>
        <w:widowControl w:val="0"/>
        <w:jc w:val="both"/>
        <w:rPr>
          <w:sz w:val="20"/>
          <w:szCs w:val="20"/>
        </w:rPr>
      </w:pPr>
    </w:p>
    <w:p w:rsidR="00E26E38" w:rsidRPr="00972800" w:rsidRDefault="00E26E38" w:rsidP="00E26E38">
      <w:pPr>
        <w:widowControl w:val="0"/>
        <w:jc w:val="both"/>
        <w:rPr>
          <w:sz w:val="20"/>
          <w:szCs w:val="20"/>
        </w:rPr>
      </w:pPr>
    </w:p>
    <w:p w:rsidR="00E26E38" w:rsidRPr="00972800" w:rsidRDefault="00E26E38" w:rsidP="00A57C27">
      <w:pPr>
        <w:widowControl w:val="0"/>
        <w:ind w:left="2880" w:hanging="2880"/>
        <w:jc w:val="both"/>
        <w:rPr>
          <w:sz w:val="20"/>
          <w:szCs w:val="20"/>
        </w:rPr>
      </w:pPr>
      <w:r w:rsidRPr="00972800">
        <w:rPr>
          <w:sz w:val="20"/>
          <w:szCs w:val="20"/>
        </w:rPr>
        <w:t>Origin of the case:</w:t>
      </w:r>
      <w:r w:rsidRPr="00972800">
        <w:rPr>
          <w:sz w:val="20"/>
          <w:szCs w:val="20"/>
        </w:rPr>
        <w:tab/>
        <w:t>Newfoundland and Labrador</w:t>
      </w:r>
    </w:p>
    <w:p w:rsidR="00E26E38" w:rsidRPr="00972800" w:rsidRDefault="00E26E38" w:rsidP="00A57C27">
      <w:pPr>
        <w:widowControl w:val="0"/>
        <w:ind w:left="2880" w:hanging="2880"/>
        <w:jc w:val="both"/>
        <w:rPr>
          <w:sz w:val="20"/>
          <w:szCs w:val="20"/>
        </w:rPr>
      </w:pPr>
    </w:p>
    <w:p w:rsidR="00E26E38" w:rsidRPr="00972800" w:rsidRDefault="00E26E38" w:rsidP="00A57C27">
      <w:pPr>
        <w:widowControl w:val="0"/>
        <w:ind w:left="2880" w:hanging="2880"/>
        <w:jc w:val="both"/>
        <w:rPr>
          <w:sz w:val="20"/>
          <w:szCs w:val="20"/>
        </w:rPr>
      </w:pPr>
      <w:r w:rsidRPr="00972800">
        <w:rPr>
          <w:sz w:val="20"/>
          <w:szCs w:val="20"/>
        </w:rPr>
        <w:t>File No.:</w:t>
      </w:r>
      <w:r w:rsidRPr="00972800">
        <w:rPr>
          <w:sz w:val="20"/>
          <w:szCs w:val="20"/>
        </w:rPr>
        <w:tab/>
        <w:t>34952</w:t>
      </w:r>
    </w:p>
    <w:p w:rsidR="00E26E38" w:rsidRPr="00972800" w:rsidRDefault="00E26E38" w:rsidP="00A57C27">
      <w:pPr>
        <w:widowControl w:val="0"/>
        <w:ind w:left="2880" w:hanging="2880"/>
        <w:jc w:val="both"/>
        <w:rPr>
          <w:sz w:val="20"/>
          <w:szCs w:val="20"/>
        </w:rPr>
      </w:pPr>
    </w:p>
    <w:p w:rsidR="00E26E38" w:rsidRPr="00972800" w:rsidRDefault="00E26E38" w:rsidP="00A57C27">
      <w:pPr>
        <w:widowControl w:val="0"/>
        <w:ind w:left="2880" w:hanging="2880"/>
        <w:jc w:val="both"/>
        <w:rPr>
          <w:sz w:val="20"/>
          <w:szCs w:val="20"/>
        </w:rPr>
      </w:pPr>
      <w:r w:rsidRPr="00972800">
        <w:rPr>
          <w:sz w:val="20"/>
          <w:szCs w:val="20"/>
        </w:rPr>
        <w:t>Judgment of the Court of Appeal:</w:t>
      </w:r>
      <w:r w:rsidRPr="00972800">
        <w:rPr>
          <w:sz w:val="20"/>
          <w:szCs w:val="20"/>
        </w:rPr>
        <w:tab/>
        <w:t>July 19, 2012</w:t>
      </w:r>
    </w:p>
    <w:p w:rsidR="00E26E38" w:rsidRPr="00972800" w:rsidRDefault="00E26E38" w:rsidP="00A57C27">
      <w:pPr>
        <w:widowControl w:val="0"/>
        <w:ind w:left="2880" w:hanging="2880"/>
        <w:jc w:val="both"/>
        <w:rPr>
          <w:sz w:val="20"/>
          <w:szCs w:val="20"/>
        </w:rPr>
      </w:pPr>
    </w:p>
    <w:p w:rsidR="00E26E38" w:rsidRPr="00972800" w:rsidRDefault="00E26E38" w:rsidP="00A57C27">
      <w:pPr>
        <w:widowControl w:val="0"/>
        <w:ind w:left="2880" w:hanging="2880"/>
        <w:jc w:val="both"/>
        <w:rPr>
          <w:sz w:val="20"/>
          <w:szCs w:val="20"/>
        </w:rPr>
      </w:pPr>
      <w:r w:rsidRPr="00972800">
        <w:rPr>
          <w:sz w:val="20"/>
          <w:szCs w:val="20"/>
        </w:rPr>
        <w:t>Counsel:</w:t>
      </w:r>
      <w:r w:rsidRPr="00972800">
        <w:rPr>
          <w:sz w:val="20"/>
          <w:szCs w:val="20"/>
        </w:rPr>
        <w:tab/>
        <w:t>Stephen R. Dawson for the appellant</w:t>
      </w:r>
    </w:p>
    <w:p w:rsidR="00E26E38" w:rsidRPr="00A57C27" w:rsidRDefault="00E26E38" w:rsidP="00A57C27">
      <w:pPr>
        <w:widowControl w:val="0"/>
        <w:ind w:left="2880" w:hanging="2880"/>
        <w:jc w:val="both"/>
        <w:rPr>
          <w:sz w:val="20"/>
          <w:szCs w:val="20"/>
        </w:rPr>
      </w:pPr>
      <w:r w:rsidRPr="00972800">
        <w:rPr>
          <w:sz w:val="20"/>
          <w:szCs w:val="20"/>
        </w:rPr>
        <w:tab/>
        <w:t xml:space="preserve">Peter E. Ralph, Q.C. </w:t>
      </w:r>
      <w:r w:rsidRPr="00A57C27">
        <w:rPr>
          <w:sz w:val="20"/>
          <w:szCs w:val="20"/>
        </w:rPr>
        <w:t>for the respondent</w:t>
      </w:r>
    </w:p>
    <w:p w:rsidR="00E26E38" w:rsidRPr="00A57C27" w:rsidRDefault="00E26E38" w:rsidP="00E26E38">
      <w:pPr>
        <w:jc w:val="both"/>
        <w:rPr>
          <w:sz w:val="20"/>
          <w:szCs w:val="20"/>
        </w:rPr>
      </w:pPr>
    </w:p>
    <w:p w:rsidR="00E26E38" w:rsidRDefault="00B74DD2" w:rsidP="00E26E38">
      <w:pPr>
        <w:tabs>
          <w:tab w:val="left" w:pos="-1440"/>
          <w:tab w:val="left" w:pos="-720"/>
        </w:tabs>
        <w:jc w:val="both"/>
        <w:rPr>
          <w:sz w:val="20"/>
          <w:szCs w:val="20"/>
          <w:lang w:val="fr-CA"/>
        </w:rPr>
      </w:pPr>
      <w:r w:rsidRPr="00B74DD2">
        <w:rPr>
          <w:sz w:val="20"/>
          <w:szCs w:val="20"/>
          <w:lang w:val="fr-CA"/>
        </w:rPr>
        <w:pict>
          <v:rect id="_x0000_i1102" style="width:2in;height:1pt" o:hrpct="0" o:hralign="center" o:hrstd="t" o:hrnoshade="t" o:hr="t" fillcolor="black [3213]" stroked="f"/>
        </w:pict>
      </w:r>
    </w:p>
    <w:p w:rsidR="00E26E38" w:rsidRDefault="00E26E38" w:rsidP="00E26E38">
      <w:pPr>
        <w:tabs>
          <w:tab w:val="left" w:pos="-1440"/>
          <w:tab w:val="left" w:pos="-720"/>
        </w:tabs>
        <w:jc w:val="both"/>
        <w:rPr>
          <w:sz w:val="20"/>
          <w:szCs w:val="20"/>
          <w:lang w:val="fr-CA"/>
        </w:rPr>
      </w:pPr>
    </w:p>
    <w:p w:rsidR="00E26E38" w:rsidRDefault="00E26E38" w:rsidP="00E26E38">
      <w:pPr>
        <w:rPr>
          <w:sz w:val="20"/>
          <w:szCs w:val="20"/>
          <w:lang w:val="fr-CA"/>
        </w:rPr>
      </w:pPr>
      <w:r>
        <w:rPr>
          <w:sz w:val="20"/>
          <w:szCs w:val="20"/>
          <w:lang w:val="fr-CA"/>
        </w:rPr>
        <w:br w:type="page"/>
      </w:r>
    </w:p>
    <w:p w:rsidR="00E26E38" w:rsidRPr="00972800" w:rsidRDefault="00B74DD2" w:rsidP="00E26E38">
      <w:pPr>
        <w:widowControl w:val="0"/>
        <w:ind w:left="720" w:hanging="720"/>
        <w:jc w:val="both"/>
        <w:rPr>
          <w:sz w:val="20"/>
          <w:szCs w:val="20"/>
          <w:lang w:val="fr-CA"/>
        </w:rPr>
      </w:pPr>
      <w:r w:rsidRPr="00972800">
        <w:rPr>
          <w:b/>
          <w:sz w:val="20"/>
          <w:szCs w:val="20"/>
          <w:lang w:val="fr-CA"/>
        </w:rPr>
        <w:fldChar w:fldCharType="begin"/>
      </w:r>
      <w:r w:rsidR="00E26E38" w:rsidRPr="00972800">
        <w:rPr>
          <w:b/>
          <w:sz w:val="20"/>
          <w:szCs w:val="20"/>
          <w:lang w:val="fr-CA"/>
        </w:rPr>
        <w:instrText xml:space="preserve"> SEQ CHAPTER \h \r 1</w:instrText>
      </w:r>
      <w:r w:rsidRPr="00972800">
        <w:rPr>
          <w:b/>
          <w:sz w:val="20"/>
          <w:szCs w:val="20"/>
          <w:lang w:val="fr-CA"/>
        </w:rPr>
        <w:fldChar w:fldCharType="end"/>
      </w:r>
      <w:r w:rsidR="00E26E38" w:rsidRPr="00972800">
        <w:rPr>
          <w:b/>
          <w:sz w:val="20"/>
          <w:szCs w:val="20"/>
          <w:lang w:val="fr-CA"/>
        </w:rPr>
        <w:t>34952</w:t>
      </w:r>
      <w:r w:rsidR="00E26E38" w:rsidRPr="00972800">
        <w:rPr>
          <w:sz w:val="20"/>
          <w:szCs w:val="20"/>
          <w:lang w:val="fr-CA"/>
        </w:rPr>
        <w:tab/>
      </w:r>
      <w:r w:rsidR="00E26E38" w:rsidRPr="00972800">
        <w:rPr>
          <w:b/>
          <w:i/>
          <w:sz w:val="20"/>
          <w:szCs w:val="20"/>
          <w:lang w:val="fr-CA"/>
        </w:rPr>
        <w:t>Sa Majesté la Reine c. G.M.</w:t>
      </w:r>
    </w:p>
    <w:p w:rsidR="00E26E38" w:rsidRPr="00972800" w:rsidRDefault="00E26E38" w:rsidP="00E26E38">
      <w:pPr>
        <w:widowControl w:val="0"/>
        <w:jc w:val="both"/>
        <w:rPr>
          <w:sz w:val="20"/>
          <w:szCs w:val="20"/>
          <w:lang w:val="fr-CA"/>
        </w:rPr>
      </w:pPr>
    </w:p>
    <w:p w:rsidR="00E26E38" w:rsidRPr="00972800" w:rsidRDefault="00E26E38" w:rsidP="00E26E38">
      <w:pPr>
        <w:widowControl w:val="0"/>
        <w:jc w:val="both"/>
        <w:rPr>
          <w:smallCaps/>
          <w:sz w:val="20"/>
          <w:szCs w:val="20"/>
          <w:lang w:val="fr-CA"/>
        </w:rPr>
      </w:pPr>
      <w:r w:rsidRPr="00972800">
        <w:rPr>
          <w:smallCaps/>
          <w:sz w:val="20"/>
          <w:szCs w:val="20"/>
          <w:lang w:val="fr-CA"/>
        </w:rPr>
        <w:t>(Ordonnance de non</w:t>
      </w:r>
      <w:r w:rsidRPr="00972800">
        <w:rPr>
          <w:smallCaps/>
          <w:sz w:val="20"/>
          <w:szCs w:val="20"/>
          <w:lang w:val="fr-CA"/>
        </w:rPr>
        <w:noBreakHyphen/>
        <w:t>publication dans le dossier) (Ordonnance de non</w:t>
      </w:r>
      <w:r w:rsidRPr="00972800">
        <w:rPr>
          <w:smallCaps/>
          <w:sz w:val="20"/>
          <w:szCs w:val="20"/>
          <w:lang w:val="fr-CA"/>
        </w:rPr>
        <w:noBreakHyphen/>
        <w:t>publication visant une partie)</w:t>
      </w:r>
    </w:p>
    <w:p w:rsidR="00E26E38" w:rsidRPr="00972800" w:rsidRDefault="00E26E38" w:rsidP="00E26E38">
      <w:pPr>
        <w:widowControl w:val="0"/>
        <w:jc w:val="both"/>
        <w:rPr>
          <w:sz w:val="20"/>
          <w:szCs w:val="20"/>
          <w:lang w:val="fr-CA"/>
        </w:rPr>
      </w:pPr>
    </w:p>
    <w:p w:rsidR="00E26E38" w:rsidRPr="00972800" w:rsidRDefault="00E26E38" w:rsidP="00E26E38">
      <w:pPr>
        <w:widowControl w:val="0"/>
        <w:jc w:val="both"/>
        <w:rPr>
          <w:sz w:val="20"/>
          <w:szCs w:val="20"/>
          <w:lang w:val="fr-CA"/>
        </w:rPr>
      </w:pPr>
      <w:r w:rsidRPr="00972800">
        <w:rPr>
          <w:sz w:val="20"/>
          <w:szCs w:val="20"/>
          <w:lang w:val="fr-CA"/>
        </w:rPr>
        <w:t xml:space="preserve">Droit criminel </w:t>
      </w:r>
      <w:r w:rsidRPr="00972800">
        <w:rPr>
          <w:sz w:val="20"/>
          <w:szCs w:val="20"/>
          <w:lang w:val="fr-CA"/>
        </w:rPr>
        <w:noBreakHyphen/>
        <w:t xml:space="preserve"> Procès </w:t>
      </w:r>
      <w:r w:rsidRPr="00972800">
        <w:rPr>
          <w:sz w:val="20"/>
          <w:szCs w:val="20"/>
          <w:lang w:val="fr-CA"/>
        </w:rPr>
        <w:noBreakHyphen/>
        <w:t xml:space="preserve"> Représentation inefficace par un avocat </w:t>
      </w:r>
      <w:r w:rsidRPr="00972800">
        <w:rPr>
          <w:sz w:val="20"/>
          <w:szCs w:val="20"/>
          <w:lang w:val="fr-CA"/>
        </w:rPr>
        <w:noBreakHyphen/>
        <w:t xml:space="preserve"> Nouvel élément de preuve </w:t>
      </w:r>
      <w:r w:rsidRPr="00972800">
        <w:rPr>
          <w:sz w:val="20"/>
          <w:szCs w:val="20"/>
          <w:lang w:val="fr-CA"/>
        </w:rPr>
        <w:noBreakHyphen/>
        <w:t xml:space="preserve"> La Cour d’appel s’est</w:t>
      </w:r>
      <w:r w:rsidRPr="00972800">
        <w:rPr>
          <w:sz w:val="20"/>
          <w:szCs w:val="20"/>
          <w:lang w:val="fr-CA"/>
        </w:rPr>
        <w:noBreakHyphen/>
        <w:t xml:space="preserve">elle trompée dans son interprétation et son application de l’arrêt </w:t>
      </w:r>
      <w:r w:rsidRPr="00972800">
        <w:rPr>
          <w:i/>
          <w:sz w:val="20"/>
          <w:szCs w:val="20"/>
          <w:lang w:val="fr-CA"/>
        </w:rPr>
        <w:t>R. c. G.D.B.</w:t>
      </w:r>
      <w:r w:rsidRPr="00972800">
        <w:rPr>
          <w:sz w:val="20"/>
          <w:szCs w:val="20"/>
          <w:lang w:val="fr-CA"/>
        </w:rPr>
        <w:t xml:space="preserve">, [2000] 1 R.C.S. 520 en accueillant la demande en vue de produire de nouveaux éléments de preuve en l’espèce? </w:t>
      </w:r>
    </w:p>
    <w:p w:rsidR="00E26E38" w:rsidRPr="00972800" w:rsidRDefault="00E26E38" w:rsidP="00E26E38">
      <w:pPr>
        <w:widowControl w:val="0"/>
        <w:jc w:val="both"/>
        <w:rPr>
          <w:sz w:val="20"/>
          <w:szCs w:val="20"/>
          <w:lang w:val="fr-CA"/>
        </w:rPr>
      </w:pPr>
    </w:p>
    <w:p w:rsidR="00E26E38" w:rsidRPr="00972800" w:rsidRDefault="00E26E38" w:rsidP="00E26E38">
      <w:pPr>
        <w:widowControl w:val="0"/>
        <w:jc w:val="both"/>
        <w:rPr>
          <w:sz w:val="20"/>
          <w:szCs w:val="20"/>
          <w:lang w:val="fr-CA"/>
        </w:rPr>
      </w:pPr>
      <w:r w:rsidRPr="00972800">
        <w:rPr>
          <w:sz w:val="20"/>
          <w:szCs w:val="20"/>
          <w:lang w:val="fr-CA"/>
        </w:rPr>
        <w:t xml:space="preserve">L’intimé a été déclaré coupable d’inceste et d’agression sexuelle relativement à sa fille.  L’appel de la déclaration de culpabilité interjeté par intimé s’appuyait sur une demande en vue de produire de nouveaux éléments de preuve qui permettraient selon lui d’établir que son avocat au procès ne lui avait pas fourni une aide efficace relativement à la présentation de la preuve et à la fourniture de conseils quant à une stratégie appropriée.  L’intimé a soumis huit affidavits de présentation de nouveaux éléments de preuve.  Les juges majoritaires de la Cour d’appel ont accueilli l’appel et ordonné la tenue d’un nouveau procès, statuant que les décisions et les omissions de l’avocat au procès avaient eu pour effet de miner la fiabilité de la déclaration de culpabilité prononcée par le juge du procès, si bien que l’intimé avait été victime d’une erreur judiciaire.  La juge Hoegg, dissidente, aurait rejeté l’appel.  À son avis, la décision des juges majoritaires établissait une norme trop basse pour qu’une Cour d’appel infirme une décision de première instance dûment rendue. </w:t>
      </w:r>
    </w:p>
    <w:p w:rsidR="00E26E38" w:rsidRPr="00972800" w:rsidRDefault="00E26E38" w:rsidP="00E26E38">
      <w:pPr>
        <w:widowControl w:val="0"/>
        <w:jc w:val="both"/>
        <w:rPr>
          <w:sz w:val="20"/>
          <w:szCs w:val="20"/>
          <w:lang w:val="fr-CA"/>
        </w:rPr>
      </w:pPr>
    </w:p>
    <w:p w:rsidR="00E26E38" w:rsidRPr="00972800" w:rsidRDefault="00E26E38" w:rsidP="00E26E38">
      <w:pPr>
        <w:widowControl w:val="0"/>
        <w:jc w:val="both"/>
        <w:rPr>
          <w:sz w:val="20"/>
          <w:szCs w:val="20"/>
          <w:lang w:val="fr-CA"/>
        </w:rPr>
      </w:pPr>
    </w:p>
    <w:p w:rsidR="00E26E38" w:rsidRPr="00972800" w:rsidRDefault="00E26E38" w:rsidP="004D5A51">
      <w:pPr>
        <w:widowControl w:val="0"/>
        <w:ind w:left="2880" w:hanging="2880"/>
        <w:jc w:val="both"/>
        <w:rPr>
          <w:sz w:val="20"/>
          <w:szCs w:val="20"/>
          <w:lang w:val="fr-CA"/>
        </w:rPr>
      </w:pPr>
      <w:r w:rsidRPr="00972800">
        <w:rPr>
          <w:sz w:val="20"/>
          <w:szCs w:val="20"/>
          <w:lang w:val="fr-CA"/>
        </w:rPr>
        <w:t>Origine :</w:t>
      </w:r>
      <w:r w:rsidRPr="00972800">
        <w:rPr>
          <w:sz w:val="20"/>
          <w:szCs w:val="20"/>
          <w:lang w:val="fr-CA"/>
        </w:rPr>
        <w:tab/>
        <w:t>Terre</w:t>
      </w:r>
      <w:r w:rsidRPr="00972800">
        <w:rPr>
          <w:sz w:val="20"/>
          <w:szCs w:val="20"/>
          <w:lang w:val="fr-CA"/>
        </w:rPr>
        <w:noBreakHyphen/>
        <w:t>Neuve</w:t>
      </w:r>
      <w:r w:rsidRPr="00972800">
        <w:rPr>
          <w:sz w:val="20"/>
          <w:szCs w:val="20"/>
          <w:lang w:val="fr-CA"/>
        </w:rPr>
        <w:noBreakHyphen/>
        <w:t>et</w:t>
      </w:r>
      <w:r w:rsidRPr="00972800">
        <w:rPr>
          <w:sz w:val="20"/>
          <w:szCs w:val="20"/>
          <w:lang w:val="fr-CA"/>
        </w:rPr>
        <w:noBreakHyphen/>
        <w:t>Labrador</w:t>
      </w:r>
    </w:p>
    <w:p w:rsidR="00E26E38" w:rsidRPr="00972800" w:rsidRDefault="00E26E38" w:rsidP="004D5A51">
      <w:pPr>
        <w:widowControl w:val="0"/>
        <w:ind w:left="2880" w:hanging="2880"/>
        <w:jc w:val="both"/>
        <w:rPr>
          <w:sz w:val="20"/>
          <w:szCs w:val="20"/>
          <w:lang w:val="fr-CA"/>
        </w:rPr>
      </w:pPr>
    </w:p>
    <w:p w:rsidR="00E26E38" w:rsidRPr="00972800" w:rsidRDefault="00E26E38" w:rsidP="004D5A51">
      <w:pPr>
        <w:widowControl w:val="0"/>
        <w:ind w:left="2880" w:hanging="2880"/>
        <w:jc w:val="both"/>
        <w:rPr>
          <w:sz w:val="20"/>
          <w:szCs w:val="20"/>
          <w:lang w:val="fr-CA"/>
        </w:rPr>
      </w:pPr>
      <w:r w:rsidRPr="00972800">
        <w:rPr>
          <w:sz w:val="20"/>
          <w:szCs w:val="20"/>
          <w:lang w:val="fr-CA"/>
        </w:rPr>
        <w:t>N</w:t>
      </w:r>
      <w:r w:rsidRPr="00972800">
        <w:rPr>
          <w:sz w:val="20"/>
          <w:szCs w:val="20"/>
          <w:vertAlign w:val="superscript"/>
          <w:lang w:val="fr-CA"/>
        </w:rPr>
        <w:t>o</w:t>
      </w:r>
      <w:r w:rsidRPr="00972800">
        <w:rPr>
          <w:sz w:val="20"/>
          <w:szCs w:val="20"/>
          <w:lang w:val="fr-CA"/>
        </w:rPr>
        <w:t xml:space="preserve"> du greffe :</w:t>
      </w:r>
      <w:r w:rsidRPr="00972800">
        <w:rPr>
          <w:sz w:val="20"/>
          <w:szCs w:val="20"/>
          <w:lang w:val="fr-CA"/>
        </w:rPr>
        <w:tab/>
        <w:t>34952</w:t>
      </w:r>
    </w:p>
    <w:p w:rsidR="00E26E38" w:rsidRPr="00972800" w:rsidRDefault="00E26E38" w:rsidP="004D5A51">
      <w:pPr>
        <w:widowControl w:val="0"/>
        <w:ind w:left="2880" w:hanging="2880"/>
        <w:jc w:val="both"/>
        <w:rPr>
          <w:sz w:val="20"/>
          <w:szCs w:val="20"/>
          <w:lang w:val="fr-CA"/>
        </w:rPr>
      </w:pPr>
    </w:p>
    <w:p w:rsidR="00E26E38" w:rsidRPr="00972800" w:rsidRDefault="00E26E38" w:rsidP="004D5A51">
      <w:pPr>
        <w:widowControl w:val="0"/>
        <w:ind w:left="2880" w:hanging="2880"/>
        <w:jc w:val="both"/>
        <w:rPr>
          <w:sz w:val="20"/>
          <w:szCs w:val="20"/>
          <w:lang w:val="fr-CA"/>
        </w:rPr>
      </w:pPr>
      <w:r w:rsidRPr="00972800">
        <w:rPr>
          <w:sz w:val="20"/>
          <w:szCs w:val="20"/>
          <w:lang w:val="fr-CA"/>
        </w:rPr>
        <w:t>Arrêt de la Cour d’appel :</w:t>
      </w:r>
      <w:r w:rsidRPr="00972800">
        <w:rPr>
          <w:sz w:val="20"/>
          <w:szCs w:val="20"/>
          <w:lang w:val="fr-CA"/>
        </w:rPr>
        <w:tab/>
        <w:t>le 19 juillet 2012</w:t>
      </w:r>
    </w:p>
    <w:p w:rsidR="00E26E38" w:rsidRPr="00972800" w:rsidRDefault="00E26E38" w:rsidP="004D5A51">
      <w:pPr>
        <w:widowControl w:val="0"/>
        <w:ind w:left="2880" w:hanging="2880"/>
        <w:jc w:val="both"/>
        <w:rPr>
          <w:sz w:val="20"/>
          <w:szCs w:val="20"/>
          <w:lang w:val="fr-CA"/>
        </w:rPr>
      </w:pPr>
    </w:p>
    <w:p w:rsidR="00E26E38" w:rsidRPr="00972800" w:rsidRDefault="00E26E38" w:rsidP="004D5A51">
      <w:pPr>
        <w:widowControl w:val="0"/>
        <w:ind w:left="2880" w:hanging="2880"/>
        <w:jc w:val="both"/>
        <w:rPr>
          <w:sz w:val="20"/>
          <w:szCs w:val="20"/>
          <w:lang w:val="fr-CA"/>
        </w:rPr>
      </w:pPr>
      <w:r w:rsidRPr="00972800">
        <w:rPr>
          <w:sz w:val="20"/>
          <w:szCs w:val="20"/>
          <w:lang w:val="fr-CA"/>
        </w:rPr>
        <w:t>Avocats :</w:t>
      </w:r>
      <w:r w:rsidRPr="00972800">
        <w:rPr>
          <w:sz w:val="20"/>
          <w:szCs w:val="20"/>
          <w:lang w:val="fr-CA"/>
        </w:rPr>
        <w:tab/>
        <w:t>Stephen R. Dawson pour l’appelante</w:t>
      </w:r>
    </w:p>
    <w:p w:rsidR="00E26E38" w:rsidRPr="00972800" w:rsidRDefault="00E26E38" w:rsidP="004D5A51">
      <w:pPr>
        <w:widowControl w:val="0"/>
        <w:ind w:left="2880" w:hanging="2880"/>
        <w:jc w:val="both"/>
        <w:rPr>
          <w:sz w:val="20"/>
          <w:szCs w:val="20"/>
          <w:lang w:val="fr-CA"/>
        </w:rPr>
      </w:pPr>
      <w:r w:rsidRPr="00972800">
        <w:rPr>
          <w:sz w:val="20"/>
          <w:szCs w:val="20"/>
          <w:lang w:val="fr-CA"/>
        </w:rPr>
        <w:tab/>
        <w:t>Peter E. Ralph, c.r. pour l’intimé</w:t>
      </w:r>
    </w:p>
    <w:p w:rsidR="00E26E38" w:rsidRPr="00972800" w:rsidRDefault="00E26E38" w:rsidP="00E26E38">
      <w:pPr>
        <w:jc w:val="both"/>
        <w:rPr>
          <w:sz w:val="20"/>
          <w:szCs w:val="20"/>
          <w:lang w:val="fr-CA"/>
        </w:rPr>
      </w:pPr>
    </w:p>
    <w:p w:rsidR="00E26E38" w:rsidRDefault="00B74DD2" w:rsidP="00E26E38">
      <w:pPr>
        <w:tabs>
          <w:tab w:val="left" w:pos="-1440"/>
          <w:tab w:val="left" w:pos="-720"/>
        </w:tabs>
        <w:jc w:val="both"/>
        <w:rPr>
          <w:sz w:val="20"/>
          <w:szCs w:val="20"/>
          <w:lang w:val="fr-CA"/>
        </w:rPr>
      </w:pPr>
      <w:r w:rsidRPr="00B74DD2">
        <w:rPr>
          <w:sz w:val="20"/>
          <w:szCs w:val="20"/>
          <w:lang w:val="fr-CA"/>
        </w:rPr>
        <w:pict>
          <v:rect id="_x0000_i1103" style="width:2in;height:1pt" o:hrpct="0" o:hralign="center" o:hrstd="t" o:hrnoshade="t" o:hr="t" fillcolor="black [3213]" stroked="f"/>
        </w:pict>
      </w:r>
    </w:p>
    <w:p w:rsidR="00E26E38" w:rsidRDefault="00E26E38" w:rsidP="00E26E38">
      <w:pPr>
        <w:tabs>
          <w:tab w:val="left" w:pos="-1440"/>
          <w:tab w:val="left" w:pos="-720"/>
        </w:tabs>
        <w:jc w:val="both"/>
        <w:rPr>
          <w:sz w:val="20"/>
          <w:szCs w:val="20"/>
          <w:lang w:val="fr-CA"/>
        </w:rPr>
      </w:pPr>
    </w:p>
    <w:p w:rsidR="00E26E38" w:rsidRDefault="00E26E38" w:rsidP="00E26E38">
      <w:pPr>
        <w:rPr>
          <w:sz w:val="20"/>
          <w:szCs w:val="20"/>
          <w:lang w:val="fr-CA"/>
        </w:rPr>
      </w:pPr>
      <w:r>
        <w:rPr>
          <w:sz w:val="20"/>
          <w:szCs w:val="20"/>
          <w:lang w:val="fr-CA"/>
        </w:rPr>
        <w:br w:type="page"/>
      </w:r>
    </w:p>
    <w:p w:rsidR="00E26E38" w:rsidRPr="00972800" w:rsidRDefault="00B74DD2" w:rsidP="00E26E38">
      <w:pPr>
        <w:widowControl w:val="0"/>
        <w:ind w:left="720" w:hanging="720"/>
        <w:jc w:val="both"/>
        <w:rPr>
          <w:sz w:val="20"/>
          <w:szCs w:val="20"/>
        </w:rPr>
      </w:pPr>
      <w:r w:rsidRPr="00972800">
        <w:rPr>
          <w:b/>
          <w:sz w:val="20"/>
          <w:szCs w:val="20"/>
        </w:rPr>
        <w:fldChar w:fldCharType="begin"/>
      </w:r>
      <w:r w:rsidR="00E26E38" w:rsidRPr="00972800">
        <w:rPr>
          <w:b/>
          <w:sz w:val="20"/>
          <w:szCs w:val="20"/>
        </w:rPr>
        <w:instrText xml:space="preserve"> SEQ CHAPTER \h \r 1</w:instrText>
      </w:r>
      <w:r w:rsidRPr="00972800">
        <w:rPr>
          <w:b/>
          <w:sz w:val="20"/>
          <w:szCs w:val="20"/>
        </w:rPr>
        <w:fldChar w:fldCharType="end"/>
      </w:r>
      <w:r w:rsidR="00E26E38" w:rsidRPr="00972800">
        <w:rPr>
          <w:b/>
          <w:sz w:val="20"/>
          <w:szCs w:val="20"/>
        </w:rPr>
        <w:t>34951</w:t>
      </w:r>
      <w:r w:rsidR="00E26E38" w:rsidRPr="00972800">
        <w:rPr>
          <w:sz w:val="20"/>
          <w:szCs w:val="20"/>
        </w:rPr>
        <w:tab/>
      </w:r>
      <w:r w:rsidR="00E26E38" w:rsidRPr="00972800">
        <w:rPr>
          <w:b/>
          <w:i/>
          <w:sz w:val="20"/>
          <w:szCs w:val="20"/>
        </w:rPr>
        <w:t>Bill James Pappas v. Her Majesty the Queen</w:t>
      </w:r>
    </w:p>
    <w:p w:rsidR="00E26E38" w:rsidRPr="00972800" w:rsidRDefault="00E26E38" w:rsidP="00E26E38">
      <w:pPr>
        <w:widowControl w:val="0"/>
        <w:jc w:val="both"/>
        <w:rPr>
          <w:sz w:val="20"/>
          <w:szCs w:val="20"/>
        </w:rPr>
      </w:pPr>
    </w:p>
    <w:p w:rsidR="00E26E38" w:rsidRPr="00972800" w:rsidRDefault="00E26E38" w:rsidP="00E26E38">
      <w:pPr>
        <w:widowControl w:val="0"/>
        <w:jc w:val="both"/>
        <w:rPr>
          <w:smallCaps/>
          <w:sz w:val="20"/>
          <w:szCs w:val="20"/>
        </w:rPr>
      </w:pPr>
      <w:r w:rsidRPr="00972800">
        <w:rPr>
          <w:smallCaps/>
          <w:sz w:val="20"/>
          <w:szCs w:val="20"/>
        </w:rPr>
        <w:t xml:space="preserve">(Publication </w:t>
      </w:r>
      <w:r w:rsidR="00DF75D7">
        <w:rPr>
          <w:smallCaps/>
          <w:sz w:val="20"/>
          <w:szCs w:val="20"/>
        </w:rPr>
        <w:t>B</w:t>
      </w:r>
      <w:r w:rsidRPr="00972800">
        <w:rPr>
          <w:smallCaps/>
          <w:sz w:val="20"/>
          <w:szCs w:val="20"/>
        </w:rPr>
        <w:t xml:space="preserve">an in </w:t>
      </w:r>
      <w:r w:rsidR="00DF75D7">
        <w:rPr>
          <w:smallCaps/>
          <w:sz w:val="20"/>
          <w:szCs w:val="20"/>
        </w:rPr>
        <w:t>C</w:t>
      </w:r>
      <w:r w:rsidRPr="00972800">
        <w:rPr>
          <w:smallCaps/>
          <w:sz w:val="20"/>
          <w:szCs w:val="20"/>
        </w:rPr>
        <w:t>ase)</w:t>
      </w:r>
    </w:p>
    <w:p w:rsidR="00E26E38" w:rsidRPr="00972800" w:rsidRDefault="00E26E38" w:rsidP="00E26E38">
      <w:pPr>
        <w:widowControl w:val="0"/>
        <w:jc w:val="both"/>
        <w:rPr>
          <w:sz w:val="20"/>
          <w:szCs w:val="20"/>
        </w:rPr>
      </w:pPr>
    </w:p>
    <w:p w:rsidR="00E26E38" w:rsidRPr="00972800" w:rsidRDefault="00E26E38" w:rsidP="00E26E38">
      <w:pPr>
        <w:widowControl w:val="0"/>
        <w:jc w:val="both"/>
        <w:rPr>
          <w:sz w:val="20"/>
          <w:szCs w:val="20"/>
        </w:rPr>
      </w:pPr>
      <w:r w:rsidRPr="00972800">
        <w:rPr>
          <w:sz w:val="20"/>
          <w:szCs w:val="20"/>
        </w:rPr>
        <w:t xml:space="preserve">Criminal law </w:t>
      </w:r>
      <w:r w:rsidRPr="00972800">
        <w:rPr>
          <w:sz w:val="20"/>
          <w:szCs w:val="20"/>
        </w:rPr>
        <w:noBreakHyphen/>
        <w:t xml:space="preserve"> Charge to jury </w:t>
      </w:r>
      <w:r w:rsidRPr="00972800">
        <w:rPr>
          <w:sz w:val="20"/>
          <w:szCs w:val="20"/>
        </w:rPr>
        <w:noBreakHyphen/>
        <w:t xml:space="preserve"> Defence of provocation </w:t>
      </w:r>
      <w:r w:rsidRPr="00972800">
        <w:rPr>
          <w:sz w:val="20"/>
          <w:szCs w:val="20"/>
        </w:rPr>
        <w:noBreakHyphen/>
        <w:t xml:space="preserve"> Post</w:t>
      </w:r>
      <w:r w:rsidRPr="00972800">
        <w:rPr>
          <w:sz w:val="20"/>
          <w:szCs w:val="20"/>
        </w:rPr>
        <w:noBreakHyphen/>
        <w:t xml:space="preserve">offence conduct </w:t>
      </w:r>
      <w:r w:rsidRPr="00972800">
        <w:rPr>
          <w:sz w:val="20"/>
          <w:szCs w:val="20"/>
        </w:rPr>
        <w:noBreakHyphen/>
        <w:t xml:space="preserve"> Whether the trial judge failed to adequately instruct the jury that the appellant’s post</w:t>
      </w:r>
      <w:r w:rsidRPr="00972800">
        <w:rPr>
          <w:sz w:val="20"/>
          <w:szCs w:val="20"/>
        </w:rPr>
        <w:noBreakHyphen/>
        <w:t xml:space="preserve">offence conduct had no bearing on its deliberations on the defence of provocation </w:t>
      </w:r>
      <w:r w:rsidRPr="00972800">
        <w:rPr>
          <w:sz w:val="20"/>
          <w:szCs w:val="20"/>
        </w:rPr>
        <w:noBreakHyphen/>
        <w:t xml:space="preserve"> Whether the charge to the jury undermined the defence of provocation by misstating the appellant’s position on motive </w:t>
      </w:r>
      <w:r w:rsidRPr="00972800">
        <w:rPr>
          <w:sz w:val="20"/>
          <w:szCs w:val="20"/>
        </w:rPr>
        <w:noBreakHyphen/>
        <w:t xml:space="preserve"> Whether the charge to the jury improperly instructed that both the acts of extortion and the igniting remarks by the victim had to be sudden.</w:t>
      </w:r>
    </w:p>
    <w:p w:rsidR="00E26E38" w:rsidRPr="00972800" w:rsidRDefault="00E26E38" w:rsidP="00E26E38">
      <w:pPr>
        <w:widowControl w:val="0"/>
        <w:jc w:val="both"/>
        <w:rPr>
          <w:sz w:val="20"/>
          <w:szCs w:val="20"/>
        </w:rPr>
      </w:pPr>
    </w:p>
    <w:p w:rsidR="00E26E38" w:rsidRPr="00972800" w:rsidRDefault="00E26E38" w:rsidP="00E26E38">
      <w:pPr>
        <w:widowControl w:val="0"/>
        <w:jc w:val="both"/>
        <w:rPr>
          <w:sz w:val="20"/>
          <w:szCs w:val="20"/>
        </w:rPr>
      </w:pPr>
      <w:r w:rsidRPr="00972800">
        <w:rPr>
          <w:sz w:val="20"/>
          <w:szCs w:val="20"/>
        </w:rPr>
        <w:t>The appellant was convicted of second degree murder.  During a police interrogation, he confessed to shooting the victim and explained that the victim had been extorting money from him for months by threatening to reveal details about his offshore investments to the Canada Revenue Agency, and by threatening to harm his mother if he chose to stop paying or if he went to the police.  The appellant also stated that at the time of the murder, the victim had once again threatened his mother and that as a result, something snapped in him.  He retrieved the handgun he had brought with him and shot the victim twice.  The appellant then tried to cover his tracks by setting a fire in the basement where he had shot the victim.  He also dumped the body using the victim’s car, abandoned the car, discarded some of the victim’s belongings and numerous items of apparel stained with the victim’s blood, forged a cheque made out to himself and used the victim’s credit card.  At trial, the appellant’s confession became part of the Crown’s evidence and the defence of provocation was put to the jury.  In its final submissions, the Crown used the appellant’s post</w:t>
      </w:r>
      <w:r w:rsidRPr="00972800">
        <w:rPr>
          <w:sz w:val="20"/>
          <w:szCs w:val="20"/>
        </w:rPr>
        <w:noBreakHyphen/>
        <w:t>offence conduct to argue that the defence could not be made out.  The appellant objected and as a result, the trial judge instructed the jury that the post</w:t>
      </w:r>
      <w:r w:rsidRPr="00972800">
        <w:rPr>
          <w:sz w:val="20"/>
          <w:szCs w:val="20"/>
        </w:rPr>
        <w:noBreakHyphen/>
        <w:t>offence conduct was not relevant to any of the issues it had to decide because the appellant had already confessed to killing the victim.  The appellant appealed his conviction, arguing, among other things, that the trial judge should have specifically told the jury that the Crown’s statement with respect to the post</w:t>
      </w:r>
      <w:r w:rsidRPr="00972800">
        <w:rPr>
          <w:sz w:val="20"/>
          <w:szCs w:val="20"/>
        </w:rPr>
        <w:noBreakHyphen/>
        <w:t>offence conduct was incorrect.  The majority of the Court of Appeal dismissed the appeal, finding that the instruction given by the trial judge, while very broad, was sufficient and amounted to the same thing as giving a no probative value instruction.  Berger J.A., dissenting, would have allowed the appeal and ordered a new trial. </w:t>
      </w:r>
    </w:p>
    <w:p w:rsidR="00E26E38" w:rsidRPr="00972800" w:rsidRDefault="00E26E38" w:rsidP="00E26E38">
      <w:pPr>
        <w:widowControl w:val="0"/>
        <w:jc w:val="both"/>
        <w:rPr>
          <w:sz w:val="20"/>
          <w:szCs w:val="20"/>
        </w:rPr>
      </w:pPr>
    </w:p>
    <w:p w:rsidR="00E26E38" w:rsidRPr="00972800" w:rsidRDefault="00E26E38" w:rsidP="00E26E38">
      <w:pPr>
        <w:widowControl w:val="0"/>
        <w:jc w:val="both"/>
        <w:rPr>
          <w:sz w:val="20"/>
          <w:szCs w:val="20"/>
        </w:rPr>
      </w:pPr>
    </w:p>
    <w:p w:rsidR="00E26E38" w:rsidRPr="00972800" w:rsidRDefault="00E26E38" w:rsidP="00DF75D7">
      <w:pPr>
        <w:widowControl w:val="0"/>
        <w:ind w:left="2880" w:hanging="2880"/>
        <w:jc w:val="both"/>
        <w:rPr>
          <w:sz w:val="20"/>
          <w:szCs w:val="20"/>
        </w:rPr>
      </w:pPr>
      <w:r w:rsidRPr="00972800">
        <w:rPr>
          <w:sz w:val="20"/>
          <w:szCs w:val="20"/>
        </w:rPr>
        <w:t>Origin of the case:</w:t>
      </w:r>
      <w:r w:rsidRPr="00972800">
        <w:rPr>
          <w:sz w:val="20"/>
          <w:szCs w:val="20"/>
        </w:rPr>
        <w:tab/>
        <w:t>Alberta</w:t>
      </w:r>
    </w:p>
    <w:p w:rsidR="00E26E38" w:rsidRPr="00972800" w:rsidRDefault="00E26E38" w:rsidP="00DF75D7">
      <w:pPr>
        <w:widowControl w:val="0"/>
        <w:ind w:left="2880" w:hanging="2880"/>
        <w:jc w:val="both"/>
        <w:rPr>
          <w:sz w:val="20"/>
          <w:szCs w:val="20"/>
        </w:rPr>
      </w:pPr>
    </w:p>
    <w:p w:rsidR="00E26E38" w:rsidRPr="00972800" w:rsidRDefault="00E26E38" w:rsidP="00DF75D7">
      <w:pPr>
        <w:widowControl w:val="0"/>
        <w:ind w:left="2880" w:hanging="2880"/>
        <w:jc w:val="both"/>
        <w:rPr>
          <w:sz w:val="20"/>
          <w:szCs w:val="20"/>
        </w:rPr>
      </w:pPr>
      <w:r w:rsidRPr="00972800">
        <w:rPr>
          <w:sz w:val="20"/>
          <w:szCs w:val="20"/>
        </w:rPr>
        <w:t>File No.:</w:t>
      </w:r>
      <w:r w:rsidRPr="00972800">
        <w:rPr>
          <w:sz w:val="20"/>
          <w:szCs w:val="20"/>
        </w:rPr>
        <w:tab/>
        <w:t>34951</w:t>
      </w:r>
    </w:p>
    <w:p w:rsidR="00E26E38" w:rsidRPr="00972800" w:rsidRDefault="00E26E38" w:rsidP="00DF75D7">
      <w:pPr>
        <w:widowControl w:val="0"/>
        <w:ind w:left="2880" w:hanging="2880"/>
        <w:jc w:val="both"/>
        <w:rPr>
          <w:sz w:val="20"/>
          <w:szCs w:val="20"/>
        </w:rPr>
      </w:pPr>
    </w:p>
    <w:p w:rsidR="00E26E38" w:rsidRPr="00972800" w:rsidRDefault="00E26E38" w:rsidP="00DF75D7">
      <w:pPr>
        <w:widowControl w:val="0"/>
        <w:ind w:left="2880" w:hanging="2880"/>
        <w:jc w:val="both"/>
        <w:rPr>
          <w:sz w:val="20"/>
          <w:szCs w:val="20"/>
        </w:rPr>
      </w:pPr>
      <w:r w:rsidRPr="00972800">
        <w:rPr>
          <w:sz w:val="20"/>
          <w:szCs w:val="20"/>
        </w:rPr>
        <w:t>Judgment of the Court of Appeal:</w:t>
      </w:r>
      <w:r w:rsidRPr="00972800">
        <w:rPr>
          <w:sz w:val="20"/>
          <w:szCs w:val="20"/>
        </w:rPr>
        <w:tab/>
        <w:t>July 12, 2012</w:t>
      </w:r>
    </w:p>
    <w:p w:rsidR="00E26E38" w:rsidRPr="00972800" w:rsidRDefault="00E26E38" w:rsidP="00DF75D7">
      <w:pPr>
        <w:widowControl w:val="0"/>
        <w:ind w:left="2880" w:hanging="2880"/>
        <w:jc w:val="both"/>
        <w:rPr>
          <w:sz w:val="20"/>
          <w:szCs w:val="20"/>
        </w:rPr>
      </w:pPr>
    </w:p>
    <w:p w:rsidR="00E26E38" w:rsidRPr="00972800" w:rsidRDefault="00E26E38" w:rsidP="00DF75D7">
      <w:pPr>
        <w:widowControl w:val="0"/>
        <w:ind w:left="2880" w:hanging="2880"/>
        <w:jc w:val="both"/>
        <w:rPr>
          <w:sz w:val="20"/>
          <w:szCs w:val="20"/>
        </w:rPr>
      </w:pPr>
      <w:r w:rsidRPr="00972800">
        <w:rPr>
          <w:sz w:val="20"/>
          <w:szCs w:val="20"/>
        </w:rPr>
        <w:t>Counsel:</w:t>
      </w:r>
      <w:r w:rsidRPr="00972800">
        <w:rPr>
          <w:sz w:val="20"/>
          <w:szCs w:val="20"/>
        </w:rPr>
        <w:tab/>
        <w:t>Michael Bates for the appellant</w:t>
      </w:r>
    </w:p>
    <w:p w:rsidR="00E26E38" w:rsidRPr="00817761" w:rsidRDefault="00E26E38" w:rsidP="00DF75D7">
      <w:pPr>
        <w:widowControl w:val="0"/>
        <w:ind w:left="2880" w:hanging="2880"/>
        <w:jc w:val="both"/>
        <w:rPr>
          <w:sz w:val="20"/>
          <w:szCs w:val="20"/>
        </w:rPr>
      </w:pPr>
      <w:r w:rsidRPr="00972800">
        <w:rPr>
          <w:sz w:val="20"/>
          <w:szCs w:val="20"/>
        </w:rPr>
        <w:tab/>
      </w:r>
      <w:r w:rsidRPr="00817761">
        <w:rPr>
          <w:sz w:val="20"/>
          <w:szCs w:val="20"/>
        </w:rPr>
        <w:t>Jolaine Antonio for the respondent</w:t>
      </w:r>
    </w:p>
    <w:p w:rsidR="00E26E38" w:rsidRPr="00817761" w:rsidRDefault="00E26E38" w:rsidP="00E26E38">
      <w:pPr>
        <w:jc w:val="both"/>
        <w:rPr>
          <w:sz w:val="20"/>
          <w:szCs w:val="20"/>
        </w:rPr>
      </w:pPr>
    </w:p>
    <w:p w:rsidR="00E26E38" w:rsidRDefault="00B74DD2" w:rsidP="00E26E38">
      <w:pPr>
        <w:tabs>
          <w:tab w:val="left" w:pos="-1440"/>
          <w:tab w:val="left" w:pos="-720"/>
        </w:tabs>
        <w:jc w:val="both"/>
        <w:rPr>
          <w:sz w:val="20"/>
          <w:szCs w:val="20"/>
          <w:lang w:val="fr-CA"/>
        </w:rPr>
      </w:pPr>
      <w:r w:rsidRPr="00B74DD2">
        <w:rPr>
          <w:sz w:val="20"/>
          <w:szCs w:val="20"/>
          <w:lang w:val="fr-CA"/>
        </w:rPr>
        <w:pict>
          <v:rect id="_x0000_i1104" style="width:2in;height:1pt" o:hrpct="0" o:hralign="center" o:hrstd="t" o:hrnoshade="t" o:hr="t" fillcolor="black [3213]" stroked="f"/>
        </w:pict>
      </w:r>
    </w:p>
    <w:p w:rsidR="00E26E38" w:rsidRDefault="00E26E38" w:rsidP="00E26E38">
      <w:pPr>
        <w:tabs>
          <w:tab w:val="left" w:pos="-1440"/>
          <w:tab w:val="left" w:pos="-720"/>
        </w:tabs>
        <w:jc w:val="both"/>
        <w:rPr>
          <w:sz w:val="20"/>
          <w:szCs w:val="20"/>
          <w:lang w:val="fr-CA"/>
        </w:rPr>
      </w:pPr>
    </w:p>
    <w:p w:rsidR="00E26E38" w:rsidRDefault="00E26E38" w:rsidP="00E26E38">
      <w:pPr>
        <w:rPr>
          <w:sz w:val="20"/>
          <w:szCs w:val="20"/>
          <w:lang w:val="fr-CA"/>
        </w:rPr>
      </w:pPr>
      <w:r>
        <w:rPr>
          <w:sz w:val="20"/>
          <w:szCs w:val="20"/>
          <w:lang w:val="fr-CA"/>
        </w:rPr>
        <w:br w:type="page"/>
      </w:r>
    </w:p>
    <w:p w:rsidR="00E26E38" w:rsidRPr="00972800" w:rsidRDefault="00B74DD2" w:rsidP="00E26E38">
      <w:pPr>
        <w:widowControl w:val="0"/>
        <w:ind w:left="720" w:hanging="720"/>
        <w:jc w:val="both"/>
        <w:rPr>
          <w:sz w:val="20"/>
          <w:szCs w:val="20"/>
          <w:lang w:val="fr-CA"/>
        </w:rPr>
      </w:pPr>
      <w:r w:rsidRPr="00972800">
        <w:rPr>
          <w:b/>
          <w:sz w:val="20"/>
          <w:szCs w:val="20"/>
          <w:highlight w:val="yellow"/>
          <w:lang w:val="fr-CA"/>
        </w:rPr>
        <w:fldChar w:fldCharType="begin"/>
      </w:r>
      <w:r w:rsidR="00E26E38" w:rsidRPr="00972800">
        <w:rPr>
          <w:b/>
          <w:sz w:val="20"/>
          <w:szCs w:val="20"/>
          <w:highlight w:val="yellow"/>
          <w:lang w:val="fr-CA"/>
        </w:rPr>
        <w:instrText xml:space="preserve"> SEQ CHAPTER \h \r 1</w:instrText>
      </w:r>
      <w:r w:rsidRPr="00972800">
        <w:rPr>
          <w:b/>
          <w:sz w:val="20"/>
          <w:szCs w:val="20"/>
          <w:highlight w:val="yellow"/>
          <w:lang w:val="fr-CA"/>
        </w:rPr>
        <w:fldChar w:fldCharType="end"/>
      </w:r>
      <w:r w:rsidR="00E26E38" w:rsidRPr="00972800">
        <w:rPr>
          <w:b/>
          <w:sz w:val="20"/>
          <w:szCs w:val="20"/>
          <w:lang w:val="fr-CA"/>
        </w:rPr>
        <w:t>34951</w:t>
      </w:r>
      <w:r w:rsidR="00E26E38" w:rsidRPr="00972800">
        <w:rPr>
          <w:sz w:val="20"/>
          <w:szCs w:val="20"/>
          <w:lang w:val="fr-CA"/>
        </w:rPr>
        <w:tab/>
      </w:r>
      <w:r w:rsidR="00E26E38" w:rsidRPr="00972800">
        <w:rPr>
          <w:b/>
          <w:i/>
          <w:sz w:val="20"/>
          <w:szCs w:val="20"/>
          <w:lang w:val="fr-CA"/>
        </w:rPr>
        <w:t>Bill James Pappas c. Sa Majesté la Reine</w:t>
      </w:r>
    </w:p>
    <w:p w:rsidR="00E26E38" w:rsidRPr="00972800" w:rsidRDefault="00E26E38" w:rsidP="00E26E38">
      <w:pPr>
        <w:widowControl w:val="0"/>
        <w:jc w:val="both"/>
        <w:rPr>
          <w:sz w:val="20"/>
          <w:szCs w:val="20"/>
          <w:lang w:val="fr-CA"/>
        </w:rPr>
      </w:pPr>
    </w:p>
    <w:p w:rsidR="00E26E38" w:rsidRPr="00972800" w:rsidRDefault="00E26E38" w:rsidP="00E26E38">
      <w:pPr>
        <w:widowControl w:val="0"/>
        <w:jc w:val="both"/>
        <w:rPr>
          <w:smallCaps/>
          <w:sz w:val="20"/>
          <w:szCs w:val="20"/>
          <w:lang w:val="fr-CA"/>
        </w:rPr>
      </w:pPr>
      <w:r w:rsidRPr="00972800">
        <w:rPr>
          <w:smallCaps/>
          <w:sz w:val="20"/>
          <w:szCs w:val="20"/>
          <w:lang w:val="fr-CA"/>
        </w:rPr>
        <w:t>(Ordonnance de non</w:t>
      </w:r>
      <w:r w:rsidRPr="00972800">
        <w:rPr>
          <w:smallCaps/>
          <w:sz w:val="20"/>
          <w:szCs w:val="20"/>
          <w:lang w:val="fr-CA"/>
        </w:rPr>
        <w:noBreakHyphen/>
        <w:t>publication dans le dossier)</w:t>
      </w:r>
    </w:p>
    <w:p w:rsidR="00E26E38" w:rsidRPr="00972800" w:rsidRDefault="00E26E38" w:rsidP="00E26E38">
      <w:pPr>
        <w:widowControl w:val="0"/>
        <w:jc w:val="both"/>
        <w:rPr>
          <w:sz w:val="20"/>
          <w:szCs w:val="20"/>
          <w:lang w:val="fr-CA"/>
        </w:rPr>
      </w:pPr>
    </w:p>
    <w:p w:rsidR="00E26E38" w:rsidRPr="00972800" w:rsidRDefault="00E26E38" w:rsidP="00E26E38">
      <w:pPr>
        <w:widowControl w:val="0"/>
        <w:jc w:val="both"/>
        <w:rPr>
          <w:sz w:val="20"/>
          <w:szCs w:val="20"/>
          <w:lang w:val="fr-CA"/>
        </w:rPr>
      </w:pPr>
      <w:r w:rsidRPr="00972800">
        <w:rPr>
          <w:sz w:val="20"/>
          <w:szCs w:val="20"/>
          <w:lang w:val="fr-CA"/>
        </w:rPr>
        <w:t xml:space="preserve">Droit criminel </w:t>
      </w:r>
      <w:r w:rsidRPr="00972800">
        <w:rPr>
          <w:sz w:val="20"/>
          <w:szCs w:val="20"/>
          <w:lang w:val="fr-CA"/>
        </w:rPr>
        <w:noBreakHyphen/>
        <w:t xml:space="preserve"> Exposé au jury </w:t>
      </w:r>
      <w:r w:rsidRPr="00972800">
        <w:rPr>
          <w:sz w:val="20"/>
          <w:szCs w:val="20"/>
          <w:lang w:val="fr-CA"/>
        </w:rPr>
        <w:noBreakHyphen/>
        <w:t xml:space="preserve"> Défense de provocation </w:t>
      </w:r>
      <w:r w:rsidRPr="00972800">
        <w:rPr>
          <w:sz w:val="20"/>
          <w:szCs w:val="20"/>
          <w:lang w:val="fr-CA"/>
        </w:rPr>
        <w:noBreakHyphen/>
        <w:t xml:space="preserve"> Comportement postérieur à l’infraction </w:t>
      </w:r>
      <w:r w:rsidRPr="00972800">
        <w:rPr>
          <w:sz w:val="20"/>
          <w:szCs w:val="20"/>
          <w:lang w:val="fr-CA"/>
        </w:rPr>
        <w:noBreakHyphen/>
        <w:t xml:space="preserve"> Le juge du procès a</w:t>
      </w:r>
      <w:r w:rsidRPr="00972800">
        <w:rPr>
          <w:sz w:val="20"/>
          <w:szCs w:val="20"/>
          <w:lang w:val="fr-CA"/>
        </w:rPr>
        <w:noBreakHyphen/>
        <w:t>t</w:t>
      </w:r>
      <w:r w:rsidRPr="00972800">
        <w:rPr>
          <w:sz w:val="20"/>
          <w:szCs w:val="20"/>
          <w:lang w:val="fr-CA"/>
        </w:rPr>
        <w:noBreakHyphen/>
        <w:t xml:space="preserve">il omis de donner des directives adéquates au jury comme quoi le comportement postérieur à l’infraction de l’appelant n’avait aucune incidence sur ses délibérations sur la défense de provocation? </w:t>
      </w:r>
      <w:r w:rsidRPr="00972800">
        <w:rPr>
          <w:sz w:val="20"/>
          <w:szCs w:val="20"/>
          <w:lang w:val="fr-CA"/>
        </w:rPr>
        <w:noBreakHyphen/>
        <w:t xml:space="preserve"> L’exposé au jury a</w:t>
      </w:r>
      <w:r w:rsidRPr="00972800">
        <w:rPr>
          <w:sz w:val="20"/>
          <w:szCs w:val="20"/>
          <w:lang w:val="fr-CA"/>
        </w:rPr>
        <w:noBreakHyphen/>
        <w:t>t</w:t>
      </w:r>
      <w:r w:rsidRPr="00972800">
        <w:rPr>
          <w:sz w:val="20"/>
          <w:szCs w:val="20"/>
          <w:lang w:val="fr-CA"/>
        </w:rPr>
        <w:noBreakHyphen/>
        <w:t xml:space="preserve">il affaibli la défense de provocation en dénaturant la position de l’appelant quant au mobile? </w:t>
      </w:r>
      <w:r w:rsidRPr="00972800">
        <w:rPr>
          <w:sz w:val="20"/>
          <w:szCs w:val="20"/>
          <w:lang w:val="fr-CA"/>
        </w:rPr>
        <w:noBreakHyphen/>
        <w:t xml:space="preserve"> L’exposé au jury renfermait</w:t>
      </w:r>
      <w:r w:rsidRPr="00972800">
        <w:rPr>
          <w:sz w:val="20"/>
          <w:szCs w:val="20"/>
          <w:lang w:val="fr-CA"/>
        </w:rPr>
        <w:noBreakHyphen/>
        <w:t>il une directive erronée portant que les actes d’extorsion et les remarques provocantes de la victime devaient être soudains?</w:t>
      </w:r>
    </w:p>
    <w:p w:rsidR="00E26E38" w:rsidRPr="00972800" w:rsidRDefault="00E26E38" w:rsidP="00E26E38">
      <w:pPr>
        <w:widowControl w:val="0"/>
        <w:jc w:val="both"/>
        <w:rPr>
          <w:sz w:val="20"/>
          <w:szCs w:val="20"/>
          <w:lang w:val="fr-CA"/>
        </w:rPr>
      </w:pPr>
    </w:p>
    <w:p w:rsidR="00E26E38" w:rsidRPr="00972800" w:rsidRDefault="00E26E38" w:rsidP="00E26E38">
      <w:pPr>
        <w:widowControl w:val="0"/>
        <w:jc w:val="both"/>
        <w:rPr>
          <w:sz w:val="20"/>
          <w:szCs w:val="20"/>
          <w:lang w:val="fr-CA"/>
        </w:rPr>
      </w:pPr>
      <w:r w:rsidRPr="00972800">
        <w:rPr>
          <w:sz w:val="20"/>
          <w:szCs w:val="20"/>
          <w:lang w:val="fr-CA"/>
        </w:rPr>
        <w:t>L’appelant a été déclaré coupable de meurtre au deuxième degré.  Au cours d’un interrogatoire de la police, il a avoué avoir abattu la victime et a expliqué que la victime lui avait extorqué de l’argent pendant des mois en menaçant de révéler à l’Agence du revenu du Canada des détails sur ses placements à l’étranger et en menaçant de faire du mal à sa mère s’il choisissait de cesser de payer ou s’il communiquait avec la police.  L’appelant a également affirmé qu’au moment du meurtre, la victime avait une fois de plus menacé sa mère et qu’en conséquence, quelque chose avait craqué en lui.  Il a récupéré l’arme à feu qu’il avait apportée avec lui et a tiré deux fois sur la victime.  L’appelant a alors tenté de brouiller les pistes en mettant le feu au sous</w:t>
      </w:r>
      <w:r w:rsidRPr="00972800">
        <w:rPr>
          <w:sz w:val="20"/>
          <w:szCs w:val="20"/>
          <w:lang w:val="fr-CA"/>
        </w:rPr>
        <w:noBreakHyphen/>
        <w:t>sol où il avait abattu la victime.  Il s’est débarrassé du corps en utilisant l’automobile de la victime, abandonné la voiture, jeté certains effets de la victime et de nombreux vêtements tachés du sang de la victime, falsifié un chèque fait à son ordre et utilisé la carte de crédit de la victime.  Au procès, le ministère public a mis en preuve l’aveu de l’appelant et le moyen de défense de la provocation a été présenté au jury.  Dans ses conclusions finales, le ministère public s’est appuyé sur le comportement postérieur à l’infraction de l’appelant pour plaider que le moyen de défense ne pouvait être établi.  L’appelant à fait objection, si bien que dans ses directives, le juge du procès a dit au jury que le comportement postérieur à l’infraction n’était pas pertinent en ce qui avait trait aux questions qu’il devait trancher, puisque l’appelant avait déjà avoué avoir tué la victime.  L’appelant a interjeté appel de sa condamnation, plaidant notamment que le juge du procès aurait dû expressément dire au jury que la déclaration du ministère public relativement au comportement postérieur à l’infraction était inexacte.  Les juges majoritaires de la Cour d’appel ont rejeté l’appel, concluant que la directive donnée par le juge du procès, quoique très large, était suffisante et équivalait à avoir donné une directive précisant que cette preuve n’avait aucune valeur probante.  Le juge Berger, dissident, aurait accueilli l’appel et ordonné la tenue d’un nouveau procès.</w:t>
      </w:r>
    </w:p>
    <w:p w:rsidR="00E26E38" w:rsidRPr="00972800" w:rsidRDefault="00E26E38" w:rsidP="00E26E38">
      <w:pPr>
        <w:widowControl w:val="0"/>
        <w:jc w:val="both"/>
        <w:rPr>
          <w:sz w:val="20"/>
          <w:szCs w:val="20"/>
          <w:lang w:val="fr-CA"/>
        </w:rPr>
      </w:pPr>
    </w:p>
    <w:p w:rsidR="00E26E38" w:rsidRPr="00972800" w:rsidRDefault="00E26E38" w:rsidP="00E26E38">
      <w:pPr>
        <w:widowControl w:val="0"/>
        <w:jc w:val="both"/>
        <w:rPr>
          <w:sz w:val="20"/>
          <w:szCs w:val="20"/>
          <w:lang w:val="fr-CA"/>
        </w:rPr>
      </w:pPr>
    </w:p>
    <w:p w:rsidR="00E26E38" w:rsidRPr="00972800" w:rsidRDefault="00E26E38" w:rsidP="00817761">
      <w:pPr>
        <w:widowControl w:val="0"/>
        <w:ind w:left="2880" w:hanging="2880"/>
        <w:jc w:val="both"/>
        <w:rPr>
          <w:sz w:val="20"/>
          <w:szCs w:val="20"/>
          <w:lang w:val="fr-CA"/>
        </w:rPr>
      </w:pPr>
      <w:r w:rsidRPr="00972800">
        <w:rPr>
          <w:sz w:val="20"/>
          <w:szCs w:val="20"/>
          <w:lang w:val="fr-CA"/>
        </w:rPr>
        <w:t>Origine :</w:t>
      </w:r>
      <w:r w:rsidRPr="00972800">
        <w:rPr>
          <w:sz w:val="20"/>
          <w:szCs w:val="20"/>
          <w:lang w:val="fr-CA"/>
        </w:rPr>
        <w:tab/>
        <w:t>Alberta</w:t>
      </w:r>
    </w:p>
    <w:p w:rsidR="00E26E38" w:rsidRPr="00972800" w:rsidRDefault="00E26E38" w:rsidP="00817761">
      <w:pPr>
        <w:widowControl w:val="0"/>
        <w:ind w:left="2880" w:hanging="2880"/>
        <w:jc w:val="both"/>
        <w:rPr>
          <w:sz w:val="20"/>
          <w:szCs w:val="20"/>
          <w:lang w:val="fr-CA"/>
        </w:rPr>
      </w:pPr>
    </w:p>
    <w:p w:rsidR="00E26E38" w:rsidRPr="00972800" w:rsidRDefault="00E26E38" w:rsidP="00817761">
      <w:pPr>
        <w:widowControl w:val="0"/>
        <w:ind w:left="2880" w:hanging="2880"/>
        <w:jc w:val="both"/>
        <w:rPr>
          <w:sz w:val="20"/>
          <w:szCs w:val="20"/>
          <w:lang w:val="fr-CA"/>
        </w:rPr>
      </w:pPr>
      <w:r w:rsidRPr="00972800">
        <w:rPr>
          <w:sz w:val="20"/>
          <w:szCs w:val="20"/>
          <w:lang w:val="fr-CA"/>
        </w:rPr>
        <w:t>N</w:t>
      </w:r>
      <w:r w:rsidRPr="00972800">
        <w:rPr>
          <w:sz w:val="20"/>
          <w:szCs w:val="20"/>
          <w:vertAlign w:val="superscript"/>
          <w:lang w:val="fr-CA"/>
        </w:rPr>
        <w:t>o</w:t>
      </w:r>
      <w:r w:rsidRPr="00972800">
        <w:rPr>
          <w:sz w:val="20"/>
          <w:szCs w:val="20"/>
          <w:lang w:val="fr-CA"/>
        </w:rPr>
        <w:t xml:space="preserve"> du greffe :</w:t>
      </w:r>
      <w:r w:rsidRPr="00972800">
        <w:rPr>
          <w:sz w:val="20"/>
          <w:szCs w:val="20"/>
          <w:lang w:val="fr-CA"/>
        </w:rPr>
        <w:tab/>
        <w:t>34951</w:t>
      </w:r>
    </w:p>
    <w:p w:rsidR="00E26E38" w:rsidRPr="00972800" w:rsidRDefault="00E26E38" w:rsidP="00817761">
      <w:pPr>
        <w:widowControl w:val="0"/>
        <w:ind w:left="2880" w:hanging="2880"/>
        <w:jc w:val="both"/>
        <w:rPr>
          <w:sz w:val="20"/>
          <w:szCs w:val="20"/>
          <w:lang w:val="fr-CA"/>
        </w:rPr>
      </w:pPr>
    </w:p>
    <w:p w:rsidR="00E26E38" w:rsidRPr="00972800" w:rsidRDefault="00E26E38" w:rsidP="00817761">
      <w:pPr>
        <w:widowControl w:val="0"/>
        <w:ind w:left="2880" w:hanging="2880"/>
        <w:jc w:val="both"/>
        <w:rPr>
          <w:sz w:val="20"/>
          <w:szCs w:val="20"/>
          <w:lang w:val="fr-CA"/>
        </w:rPr>
      </w:pPr>
      <w:r w:rsidRPr="00972800">
        <w:rPr>
          <w:sz w:val="20"/>
          <w:szCs w:val="20"/>
          <w:lang w:val="fr-CA"/>
        </w:rPr>
        <w:t>Arrêt de la Cour d’appel :</w:t>
      </w:r>
      <w:r w:rsidRPr="00972800">
        <w:rPr>
          <w:sz w:val="20"/>
          <w:szCs w:val="20"/>
          <w:lang w:val="fr-CA"/>
        </w:rPr>
        <w:tab/>
        <w:t>le 12 juillet 2012</w:t>
      </w:r>
    </w:p>
    <w:p w:rsidR="00E26E38" w:rsidRPr="00972800" w:rsidRDefault="00E26E38" w:rsidP="00817761">
      <w:pPr>
        <w:widowControl w:val="0"/>
        <w:ind w:left="2880" w:hanging="2880"/>
        <w:jc w:val="both"/>
        <w:rPr>
          <w:sz w:val="20"/>
          <w:szCs w:val="20"/>
          <w:lang w:val="fr-CA"/>
        </w:rPr>
      </w:pPr>
    </w:p>
    <w:p w:rsidR="00E26E38" w:rsidRPr="00972800" w:rsidRDefault="00E26E38" w:rsidP="00817761">
      <w:pPr>
        <w:widowControl w:val="0"/>
        <w:ind w:left="2880" w:hanging="2880"/>
        <w:jc w:val="both"/>
        <w:rPr>
          <w:sz w:val="20"/>
          <w:szCs w:val="20"/>
          <w:lang w:val="fr-CA"/>
        </w:rPr>
      </w:pPr>
      <w:r w:rsidRPr="00972800">
        <w:rPr>
          <w:sz w:val="20"/>
          <w:szCs w:val="20"/>
          <w:lang w:val="fr-CA"/>
        </w:rPr>
        <w:t>Avocats :</w:t>
      </w:r>
      <w:r w:rsidRPr="00972800">
        <w:rPr>
          <w:sz w:val="20"/>
          <w:szCs w:val="20"/>
          <w:lang w:val="fr-CA"/>
        </w:rPr>
        <w:tab/>
        <w:t>Michael Bates pour l’appelant</w:t>
      </w:r>
    </w:p>
    <w:p w:rsidR="00E26E38" w:rsidRPr="00972800" w:rsidRDefault="00E26E38" w:rsidP="00817761">
      <w:pPr>
        <w:widowControl w:val="0"/>
        <w:ind w:left="2880" w:hanging="2880"/>
        <w:jc w:val="both"/>
        <w:rPr>
          <w:sz w:val="20"/>
          <w:szCs w:val="20"/>
          <w:lang w:val="fr-CA"/>
        </w:rPr>
      </w:pPr>
      <w:r w:rsidRPr="00972800">
        <w:rPr>
          <w:sz w:val="20"/>
          <w:szCs w:val="20"/>
          <w:lang w:val="fr-CA"/>
        </w:rPr>
        <w:tab/>
        <w:t>Jolaine Antonio pour l’intimée</w:t>
      </w:r>
    </w:p>
    <w:p w:rsidR="00E26E38" w:rsidRPr="00972800" w:rsidRDefault="00E26E38" w:rsidP="00E26E38">
      <w:pPr>
        <w:jc w:val="both"/>
        <w:rPr>
          <w:sz w:val="20"/>
          <w:szCs w:val="20"/>
          <w:lang w:val="fr-CA"/>
        </w:rPr>
      </w:pPr>
    </w:p>
    <w:p w:rsidR="00E26E38" w:rsidRDefault="00B74DD2" w:rsidP="00E26E38">
      <w:pPr>
        <w:tabs>
          <w:tab w:val="left" w:pos="-1440"/>
          <w:tab w:val="left" w:pos="-720"/>
        </w:tabs>
        <w:jc w:val="both"/>
        <w:rPr>
          <w:sz w:val="20"/>
          <w:szCs w:val="20"/>
          <w:lang w:val="fr-CA"/>
        </w:rPr>
      </w:pPr>
      <w:r w:rsidRPr="00B74DD2">
        <w:rPr>
          <w:sz w:val="20"/>
          <w:szCs w:val="20"/>
          <w:lang w:val="fr-CA"/>
        </w:rPr>
        <w:pict>
          <v:rect id="_x0000_i1105" style="width:2in;height:1pt" o:hrpct="0" o:hralign="center" o:hrstd="t" o:hrnoshade="t" o:hr="t" fillcolor="black [3213]" stroked="f"/>
        </w:pict>
      </w:r>
    </w:p>
    <w:p w:rsidR="00E26E38" w:rsidRDefault="00E26E38" w:rsidP="00E26E38">
      <w:pPr>
        <w:tabs>
          <w:tab w:val="left" w:pos="-1440"/>
          <w:tab w:val="left" w:pos="-720"/>
        </w:tabs>
        <w:jc w:val="both"/>
        <w:rPr>
          <w:sz w:val="20"/>
          <w:szCs w:val="20"/>
          <w:lang w:val="fr-CA"/>
        </w:rPr>
      </w:pPr>
    </w:p>
    <w:p w:rsidR="00E26E38" w:rsidRDefault="00E26E38" w:rsidP="00E26E38">
      <w:pPr>
        <w:rPr>
          <w:sz w:val="20"/>
          <w:szCs w:val="20"/>
          <w:lang w:val="fr-CA"/>
        </w:rPr>
      </w:pPr>
      <w:r>
        <w:rPr>
          <w:sz w:val="20"/>
          <w:szCs w:val="20"/>
          <w:lang w:val="fr-CA"/>
        </w:rPr>
        <w:br w:type="page"/>
      </w:r>
    </w:p>
    <w:p w:rsidR="00E26E38" w:rsidRDefault="00E26E38" w:rsidP="00E26E38">
      <w:pPr>
        <w:ind w:left="720" w:hanging="720"/>
        <w:jc w:val="both"/>
        <w:rPr>
          <w:b/>
          <w:i/>
          <w:sz w:val="20"/>
          <w:szCs w:val="20"/>
        </w:rPr>
      </w:pPr>
      <w:r w:rsidRPr="00972800">
        <w:rPr>
          <w:b/>
          <w:sz w:val="20"/>
          <w:szCs w:val="20"/>
        </w:rPr>
        <w:t>34848</w:t>
      </w:r>
      <w:r w:rsidRPr="00972800">
        <w:rPr>
          <w:b/>
          <w:sz w:val="20"/>
          <w:szCs w:val="20"/>
        </w:rPr>
        <w:tab/>
      </w:r>
      <w:r w:rsidRPr="00972800">
        <w:rPr>
          <w:b/>
          <w:i/>
          <w:sz w:val="20"/>
          <w:szCs w:val="20"/>
        </w:rPr>
        <w:t xml:space="preserve">Michael John Cairney v. Her Majesty the Queen </w:t>
      </w:r>
    </w:p>
    <w:p w:rsidR="00E26E38" w:rsidRPr="00972800" w:rsidRDefault="00E26E38" w:rsidP="00E26E38">
      <w:pPr>
        <w:ind w:left="720" w:hanging="720"/>
        <w:jc w:val="both"/>
        <w:rPr>
          <w:b/>
          <w:i/>
          <w:sz w:val="20"/>
          <w:szCs w:val="20"/>
        </w:rPr>
      </w:pPr>
    </w:p>
    <w:p w:rsidR="00E26E38" w:rsidRDefault="00E26E38" w:rsidP="00E26E38">
      <w:pPr>
        <w:jc w:val="both"/>
        <w:rPr>
          <w:sz w:val="20"/>
          <w:szCs w:val="20"/>
        </w:rPr>
      </w:pPr>
      <w:r w:rsidRPr="00972800">
        <w:rPr>
          <w:sz w:val="20"/>
          <w:szCs w:val="20"/>
        </w:rPr>
        <w:t>Criminal law - Defences - Provocation - Whether there was an air of reality to the defence of provocation.</w:t>
      </w:r>
    </w:p>
    <w:p w:rsidR="002B089E" w:rsidRPr="00972800" w:rsidRDefault="002B089E" w:rsidP="00E26E38">
      <w:pPr>
        <w:jc w:val="both"/>
        <w:rPr>
          <w:sz w:val="20"/>
          <w:szCs w:val="20"/>
        </w:rPr>
      </w:pPr>
    </w:p>
    <w:p w:rsidR="00E26E38" w:rsidRDefault="00E26E38" w:rsidP="00E26E38">
      <w:pPr>
        <w:jc w:val="both"/>
        <w:rPr>
          <w:sz w:val="20"/>
          <w:szCs w:val="20"/>
        </w:rPr>
      </w:pPr>
      <w:r w:rsidRPr="00972800">
        <w:rPr>
          <w:sz w:val="20"/>
          <w:szCs w:val="20"/>
        </w:rPr>
        <w:t>Michael John Cairney shot and killed his long-time friend Stephan Ferguson.  Ferguson was the long time common-law spouse of Cairney’s cousin, Francis Rosenthal.  Cairney was temporarily residing with Ferguson and Rosenthal, and overheard Ferguson threatening Rosenthal.  Cairney retrieved a shotgun from a nearby closet and decided to scare Ferguson to teach him a lesson.  He proceeded to lecture Ferguson about abuse.  Ferguson left the room after saying to Cairney “you don’t have the guts to shoot me.”  Cairney asked him to come back so they could finish their talk.  Ferguson insulted Cairney and said that he would do with his spouse whatever he wanted, and he then left the apartment.  Upset that Ferguson was “laughing him off,” Cairney followed him out of the apartment.  Shortly thereafter, Cairney shot Ferguson in the apartment stairwell.</w:t>
      </w:r>
    </w:p>
    <w:p w:rsidR="002B089E" w:rsidRPr="00972800" w:rsidRDefault="002B089E" w:rsidP="00E26E38">
      <w:pPr>
        <w:jc w:val="both"/>
        <w:rPr>
          <w:sz w:val="20"/>
          <w:szCs w:val="20"/>
        </w:rPr>
      </w:pPr>
    </w:p>
    <w:p w:rsidR="00E26E38" w:rsidRPr="00972800" w:rsidRDefault="00E26E38" w:rsidP="00E26E38">
      <w:pPr>
        <w:jc w:val="both"/>
        <w:rPr>
          <w:sz w:val="20"/>
          <w:szCs w:val="20"/>
        </w:rPr>
      </w:pPr>
      <w:r w:rsidRPr="00972800">
        <w:rPr>
          <w:sz w:val="20"/>
          <w:szCs w:val="20"/>
        </w:rPr>
        <w:t>The defence of provocation was left with the jury.  Cairney was acquitted of second degree murder and convicted of manslaughter.  The Crown appealed the acquittal, arguing among other things, that there was no air of reality to the defence of provocation.  The Court of Appeal agreed, allowed the appeal and ordered a new trial.</w:t>
      </w:r>
    </w:p>
    <w:p w:rsidR="00E26E38" w:rsidRPr="00972800" w:rsidRDefault="00E26E38" w:rsidP="00E26E38">
      <w:pPr>
        <w:jc w:val="both"/>
        <w:rPr>
          <w:sz w:val="20"/>
          <w:szCs w:val="20"/>
        </w:rPr>
      </w:pPr>
    </w:p>
    <w:p w:rsidR="00E26E38" w:rsidRPr="00972800" w:rsidRDefault="00E26E38" w:rsidP="00E26E38">
      <w:pPr>
        <w:jc w:val="both"/>
        <w:rPr>
          <w:sz w:val="20"/>
          <w:szCs w:val="20"/>
        </w:rPr>
      </w:pPr>
    </w:p>
    <w:p w:rsidR="00E26E38" w:rsidRDefault="00E26E38" w:rsidP="002B089E">
      <w:pPr>
        <w:widowControl w:val="0"/>
        <w:ind w:left="2880" w:hanging="2880"/>
        <w:jc w:val="both"/>
        <w:rPr>
          <w:sz w:val="20"/>
          <w:szCs w:val="20"/>
        </w:rPr>
      </w:pPr>
      <w:r w:rsidRPr="00972800">
        <w:rPr>
          <w:sz w:val="20"/>
          <w:szCs w:val="20"/>
        </w:rPr>
        <w:t>Origin of the case:</w:t>
      </w:r>
      <w:r w:rsidRPr="00972800">
        <w:rPr>
          <w:sz w:val="20"/>
          <w:szCs w:val="20"/>
        </w:rPr>
        <w:tab/>
        <w:t xml:space="preserve">Alberta </w:t>
      </w:r>
    </w:p>
    <w:p w:rsidR="00E26E38" w:rsidRPr="00972800" w:rsidRDefault="00E26E38" w:rsidP="002B089E">
      <w:pPr>
        <w:widowControl w:val="0"/>
        <w:ind w:left="2880" w:hanging="2880"/>
        <w:jc w:val="both"/>
        <w:rPr>
          <w:sz w:val="20"/>
          <w:szCs w:val="20"/>
        </w:rPr>
      </w:pPr>
    </w:p>
    <w:p w:rsidR="00E26E38" w:rsidRDefault="00E26E38" w:rsidP="002B089E">
      <w:pPr>
        <w:widowControl w:val="0"/>
        <w:ind w:left="2880" w:hanging="2880"/>
        <w:jc w:val="both"/>
        <w:rPr>
          <w:sz w:val="20"/>
          <w:szCs w:val="20"/>
        </w:rPr>
      </w:pPr>
      <w:r w:rsidRPr="00972800">
        <w:rPr>
          <w:sz w:val="20"/>
          <w:szCs w:val="20"/>
        </w:rPr>
        <w:t>File No.:</w:t>
      </w:r>
      <w:r w:rsidRPr="00972800">
        <w:rPr>
          <w:sz w:val="20"/>
          <w:szCs w:val="20"/>
        </w:rPr>
        <w:tab/>
        <w:t>34848</w:t>
      </w:r>
      <w:r w:rsidRPr="00972800">
        <w:rPr>
          <w:sz w:val="20"/>
          <w:szCs w:val="20"/>
        </w:rPr>
        <w:tab/>
      </w:r>
    </w:p>
    <w:p w:rsidR="00E26E38" w:rsidRPr="00972800" w:rsidRDefault="00E26E38" w:rsidP="002B089E">
      <w:pPr>
        <w:widowControl w:val="0"/>
        <w:ind w:left="2880" w:hanging="2880"/>
        <w:jc w:val="both"/>
        <w:rPr>
          <w:sz w:val="20"/>
          <w:szCs w:val="20"/>
        </w:rPr>
      </w:pPr>
    </w:p>
    <w:p w:rsidR="00E26E38" w:rsidRDefault="00E26E38" w:rsidP="002B089E">
      <w:pPr>
        <w:widowControl w:val="0"/>
        <w:ind w:left="2880" w:hanging="2880"/>
        <w:jc w:val="both"/>
        <w:rPr>
          <w:sz w:val="20"/>
          <w:szCs w:val="20"/>
        </w:rPr>
      </w:pPr>
      <w:r w:rsidRPr="00972800">
        <w:rPr>
          <w:sz w:val="20"/>
          <w:szCs w:val="20"/>
        </w:rPr>
        <w:t>Judgment of the Court of Appeal:</w:t>
      </w:r>
      <w:r w:rsidRPr="00972800">
        <w:rPr>
          <w:sz w:val="20"/>
          <w:szCs w:val="20"/>
        </w:rPr>
        <w:tab/>
        <w:t>October 5, 2011</w:t>
      </w:r>
    </w:p>
    <w:p w:rsidR="00E26E38" w:rsidRPr="00972800" w:rsidRDefault="00E26E38" w:rsidP="002B089E">
      <w:pPr>
        <w:widowControl w:val="0"/>
        <w:ind w:left="2880" w:hanging="2880"/>
        <w:jc w:val="both"/>
        <w:rPr>
          <w:sz w:val="20"/>
          <w:szCs w:val="20"/>
        </w:rPr>
      </w:pPr>
    </w:p>
    <w:p w:rsidR="00E26E38" w:rsidRPr="00972800" w:rsidRDefault="00E26E38" w:rsidP="002B089E">
      <w:pPr>
        <w:ind w:left="2880" w:hanging="2880"/>
        <w:jc w:val="both"/>
        <w:rPr>
          <w:sz w:val="20"/>
          <w:szCs w:val="20"/>
        </w:rPr>
      </w:pPr>
      <w:r w:rsidRPr="00972800">
        <w:rPr>
          <w:sz w:val="20"/>
          <w:szCs w:val="20"/>
        </w:rPr>
        <w:t>Counsel:</w:t>
      </w:r>
      <w:r w:rsidRPr="00972800">
        <w:rPr>
          <w:sz w:val="20"/>
          <w:szCs w:val="20"/>
        </w:rPr>
        <w:tab/>
        <w:t>Dino Bottos for the appellant</w:t>
      </w:r>
    </w:p>
    <w:p w:rsidR="00E26E38" w:rsidRPr="00972800" w:rsidRDefault="00E26E38" w:rsidP="002B089E">
      <w:pPr>
        <w:ind w:left="2880" w:hanging="2880"/>
        <w:jc w:val="both"/>
        <w:rPr>
          <w:sz w:val="20"/>
          <w:szCs w:val="20"/>
        </w:rPr>
      </w:pPr>
      <w:r w:rsidRPr="00972800">
        <w:rPr>
          <w:sz w:val="20"/>
          <w:szCs w:val="20"/>
        </w:rPr>
        <w:tab/>
        <w:t>Dane Bullerwell for the respondent</w:t>
      </w:r>
      <w:r w:rsidRPr="00972800">
        <w:rPr>
          <w:sz w:val="20"/>
          <w:szCs w:val="20"/>
        </w:rPr>
        <w:tab/>
      </w:r>
    </w:p>
    <w:p w:rsidR="00E26E38" w:rsidRPr="00A33A9D" w:rsidRDefault="00E26E38" w:rsidP="00E26E38">
      <w:pPr>
        <w:jc w:val="both"/>
        <w:rPr>
          <w:sz w:val="20"/>
          <w:szCs w:val="20"/>
          <w:lang w:val="en-US"/>
        </w:rPr>
      </w:pPr>
    </w:p>
    <w:p w:rsidR="00E26E38" w:rsidRDefault="00B74DD2" w:rsidP="00E26E38">
      <w:pPr>
        <w:tabs>
          <w:tab w:val="left" w:pos="-1440"/>
          <w:tab w:val="left" w:pos="-720"/>
        </w:tabs>
        <w:jc w:val="both"/>
        <w:rPr>
          <w:sz w:val="20"/>
          <w:szCs w:val="20"/>
          <w:lang w:val="fr-CA"/>
        </w:rPr>
      </w:pPr>
      <w:r w:rsidRPr="00B74DD2">
        <w:rPr>
          <w:sz w:val="20"/>
          <w:szCs w:val="20"/>
          <w:lang w:val="fr-CA"/>
        </w:rPr>
        <w:pict>
          <v:rect id="_x0000_i1106" style="width:2in;height:1pt" o:hrpct="0" o:hralign="center" o:hrstd="t" o:hrnoshade="t" o:hr="t" fillcolor="black [3213]" stroked="f"/>
        </w:pict>
      </w:r>
    </w:p>
    <w:p w:rsidR="00E26E38" w:rsidRDefault="00E26E38" w:rsidP="00E26E38">
      <w:pPr>
        <w:tabs>
          <w:tab w:val="left" w:pos="-1440"/>
          <w:tab w:val="left" w:pos="-720"/>
        </w:tabs>
        <w:jc w:val="both"/>
        <w:rPr>
          <w:sz w:val="20"/>
          <w:szCs w:val="20"/>
          <w:lang w:val="fr-CA"/>
        </w:rPr>
      </w:pPr>
    </w:p>
    <w:p w:rsidR="00E26E38" w:rsidRDefault="00E26E38" w:rsidP="00E26E38">
      <w:pPr>
        <w:rPr>
          <w:sz w:val="20"/>
          <w:szCs w:val="20"/>
          <w:lang w:val="fr-CA"/>
        </w:rPr>
      </w:pPr>
      <w:r>
        <w:rPr>
          <w:sz w:val="20"/>
          <w:szCs w:val="20"/>
          <w:lang w:val="fr-CA"/>
        </w:rPr>
        <w:br w:type="page"/>
      </w:r>
    </w:p>
    <w:p w:rsidR="00E26E38" w:rsidRDefault="00E26E38" w:rsidP="00E26E38">
      <w:pPr>
        <w:ind w:left="720" w:hanging="720"/>
        <w:jc w:val="both"/>
        <w:rPr>
          <w:b/>
          <w:i/>
          <w:sz w:val="20"/>
          <w:szCs w:val="20"/>
          <w:lang w:val="fr-CA"/>
        </w:rPr>
      </w:pPr>
      <w:r w:rsidRPr="00E26E38">
        <w:rPr>
          <w:b/>
          <w:sz w:val="20"/>
          <w:szCs w:val="20"/>
          <w:lang w:val="fr-CA"/>
        </w:rPr>
        <w:t>34848</w:t>
      </w:r>
      <w:r w:rsidRPr="00E26E38">
        <w:rPr>
          <w:b/>
          <w:sz w:val="20"/>
          <w:szCs w:val="20"/>
          <w:lang w:val="fr-CA"/>
        </w:rPr>
        <w:tab/>
      </w:r>
      <w:r w:rsidRPr="00E26E38">
        <w:rPr>
          <w:b/>
          <w:i/>
          <w:sz w:val="20"/>
          <w:szCs w:val="20"/>
          <w:lang w:val="fr-CA"/>
        </w:rPr>
        <w:t xml:space="preserve">Michael John Cairney c. Sa Majesté </w:t>
      </w:r>
      <w:r w:rsidRPr="00972800">
        <w:rPr>
          <w:b/>
          <w:i/>
          <w:sz w:val="20"/>
          <w:szCs w:val="20"/>
          <w:lang w:val="fr-CA"/>
        </w:rPr>
        <w:t>la Reine</w:t>
      </w:r>
    </w:p>
    <w:p w:rsidR="00E26E38" w:rsidRPr="00972800" w:rsidRDefault="00E26E38" w:rsidP="00E26E38">
      <w:pPr>
        <w:ind w:left="720" w:hanging="720"/>
        <w:jc w:val="both"/>
        <w:rPr>
          <w:b/>
          <w:i/>
          <w:sz w:val="20"/>
          <w:szCs w:val="20"/>
          <w:lang w:val="fr-CA"/>
        </w:rPr>
      </w:pPr>
    </w:p>
    <w:p w:rsidR="00E26E38" w:rsidRDefault="00E26E38" w:rsidP="00E26E38">
      <w:pPr>
        <w:jc w:val="both"/>
        <w:rPr>
          <w:sz w:val="20"/>
          <w:szCs w:val="20"/>
          <w:lang w:val="fr-CA"/>
        </w:rPr>
      </w:pPr>
      <w:r w:rsidRPr="00972800">
        <w:rPr>
          <w:sz w:val="20"/>
          <w:szCs w:val="20"/>
          <w:lang w:val="fr-CA"/>
        </w:rPr>
        <w:t>Droit criminel - Moyens de défense - Provocation - La défense de provocation était-elle vraisemblable?</w:t>
      </w:r>
    </w:p>
    <w:p w:rsidR="00191FDB" w:rsidRPr="00972800" w:rsidRDefault="00191FDB" w:rsidP="00E26E38">
      <w:pPr>
        <w:jc w:val="both"/>
        <w:rPr>
          <w:sz w:val="20"/>
          <w:szCs w:val="20"/>
          <w:lang w:val="fr-CA"/>
        </w:rPr>
      </w:pPr>
    </w:p>
    <w:p w:rsidR="00E26E38" w:rsidRDefault="00E26E38" w:rsidP="00E26E38">
      <w:pPr>
        <w:jc w:val="both"/>
        <w:rPr>
          <w:sz w:val="20"/>
          <w:szCs w:val="20"/>
          <w:lang w:val="fr-CA"/>
        </w:rPr>
      </w:pPr>
      <w:r w:rsidRPr="00972800">
        <w:rPr>
          <w:sz w:val="20"/>
          <w:szCs w:val="20"/>
          <w:lang w:val="fr-CA"/>
        </w:rPr>
        <w:t>Michael John Cairney a abattu d’un coup de feu son ami de longue date, Stephan Ferguson.  Monsieur Ferguson était depuis longtemps le conjoint de fait de la cousine de M. Cairney, Francis Rosenthal.  Monsieur Cairney vivait temporairement chez M. Ferguson et Mme Rosenthal, et il a entendu M. Ferguson  menacer Mme Rosenthal.  Monsieur Cairney a sorti un fusil de chasse d’un placard à proximité et a décidé de faire peur à M. Ferguson pour lui servir une leçon.  Il a ensuite sermonné M. Ferguson sur la violence conjugale.  Monsieur Ferguson a quitté la pièce après avoir dit à M. Cairney : [</w:t>
      </w:r>
      <w:r w:rsidRPr="00972800">
        <w:rPr>
          <w:smallCaps/>
          <w:sz w:val="20"/>
          <w:szCs w:val="20"/>
          <w:lang w:val="fr-CA"/>
        </w:rPr>
        <w:t>traduction</w:t>
      </w:r>
      <w:r w:rsidRPr="00972800">
        <w:rPr>
          <w:sz w:val="20"/>
          <w:szCs w:val="20"/>
          <w:lang w:val="fr-CA"/>
        </w:rPr>
        <w:t>] « tu n’as pas le courage de tirer sur moi ».  Monsieur Cairney lui a demandé de revenir pour qu’ils puissent finir leur discussion.  Monsieur Ferguson a insulté M. Cairney et il lui a dit qu’il ferait ce que bon lui semblerait avec sa conjointe, puis il a quitté l’appartement.  Fâché parce que M. Ferguson [</w:t>
      </w:r>
      <w:r w:rsidRPr="00972800">
        <w:rPr>
          <w:caps/>
          <w:sz w:val="20"/>
          <w:szCs w:val="20"/>
          <w:lang w:val="fr-CA"/>
        </w:rPr>
        <w:t>traduction</w:t>
      </w:r>
      <w:r w:rsidRPr="00972800">
        <w:rPr>
          <w:sz w:val="20"/>
          <w:szCs w:val="20"/>
          <w:lang w:val="fr-CA"/>
        </w:rPr>
        <w:t>] « le ridiculisait », M. Cairney l’a suivi à l’extérieur de l’appartement.  Peu de temps après, M. Cairney a abattu M. Ferguson dans la cage d’escalier de l’appartement.</w:t>
      </w:r>
    </w:p>
    <w:p w:rsidR="00191FDB" w:rsidRPr="00972800" w:rsidRDefault="00191FDB" w:rsidP="00E26E38">
      <w:pPr>
        <w:jc w:val="both"/>
        <w:rPr>
          <w:sz w:val="20"/>
          <w:szCs w:val="20"/>
          <w:lang w:val="fr-CA"/>
        </w:rPr>
      </w:pPr>
    </w:p>
    <w:p w:rsidR="00E26E38" w:rsidRPr="00972800" w:rsidRDefault="00E26E38" w:rsidP="00E26E38">
      <w:pPr>
        <w:jc w:val="both"/>
        <w:rPr>
          <w:sz w:val="20"/>
          <w:szCs w:val="20"/>
          <w:lang w:val="fr-CA"/>
        </w:rPr>
      </w:pPr>
      <w:r w:rsidRPr="00972800">
        <w:rPr>
          <w:sz w:val="20"/>
          <w:szCs w:val="20"/>
          <w:lang w:val="fr-CA"/>
        </w:rPr>
        <w:t>La défense de provocation a été présentée au jury.  Monsieur Cairney a été acquitté de meurtre au deuxième degré et déclaré coupable d’homicide involontaire coupable.  Le ministère public a interjeté appel de l’acquittement, plaidant notamment que la défense de provocation n’était pas vraisemblable.  La Cour d’appel a souscrit à cet argument, accueilli l’appel et ordonné un nouveau procès.</w:t>
      </w:r>
    </w:p>
    <w:p w:rsidR="00E26E38" w:rsidRPr="00972800" w:rsidRDefault="00E26E38" w:rsidP="00E26E38">
      <w:pPr>
        <w:jc w:val="both"/>
        <w:rPr>
          <w:sz w:val="20"/>
          <w:szCs w:val="20"/>
          <w:lang w:val="fr-CA"/>
        </w:rPr>
      </w:pPr>
    </w:p>
    <w:p w:rsidR="00E26E38" w:rsidRPr="00972800" w:rsidRDefault="00E26E38" w:rsidP="00E26E38">
      <w:pPr>
        <w:jc w:val="both"/>
        <w:rPr>
          <w:sz w:val="20"/>
          <w:szCs w:val="20"/>
          <w:lang w:val="fr-CA"/>
        </w:rPr>
      </w:pPr>
    </w:p>
    <w:p w:rsidR="00E26E38" w:rsidRDefault="00E26E38" w:rsidP="00191FDB">
      <w:pPr>
        <w:widowControl w:val="0"/>
        <w:ind w:left="2880" w:hanging="2880"/>
        <w:jc w:val="both"/>
        <w:rPr>
          <w:sz w:val="20"/>
          <w:szCs w:val="20"/>
          <w:lang w:val="fr-CA"/>
        </w:rPr>
      </w:pPr>
      <w:r w:rsidRPr="00972800">
        <w:rPr>
          <w:sz w:val="20"/>
          <w:szCs w:val="20"/>
          <w:lang w:val="fr-CA"/>
        </w:rPr>
        <w:t>Origine :</w:t>
      </w:r>
      <w:r w:rsidRPr="00972800">
        <w:rPr>
          <w:sz w:val="20"/>
          <w:szCs w:val="20"/>
          <w:lang w:val="fr-CA"/>
        </w:rPr>
        <w:tab/>
        <w:t xml:space="preserve">Alberta </w:t>
      </w:r>
      <w:r w:rsidRPr="00972800">
        <w:rPr>
          <w:sz w:val="20"/>
          <w:szCs w:val="20"/>
          <w:lang w:val="fr-CA"/>
        </w:rPr>
        <w:tab/>
      </w:r>
    </w:p>
    <w:p w:rsidR="00E26E38" w:rsidRPr="00972800" w:rsidRDefault="00E26E38" w:rsidP="00191FDB">
      <w:pPr>
        <w:widowControl w:val="0"/>
        <w:ind w:left="2880" w:hanging="2880"/>
        <w:jc w:val="both"/>
        <w:rPr>
          <w:sz w:val="20"/>
          <w:szCs w:val="20"/>
          <w:lang w:val="fr-CA"/>
        </w:rPr>
      </w:pPr>
    </w:p>
    <w:p w:rsidR="00E26E38" w:rsidRPr="00972800" w:rsidRDefault="00E26E38" w:rsidP="00191FDB">
      <w:pPr>
        <w:widowControl w:val="0"/>
        <w:ind w:left="2880" w:hanging="2880"/>
        <w:jc w:val="both"/>
        <w:rPr>
          <w:sz w:val="20"/>
          <w:szCs w:val="20"/>
          <w:lang w:val="fr-CA"/>
        </w:rPr>
      </w:pPr>
      <w:r w:rsidRPr="00972800">
        <w:rPr>
          <w:sz w:val="20"/>
          <w:szCs w:val="20"/>
          <w:lang w:val="fr-CA"/>
        </w:rPr>
        <w:t>N</w:t>
      </w:r>
      <w:r w:rsidRPr="00972800">
        <w:rPr>
          <w:sz w:val="20"/>
          <w:szCs w:val="20"/>
          <w:vertAlign w:val="superscript"/>
          <w:lang w:val="fr-CA"/>
        </w:rPr>
        <w:t>o</w:t>
      </w:r>
      <w:r w:rsidRPr="00972800">
        <w:rPr>
          <w:sz w:val="20"/>
          <w:szCs w:val="20"/>
          <w:lang w:val="fr-CA"/>
        </w:rPr>
        <w:t xml:space="preserve"> du greffe </w:t>
      </w:r>
      <w:r>
        <w:rPr>
          <w:sz w:val="20"/>
          <w:szCs w:val="20"/>
          <w:lang w:val="fr-CA"/>
        </w:rPr>
        <w:t>:</w:t>
      </w:r>
      <w:r>
        <w:rPr>
          <w:sz w:val="20"/>
          <w:szCs w:val="20"/>
          <w:lang w:val="fr-CA"/>
        </w:rPr>
        <w:tab/>
      </w:r>
      <w:r w:rsidRPr="00972800">
        <w:rPr>
          <w:sz w:val="20"/>
          <w:szCs w:val="20"/>
          <w:lang w:val="fr-CA"/>
        </w:rPr>
        <w:t>34848</w:t>
      </w:r>
      <w:r w:rsidRPr="00972800">
        <w:rPr>
          <w:sz w:val="20"/>
          <w:szCs w:val="20"/>
          <w:lang w:val="fr-CA"/>
        </w:rPr>
        <w:tab/>
      </w:r>
    </w:p>
    <w:p w:rsidR="00E26E38" w:rsidRDefault="00E26E38" w:rsidP="00191FDB">
      <w:pPr>
        <w:widowControl w:val="0"/>
        <w:ind w:left="2880" w:hanging="2880"/>
        <w:jc w:val="both"/>
        <w:rPr>
          <w:sz w:val="20"/>
          <w:szCs w:val="20"/>
          <w:lang w:val="fr-CA"/>
        </w:rPr>
      </w:pPr>
    </w:p>
    <w:p w:rsidR="00E26E38" w:rsidRPr="00972800" w:rsidRDefault="00E26E38" w:rsidP="00191FDB">
      <w:pPr>
        <w:widowControl w:val="0"/>
        <w:ind w:left="2880" w:hanging="2880"/>
        <w:jc w:val="both"/>
        <w:rPr>
          <w:sz w:val="20"/>
          <w:szCs w:val="20"/>
          <w:lang w:val="fr-CA"/>
        </w:rPr>
      </w:pPr>
      <w:r w:rsidRPr="00972800">
        <w:rPr>
          <w:sz w:val="20"/>
          <w:szCs w:val="20"/>
          <w:lang w:val="fr-CA"/>
        </w:rPr>
        <w:t>Arrêt de la Cour d’appel :</w:t>
      </w:r>
      <w:r w:rsidRPr="00972800">
        <w:rPr>
          <w:sz w:val="20"/>
          <w:szCs w:val="20"/>
          <w:lang w:val="fr-CA"/>
        </w:rPr>
        <w:tab/>
        <w:t>le 5 octobre 2011</w:t>
      </w:r>
    </w:p>
    <w:p w:rsidR="00E26E38" w:rsidRDefault="00E26E38" w:rsidP="00191FDB">
      <w:pPr>
        <w:ind w:left="2880" w:hanging="2880"/>
        <w:jc w:val="both"/>
        <w:rPr>
          <w:sz w:val="20"/>
          <w:szCs w:val="20"/>
          <w:lang w:val="fr-CA"/>
        </w:rPr>
      </w:pPr>
    </w:p>
    <w:p w:rsidR="00E26E38" w:rsidRPr="00972800" w:rsidRDefault="00E26E38" w:rsidP="00191FDB">
      <w:pPr>
        <w:ind w:left="2880" w:hanging="2880"/>
        <w:jc w:val="both"/>
        <w:rPr>
          <w:sz w:val="20"/>
          <w:szCs w:val="20"/>
          <w:lang w:val="fr-CA"/>
        </w:rPr>
      </w:pPr>
      <w:r w:rsidRPr="00972800">
        <w:rPr>
          <w:sz w:val="20"/>
          <w:szCs w:val="20"/>
          <w:lang w:val="fr-CA"/>
        </w:rPr>
        <w:t>Avocats :</w:t>
      </w:r>
      <w:r w:rsidRPr="00972800">
        <w:rPr>
          <w:sz w:val="20"/>
          <w:szCs w:val="20"/>
          <w:lang w:val="fr-CA"/>
        </w:rPr>
        <w:tab/>
        <w:t>Dino Bottos pour l’appelant</w:t>
      </w:r>
    </w:p>
    <w:p w:rsidR="00E26E38" w:rsidRPr="00972800" w:rsidRDefault="00E26E38" w:rsidP="00191FDB">
      <w:pPr>
        <w:ind w:left="2880" w:hanging="2880"/>
        <w:jc w:val="both"/>
        <w:rPr>
          <w:sz w:val="20"/>
          <w:szCs w:val="20"/>
          <w:lang w:val="fr-CA"/>
        </w:rPr>
      </w:pPr>
      <w:r w:rsidRPr="00972800">
        <w:rPr>
          <w:sz w:val="20"/>
          <w:szCs w:val="20"/>
          <w:lang w:val="fr-CA"/>
        </w:rPr>
        <w:tab/>
        <w:t>Dane Bullerwell pour l’intimée</w:t>
      </w:r>
    </w:p>
    <w:p w:rsidR="00E26E38" w:rsidRPr="00972800" w:rsidRDefault="00E26E38" w:rsidP="00E26E38">
      <w:pPr>
        <w:jc w:val="both"/>
        <w:rPr>
          <w:sz w:val="20"/>
          <w:szCs w:val="20"/>
          <w:lang w:val="fr-CA"/>
        </w:rPr>
      </w:pPr>
    </w:p>
    <w:p w:rsidR="00432274" w:rsidRDefault="00B74DD2" w:rsidP="00432274">
      <w:pPr>
        <w:tabs>
          <w:tab w:val="left" w:pos="-1440"/>
          <w:tab w:val="left" w:pos="-720"/>
        </w:tabs>
        <w:jc w:val="both"/>
        <w:rPr>
          <w:sz w:val="20"/>
          <w:szCs w:val="20"/>
          <w:lang w:val="fr-CA"/>
        </w:rPr>
      </w:pPr>
      <w:r w:rsidRPr="00B74DD2">
        <w:rPr>
          <w:sz w:val="20"/>
          <w:szCs w:val="20"/>
          <w:lang w:val="fr-CA"/>
        </w:rPr>
        <w:pict>
          <v:rect id="_x0000_i1107" style="width:2in;height:1pt" o:hrpct="0" o:hralign="center" o:hrstd="t" o:hrnoshade="t" o:hr="t" fillcolor="black [3213]" stroked="f"/>
        </w:pict>
      </w:r>
    </w:p>
    <w:p w:rsidR="00432274" w:rsidRDefault="00432274" w:rsidP="000B3C9A">
      <w:pPr>
        <w:tabs>
          <w:tab w:val="left" w:pos="-1440"/>
          <w:tab w:val="left" w:pos="-720"/>
        </w:tabs>
        <w:jc w:val="both"/>
        <w:rPr>
          <w:sz w:val="20"/>
          <w:szCs w:val="20"/>
          <w:lang w:val="fr-CA"/>
        </w:rPr>
      </w:pPr>
    </w:p>
    <w:p w:rsidR="005F263E" w:rsidRDefault="005F263E" w:rsidP="00E26E38">
      <w:pPr>
        <w:rPr>
          <w:sz w:val="20"/>
          <w:szCs w:val="20"/>
          <w:lang w:val="fr-CA"/>
        </w:rPr>
      </w:pPr>
    </w:p>
    <w:p w:rsidR="00E26E38" w:rsidRPr="00C50A5C" w:rsidRDefault="00E26E38" w:rsidP="00E26E38">
      <w:pPr>
        <w:rPr>
          <w:sz w:val="20"/>
          <w:szCs w:val="20"/>
          <w:lang w:val="fr-CA"/>
        </w:rPr>
      </w:pPr>
    </w:p>
    <w:p w:rsidR="005F263E" w:rsidRPr="00C50A5C" w:rsidRDefault="005F263E" w:rsidP="00782AE4">
      <w:pPr>
        <w:jc w:val="both"/>
        <w:rPr>
          <w:sz w:val="20"/>
          <w:szCs w:val="20"/>
          <w:lang w:val="fr-CA"/>
        </w:rPr>
        <w:sectPr w:rsidR="005F263E" w:rsidRPr="00C50A5C" w:rsidSect="005F263E">
          <w:headerReference w:type="default" r:id="rId60"/>
          <w:footerReference w:type="default" r:id="rId61"/>
          <w:headerReference w:type="first" r:id="rId62"/>
          <w:footerReference w:type="first" r:id="rId63"/>
          <w:pgSz w:w="12240" w:h="15840"/>
          <w:pgMar w:top="720" w:right="965" w:bottom="1080" w:left="1656" w:header="720" w:footer="965" w:gutter="0"/>
          <w:cols w:space="720"/>
          <w:titlePg/>
          <w:docGrid w:linePitch="326"/>
        </w:sectPr>
      </w:pPr>
    </w:p>
    <w:p w:rsidR="00091FA6" w:rsidRPr="002E0C7E" w:rsidRDefault="00B74DD2" w:rsidP="00091FA6">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fldChar w:fldCharType="begin"/>
      </w:r>
      <w:r w:rsidR="00091FA6"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091FA6" w:rsidRPr="002E0C7E">
        <w:rPr>
          <w:rFonts w:asciiTheme="minorHAnsi" w:hAnsiTheme="minorHAnsi" w:cstheme="minorHAnsi"/>
          <w:b/>
          <w:szCs w:val="24"/>
        </w:rPr>
        <w:t>SUPREME COURT OF CANADA SCHEDULE / CALENDRIER DE LA COUR SUPREME</w:t>
      </w:r>
    </w:p>
    <w:p w:rsidR="00091FA6" w:rsidRPr="002E0C7E" w:rsidRDefault="00091FA6" w:rsidP="00091FA6">
      <w:pPr>
        <w:widowControl w:val="0"/>
        <w:spacing w:line="180" w:lineRule="auto"/>
        <w:rPr>
          <w:rFonts w:asciiTheme="minorHAnsi" w:hAnsiTheme="minorHAnsi" w:cstheme="minorHAnsi"/>
          <w:szCs w:val="24"/>
        </w:rPr>
      </w:pPr>
    </w:p>
    <w:p w:rsidR="00091FA6" w:rsidRPr="002E0C7E" w:rsidRDefault="00091FA6" w:rsidP="00091FA6">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2</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091FA6" w:rsidRPr="002E0C7E" w:rsidTr="00907AF7">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907AF7">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907AF7">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907AF7">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907AF7">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907AF7">
            <w:pPr>
              <w:widowControl w:val="0"/>
              <w:jc w:val="center"/>
              <w:rPr>
                <w:rFonts w:ascii="Arial" w:hAnsi="Arial"/>
                <w:sz w:val="14"/>
              </w:rPr>
            </w:pPr>
            <w:r w:rsidRPr="002E0C7E">
              <w:rPr>
                <w:rFonts w:ascii="Arial" w:hAnsi="Arial"/>
                <w:b/>
                <w:sz w:val="14"/>
              </w:rPr>
              <w:t>DECEMBER - DÉCEMBRE</w:t>
            </w:r>
          </w:p>
        </w:tc>
      </w:tr>
      <w:tr w:rsidR="00091FA6" w:rsidRPr="002E0C7E" w:rsidTr="00907AF7">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sidRPr="002E0C7E">
              <w:rPr>
                <w:rFonts w:ascii="Arial" w:hAnsi="Arial"/>
                <w:sz w:val="14"/>
              </w:rPr>
              <w:t>S</w:t>
            </w:r>
          </w:p>
          <w:p w:rsidR="00091FA6" w:rsidRPr="002E0C7E" w:rsidRDefault="00091FA6" w:rsidP="00907AF7">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sidRPr="002E0C7E">
              <w:rPr>
                <w:rFonts w:ascii="Arial" w:hAnsi="Arial"/>
                <w:sz w:val="14"/>
              </w:rPr>
              <w:t>M</w:t>
            </w:r>
          </w:p>
          <w:p w:rsidR="00091FA6" w:rsidRPr="002E0C7E" w:rsidRDefault="00091FA6" w:rsidP="00907AF7">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sidRPr="002E0C7E">
              <w:rPr>
                <w:rFonts w:ascii="Arial" w:hAnsi="Arial"/>
                <w:sz w:val="14"/>
              </w:rPr>
              <w:t>T</w:t>
            </w:r>
          </w:p>
          <w:p w:rsidR="00091FA6" w:rsidRPr="002E0C7E" w:rsidRDefault="00091FA6" w:rsidP="00907AF7">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sidRPr="002E0C7E">
              <w:rPr>
                <w:rFonts w:ascii="Arial" w:hAnsi="Arial"/>
                <w:sz w:val="14"/>
              </w:rPr>
              <w:t>W</w:t>
            </w:r>
          </w:p>
          <w:p w:rsidR="00091FA6" w:rsidRPr="002E0C7E" w:rsidRDefault="00091FA6" w:rsidP="00907AF7">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sidRPr="002E0C7E">
              <w:rPr>
                <w:rFonts w:ascii="Arial" w:hAnsi="Arial"/>
                <w:sz w:val="14"/>
              </w:rPr>
              <w:t>T</w:t>
            </w:r>
          </w:p>
          <w:p w:rsidR="00091FA6" w:rsidRPr="002E0C7E" w:rsidRDefault="00091FA6" w:rsidP="00907AF7">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sidRPr="002E0C7E">
              <w:rPr>
                <w:rFonts w:ascii="Arial" w:hAnsi="Arial"/>
                <w:sz w:val="14"/>
              </w:rPr>
              <w:t>F</w:t>
            </w:r>
          </w:p>
          <w:p w:rsidR="00091FA6" w:rsidRPr="002E0C7E" w:rsidRDefault="00091FA6" w:rsidP="00907AF7">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sidRPr="002E0C7E">
              <w:rPr>
                <w:rFonts w:ascii="Arial" w:hAnsi="Arial"/>
                <w:sz w:val="14"/>
              </w:rPr>
              <w:t>S</w:t>
            </w:r>
          </w:p>
          <w:p w:rsidR="00091FA6" w:rsidRPr="002E0C7E" w:rsidRDefault="00091FA6" w:rsidP="00907AF7">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sidRPr="002E0C7E">
              <w:rPr>
                <w:rFonts w:ascii="Arial" w:hAnsi="Arial"/>
                <w:sz w:val="14"/>
              </w:rPr>
              <w:t>S</w:t>
            </w:r>
          </w:p>
          <w:p w:rsidR="00091FA6" w:rsidRPr="002E0C7E" w:rsidRDefault="00091FA6" w:rsidP="00907AF7">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sidRPr="002E0C7E">
              <w:rPr>
                <w:rFonts w:ascii="Arial" w:hAnsi="Arial"/>
                <w:sz w:val="14"/>
              </w:rPr>
              <w:t>M</w:t>
            </w:r>
          </w:p>
          <w:p w:rsidR="00091FA6" w:rsidRPr="002E0C7E" w:rsidRDefault="00091FA6" w:rsidP="00907AF7">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sidRPr="002E0C7E">
              <w:rPr>
                <w:rFonts w:ascii="Arial" w:hAnsi="Arial"/>
                <w:sz w:val="14"/>
              </w:rPr>
              <w:t>T</w:t>
            </w:r>
          </w:p>
          <w:p w:rsidR="00091FA6" w:rsidRPr="002E0C7E" w:rsidRDefault="00091FA6" w:rsidP="00907AF7">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sidRPr="002E0C7E">
              <w:rPr>
                <w:rFonts w:ascii="Arial" w:hAnsi="Arial"/>
                <w:sz w:val="14"/>
              </w:rPr>
              <w:t>W</w:t>
            </w:r>
          </w:p>
          <w:p w:rsidR="00091FA6" w:rsidRPr="002E0C7E" w:rsidRDefault="00091FA6" w:rsidP="00907AF7">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sidRPr="002E0C7E">
              <w:rPr>
                <w:rFonts w:ascii="Arial" w:hAnsi="Arial"/>
                <w:sz w:val="14"/>
              </w:rPr>
              <w:t>T</w:t>
            </w:r>
          </w:p>
          <w:p w:rsidR="00091FA6" w:rsidRPr="002E0C7E" w:rsidRDefault="00091FA6" w:rsidP="00907AF7">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sidRPr="002E0C7E">
              <w:rPr>
                <w:rFonts w:ascii="Arial" w:hAnsi="Arial"/>
                <w:sz w:val="14"/>
              </w:rPr>
              <w:t>F</w:t>
            </w:r>
          </w:p>
          <w:p w:rsidR="00091FA6" w:rsidRPr="002E0C7E" w:rsidRDefault="00091FA6" w:rsidP="00907AF7">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sidRPr="002E0C7E">
              <w:rPr>
                <w:rFonts w:ascii="Arial" w:hAnsi="Arial"/>
                <w:sz w:val="14"/>
              </w:rPr>
              <w:t>S</w:t>
            </w:r>
          </w:p>
          <w:p w:rsidR="00091FA6" w:rsidRPr="002E0C7E" w:rsidRDefault="00091FA6" w:rsidP="00907AF7">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sidRPr="002E0C7E">
              <w:rPr>
                <w:rFonts w:ascii="Arial" w:hAnsi="Arial"/>
                <w:sz w:val="14"/>
              </w:rPr>
              <w:t>S</w:t>
            </w:r>
          </w:p>
          <w:p w:rsidR="00091FA6" w:rsidRPr="002E0C7E" w:rsidRDefault="00091FA6" w:rsidP="00907AF7">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sidRPr="002E0C7E">
              <w:rPr>
                <w:rFonts w:ascii="Arial" w:hAnsi="Arial"/>
                <w:sz w:val="14"/>
              </w:rPr>
              <w:t>M</w:t>
            </w:r>
          </w:p>
          <w:p w:rsidR="00091FA6" w:rsidRPr="002E0C7E" w:rsidRDefault="00091FA6" w:rsidP="00907AF7">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sidRPr="002E0C7E">
              <w:rPr>
                <w:rFonts w:ascii="Arial" w:hAnsi="Arial"/>
                <w:sz w:val="14"/>
              </w:rPr>
              <w:t>T</w:t>
            </w:r>
          </w:p>
          <w:p w:rsidR="00091FA6" w:rsidRPr="002E0C7E" w:rsidRDefault="00091FA6" w:rsidP="00907AF7">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sidRPr="002E0C7E">
              <w:rPr>
                <w:rFonts w:ascii="Arial" w:hAnsi="Arial"/>
                <w:sz w:val="14"/>
              </w:rPr>
              <w:t>W</w:t>
            </w:r>
          </w:p>
          <w:p w:rsidR="00091FA6" w:rsidRPr="002E0C7E" w:rsidRDefault="00091FA6" w:rsidP="00907AF7">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sidRPr="002E0C7E">
              <w:rPr>
                <w:rFonts w:ascii="Arial" w:hAnsi="Arial"/>
                <w:sz w:val="14"/>
              </w:rPr>
              <w:t>T</w:t>
            </w:r>
          </w:p>
          <w:p w:rsidR="00091FA6" w:rsidRPr="002E0C7E" w:rsidRDefault="00091FA6" w:rsidP="00907AF7">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sidRPr="002E0C7E">
              <w:rPr>
                <w:rFonts w:ascii="Arial" w:hAnsi="Arial"/>
                <w:sz w:val="14"/>
              </w:rPr>
              <w:t>F</w:t>
            </w:r>
          </w:p>
          <w:p w:rsidR="00091FA6" w:rsidRPr="002E0C7E" w:rsidRDefault="00091FA6" w:rsidP="00907AF7">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sidRPr="002E0C7E">
              <w:rPr>
                <w:rFonts w:ascii="Arial" w:hAnsi="Arial"/>
                <w:sz w:val="14"/>
              </w:rPr>
              <w:t>S</w:t>
            </w:r>
          </w:p>
          <w:p w:rsidR="00091FA6" w:rsidRPr="002E0C7E" w:rsidRDefault="00091FA6" w:rsidP="00907AF7">
            <w:pPr>
              <w:widowControl w:val="0"/>
              <w:jc w:val="center"/>
              <w:rPr>
                <w:rFonts w:ascii="Arial" w:hAnsi="Arial"/>
                <w:sz w:val="14"/>
              </w:rPr>
            </w:pPr>
            <w:r w:rsidRPr="002E0C7E">
              <w:rPr>
                <w:rFonts w:ascii="Arial" w:hAnsi="Arial"/>
                <w:sz w:val="14"/>
              </w:rPr>
              <w:t>S</w:t>
            </w:r>
          </w:p>
        </w:tc>
      </w:tr>
      <w:tr w:rsidR="00091FA6" w:rsidRPr="002E0C7E" w:rsidTr="00907AF7">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p>
        </w:tc>
        <w:tc>
          <w:tcPr>
            <w:tcW w:w="488"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3</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4</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p>
        </w:tc>
        <w:tc>
          <w:tcPr>
            <w:tcW w:w="457"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2</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1</w:t>
            </w:r>
          </w:p>
        </w:tc>
      </w:tr>
      <w:tr w:rsidR="00091FA6" w:rsidRPr="002E0C7E" w:rsidTr="00907AF7">
        <w:trPr>
          <w:cantSplit/>
          <w:trHeight w:val="288"/>
          <w:jc w:val="center"/>
        </w:trPr>
        <w:tc>
          <w:tcPr>
            <w:tcW w:w="45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7</w:t>
            </w:r>
          </w:p>
        </w:tc>
        <w:tc>
          <w:tcPr>
            <w:tcW w:w="488"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0C583B" w:rsidRDefault="00091FA6" w:rsidP="00907AF7">
            <w:pPr>
              <w:widowControl w:val="0"/>
              <w:jc w:val="center"/>
              <w:rPr>
                <w:rFonts w:ascii="Arial" w:hAnsi="Arial"/>
                <w:b/>
                <w:sz w:val="14"/>
              </w:rPr>
            </w:pPr>
            <w:r w:rsidRPr="000C583B">
              <w:rPr>
                <w:rFonts w:ascii="Arial" w:hAnsi="Arial"/>
                <w:b/>
                <w:sz w:val="14"/>
              </w:rPr>
              <w:t>H</w:t>
            </w:r>
          </w:p>
          <w:p w:rsidR="00091FA6" w:rsidRPr="002E0C7E" w:rsidRDefault="00091FA6" w:rsidP="00907AF7">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091FA6" w:rsidRPr="000C583B" w:rsidRDefault="00091FA6" w:rsidP="00907AF7">
            <w:pPr>
              <w:widowControl w:val="0"/>
              <w:jc w:val="center"/>
              <w:rPr>
                <w:rFonts w:ascii="Arial" w:hAnsi="Arial"/>
                <w:b/>
                <w:sz w:val="14"/>
              </w:rPr>
            </w:pPr>
            <w:r w:rsidRPr="000C583B">
              <w:rPr>
                <w:rFonts w:ascii="Arial" w:hAnsi="Arial"/>
                <w:b/>
                <w:sz w:val="14"/>
              </w:rPr>
              <w:t>M</w:t>
            </w:r>
          </w:p>
          <w:p w:rsidR="00091FA6" w:rsidRPr="002E0C7E" w:rsidRDefault="00091FA6" w:rsidP="00907AF7">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10</w:t>
            </w:r>
          </w:p>
        </w:tc>
        <w:tc>
          <w:tcPr>
            <w:tcW w:w="463"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11</w:t>
            </w:r>
          </w:p>
        </w:tc>
        <w:tc>
          <w:tcPr>
            <w:tcW w:w="475"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4</w:t>
            </w:r>
          </w:p>
        </w:tc>
        <w:tc>
          <w:tcPr>
            <w:tcW w:w="457"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r w:rsidRPr="002E0C7E">
              <w:rPr>
                <w:rFonts w:ascii="Arial" w:hAnsi="Arial"/>
                <w:b/>
                <w:sz w:val="14"/>
              </w:rPr>
              <w:t>M</w:t>
            </w:r>
          </w:p>
          <w:p w:rsidR="00091FA6" w:rsidRPr="002E0C7E" w:rsidRDefault="00091FA6" w:rsidP="00907AF7">
            <w:pPr>
              <w:widowControl w:val="0"/>
              <w:jc w:val="center"/>
              <w:rPr>
                <w:rFonts w:ascii="Arial" w:hAnsi="Arial"/>
                <w:sz w:val="14"/>
              </w:rPr>
            </w:pPr>
            <w:r>
              <w:rPr>
                <w:rFonts w:ascii="Arial" w:hAnsi="Arial"/>
                <w:sz w:val="14"/>
              </w:rPr>
              <w:t>5</w:t>
            </w:r>
          </w:p>
        </w:tc>
        <w:tc>
          <w:tcPr>
            <w:tcW w:w="506"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7</w:t>
            </w:r>
          </w:p>
        </w:tc>
        <w:tc>
          <w:tcPr>
            <w:tcW w:w="484"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9</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2</w:t>
            </w:r>
          </w:p>
        </w:tc>
        <w:tc>
          <w:tcPr>
            <w:tcW w:w="45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r w:rsidRPr="002E0C7E">
              <w:rPr>
                <w:rFonts w:ascii="Arial" w:hAnsi="Arial"/>
                <w:b/>
                <w:sz w:val="14"/>
              </w:rPr>
              <w:t>M</w:t>
            </w:r>
          </w:p>
          <w:p w:rsidR="00091FA6" w:rsidRPr="002E0C7E" w:rsidRDefault="00091FA6" w:rsidP="00907AF7">
            <w:pPr>
              <w:widowControl w:val="0"/>
              <w:jc w:val="center"/>
              <w:rPr>
                <w:rFonts w:ascii="Arial" w:hAnsi="Arial"/>
                <w:sz w:val="14"/>
              </w:rPr>
            </w:pPr>
            <w:r>
              <w:rPr>
                <w:rFonts w:ascii="Arial" w:hAnsi="Arial"/>
                <w:sz w:val="14"/>
              </w:rPr>
              <w:t>3</w:t>
            </w:r>
          </w:p>
        </w:tc>
        <w:tc>
          <w:tcPr>
            <w:tcW w:w="54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8</w:t>
            </w:r>
          </w:p>
        </w:tc>
      </w:tr>
      <w:tr w:rsidR="00091FA6" w:rsidRPr="002E0C7E" w:rsidTr="00907AF7">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14</w:t>
            </w:r>
          </w:p>
        </w:tc>
        <w:tc>
          <w:tcPr>
            <w:tcW w:w="488"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0C583B" w:rsidRDefault="00091FA6" w:rsidP="00907AF7">
            <w:pPr>
              <w:widowControl w:val="0"/>
              <w:jc w:val="center"/>
              <w:rPr>
                <w:rFonts w:ascii="Arial" w:hAnsi="Arial"/>
                <w:b/>
                <w:sz w:val="14"/>
              </w:rPr>
            </w:pP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0C583B"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7</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8</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11</w:t>
            </w:r>
          </w:p>
        </w:tc>
        <w:tc>
          <w:tcPr>
            <w:tcW w:w="457"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4030BA" w:rsidRDefault="00091FA6" w:rsidP="00907AF7">
            <w:pPr>
              <w:widowControl w:val="0"/>
              <w:jc w:val="center"/>
              <w:rPr>
                <w:rFonts w:ascii="Arial" w:hAnsi="Arial"/>
                <w:sz w:val="14"/>
              </w:rPr>
            </w:pPr>
            <w:r>
              <w:rPr>
                <w:rFonts w:ascii="Arial" w:hAnsi="Arial"/>
                <w:b/>
                <w:sz w:val="14"/>
              </w:rPr>
              <w:t>H</w:t>
            </w: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2</w:t>
            </w:r>
          </w:p>
        </w:tc>
        <w:tc>
          <w:tcPr>
            <w:tcW w:w="506"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13</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4</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6</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9</w:t>
            </w:r>
          </w:p>
        </w:tc>
        <w:tc>
          <w:tcPr>
            <w:tcW w:w="45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0</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3</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907AF7">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2</w:t>
            </w:r>
            <w:r w:rsidRPr="002E0C7E">
              <w:rPr>
                <w:rFonts w:ascii="Arial" w:hAnsi="Arial"/>
                <w:sz w:val="14"/>
              </w:rPr>
              <w:t>1</w:t>
            </w:r>
          </w:p>
        </w:tc>
        <w:tc>
          <w:tcPr>
            <w:tcW w:w="48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24</w:t>
            </w:r>
          </w:p>
        </w:tc>
        <w:tc>
          <w:tcPr>
            <w:tcW w:w="463"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2</w:t>
            </w:r>
            <w:r>
              <w:rPr>
                <w:rFonts w:ascii="Arial" w:hAnsi="Arial"/>
                <w:sz w:val="14"/>
              </w:rPr>
              <w:t>5</w:t>
            </w:r>
          </w:p>
        </w:tc>
        <w:tc>
          <w:tcPr>
            <w:tcW w:w="475"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18</w:t>
            </w:r>
          </w:p>
        </w:tc>
        <w:tc>
          <w:tcPr>
            <w:tcW w:w="457" w:type="dxa"/>
            <w:tcBorders>
              <w:top w:val="double" w:sz="6" w:space="0" w:color="000000"/>
              <w:left w:val="single" w:sz="8" w:space="0" w:color="000000"/>
              <w:bottom w:val="nil"/>
              <w:right w:val="nil"/>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9</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2</w:t>
            </w:r>
            <w:r>
              <w:rPr>
                <w:rFonts w:ascii="Arial" w:hAnsi="Arial"/>
                <w:sz w:val="14"/>
              </w:rPr>
              <w:t>1</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2</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2</w:t>
            </w:r>
            <w:r>
              <w:rPr>
                <w:rFonts w:ascii="Arial" w:hAnsi="Arial"/>
                <w:sz w:val="14"/>
              </w:rPr>
              <w:t>3</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7</w:t>
            </w:r>
          </w:p>
        </w:tc>
        <w:tc>
          <w:tcPr>
            <w:tcW w:w="54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18</w:t>
            </w: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2</w:t>
            </w:r>
            <w:r>
              <w:rPr>
                <w:rFonts w:ascii="Arial" w:hAnsi="Arial"/>
                <w:sz w:val="14"/>
              </w:rPr>
              <w:t>0</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907AF7">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28</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31</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2</w:t>
            </w:r>
            <w:r>
              <w:rPr>
                <w:rFonts w:ascii="Arial" w:hAnsi="Arial"/>
                <w:sz w:val="14"/>
              </w:rPr>
              <w:t>5</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2</w:t>
            </w:r>
            <w:r>
              <w:rPr>
                <w:rFonts w:ascii="Arial" w:hAnsi="Arial"/>
                <w:sz w:val="14"/>
              </w:rPr>
              <w:t>6</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28</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30</w:t>
            </w: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Pr>
                <w:rFonts w:ascii="Arial" w:hAnsi="Arial"/>
                <w:sz w:val="14"/>
              </w:rPr>
              <w:t>23</w:t>
            </w:r>
          </w:p>
          <w:p w:rsidR="00091FA6" w:rsidRPr="002E0C7E" w:rsidRDefault="00091FA6" w:rsidP="00907AF7">
            <w:pPr>
              <w:widowControl w:val="0"/>
              <w:jc w:val="center"/>
              <w:rPr>
                <w:rFonts w:ascii="Arial" w:hAnsi="Arial"/>
                <w:sz w:val="14"/>
              </w:rPr>
            </w:pPr>
            <w:r>
              <w:rPr>
                <w:rFonts w:ascii="Arial" w:hAnsi="Arial"/>
                <w:sz w:val="14"/>
              </w:rPr>
              <w:t xml:space="preserve">  30</w:t>
            </w:r>
          </w:p>
        </w:tc>
        <w:tc>
          <w:tcPr>
            <w:tcW w:w="450" w:type="dxa"/>
            <w:tcBorders>
              <w:top w:val="single" w:sz="8" w:space="0" w:color="000000"/>
              <w:left w:val="single" w:sz="8"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Pr>
                <w:rFonts w:ascii="Arial" w:hAnsi="Arial"/>
                <w:sz w:val="14"/>
              </w:rPr>
              <w:t>24</w:t>
            </w:r>
          </w:p>
          <w:p w:rsidR="00091FA6" w:rsidRPr="002E0C7E" w:rsidRDefault="00091FA6" w:rsidP="00907AF7">
            <w:pPr>
              <w:widowControl w:val="0"/>
              <w:jc w:val="center"/>
              <w:rPr>
                <w:rFonts w:ascii="Arial" w:hAnsi="Arial"/>
                <w:sz w:val="14"/>
              </w:rPr>
            </w:pPr>
            <w:r>
              <w:rPr>
                <w:rFonts w:ascii="Arial" w:hAnsi="Arial"/>
                <w:sz w:val="14"/>
              </w:rPr>
              <w:t xml:space="preserve">  31</w:t>
            </w:r>
          </w:p>
        </w:tc>
        <w:tc>
          <w:tcPr>
            <w:tcW w:w="54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sidRPr="002E0C7E">
              <w:rPr>
                <w:rFonts w:ascii="Arial" w:hAnsi="Arial"/>
                <w:b/>
                <w:sz w:val="14"/>
              </w:rPr>
              <w:t>H</w:t>
            </w:r>
          </w:p>
          <w:p w:rsidR="00091FA6" w:rsidRPr="002E0C7E" w:rsidRDefault="00091FA6" w:rsidP="00907AF7">
            <w:pPr>
              <w:widowControl w:val="0"/>
              <w:jc w:val="center"/>
              <w:rPr>
                <w:rFonts w:ascii="Arial" w:hAnsi="Arial"/>
                <w:sz w:val="14"/>
              </w:rPr>
            </w:pPr>
            <w:r w:rsidRPr="002E0C7E">
              <w:rPr>
                <w:rFonts w:ascii="Arial" w:hAnsi="Arial"/>
                <w:sz w:val="14"/>
              </w:rPr>
              <w:t>2</w:t>
            </w:r>
            <w:r>
              <w:rPr>
                <w:rFonts w:ascii="Arial" w:hAnsi="Arial"/>
                <w:sz w:val="14"/>
              </w:rPr>
              <w:t>5</w:t>
            </w:r>
          </w:p>
        </w:tc>
        <w:tc>
          <w:tcPr>
            <w:tcW w:w="45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2</w:t>
            </w:r>
            <w:r>
              <w:rPr>
                <w:rFonts w:ascii="Arial" w:hAnsi="Arial"/>
                <w:sz w:val="14"/>
              </w:rPr>
              <w:t>6</w:t>
            </w:r>
          </w:p>
        </w:tc>
        <w:tc>
          <w:tcPr>
            <w:tcW w:w="450" w:type="dxa"/>
            <w:tcBorders>
              <w:top w:val="single" w:sz="8" w:space="0" w:color="000000"/>
              <w:left w:val="double" w:sz="6"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2</w:t>
            </w:r>
            <w:r>
              <w:rPr>
                <w:rFonts w:ascii="Arial" w:hAnsi="Arial"/>
                <w:sz w:val="14"/>
              </w:rPr>
              <w:t>7</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29</w:t>
            </w:r>
          </w:p>
        </w:tc>
      </w:tr>
    </w:tbl>
    <w:p w:rsidR="00091FA6" w:rsidRPr="002E0C7E" w:rsidRDefault="00091FA6" w:rsidP="00091FA6">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091FA6" w:rsidRPr="002E0C7E" w:rsidTr="00907AF7">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907AF7">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907AF7">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907AF7">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907AF7">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907AF7">
            <w:pPr>
              <w:widowControl w:val="0"/>
              <w:jc w:val="center"/>
              <w:rPr>
                <w:rFonts w:ascii="Arial" w:hAnsi="Arial"/>
                <w:sz w:val="14"/>
              </w:rPr>
            </w:pPr>
            <w:r w:rsidRPr="002E0C7E">
              <w:rPr>
                <w:rFonts w:ascii="Arial" w:hAnsi="Arial"/>
                <w:b/>
                <w:sz w:val="14"/>
              </w:rPr>
              <w:t>MARCH - MARS</w:t>
            </w:r>
          </w:p>
        </w:tc>
      </w:tr>
      <w:tr w:rsidR="00091FA6" w:rsidRPr="002E0C7E" w:rsidTr="00907AF7">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sidRPr="002E0C7E">
              <w:rPr>
                <w:rFonts w:ascii="Arial" w:hAnsi="Arial"/>
                <w:sz w:val="14"/>
              </w:rPr>
              <w:t>S</w:t>
            </w:r>
          </w:p>
          <w:p w:rsidR="00091FA6" w:rsidRPr="002E0C7E" w:rsidRDefault="00091FA6" w:rsidP="00907AF7">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sidRPr="002E0C7E">
              <w:rPr>
                <w:rFonts w:ascii="Arial" w:hAnsi="Arial"/>
                <w:sz w:val="14"/>
              </w:rPr>
              <w:t>M</w:t>
            </w:r>
          </w:p>
          <w:p w:rsidR="00091FA6" w:rsidRPr="002E0C7E" w:rsidRDefault="00091FA6" w:rsidP="00907AF7">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sidRPr="002E0C7E">
              <w:rPr>
                <w:rFonts w:ascii="Arial" w:hAnsi="Arial"/>
                <w:sz w:val="14"/>
              </w:rPr>
              <w:t>T</w:t>
            </w:r>
          </w:p>
          <w:p w:rsidR="00091FA6" w:rsidRPr="002E0C7E" w:rsidRDefault="00091FA6" w:rsidP="00907AF7">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sidRPr="002E0C7E">
              <w:rPr>
                <w:rFonts w:ascii="Arial" w:hAnsi="Arial"/>
                <w:sz w:val="14"/>
              </w:rPr>
              <w:t>W</w:t>
            </w:r>
          </w:p>
          <w:p w:rsidR="00091FA6" w:rsidRPr="002E0C7E" w:rsidRDefault="00091FA6" w:rsidP="00907AF7">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sidRPr="002E0C7E">
              <w:rPr>
                <w:rFonts w:ascii="Arial" w:hAnsi="Arial"/>
                <w:sz w:val="14"/>
              </w:rPr>
              <w:t>T</w:t>
            </w:r>
          </w:p>
          <w:p w:rsidR="00091FA6" w:rsidRPr="002E0C7E" w:rsidRDefault="00091FA6" w:rsidP="00907AF7">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sidRPr="002E0C7E">
              <w:rPr>
                <w:rFonts w:ascii="Arial" w:hAnsi="Arial"/>
                <w:sz w:val="14"/>
              </w:rPr>
              <w:t>F</w:t>
            </w:r>
          </w:p>
          <w:p w:rsidR="00091FA6" w:rsidRPr="002E0C7E" w:rsidRDefault="00091FA6" w:rsidP="00907AF7">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sidRPr="002E0C7E">
              <w:rPr>
                <w:rFonts w:ascii="Arial" w:hAnsi="Arial"/>
                <w:sz w:val="14"/>
              </w:rPr>
              <w:t>S</w:t>
            </w:r>
          </w:p>
          <w:p w:rsidR="00091FA6" w:rsidRPr="002E0C7E" w:rsidRDefault="00091FA6" w:rsidP="00907AF7">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sidRPr="002E0C7E">
              <w:rPr>
                <w:rFonts w:ascii="Arial" w:hAnsi="Arial"/>
                <w:sz w:val="14"/>
              </w:rPr>
              <w:t>S</w:t>
            </w:r>
          </w:p>
          <w:p w:rsidR="00091FA6" w:rsidRPr="002E0C7E" w:rsidRDefault="00091FA6" w:rsidP="00907AF7">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sidRPr="002E0C7E">
              <w:rPr>
                <w:rFonts w:ascii="Arial" w:hAnsi="Arial"/>
                <w:sz w:val="14"/>
              </w:rPr>
              <w:t>M</w:t>
            </w:r>
          </w:p>
          <w:p w:rsidR="00091FA6" w:rsidRPr="002E0C7E" w:rsidRDefault="00091FA6" w:rsidP="00907AF7">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sidRPr="002E0C7E">
              <w:rPr>
                <w:rFonts w:ascii="Arial" w:hAnsi="Arial"/>
                <w:sz w:val="14"/>
              </w:rPr>
              <w:t>T</w:t>
            </w:r>
          </w:p>
          <w:p w:rsidR="00091FA6" w:rsidRPr="002E0C7E" w:rsidRDefault="00091FA6" w:rsidP="00907AF7">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sidRPr="002E0C7E">
              <w:rPr>
                <w:rFonts w:ascii="Arial" w:hAnsi="Arial"/>
                <w:sz w:val="14"/>
              </w:rPr>
              <w:t>W</w:t>
            </w:r>
          </w:p>
          <w:p w:rsidR="00091FA6" w:rsidRPr="002E0C7E" w:rsidRDefault="00091FA6" w:rsidP="00907AF7">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sidRPr="002E0C7E">
              <w:rPr>
                <w:rFonts w:ascii="Arial" w:hAnsi="Arial"/>
                <w:sz w:val="14"/>
              </w:rPr>
              <w:t>T</w:t>
            </w:r>
          </w:p>
          <w:p w:rsidR="00091FA6" w:rsidRPr="002E0C7E" w:rsidRDefault="00091FA6" w:rsidP="00907AF7">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sidRPr="002E0C7E">
              <w:rPr>
                <w:rFonts w:ascii="Arial" w:hAnsi="Arial"/>
                <w:sz w:val="14"/>
              </w:rPr>
              <w:t>F</w:t>
            </w:r>
          </w:p>
          <w:p w:rsidR="00091FA6" w:rsidRPr="002E0C7E" w:rsidRDefault="00091FA6" w:rsidP="00907AF7">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sidRPr="002E0C7E">
              <w:rPr>
                <w:rFonts w:ascii="Arial" w:hAnsi="Arial"/>
                <w:sz w:val="14"/>
              </w:rPr>
              <w:t>S</w:t>
            </w:r>
          </w:p>
          <w:p w:rsidR="00091FA6" w:rsidRPr="002E0C7E" w:rsidRDefault="00091FA6" w:rsidP="00907AF7">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sidRPr="002E0C7E">
              <w:rPr>
                <w:rFonts w:ascii="Arial" w:hAnsi="Arial"/>
                <w:sz w:val="14"/>
              </w:rPr>
              <w:t>S</w:t>
            </w:r>
          </w:p>
          <w:p w:rsidR="00091FA6" w:rsidRPr="002E0C7E" w:rsidRDefault="00091FA6" w:rsidP="00907AF7">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sidRPr="002E0C7E">
              <w:rPr>
                <w:rFonts w:ascii="Arial" w:hAnsi="Arial"/>
                <w:sz w:val="14"/>
              </w:rPr>
              <w:t>M</w:t>
            </w:r>
          </w:p>
          <w:p w:rsidR="00091FA6" w:rsidRPr="002E0C7E" w:rsidRDefault="00091FA6" w:rsidP="00907AF7">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sidRPr="002E0C7E">
              <w:rPr>
                <w:rFonts w:ascii="Arial" w:hAnsi="Arial"/>
                <w:sz w:val="14"/>
              </w:rPr>
              <w:t>T</w:t>
            </w:r>
          </w:p>
          <w:p w:rsidR="00091FA6" w:rsidRPr="002E0C7E" w:rsidRDefault="00091FA6" w:rsidP="00907AF7">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sidRPr="002E0C7E">
              <w:rPr>
                <w:rFonts w:ascii="Arial" w:hAnsi="Arial"/>
                <w:sz w:val="14"/>
              </w:rPr>
              <w:t>W</w:t>
            </w:r>
          </w:p>
          <w:p w:rsidR="00091FA6" w:rsidRPr="002E0C7E" w:rsidRDefault="00091FA6" w:rsidP="00907AF7">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sidRPr="002E0C7E">
              <w:rPr>
                <w:rFonts w:ascii="Arial" w:hAnsi="Arial"/>
                <w:sz w:val="14"/>
              </w:rPr>
              <w:t>T</w:t>
            </w:r>
          </w:p>
          <w:p w:rsidR="00091FA6" w:rsidRPr="002E0C7E" w:rsidRDefault="00091FA6" w:rsidP="00907AF7">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sidRPr="002E0C7E">
              <w:rPr>
                <w:rFonts w:ascii="Arial" w:hAnsi="Arial"/>
                <w:sz w:val="14"/>
              </w:rPr>
              <w:t>F</w:t>
            </w:r>
          </w:p>
          <w:p w:rsidR="00091FA6" w:rsidRPr="002E0C7E" w:rsidRDefault="00091FA6" w:rsidP="00907AF7">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sidRPr="002E0C7E">
              <w:rPr>
                <w:rFonts w:ascii="Arial" w:hAnsi="Arial"/>
                <w:sz w:val="14"/>
              </w:rPr>
              <w:t>S</w:t>
            </w:r>
          </w:p>
          <w:p w:rsidR="00091FA6" w:rsidRPr="002E0C7E" w:rsidRDefault="00091FA6" w:rsidP="00907AF7">
            <w:pPr>
              <w:widowControl w:val="0"/>
              <w:jc w:val="center"/>
              <w:rPr>
                <w:rFonts w:ascii="Arial" w:hAnsi="Arial"/>
                <w:sz w:val="14"/>
              </w:rPr>
            </w:pPr>
            <w:r w:rsidRPr="002E0C7E">
              <w:rPr>
                <w:rFonts w:ascii="Arial" w:hAnsi="Arial"/>
                <w:sz w:val="14"/>
              </w:rPr>
              <w:t>S</w:t>
            </w:r>
          </w:p>
        </w:tc>
      </w:tr>
      <w:tr w:rsidR="00091FA6" w:rsidRPr="002E0C7E" w:rsidTr="00907AF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p>
        </w:tc>
        <w:tc>
          <w:tcPr>
            <w:tcW w:w="498"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317A69" w:rsidRDefault="00091FA6" w:rsidP="00907AF7">
            <w:pPr>
              <w:widowControl w:val="0"/>
              <w:jc w:val="center"/>
              <w:rPr>
                <w:rFonts w:ascii="Arial" w:hAnsi="Arial"/>
                <w:b/>
                <w:sz w:val="14"/>
              </w:rPr>
            </w:pPr>
            <w:r>
              <w:rPr>
                <w:rFonts w:ascii="Arial" w:hAnsi="Arial"/>
                <w:b/>
                <w:sz w:val="14"/>
              </w:rPr>
              <w:t>H</w:t>
            </w:r>
          </w:p>
          <w:p w:rsidR="00091FA6" w:rsidRPr="002E0C7E" w:rsidRDefault="00091FA6" w:rsidP="00907AF7">
            <w:pPr>
              <w:widowControl w:val="0"/>
              <w:jc w:val="center"/>
              <w:rPr>
                <w:rFonts w:ascii="Arial" w:hAnsi="Arial"/>
                <w:sz w:val="14"/>
              </w:rPr>
            </w:pPr>
            <w:r>
              <w:rPr>
                <w:rFonts w:ascii="Arial" w:hAnsi="Arial"/>
                <w:sz w:val="14"/>
              </w:rPr>
              <w:t>1</w:t>
            </w:r>
          </w:p>
        </w:tc>
        <w:tc>
          <w:tcPr>
            <w:tcW w:w="44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2</w:t>
            </w:r>
          </w:p>
        </w:tc>
      </w:tr>
      <w:tr w:rsidR="00091FA6" w:rsidRPr="002E0C7E" w:rsidTr="00907AF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7</w:t>
            </w:r>
          </w:p>
        </w:tc>
        <w:tc>
          <w:tcPr>
            <w:tcW w:w="498"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8</w:t>
            </w:r>
          </w:p>
        </w:tc>
        <w:tc>
          <w:tcPr>
            <w:tcW w:w="44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7</w:t>
            </w:r>
          </w:p>
        </w:tc>
        <w:tc>
          <w:tcPr>
            <w:tcW w:w="45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3</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5</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7</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9</w:t>
            </w:r>
          </w:p>
        </w:tc>
      </w:tr>
      <w:tr w:rsidR="00091FA6" w:rsidRPr="002E0C7E" w:rsidTr="00907AF7">
        <w:trPr>
          <w:cantSplit/>
          <w:jc w:val="center"/>
        </w:trPr>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7255AD" w:rsidRDefault="00091FA6" w:rsidP="00907AF7">
            <w:pPr>
              <w:widowControl w:val="0"/>
              <w:jc w:val="center"/>
              <w:rPr>
                <w:rFonts w:ascii="Arial" w:hAnsi="Arial"/>
                <w:b/>
                <w:sz w:val="14"/>
              </w:rPr>
            </w:pPr>
            <w:r>
              <w:rPr>
                <w:rFonts w:ascii="Arial" w:hAnsi="Arial"/>
                <w:b/>
                <w:sz w:val="14"/>
              </w:rPr>
              <w:t>M</w:t>
            </w: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4</w:t>
            </w:r>
          </w:p>
        </w:tc>
        <w:tc>
          <w:tcPr>
            <w:tcW w:w="49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5</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0E2B85" w:rsidRDefault="00091FA6" w:rsidP="00907AF7">
            <w:pPr>
              <w:widowControl w:val="0"/>
              <w:jc w:val="center"/>
              <w:rPr>
                <w:rFonts w:ascii="Arial" w:hAnsi="Arial"/>
                <w:b/>
                <w:sz w:val="14"/>
              </w:rPr>
            </w:pPr>
            <w:r>
              <w:rPr>
                <w:rFonts w:ascii="Arial" w:hAnsi="Arial"/>
                <w:b/>
                <w:sz w:val="14"/>
              </w:rPr>
              <w:t>M</w:t>
            </w: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13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0</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1</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2</w:t>
            </w:r>
          </w:p>
        </w:tc>
        <w:tc>
          <w:tcPr>
            <w:tcW w:w="44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4</w:t>
            </w:r>
          </w:p>
        </w:tc>
        <w:tc>
          <w:tcPr>
            <w:tcW w:w="51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6</w:t>
            </w:r>
          </w:p>
        </w:tc>
      </w:tr>
      <w:tr w:rsidR="00091FA6" w:rsidRPr="002E0C7E" w:rsidTr="00907AF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2</w:t>
            </w:r>
            <w:r>
              <w:rPr>
                <w:rFonts w:ascii="Arial" w:hAnsi="Arial"/>
                <w:sz w:val="14"/>
              </w:rPr>
              <w:t>1</w:t>
            </w:r>
          </w:p>
        </w:tc>
        <w:tc>
          <w:tcPr>
            <w:tcW w:w="49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2</w:t>
            </w:r>
            <w:r>
              <w:rPr>
                <w:rFonts w:ascii="Arial" w:hAnsi="Arial"/>
                <w:sz w:val="14"/>
              </w:rPr>
              <w:t>2</w:t>
            </w:r>
          </w:p>
        </w:tc>
        <w:tc>
          <w:tcPr>
            <w:tcW w:w="44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2</w:t>
            </w:r>
            <w:r>
              <w:rPr>
                <w:rFonts w:ascii="Arial" w:hAnsi="Arial"/>
                <w:sz w:val="14"/>
              </w:rPr>
              <w:t>0</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2</w:t>
            </w:r>
            <w:r>
              <w:rPr>
                <w:rFonts w:ascii="Arial" w:hAnsi="Arial"/>
                <w:sz w:val="14"/>
              </w:rPr>
              <w:t>1</w:t>
            </w:r>
          </w:p>
        </w:tc>
        <w:tc>
          <w:tcPr>
            <w:tcW w:w="452"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7</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34238" w:rsidRDefault="00091FA6" w:rsidP="00907AF7">
            <w:pPr>
              <w:widowControl w:val="0"/>
              <w:jc w:val="center"/>
              <w:rPr>
                <w:rFonts w:ascii="Arial" w:hAnsi="Arial"/>
                <w:b/>
                <w:sz w:val="14"/>
              </w:rPr>
            </w:pPr>
            <w:r>
              <w:rPr>
                <w:rFonts w:ascii="Arial" w:hAnsi="Arial"/>
                <w:b/>
                <w:sz w:val="14"/>
              </w:rPr>
              <w:t>M</w:t>
            </w: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8</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19</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2</w:t>
            </w:r>
            <w:r>
              <w:rPr>
                <w:rFonts w:ascii="Arial" w:hAnsi="Arial"/>
                <w:sz w:val="14"/>
              </w:rPr>
              <w:t>1</w:t>
            </w:r>
          </w:p>
        </w:tc>
        <w:tc>
          <w:tcPr>
            <w:tcW w:w="516" w:type="dxa"/>
            <w:tcBorders>
              <w:top w:val="single" w:sz="8" w:space="0" w:color="000000"/>
              <w:left w:val="single" w:sz="8" w:space="0" w:color="000000"/>
              <w:bottom w:val="double" w:sz="6"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2</w:t>
            </w:r>
            <w:r>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2</w:t>
            </w:r>
            <w:r>
              <w:rPr>
                <w:rFonts w:ascii="Arial" w:hAnsi="Arial"/>
                <w:sz w:val="14"/>
              </w:rPr>
              <w:t>3</w:t>
            </w:r>
          </w:p>
        </w:tc>
      </w:tr>
      <w:tr w:rsidR="00091FA6" w:rsidRPr="002E0C7E" w:rsidTr="00907AF7">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28</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29</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2</w:t>
            </w:r>
            <w:r>
              <w:rPr>
                <w:rFonts w:ascii="Arial" w:hAnsi="Arial"/>
                <w:sz w:val="14"/>
              </w:rPr>
              <w:t>7</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28</w:t>
            </w: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Pr>
                <w:rFonts w:ascii="Arial" w:hAnsi="Arial"/>
                <w:sz w:val="14"/>
              </w:rPr>
              <w:t>24</w:t>
            </w:r>
          </w:p>
          <w:p w:rsidR="00091FA6" w:rsidRPr="002E0C7E" w:rsidRDefault="00091FA6" w:rsidP="00907AF7">
            <w:pPr>
              <w:widowControl w:val="0"/>
              <w:jc w:val="center"/>
              <w:rPr>
                <w:rFonts w:ascii="Arial" w:hAnsi="Arial"/>
                <w:sz w:val="14"/>
              </w:rPr>
            </w:pPr>
            <w:r>
              <w:rPr>
                <w:rFonts w:ascii="Arial" w:hAnsi="Arial"/>
                <w:sz w:val="14"/>
              </w:rPr>
              <w:t xml:space="preserve">  31</w:t>
            </w:r>
          </w:p>
        </w:tc>
        <w:tc>
          <w:tcPr>
            <w:tcW w:w="480" w:type="dxa"/>
            <w:tcBorders>
              <w:top w:val="double" w:sz="6"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2</w:t>
            </w:r>
            <w:r>
              <w:rPr>
                <w:rFonts w:ascii="Arial" w:hAnsi="Arial"/>
                <w:sz w:val="14"/>
              </w:rPr>
              <w:t>5</w:t>
            </w:r>
          </w:p>
        </w:tc>
        <w:tc>
          <w:tcPr>
            <w:tcW w:w="458"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2</w:t>
            </w:r>
            <w:r>
              <w:rPr>
                <w:rFonts w:ascii="Arial" w:hAnsi="Arial"/>
                <w:sz w:val="14"/>
              </w:rPr>
              <w:t>6</w:t>
            </w:r>
          </w:p>
        </w:tc>
        <w:tc>
          <w:tcPr>
            <w:tcW w:w="442"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double" w:sz="6" w:space="0" w:color="000000"/>
            </w:tcBorders>
            <w:shd w:val="pct30" w:color="auto"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2</w:t>
            </w:r>
            <w:r>
              <w:rPr>
                <w:rFonts w:ascii="Arial" w:hAnsi="Arial"/>
                <w:sz w:val="14"/>
              </w:rPr>
              <w:t>8</w:t>
            </w:r>
          </w:p>
        </w:tc>
        <w:tc>
          <w:tcPr>
            <w:tcW w:w="516"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61B35" w:rsidRDefault="00091FA6" w:rsidP="00907AF7">
            <w:pPr>
              <w:widowControl w:val="0"/>
              <w:jc w:val="center"/>
              <w:rPr>
                <w:rFonts w:ascii="Arial" w:hAnsi="Arial"/>
                <w:b/>
                <w:sz w:val="14"/>
              </w:rPr>
            </w:pPr>
            <w:r w:rsidRPr="00261B35">
              <w:rPr>
                <w:rFonts w:ascii="Arial" w:hAnsi="Arial"/>
                <w:b/>
                <w:sz w:val="14"/>
              </w:rPr>
              <w:t>H</w:t>
            </w:r>
          </w:p>
          <w:p w:rsidR="00091FA6" w:rsidRPr="002E0C7E" w:rsidRDefault="00091FA6" w:rsidP="00907AF7">
            <w:pPr>
              <w:widowControl w:val="0"/>
              <w:jc w:val="center"/>
              <w:rPr>
                <w:rFonts w:ascii="Arial" w:hAnsi="Arial"/>
                <w:sz w:val="14"/>
              </w:rPr>
            </w:pPr>
            <w:r>
              <w:rPr>
                <w:rFonts w:ascii="Arial" w:hAnsi="Arial"/>
                <w:sz w:val="14"/>
              </w:rPr>
              <w:t>29</w:t>
            </w:r>
          </w:p>
        </w:tc>
        <w:tc>
          <w:tcPr>
            <w:tcW w:w="470" w:type="dxa"/>
            <w:tcBorders>
              <w:top w:val="single" w:sz="8" w:space="0" w:color="000000"/>
              <w:left w:val="double" w:sz="6"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3</w:t>
            </w:r>
            <w:r>
              <w:rPr>
                <w:rFonts w:ascii="Arial" w:hAnsi="Arial"/>
                <w:sz w:val="14"/>
              </w:rPr>
              <w:t>0</w:t>
            </w:r>
          </w:p>
        </w:tc>
      </w:tr>
    </w:tbl>
    <w:p w:rsidR="00091FA6" w:rsidRPr="002E0C7E" w:rsidRDefault="00091FA6" w:rsidP="00091FA6">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091FA6" w:rsidRPr="002E0C7E" w:rsidTr="00907AF7">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907AF7">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907AF7">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907AF7">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907AF7">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907AF7">
            <w:pPr>
              <w:widowControl w:val="0"/>
              <w:jc w:val="center"/>
              <w:rPr>
                <w:rFonts w:ascii="Arial" w:hAnsi="Arial"/>
                <w:sz w:val="14"/>
              </w:rPr>
            </w:pPr>
            <w:r w:rsidRPr="002E0C7E">
              <w:rPr>
                <w:rFonts w:ascii="Arial" w:hAnsi="Arial"/>
                <w:b/>
                <w:sz w:val="14"/>
              </w:rPr>
              <w:t>JUNE - JUIN</w:t>
            </w:r>
          </w:p>
        </w:tc>
      </w:tr>
      <w:tr w:rsidR="00091FA6" w:rsidRPr="002E0C7E" w:rsidTr="00907AF7">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sidRPr="002E0C7E">
              <w:rPr>
                <w:rFonts w:ascii="Arial" w:hAnsi="Arial"/>
                <w:sz w:val="14"/>
              </w:rPr>
              <w:t>S</w:t>
            </w:r>
          </w:p>
          <w:p w:rsidR="00091FA6" w:rsidRPr="002E0C7E" w:rsidRDefault="00091FA6" w:rsidP="00907AF7">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sidRPr="002E0C7E">
              <w:rPr>
                <w:rFonts w:ascii="Arial" w:hAnsi="Arial"/>
                <w:sz w:val="14"/>
              </w:rPr>
              <w:t>M</w:t>
            </w:r>
          </w:p>
          <w:p w:rsidR="00091FA6" w:rsidRPr="002E0C7E" w:rsidRDefault="00091FA6" w:rsidP="00907AF7">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sidRPr="002E0C7E">
              <w:rPr>
                <w:rFonts w:ascii="Arial" w:hAnsi="Arial"/>
                <w:sz w:val="14"/>
              </w:rPr>
              <w:t>T</w:t>
            </w:r>
          </w:p>
          <w:p w:rsidR="00091FA6" w:rsidRPr="002E0C7E" w:rsidRDefault="00091FA6" w:rsidP="00907AF7">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sidRPr="002E0C7E">
              <w:rPr>
                <w:rFonts w:ascii="Arial" w:hAnsi="Arial"/>
                <w:sz w:val="14"/>
              </w:rPr>
              <w:t>W</w:t>
            </w:r>
          </w:p>
          <w:p w:rsidR="00091FA6" w:rsidRPr="002E0C7E" w:rsidRDefault="00091FA6" w:rsidP="00907AF7">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sidRPr="002E0C7E">
              <w:rPr>
                <w:rFonts w:ascii="Arial" w:hAnsi="Arial"/>
                <w:sz w:val="14"/>
              </w:rPr>
              <w:t>T</w:t>
            </w:r>
          </w:p>
          <w:p w:rsidR="00091FA6" w:rsidRPr="002E0C7E" w:rsidRDefault="00091FA6" w:rsidP="00907AF7">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sidRPr="002E0C7E">
              <w:rPr>
                <w:rFonts w:ascii="Arial" w:hAnsi="Arial"/>
                <w:sz w:val="14"/>
              </w:rPr>
              <w:t>F</w:t>
            </w:r>
          </w:p>
          <w:p w:rsidR="00091FA6" w:rsidRPr="002E0C7E" w:rsidRDefault="00091FA6" w:rsidP="00907AF7">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sidRPr="002E0C7E">
              <w:rPr>
                <w:rFonts w:ascii="Arial" w:hAnsi="Arial"/>
                <w:sz w:val="14"/>
              </w:rPr>
              <w:t>S</w:t>
            </w:r>
          </w:p>
          <w:p w:rsidR="00091FA6" w:rsidRPr="002E0C7E" w:rsidRDefault="00091FA6" w:rsidP="00907AF7">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sidRPr="002E0C7E">
              <w:rPr>
                <w:rFonts w:ascii="Arial" w:hAnsi="Arial"/>
                <w:sz w:val="14"/>
              </w:rPr>
              <w:t>S</w:t>
            </w:r>
          </w:p>
          <w:p w:rsidR="00091FA6" w:rsidRPr="002E0C7E" w:rsidRDefault="00091FA6" w:rsidP="00907AF7">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sidRPr="002E0C7E">
              <w:rPr>
                <w:rFonts w:ascii="Arial" w:hAnsi="Arial"/>
                <w:sz w:val="14"/>
              </w:rPr>
              <w:t>M</w:t>
            </w:r>
          </w:p>
          <w:p w:rsidR="00091FA6" w:rsidRPr="002E0C7E" w:rsidRDefault="00091FA6" w:rsidP="00907AF7">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sidRPr="002E0C7E">
              <w:rPr>
                <w:rFonts w:ascii="Arial" w:hAnsi="Arial"/>
                <w:sz w:val="14"/>
              </w:rPr>
              <w:t>T</w:t>
            </w:r>
          </w:p>
          <w:p w:rsidR="00091FA6" w:rsidRPr="002E0C7E" w:rsidRDefault="00091FA6" w:rsidP="00907AF7">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sidRPr="002E0C7E">
              <w:rPr>
                <w:rFonts w:ascii="Arial" w:hAnsi="Arial"/>
                <w:sz w:val="14"/>
              </w:rPr>
              <w:t>W</w:t>
            </w:r>
          </w:p>
          <w:p w:rsidR="00091FA6" w:rsidRPr="002E0C7E" w:rsidRDefault="00091FA6" w:rsidP="00907AF7">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sidRPr="002E0C7E">
              <w:rPr>
                <w:rFonts w:ascii="Arial" w:hAnsi="Arial"/>
                <w:sz w:val="14"/>
              </w:rPr>
              <w:t>T</w:t>
            </w:r>
          </w:p>
          <w:p w:rsidR="00091FA6" w:rsidRPr="002E0C7E" w:rsidRDefault="00091FA6" w:rsidP="00907AF7">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sidRPr="002E0C7E">
              <w:rPr>
                <w:rFonts w:ascii="Arial" w:hAnsi="Arial"/>
                <w:sz w:val="14"/>
              </w:rPr>
              <w:t>F</w:t>
            </w:r>
          </w:p>
          <w:p w:rsidR="00091FA6" w:rsidRPr="002E0C7E" w:rsidRDefault="00091FA6" w:rsidP="00907AF7">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sidRPr="002E0C7E">
              <w:rPr>
                <w:rFonts w:ascii="Arial" w:hAnsi="Arial"/>
                <w:sz w:val="14"/>
              </w:rPr>
              <w:t>S</w:t>
            </w:r>
          </w:p>
          <w:p w:rsidR="00091FA6" w:rsidRPr="002E0C7E" w:rsidRDefault="00091FA6" w:rsidP="00907AF7">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sidRPr="002E0C7E">
              <w:rPr>
                <w:rFonts w:ascii="Arial" w:hAnsi="Arial"/>
                <w:sz w:val="14"/>
              </w:rPr>
              <w:t>S</w:t>
            </w:r>
          </w:p>
          <w:p w:rsidR="00091FA6" w:rsidRPr="002E0C7E" w:rsidRDefault="00091FA6" w:rsidP="00907AF7">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sidRPr="002E0C7E">
              <w:rPr>
                <w:rFonts w:ascii="Arial" w:hAnsi="Arial"/>
                <w:sz w:val="14"/>
              </w:rPr>
              <w:t>M</w:t>
            </w:r>
          </w:p>
          <w:p w:rsidR="00091FA6" w:rsidRPr="002E0C7E" w:rsidRDefault="00091FA6" w:rsidP="00907AF7">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sidRPr="002E0C7E">
              <w:rPr>
                <w:rFonts w:ascii="Arial" w:hAnsi="Arial"/>
                <w:sz w:val="14"/>
              </w:rPr>
              <w:t>T</w:t>
            </w:r>
          </w:p>
          <w:p w:rsidR="00091FA6" w:rsidRPr="002E0C7E" w:rsidRDefault="00091FA6" w:rsidP="00907AF7">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sidRPr="002E0C7E">
              <w:rPr>
                <w:rFonts w:ascii="Arial" w:hAnsi="Arial"/>
                <w:sz w:val="14"/>
              </w:rPr>
              <w:t>W</w:t>
            </w:r>
          </w:p>
          <w:p w:rsidR="00091FA6" w:rsidRPr="002E0C7E" w:rsidRDefault="00091FA6" w:rsidP="00907AF7">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sidRPr="002E0C7E">
              <w:rPr>
                <w:rFonts w:ascii="Arial" w:hAnsi="Arial"/>
                <w:sz w:val="14"/>
              </w:rPr>
              <w:t>T</w:t>
            </w:r>
          </w:p>
          <w:p w:rsidR="00091FA6" w:rsidRPr="002E0C7E" w:rsidRDefault="00091FA6" w:rsidP="00907AF7">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sidRPr="002E0C7E">
              <w:rPr>
                <w:rFonts w:ascii="Arial" w:hAnsi="Arial"/>
                <w:sz w:val="14"/>
              </w:rPr>
              <w:t>F</w:t>
            </w:r>
          </w:p>
          <w:p w:rsidR="00091FA6" w:rsidRPr="002E0C7E" w:rsidRDefault="00091FA6" w:rsidP="00907AF7">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sidRPr="002E0C7E">
              <w:rPr>
                <w:rFonts w:ascii="Arial" w:hAnsi="Arial"/>
                <w:sz w:val="14"/>
              </w:rPr>
              <w:t>s</w:t>
            </w:r>
          </w:p>
          <w:p w:rsidR="00091FA6" w:rsidRPr="002E0C7E" w:rsidRDefault="00091FA6" w:rsidP="00907AF7">
            <w:pPr>
              <w:widowControl w:val="0"/>
              <w:jc w:val="center"/>
              <w:rPr>
                <w:rFonts w:ascii="Arial" w:hAnsi="Arial"/>
                <w:sz w:val="14"/>
              </w:rPr>
            </w:pPr>
            <w:r w:rsidRPr="002E0C7E">
              <w:rPr>
                <w:rFonts w:ascii="Arial" w:hAnsi="Arial"/>
                <w:sz w:val="14"/>
              </w:rPr>
              <w:t>s</w:t>
            </w:r>
          </w:p>
        </w:tc>
      </w:tr>
      <w:tr w:rsidR="00091FA6" w:rsidRPr="002E0C7E" w:rsidTr="00907AF7">
        <w:trPr>
          <w:cantSplit/>
          <w:trHeight w:val="422"/>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p>
        </w:tc>
        <w:tc>
          <w:tcPr>
            <w:tcW w:w="492"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2453E3" w:rsidRDefault="00091FA6" w:rsidP="00907AF7">
            <w:pPr>
              <w:widowControl w:val="0"/>
              <w:jc w:val="center"/>
              <w:rPr>
                <w:rFonts w:ascii="Arial" w:hAnsi="Arial"/>
                <w:b/>
                <w:sz w:val="14"/>
              </w:rPr>
            </w:pPr>
            <w:r w:rsidRPr="002453E3">
              <w:rPr>
                <w:rFonts w:ascii="Arial" w:hAnsi="Arial"/>
                <w:b/>
                <w:sz w:val="14"/>
              </w:rPr>
              <w:t>H</w:t>
            </w:r>
          </w:p>
          <w:p w:rsidR="00091FA6" w:rsidRPr="002E0C7E" w:rsidRDefault="00091FA6" w:rsidP="00907AF7">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b/>
                <w:sz w:val="14"/>
              </w:rPr>
            </w:pPr>
          </w:p>
          <w:p w:rsidR="00091FA6" w:rsidRPr="002E0C7E" w:rsidRDefault="00091FA6" w:rsidP="00907AF7">
            <w:pPr>
              <w:widowControl w:val="0"/>
              <w:jc w:val="center"/>
              <w:rPr>
                <w:rFonts w:ascii="Arial" w:hAnsi="Arial"/>
                <w:sz w:val="14"/>
              </w:rPr>
            </w:pPr>
            <w:r>
              <w:rPr>
                <w:rFonts w:ascii="Arial" w:hAnsi="Arial"/>
                <w:sz w:val="14"/>
              </w:rPr>
              <w:t>3</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1</w:t>
            </w:r>
          </w:p>
        </w:tc>
      </w:tr>
      <w:tr w:rsidR="00091FA6" w:rsidRPr="002E0C7E" w:rsidTr="00907AF7">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7</w:t>
            </w:r>
          </w:p>
        </w:tc>
        <w:tc>
          <w:tcPr>
            <w:tcW w:w="492"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091FA6" w:rsidRPr="00710C8B" w:rsidRDefault="00091FA6" w:rsidP="00907AF7">
            <w:pPr>
              <w:widowControl w:val="0"/>
              <w:jc w:val="center"/>
              <w:rPr>
                <w:rFonts w:ascii="Arial" w:hAnsi="Arial"/>
                <w:b/>
                <w:sz w:val="14"/>
              </w:rPr>
            </w:pPr>
          </w:p>
          <w:p w:rsidR="00091FA6" w:rsidRPr="002E0C7E" w:rsidRDefault="00091FA6" w:rsidP="00907AF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5</w:t>
            </w:r>
          </w:p>
        </w:tc>
        <w:tc>
          <w:tcPr>
            <w:tcW w:w="466"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0</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2</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3</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8</w:t>
            </w:r>
          </w:p>
        </w:tc>
      </w:tr>
      <w:tr w:rsidR="00091FA6" w:rsidRPr="002E0C7E" w:rsidTr="00907AF7">
        <w:trPr>
          <w:cantSplit/>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14</w:t>
            </w:r>
          </w:p>
        </w:tc>
        <w:tc>
          <w:tcPr>
            <w:tcW w:w="492"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B5777" w:rsidRDefault="00091FA6" w:rsidP="00907AF7">
            <w:pPr>
              <w:widowControl w:val="0"/>
              <w:jc w:val="center"/>
              <w:rPr>
                <w:rFonts w:ascii="Arial" w:hAnsi="Arial"/>
                <w:b/>
                <w:sz w:val="14"/>
              </w:rPr>
            </w:pPr>
            <w:r w:rsidRPr="00DB5777">
              <w:rPr>
                <w:rFonts w:ascii="Arial" w:hAnsi="Arial"/>
                <w:b/>
                <w:sz w:val="14"/>
              </w:rPr>
              <w:t>M</w:t>
            </w: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2</w:t>
            </w:r>
          </w:p>
        </w:tc>
        <w:tc>
          <w:tcPr>
            <w:tcW w:w="466"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453E3" w:rsidRDefault="00091FA6" w:rsidP="00907AF7">
            <w:pPr>
              <w:widowControl w:val="0"/>
              <w:jc w:val="center"/>
              <w:rPr>
                <w:rFonts w:ascii="Arial" w:hAnsi="Arial"/>
                <w:b/>
                <w:sz w:val="14"/>
              </w:rPr>
            </w:pPr>
            <w:r w:rsidRPr="002453E3">
              <w:rPr>
                <w:rFonts w:ascii="Arial" w:hAnsi="Arial"/>
                <w:b/>
                <w:sz w:val="14"/>
              </w:rPr>
              <w:t>M</w:t>
            </w: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7</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9</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6A1E8D" w:rsidRDefault="00091FA6" w:rsidP="00907AF7">
            <w:pPr>
              <w:widowControl w:val="0"/>
              <w:jc w:val="center"/>
              <w:rPr>
                <w:rFonts w:ascii="Arial" w:hAnsi="Arial"/>
                <w:b/>
                <w:sz w:val="14"/>
              </w:rPr>
            </w:pPr>
            <w:r w:rsidRPr="006A1E8D">
              <w:rPr>
                <w:rFonts w:ascii="Arial" w:hAnsi="Arial"/>
                <w:b/>
                <w:sz w:val="14"/>
              </w:rPr>
              <w:t>M</w:t>
            </w: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0</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907AF7">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21</w:t>
            </w:r>
          </w:p>
        </w:tc>
        <w:tc>
          <w:tcPr>
            <w:tcW w:w="492"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19</w:t>
            </w:r>
          </w:p>
        </w:tc>
        <w:tc>
          <w:tcPr>
            <w:tcW w:w="466"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2453E3" w:rsidRDefault="00091FA6" w:rsidP="00907AF7">
            <w:pPr>
              <w:widowControl w:val="0"/>
              <w:jc w:val="center"/>
              <w:rPr>
                <w:rFonts w:ascii="Arial" w:hAnsi="Arial"/>
                <w:b/>
                <w:sz w:val="14"/>
              </w:rPr>
            </w:pPr>
            <w:r>
              <w:rPr>
                <w:rFonts w:ascii="Arial" w:hAnsi="Arial"/>
                <w:b/>
                <w:sz w:val="14"/>
              </w:rPr>
              <w:t>H</w:t>
            </w:r>
          </w:p>
          <w:p w:rsidR="00091FA6" w:rsidRPr="002E0C7E" w:rsidRDefault="00091FA6" w:rsidP="00907AF7">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2</w:t>
            </w:r>
            <w:r>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2</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2</w:t>
            </w:r>
            <w:r>
              <w:rPr>
                <w:rFonts w:ascii="Arial" w:hAnsi="Arial"/>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2</w:t>
            </w:r>
            <w:r>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6</w:t>
            </w:r>
          </w:p>
        </w:tc>
        <w:tc>
          <w:tcPr>
            <w:tcW w:w="480"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7</w:t>
            </w:r>
          </w:p>
        </w:tc>
        <w:tc>
          <w:tcPr>
            <w:tcW w:w="45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907AF7">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28</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2</w:t>
            </w:r>
            <w:r>
              <w:rPr>
                <w:rFonts w:ascii="Arial" w:hAnsi="Arial"/>
                <w:sz w:val="14"/>
              </w:rPr>
              <w:t>6</w:t>
            </w:r>
          </w:p>
        </w:tc>
        <w:tc>
          <w:tcPr>
            <w:tcW w:w="466" w:type="dxa"/>
            <w:tcBorders>
              <w:top w:val="double" w:sz="6"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3</w:t>
            </w:r>
            <w:r>
              <w:rPr>
                <w:rFonts w:ascii="Arial" w:hAnsi="Arial"/>
                <w:sz w:val="14"/>
              </w:rPr>
              <w:t>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31</w:t>
            </w: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r>
              <w:rPr>
                <w:rFonts w:ascii="Arial" w:hAnsi="Arial"/>
                <w:sz w:val="14"/>
              </w:rPr>
              <w:t>23</w:t>
            </w:r>
          </w:p>
          <w:p w:rsidR="00091FA6" w:rsidRPr="002E0C7E" w:rsidRDefault="00091FA6" w:rsidP="00907AF7">
            <w:pPr>
              <w:widowControl w:val="0"/>
              <w:jc w:val="center"/>
              <w:rPr>
                <w:rFonts w:ascii="Arial" w:hAnsi="Arial"/>
                <w:sz w:val="14"/>
              </w:rPr>
            </w:pPr>
            <w:r>
              <w:rPr>
                <w:rFonts w:ascii="Arial" w:hAnsi="Arial"/>
                <w:sz w:val="14"/>
              </w:rPr>
              <w:t xml:space="preserve">  30</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2</w:t>
            </w:r>
            <w:r>
              <w:rPr>
                <w:rFonts w:ascii="Arial" w:hAnsi="Arial"/>
                <w:sz w:val="14"/>
              </w:rPr>
              <w:t>4</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907AF7">
            <w:pPr>
              <w:widowControl w:val="0"/>
              <w:jc w:val="center"/>
              <w:rPr>
                <w:rFonts w:ascii="Arial" w:hAnsi="Arial"/>
                <w:sz w:val="14"/>
              </w:rPr>
            </w:pPr>
          </w:p>
          <w:p w:rsidR="00091FA6" w:rsidRPr="002E0C7E" w:rsidRDefault="00091FA6" w:rsidP="00907AF7">
            <w:pPr>
              <w:widowControl w:val="0"/>
              <w:jc w:val="center"/>
              <w:rPr>
                <w:rFonts w:ascii="Arial" w:hAnsi="Arial"/>
                <w:sz w:val="14"/>
              </w:rPr>
            </w:pPr>
            <w:r>
              <w:rPr>
                <w:rFonts w:ascii="Arial" w:hAnsi="Arial"/>
                <w:sz w:val="14"/>
              </w:rPr>
              <w:t>29</w:t>
            </w:r>
          </w:p>
        </w:tc>
      </w:tr>
    </w:tbl>
    <w:p w:rsidR="00091FA6" w:rsidRPr="002E0C7E" w:rsidRDefault="00091FA6" w:rsidP="00091FA6">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091FA6" w:rsidRPr="002E0C7E" w:rsidTr="00907AF7">
        <w:trPr>
          <w:cantSplit/>
        </w:trPr>
        <w:tc>
          <w:tcPr>
            <w:tcW w:w="1710" w:type="dxa"/>
            <w:tcBorders>
              <w:top w:val="nil"/>
              <w:left w:val="nil"/>
              <w:bottom w:val="nil"/>
              <w:right w:val="nil"/>
            </w:tcBorders>
            <w:tcMar>
              <w:top w:w="43" w:type="dxa"/>
              <w:left w:w="120" w:type="dxa"/>
              <w:bottom w:w="29" w:type="dxa"/>
              <w:right w:w="120" w:type="dxa"/>
            </w:tcMar>
          </w:tcPr>
          <w:p w:rsidR="00091FA6" w:rsidRPr="002E0C7E" w:rsidRDefault="00091FA6" w:rsidP="00907AF7">
            <w:pPr>
              <w:widowControl w:val="0"/>
              <w:rPr>
                <w:rFonts w:ascii="Arial" w:hAnsi="Arial"/>
                <w:sz w:val="16"/>
              </w:rPr>
            </w:pPr>
            <w:r w:rsidRPr="002E0C7E">
              <w:rPr>
                <w:rFonts w:ascii="Arial" w:hAnsi="Arial"/>
                <w:sz w:val="16"/>
              </w:rPr>
              <w:t>Sittings of the court:</w:t>
            </w:r>
          </w:p>
          <w:p w:rsidR="00091FA6" w:rsidRPr="002E0C7E" w:rsidRDefault="00091FA6" w:rsidP="00907AF7">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091FA6" w:rsidRPr="002E0C7E" w:rsidRDefault="00091FA6" w:rsidP="00907AF7">
            <w:pPr>
              <w:widowControl w:val="0"/>
              <w:rPr>
                <w:rFonts w:ascii="Arial" w:hAnsi="Arial"/>
                <w:sz w:val="16"/>
              </w:rPr>
            </w:pPr>
          </w:p>
          <w:p w:rsidR="00091FA6" w:rsidRPr="002E0C7E" w:rsidRDefault="00091FA6" w:rsidP="00907AF7">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091FA6" w:rsidRPr="00B058C3" w:rsidRDefault="00091FA6" w:rsidP="00907AF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091FA6" w:rsidRPr="00B058C3" w:rsidRDefault="00091FA6" w:rsidP="00907AF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091FA6" w:rsidRPr="00B058C3" w:rsidRDefault="00091FA6" w:rsidP="00907AF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091FA6" w:rsidRPr="002E0C7E" w:rsidRDefault="00091FA6" w:rsidP="00907AF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091FA6" w:rsidRPr="002E0C7E" w:rsidRDefault="00091FA6" w:rsidP="00907AF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907AF7">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907AF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091FA6" w:rsidRPr="002E0C7E" w:rsidRDefault="00091FA6" w:rsidP="00907AF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091FA6" w:rsidRPr="002E0C7E" w:rsidRDefault="00091FA6" w:rsidP="00907AF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907AF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907AF7">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907AF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091FA6" w:rsidRPr="002E0C7E" w:rsidRDefault="00091FA6" w:rsidP="00907AF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091FA6" w:rsidRPr="002E0C7E" w:rsidRDefault="00091FA6" w:rsidP="00907AF7">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907AF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091FA6" w:rsidRPr="002E0C7E" w:rsidRDefault="00091FA6" w:rsidP="00091FA6">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64"/>
      <w:footerReference w:type="default" r:id="rId65"/>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B43" w:rsidRDefault="00E44B43" w:rsidP="00A87207">
      <w:r>
        <w:separator/>
      </w:r>
    </w:p>
  </w:endnote>
  <w:endnote w:type="continuationSeparator" w:id="0">
    <w:p w:rsidR="00E44B43" w:rsidRDefault="00E44B43"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P TypographicSymbols">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43" w:rsidRDefault="00E44B43">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43" w:rsidRDefault="00B74DD2">
    <w:pPr>
      <w:pStyle w:val="Footer"/>
      <w:rPr>
        <w:lang w:val="fr-CA"/>
      </w:rPr>
    </w:pPr>
    <w:r w:rsidRPr="00B74DD2">
      <w:rPr>
        <w:lang w:val="fr-CA"/>
      </w:rPr>
      <w:pict>
        <v:rect id="_x0000_i1061" style="width:480.95pt;height:1pt" o:hralign="center" o:hrstd="t" o:hrnoshade="t" o:hr="t" fillcolor="black [3213]" stroked="f"/>
      </w:pict>
    </w:r>
  </w:p>
  <w:p w:rsidR="00E44B43" w:rsidRDefault="00E44B43" w:rsidP="00245129">
    <w:pPr>
      <w:tabs>
        <w:tab w:val="center" w:pos="4680"/>
      </w:tabs>
    </w:pPr>
    <w:r>
      <w:tab/>
    </w:r>
    <w:r w:rsidRPr="0009648D">
      <w:t xml:space="preserve">- </w:t>
    </w:r>
    <w:fldSimple w:instr=" PAGE   \* MERGEFORMAT ">
      <w:r w:rsidR="00903D92">
        <w:rPr>
          <w:noProof/>
        </w:rPr>
        <w:t>586</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43" w:rsidRDefault="00E44B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44B43" w:rsidRDefault="00E44B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44B43" w:rsidRDefault="00E44B43">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43" w:rsidRDefault="00B74DD2" w:rsidP="00755F22">
    <w:pPr>
      <w:tabs>
        <w:tab w:val="left" w:pos="-1440"/>
        <w:tab w:val="left" w:pos="-720"/>
      </w:tabs>
    </w:pPr>
    <w:r>
      <w:pict>
        <v:rect id="_x0000_i1065" style="width:480.95pt;height:1pt" o:hralign="center" o:hrstd="t" o:hrnoshade="t" o:hr="t" fillcolor="black [3213]" stroked="f"/>
      </w:pict>
    </w:r>
  </w:p>
  <w:p w:rsidR="00E44B43" w:rsidRDefault="00E44B43" w:rsidP="00EB2B90">
    <w:pPr>
      <w:tabs>
        <w:tab w:val="center" w:pos="4680"/>
      </w:tabs>
    </w:pPr>
    <w:r>
      <w:tab/>
      <w:t xml:space="preserve">- </w:t>
    </w:r>
    <w:fldSimple w:instr=" PAGE   \* MERGEFORMAT ">
      <w:r w:rsidR="00667118">
        <w:rPr>
          <w:noProof/>
        </w:rPr>
        <w:t>602</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43" w:rsidRDefault="00B74DD2" w:rsidP="00EB2B90">
    <w:pPr>
      <w:tabs>
        <w:tab w:val="center" w:pos="4680"/>
      </w:tabs>
    </w:pPr>
    <w:r>
      <w:pict>
        <v:rect id="_x0000_i1066" style="width:480.95pt;height:1pt" o:hralign="center" o:hrstd="t" o:hrnoshade="t" o:hr="t" fillcolor="black [3213]" stroked="f"/>
      </w:pict>
    </w:r>
  </w:p>
  <w:p w:rsidR="00E44B43" w:rsidRPr="0031432F" w:rsidRDefault="00E44B43" w:rsidP="00EB2B90">
    <w:pPr>
      <w:tabs>
        <w:tab w:val="center" w:pos="4680"/>
      </w:tabs>
    </w:pPr>
    <w:r>
      <w:tab/>
      <w:t xml:space="preserve">- </w:t>
    </w:r>
    <w:fldSimple w:instr=" PAGE   \* MERGEFORMAT ">
      <w:r w:rsidR="00667118">
        <w:rPr>
          <w:noProof/>
        </w:rPr>
        <w:t>601</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43" w:rsidRDefault="00E44B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44B43" w:rsidRDefault="00E44B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44B43" w:rsidRDefault="00E44B43">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43" w:rsidRDefault="00B74DD2" w:rsidP="00732DB7">
    <w:r>
      <w:pict>
        <v:rect id="_x0000_i1068" style="width:480.95pt;height:1pt" o:hralign="center" o:hrstd="t" o:hrnoshade="t" o:hr="t" fillcolor="black" stroked="f"/>
      </w:pict>
    </w:r>
  </w:p>
  <w:p w:rsidR="00E44B43" w:rsidRDefault="00E44B43">
    <w:pPr>
      <w:tabs>
        <w:tab w:val="center" w:pos="4740"/>
      </w:tabs>
      <w:spacing w:line="0" w:lineRule="atLeast"/>
    </w:pPr>
    <w:r>
      <w:tab/>
      <w:t xml:space="preserve">- </w:t>
    </w:r>
    <w:r>
      <w:pgNum/>
    </w:r>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43" w:rsidRDefault="00B74DD2">
    <w:pPr>
      <w:pStyle w:val="Footer"/>
    </w:pPr>
    <w:r>
      <w:pict>
        <v:rect id="_x0000_i1069" style="width:480.95pt;height:1pt" o:hralign="center" o:hrstd="t" o:hrnoshade="t" o:hr="t" fillcolor="black" stroked="f"/>
      </w:pict>
    </w:r>
  </w:p>
  <w:p w:rsidR="00E44B43" w:rsidRPr="00283C52" w:rsidRDefault="00E44B43">
    <w:pPr>
      <w:pStyle w:val="Footer"/>
    </w:pPr>
    <w:r>
      <w:tab/>
    </w:r>
    <w:r w:rsidRPr="00283C52">
      <w:t xml:space="preserve">- </w:t>
    </w:r>
    <w:r w:rsidRPr="00283C52">
      <w:pgNum/>
    </w:r>
    <w:r w:rsidRPr="00283C52">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43" w:rsidRDefault="00E44B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44B43" w:rsidRDefault="00E44B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44B43" w:rsidRDefault="00E44B43">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43" w:rsidRDefault="00B74DD2" w:rsidP="00732DB7">
    <w:r>
      <w:pict>
        <v:rect id="_x0000_i1072" style="width:480.95pt;height:1pt" o:hralign="center" o:hrstd="t" o:hrnoshade="t" o:hr="t" fillcolor="black" stroked="f"/>
      </w:pict>
    </w:r>
  </w:p>
  <w:p w:rsidR="00E44B43" w:rsidRDefault="00E44B43">
    <w:pPr>
      <w:tabs>
        <w:tab w:val="center" w:pos="4740"/>
      </w:tabs>
      <w:spacing w:line="0" w:lineRule="atLeast"/>
    </w:pPr>
    <w:r>
      <w:tab/>
      <w:t xml:space="preserve">- </w:t>
    </w:r>
    <w:r>
      <w:pgNum/>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43" w:rsidRDefault="00B74DD2">
    <w:pPr>
      <w:pStyle w:val="Footer"/>
    </w:pPr>
    <w:r>
      <w:pict>
        <v:rect id="_x0000_i1073" style="width:480.95pt;height:1pt" o:hralign="center" o:hrstd="t" o:hrnoshade="t" o:hr="t" fillcolor="black [3213]" stroked="f"/>
      </w:pict>
    </w:r>
  </w:p>
  <w:p w:rsidR="00E44B43" w:rsidRPr="003C2C0F" w:rsidRDefault="00E44B43" w:rsidP="00697C62">
    <w:pPr>
      <w:tabs>
        <w:tab w:val="center" w:pos="4680"/>
      </w:tabs>
    </w:pPr>
    <w:r>
      <w:tab/>
      <w:t xml:space="preserve">- </w:t>
    </w:r>
    <w:fldSimple w:instr=" PAGE   \* MERGEFORMAT ">
      <w:r w:rsidR="00667118">
        <w:rPr>
          <w:noProof/>
        </w:rPr>
        <w:t>605</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43" w:rsidRDefault="00E44B43">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43" w:rsidRDefault="00E44B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44B43" w:rsidRDefault="00E44B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44B43" w:rsidRDefault="00E44B43">
    <w:pPr>
      <w:tabs>
        <w:tab w:val="center" w:pos="4740"/>
      </w:tabs>
    </w:pPr>
    <w:r>
      <w:tab/>
      <w:t xml:space="preserve">- </w:t>
    </w:r>
    <w:r>
      <w:pgNum/>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43" w:rsidRDefault="00E44B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44B43" w:rsidRDefault="00B74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8" style="width:480.95pt;height:1pt" o:hralign="center" o:hrstd="t" o:hrnoshade="t" o:hr="t" fillcolor="black [3213]" stroked="f"/>
      </w:pict>
    </w:r>
  </w:p>
  <w:p w:rsidR="00E44B43" w:rsidRDefault="00E44B43" w:rsidP="00782AE4">
    <w:pPr>
      <w:tabs>
        <w:tab w:val="center" w:pos="4680"/>
      </w:tabs>
    </w:pPr>
    <w:r>
      <w:tab/>
      <w:t xml:space="preserve">- </w:t>
    </w:r>
    <w:r w:rsidR="00B74DD2" w:rsidRPr="001775C1">
      <w:rPr>
        <w:szCs w:val="24"/>
      </w:rPr>
      <w:fldChar w:fldCharType="begin"/>
    </w:r>
    <w:r w:rsidRPr="001775C1">
      <w:rPr>
        <w:szCs w:val="24"/>
      </w:rPr>
      <w:instrText xml:space="preserve"> PAGE   \* MERGEFORMAT </w:instrText>
    </w:r>
    <w:r w:rsidR="00B74DD2" w:rsidRPr="001775C1">
      <w:rPr>
        <w:szCs w:val="24"/>
      </w:rPr>
      <w:fldChar w:fldCharType="separate"/>
    </w:r>
    <w:r w:rsidR="00667118">
      <w:rPr>
        <w:noProof/>
        <w:szCs w:val="24"/>
      </w:rPr>
      <w:t>615</w:t>
    </w:r>
    <w:r w:rsidR="00B74DD2" w:rsidRPr="001775C1">
      <w:rPr>
        <w:szCs w:val="24"/>
      </w:rPr>
      <w:fldChar w:fldCharType="end"/>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43" w:rsidRDefault="00B74DD2" w:rsidP="00782AE4">
    <w:pPr>
      <w:tabs>
        <w:tab w:val="center" w:pos="4680"/>
      </w:tabs>
    </w:pPr>
    <w:r>
      <w:pict>
        <v:rect id="_x0000_i1079" style="width:480.95pt;height:1pt" o:hralign="center" o:hrstd="t" o:hrnoshade="t" o:hr="t" fillcolor="black [3213]" stroked="f"/>
      </w:pict>
    </w:r>
  </w:p>
  <w:p w:rsidR="00E44B43" w:rsidRDefault="00E44B43" w:rsidP="00782AE4">
    <w:pPr>
      <w:tabs>
        <w:tab w:val="center" w:pos="4680"/>
      </w:tabs>
    </w:pPr>
    <w:r>
      <w:tab/>
      <w:t xml:space="preserve">- </w:t>
    </w:r>
    <w:r w:rsidR="00B74DD2" w:rsidRPr="001775C1">
      <w:rPr>
        <w:szCs w:val="24"/>
      </w:rPr>
      <w:fldChar w:fldCharType="begin"/>
    </w:r>
    <w:r w:rsidRPr="001775C1">
      <w:rPr>
        <w:szCs w:val="24"/>
      </w:rPr>
      <w:instrText xml:space="preserve"> PAGE   \* MERGEFORMAT </w:instrText>
    </w:r>
    <w:r w:rsidR="00B74DD2" w:rsidRPr="001775C1">
      <w:rPr>
        <w:szCs w:val="24"/>
      </w:rPr>
      <w:fldChar w:fldCharType="separate"/>
    </w:r>
    <w:r w:rsidR="00667118">
      <w:rPr>
        <w:noProof/>
        <w:szCs w:val="24"/>
      </w:rPr>
      <w:t>606</w:t>
    </w:r>
    <w:r w:rsidR="00B74DD2" w:rsidRPr="001775C1">
      <w:rPr>
        <w:szCs w:val="24"/>
      </w:rPr>
      <w:fldChar w:fldCharType="end"/>
    </w:r>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43" w:rsidRDefault="00E44B43">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E44B43" w:rsidRDefault="00E44B43">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E44B43" w:rsidRDefault="00E44B43">
    <w:pPr>
      <w:tabs>
        <w:tab w:val="center" w:pos="4740"/>
      </w:tabs>
    </w:pPr>
    <w:r>
      <w:tab/>
      <w:t xml:space="preserve">- </w:t>
    </w:r>
    <w:r>
      <w:pgNum/>
    </w:r>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43" w:rsidRDefault="00B74DD2" w:rsidP="0022323B">
    <w:r>
      <w:pict>
        <v:rect id="_x0000_i1082" style="width:480.95pt;height:1pt" o:hralign="center" o:hrstd="t" o:hrnoshade="t" o:hr="t" fillcolor="black [3213]" stroked="f"/>
      </w:pict>
    </w:r>
  </w:p>
  <w:p w:rsidR="00E44B43" w:rsidRDefault="00E44B43">
    <w:pPr>
      <w:tabs>
        <w:tab w:val="center" w:pos="4740"/>
      </w:tabs>
      <w:spacing w:line="0" w:lineRule="atLeast"/>
    </w:pPr>
    <w:r>
      <w:tab/>
      <w:t xml:space="preserve">- </w:t>
    </w:r>
    <w:fldSimple w:instr=" PAGE   \* MERGEFORMAT ">
      <w:r>
        <w:rPr>
          <w:noProof/>
        </w:rPr>
        <w:t>537</w:t>
      </w:r>
    </w:fldSimple>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43" w:rsidRDefault="00B74DD2" w:rsidP="0022323B">
    <w:r>
      <w:pict>
        <v:rect id="_x0000_i1083" style="width:480.95pt;height:1pt" o:hralign="center" o:hrstd="t" o:hrnoshade="t" o:hr="t" fillcolor="black [3213]" stroked="f"/>
      </w:pict>
    </w:r>
  </w:p>
  <w:p w:rsidR="00E44B43" w:rsidRDefault="00E44B43" w:rsidP="0022323B">
    <w:pPr>
      <w:tabs>
        <w:tab w:val="center" w:pos="4740"/>
      </w:tabs>
      <w:spacing w:line="0" w:lineRule="atLeast"/>
    </w:pPr>
    <w:r>
      <w:tab/>
      <w:t xml:space="preserve">- </w:t>
    </w:r>
    <w:fldSimple w:instr=" PAGE   \* MERGEFORMAT ">
      <w:r w:rsidR="00667118">
        <w:rPr>
          <w:noProof/>
        </w:rPr>
        <w:t>616</w:t>
      </w:r>
    </w:fldSimple>
    <w: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43" w:rsidRDefault="00B74DD2" w:rsidP="0022323B">
    <w:r>
      <w:pict>
        <v:rect id="_x0000_i1108" style="width:480.95pt;height:1pt" o:hralign="center" o:hrstd="t" o:hrnoshade="t" o:hr="t" fillcolor="black [3213]" stroked="f"/>
      </w:pict>
    </w:r>
  </w:p>
  <w:p w:rsidR="00E44B43" w:rsidRDefault="00E44B43">
    <w:pPr>
      <w:tabs>
        <w:tab w:val="center" w:pos="4740"/>
      </w:tabs>
      <w:spacing w:line="0" w:lineRule="atLeast"/>
    </w:pPr>
    <w:r>
      <w:tab/>
      <w:t xml:space="preserve">- </w:t>
    </w:r>
    <w:fldSimple w:instr=" PAGE   \* MERGEFORMAT ">
      <w:r w:rsidR="00667118">
        <w:rPr>
          <w:noProof/>
        </w:rPr>
        <w:t>640</w:t>
      </w:r>
    </w:fldSimple>
    <w:r>
      <w:t xml:space="preserve"> -</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43" w:rsidRDefault="00B74DD2" w:rsidP="0022323B">
    <w:r>
      <w:pict>
        <v:rect id="_x0000_i1109" style="width:480.95pt;height:1pt" o:hralign="center" o:hrstd="t" o:hrnoshade="t" o:hr="t" fillcolor="black [3213]" stroked="f"/>
      </w:pict>
    </w:r>
  </w:p>
  <w:p w:rsidR="00E44B43" w:rsidRDefault="00E44B43" w:rsidP="0022323B">
    <w:pPr>
      <w:tabs>
        <w:tab w:val="center" w:pos="4740"/>
      </w:tabs>
      <w:spacing w:line="0" w:lineRule="atLeast"/>
    </w:pPr>
    <w:r>
      <w:tab/>
      <w:t xml:space="preserve">- </w:t>
    </w:r>
    <w:fldSimple w:instr=" PAGE   \* MERGEFORMAT ">
      <w:r w:rsidR="00667118">
        <w:rPr>
          <w:noProof/>
        </w:rPr>
        <w:t>617</w:t>
      </w:r>
    </w:fldSimple>
    <w:r>
      <w:t xml:space="preserve"> -</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43" w:rsidRPr="00924065" w:rsidRDefault="00E44B43"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43" w:rsidRDefault="00E44B4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43" w:rsidRDefault="00B74DD2" w:rsidP="00A87207">
    <w:pPr>
      <w:pStyle w:val="Footer"/>
    </w:pPr>
    <w:r>
      <w:pict>
        <v:rect id="_x0000_i1039" style="width:480.95pt;height:1pt" o:hralign="center" o:hrstd="t" o:hrnoshade="t" o:hr="t" fillcolor="black [3213]" stroked="f"/>
      </w:pict>
    </w:r>
  </w:p>
  <w:p w:rsidR="00E44B43" w:rsidRPr="00B7374B" w:rsidRDefault="00E44B43" w:rsidP="00B7374B">
    <w:pPr>
      <w:tabs>
        <w:tab w:val="center" w:pos="4680"/>
      </w:tabs>
      <w:rPr>
        <w:szCs w:val="24"/>
      </w:rPr>
    </w:pPr>
    <w:r w:rsidRPr="00954D22">
      <w:rPr>
        <w:szCs w:val="24"/>
      </w:rPr>
      <w:tab/>
      <w:t xml:space="preserve">- </w:t>
    </w:r>
    <w:r w:rsidR="00B74DD2" w:rsidRPr="00954D22">
      <w:rPr>
        <w:szCs w:val="24"/>
      </w:rPr>
      <w:fldChar w:fldCharType="begin"/>
    </w:r>
    <w:r w:rsidRPr="00954D22">
      <w:rPr>
        <w:szCs w:val="24"/>
      </w:rPr>
      <w:instrText xml:space="preserve"> PAGE   \* MERGEFORMAT </w:instrText>
    </w:r>
    <w:r w:rsidR="00B74DD2" w:rsidRPr="00954D22">
      <w:rPr>
        <w:szCs w:val="24"/>
      </w:rPr>
      <w:fldChar w:fldCharType="separate"/>
    </w:r>
    <w:r w:rsidR="00903D92">
      <w:rPr>
        <w:noProof/>
        <w:szCs w:val="24"/>
      </w:rPr>
      <w:t>584</w:t>
    </w:r>
    <w:r w:rsidR="00B74DD2"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43" w:rsidRDefault="00B74DD2" w:rsidP="00755F22">
    <w:pPr>
      <w:tabs>
        <w:tab w:val="left" w:pos="-1440"/>
        <w:tab w:val="left" w:pos="-720"/>
      </w:tabs>
    </w:pPr>
    <w:r>
      <w:pict>
        <v:rect id="_x0000_i1040" style="width:480.95pt;height:1pt" o:hralign="center" o:hrstd="t" o:hrnoshade="t" o:hr="t" fillcolor="black [3213]" stroked="f"/>
      </w:pict>
    </w:r>
  </w:p>
  <w:p w:rsidR="00E44B43" w:rsidRPr="00954D22" w:rsidRDefault="00E44B43" w:rsidP="00B7374B">
    <w:pPr>
      <w:tabs>
        <w:tab w:val="center" w:pos="4680"/>
      </w:tabs>
      <w:rPr>
        <w:szCs w:val="24"/>
      </w:rPr>
    </w:pPr>
    <w:r w:rsidRPr="00954D22">
      <w:rPr>
        <w:szCs w:val="24"/>
      </w:rPr>
      <w:tab/>
      <w:t xml:space="preserve">- </w:t>
    </w:r>
    <w:r w:rsidR="00B74DD2">
      <w:rPr>
        <w:szCs w:val="24"/>
      </w:rPr>
      <w:fldChar w:fldCharType="begin"/>
    </w:r>
    <w:r>
      <w:rPr>
        <w:szCs w:val="24"/>
      </w:rPr>
      <w:instrText xml:space="preserve"> PAGE   \* MERGEFORMAT </w:instrText>
    </w:r>
    <w:r w:rsidR="00B74DD2">
      <w:rPr>
        <w:szCs w:val="24"/>
      </w:rPr>
      <w:fldChar w:fldCharType="separate"/>
    </w:r>
    <w:r w:rsidR="00903D92">
      <w:rPr>
        <w:noProof/>
        <w:szCs w:val="24"/>
      </w:rPr>
      <w:t>583</w:t>
    </w:r>
    <w:r w:rsidR="00B74DD2">
      <w:rPr>
        <w:szCs w:val="24"/>
      </w:rPr>
      <w:fldChar w:fldCharType="end"/>
    </w:r>
    <w:r w:rsidRPr="00954D22">
      <w:rPr>
        <w:szCs w:val="24"/>
      </w:rPr>
      <w:t xml:space="preserve"> -</w:t>
    </w:r>
  </w:p>
  <w:p w:rsidR="00E44B43" w:rsidRDefault="00E44B43">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43" w:rsidRDefault="00B74DD2" w:rsidP="00A87207">
    <w:pPr>
      <w:pStyle w:val="Footer"/>
    </w:pPr>
    <w:r>
      <w:pict>
        <v:rect id="_x0000_i1042" style="width:480.95pt;height:1pt" o:hralign="center" o:hrstd="t" o:hrnoshade="t" o:hr="t" fillcolor="black [3213]" stroked="f"/>
      </w:pict>
    </w:r>
  </w:p>
  <w:p w:rsidR="00E44B43" w:rsidRPr="00B7374B" w:rsidRDefault="00E44B43" w:rsidP="00B7374B">
    <w:pPr>
      <w:tabs>
        <w:tab w:val="center" w:pos="4680"/>
      </w:tabs>
      <w:rPr>
        <w:szCs w:val="24"/>
      </w:rPr>
    </w:pPr>
    <w:r w:rsidRPr="00954D22">
      <w:rPr>
        <w:szCs w:val="24"/>
      </w:rPr>
      <w:tab/>
      <w:t xml:space="preserve">- </w:t>
    </w:r>
    <w:r w:rsidR="00B74DD2" w:rsidRPr="00954D22">
      <w:rPr>
        <w:szCs w:val="24"/>
      </w:rPr>
      <w:fldChar w:fldCharType="begin"/>
    </w:r>
    <w:r w:rsidRPr="00954D22">
      <w:rPr>
        <w:szCs w:val="24"/>
      </w:rPr>
      <w:instrText xml:space="preserve"> PAGE   \* MERGEFORMAT </w:instrText>
    </w:r>
    <w:r w:rsidR="00B74DD2" w:rsidRPr="00954D22">
      <w:rPr>
        <w:szCs w:val="24"/>
      </w:rPr>
      <w:fldChar w:fldCharType="separate"/>
    </w:r>
    <w:r>
      <w:rPr>
        <w:noProof/>
        <w:szCs w:val="24"/>
      </w:rPr>
      <w:t>586</w:t>
    </w:r>
    <w:r w:rsidR="00B74DD2"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43" w:rsidRDefault="00B74DD2"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3" style="width:480.95pt;height:1pt" o:hralign="center" o:hrstd="t" o:hrnoshade="t" o:hr="t" fillcolor="black [3213]" stroked="f"/>
      </w:pict>
    </w:r>
  </w:p>
  <w:p w:rsidR="00E44B43" w:rsidRPr="00954D22" w:rsidRDefault="00E44B43" w:rsidP="00B7374B">
    <w:pPr>
      <w:tabs>
        <w:tab w:val="center" w:pos="4680"/>
      </w:tabs>
      <w:rPr>
        <w:szCs w:val="24"/>
      </w:rPr>
    </w:pPr>
    <w:r w:rsidRPr="00954D22">
      <w:rPr>
        <w:szCs w:val="24"/>
      </w:rPr>
      <w:tab/>
      <w:t xml:space="preserve">- </w:t>
    </w:r>
    <w:r w:rsidR="00B74DD2" w:rsidRPr="00954D22">
      <w:rPr>
        <w:szCs w:val="24"/>
      </w:rPr>
      <w:fldChar w:fldCharType="begin"/>
    </w:r>
    <w:r w:rsidRPr="00954D22">
      <w:rPr>
        <w:szCs w:val="24"/>
      </w:rPr>
      <w:instrText xml:space="preserve"> PAGE   \* MERGEFORMAT </w:instrText>
    </w:r>
    <w:r w:rsidR="00B74DD2" w:rsidRPr="00954D22">
      <w:rPr>
        <w:szCs w:val="24"/>
      </w:rPr>
      <w:fldChar w:fldCharType="separate"/>
    </w:r>
    <w:r w:rsidR="00903D92">
      <w:rPr>
        <w:noProof/>
        <w:szCs w:val="24"/>
      </w:rPr>
      <w:t>585</w:t>
    </w:r>
    <w:r w:rsidR="00B74DD2"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43" w:rsidRDefault="00E44B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E44B43" w:rsidRDefault="00E44B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44B43" w:rsidRDefault="00E44B43">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43" w:rsidRDefault="00B74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74DD2">
      <w:rPr>
        <w:lang w:val="fr-CA"/>
      </w:rPr>
      <w:pict>
        <v:rect id="_x0000_i1060" style="width:480.95pt;height:1pt" o:hralign="center" o:hrstd="t" o:hrnoshade="t" o:hr="t" fillcolor="black [3213]" stroked="f"/>
      </w:pict>
    </w:r>
  </w:p>
  <w:p w:rsidR="00E44B43" w:rsidRPr="0009648D" w:rsidRDefault="00E44B43" w:rsidP="00ED7E83">
    <w:pPr>
      <w:tabs>
        <w:tab w:val="center" w:pos="4680"/>
      </w:tabs>
    </w:pPr>
    <w:r>
      <w:tab/>
    </w:r>
    <w:r w:rsidRPr="0009648D">
      <w:t xml:space="preserve">- </w:t>
    </w:r>
    <w:fldSimple w:instr=" PAGE   \* MERGEFORMAT ">
      <w:r w:rsidR="00903D92">
        <w:rPr>
          <w:noProof/>
        </w:rPr>
        <w:t>595</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B43" w:rsidRDefault="00E44B43" w:rsidP="00A87207">
      <w:r>
        <w:separator/>
      </w:r>
    </w:p>
  </w:footnote>
  <w:footnote w:type="continuationSeparator" w:id="0">
    <w:p w:rsidR="00E44B43" w:rsidRDefault="00E44B43"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43" w:rsidRDefault="00E44B43">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43" w:rsidRDefault="00E44B43">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E44B43">
      <w:tc>
        <w:tcPr>
          <w:tcW w:w="4230" w:type="dxa"/>
          <w:tcMar>
            <w:left w:w="0" w:type="dxa"/>
            <w:right w:w="0" w:type="dxa"/>
          </w:tcMar>
        </w:tcPr>
        <w:p w:rsidR="00E44B43" w:rsidRDefault="00E44B4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E44B43" w:rsidRDefault="00E44B4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44B43" w:rsidRDefault="00E44B4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E44B43">
      <w:trPr>
        <w:gridAfter w:val="2"/>
        <w:wAfter w:w="5250" w:type="dxa"/>
      </w:trPr>
      <w:tc>
        <w:tcPr>
          <w:tcW w:w="4230" w:type="dxa"/>
          <w:tcMar>
            <w:left w:w="0" w:type="dxa"/>
            <w:right w:w="0" w:type="dxa"/>
          </w:tcMar>
        </w:tcPr>
        <w:p w:rsidR="00E44B43" w:rsidRDefault="00E44B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44B43" w:rsidRDefault="00E44B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E44B43" w:rsidRPr="00755F22" w:rsidTr="00245129">
      <w:tc>
        <w:tcPr>
          <w:tcW w:w="4230" w:type="dxa"/>
          <w:tcMar>
            <w:left w:w="0" w:type="dxa"/>
            <w:right w:w="0" w:type="dxa"/>
          </w:tcMar>
        </w:tcPr>
        <w:p w:rsidR="00E44B43" w:rsidRPr="00755F22" w:rsidRDefault="00E44B43" w:rsidP="00831CA9">
          <w:pPr>
            <w:keepNext/>
            <w:keepLines/>
            <w:rPr>
              <w:sz w:val="20"/>
              <w:szCs w:val="20"/>
            </w:rPr>
          </w:pPr>
          <w:r w:rsidRPr="00755F22">
            <w:rPr>
              <w:sz w:val="20"/>
              <w:szCs w:val="20"/>
            </w:rPr>
            <w:t>MOTIONS</w:t>
          </w:r>
        </w:p>
      </w:tc>
      <w:tc>
        <w:tcPr>
          <w:tcW w:w="1170" w:type="dxa"/>
          <w:tcMar>
            <w:left w:w="0" w:type="dxa"/>
            <w:right w:w="0" w:type="dxa"/>
          </w:tcMar>
        </w:tcPr>
        <w:p w:rsidR="00E44B43" w:rsidRPr="00755F22" w:rsidRDefault="00E44B43" w:rsidP="00831CA9">
          <w:pPr>
            <w:keepLines/>
            <w:jc w:val="center"/>
            <w:rPr>
              <w:sz w:val="20"/>
              <w:szCs w:val="20"/>
            </w:rPr>
          </w:pPr>
        </w:p>
        <w:p w:rsidR="00E44B43" w:rsidRPr="00755F22" w:rsidRDefault="00E44B43" w:rsidP="00831CA9">
          <w:pPr>
            <w:keepLines/>
            <w:tabs>
              <w:tab w:val="left" w:pos="-1440"/>
              <w:tab w:val="left" w:pos="-720"/>
            </w:tabs>
            <w:jc w:val="center"/>
            <w:rPr>
              <w:sz w:val="20"/>
              <w:szCs w:val="20"/>
            </w:rPr>
          </w:pPr>
        </w:p>
      </w:tc>
      <w:tc>
        <w:tcPr>
          <w:tcW w:w="4080" w:type="dxa"/>
          <w:tcMar>
            <w:left w:w="0" w:type="dxa"/>
            <w:right w:w="0" w:type="dxa"/>
          </w:tcMar>
        </w:tcPr>
        <w:p w:rsidR="00E44B43" w:rsidRPr="00BA6468" w:rsidRDefault="00E44B43" w:rsidP="00BA6468">
          <w:pPr>
            <w:keepLines/>
            <w:rPr>
              <w:sz w:val="20"/>
              <w:szCs w:val="20"/>
              <w:lang w:val="fr-CA"/>
            </w:rPr>
          </w:pPr>
          <w:r w:rsidRPr="00BA6468">
            <w:rPr>
              <w:sz w:val="20"/>
              <w:szCs w:val="20"/>
              <w:lang w:val="fr-CA"/>
            </w:rPr>
            <w:t>REQUÊTES</w:t>
          </w:r>
        </w:p>
      </w:tc>
    </w:tr>
  </w:tbl>
  <w:p w:rsidR="00E44B43" w:rsidRDefault="00E44B43"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43" w:rsidRDefault="00E44B43">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E44B43" w:rsidRPr="00C4248C">
      <w:tc>
        <w:tcPr>
          <w:tcW w:w="4200" w:type="dxa"/>
          <w:tcMar>
            <w:left w:w="0" w:type="dxa"/>
            <w:right w:w="0" w:type="dxa"/>
          </w:tcMar>
        </w:tcPr>
        <w:p w:rsidR="00E44B43" w:rsidRDefault="00E44B4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E44B43" w:rsidRDefault="00E44B4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44B43" w:rsidRPr="00283C52" w:rsidRDefault="00E44B4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E44B43" w:rsidRPr="00283C52" w:rsidRDefault="00E44B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E44B43" w:rsidRPr="00283C52" w:rsidRDefault="00E44B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E44B43" w:rsidRPr="00C4248C" w:rsidTr="00245129">
      <w:tc>
        <w:tcPr>
          <w:tcW w:w="4200" w:type="dxa"/>
          <w:tcMar>
            <w:left w:w="0" w:type="dxa"/>
            <w:right w:w="0" w:type="dxa"/>
          </w:tcMar>
        </w:tcPr>
        <w:p w:rsidR="00E44B43" w:rsidRPr="00732DB7" w:rsidRDefault="00E44B43"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E44B43" w:rsidRPr="00732DB7" w:rsidRDefault="00E44B43" w:rsidP="00732DB7">
          <w:pPr>
            <w:keepNext/>
            <w:keepLines/>
            <w:tabs>
              <w:tab w:val="left" w:pos="-1440"/>
              <w:tab w:val="left" w:pos="-720"/>
            </w:tabs>
            <w:jc w:val="center"/>
            <w:rPr>
              <w:sz w:val="20"/>
              <w:szCs w:val="20"/>
            </w:rPr>
          </w:pPr>
        </w:p>
        <w:p w:rsidR="00E44B43" w:rsidRPr="00732DB7" w:rsidRDefault="00E44B43" w:rsidP="00732DB7">
          <w:pPr>
            <w:keepNext/>
            <w:keepLines/>
            <w:tabs>
              <w:tab w:val="left" w:pos="-1440"/>
              <w:tab w:val="left" w:pos="-720"/>
            </w:tabs>
            <w:jc w:val="center"/>
            <w:rPr>
              <w:sz w:val="20"/>
              <w:szCs w:val="20"/>
            </w:rPr>
          </w:pPr>
        </w:p>
        <w:p w:rsidR="00E44B43" w:rsidRPr="00732DB7" w:rsidRDefault="00E44B43" w:rsidP="00732DB7">
          <w:pPr>
            <w:keepNext/>
            <w:keepLines/>
            <w:tabs>
              <w:tab w:val="left" w:pos="-1440"/>
              <w:tab w:val="left" w:pos="-720"/>
            </w:tabs>
            <w:jc w:val="center"/>
            <w:rPr>
              <w:sz w:val="20"/>
              <w:szCs w:val="20"/>
            </w:rPr>
          </w:pPr>
        </w:p>
      </w:tc>
      <w:tc>
        <w:tcPr>
          <w:tcW w:w="4080" w:type="dxa"/>
          <w:tcMar>
            <w:left w:w="0" w:type="dxa"/>
            <w:right w:w="0" w:type="dxa"/>
          </w:tcMar>
        </w:tcPr>
        <w:p w:rsidR="00E44B43" w:rsidRPr="00732DB7" w:rsidRDefault="00E44B43"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E44B43" w:rsidRPr="00283C52" w:rsidRDefault="00E44B43"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43" w:rsidRDefault="00E44B43">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E44B43" w:rsidRPr="00C4248C">
      <w:tc>
        <w:tcPr>
          <w:tcW w:w="4200" w:type="dxa"/>
          <w:tcMar>
            <w:left w:w="0" w:type="dxa"/>
            <w:right w:w="0" w:type="dxa"/>
          </w:tcMar>
        </w:tcPr>
        <w:p w:rsidR="00E44B43" w:rsidRDefault="00E44B4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E44B43" w:rsidRDefault="00E44B4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E44B43" w:rsidRDefault="00E44B4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E44B43" w:rsidRPr="003C2C0F" w:rsidRDefault="00E44B4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E44B43" w:rsidRPr="003C2C0F" w:rsidRDefault="00E44B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E44B43" w:rsidRPr="003C2C0F" w:rsidRDefault="00E44B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E44B43" w:rsidRPr="00C4248C" w:rsidTr="00245129">
      <w:tc>
        <w:tcPr>
          <w:tcW w:w="4200" w:type="dxa"/>
          <w:tcMar>
            <w:left w:w="0" w:type="dxa"/>
            <w:right w:w="0" w:type="dxa"/>
          </w:tcMar>
        </w:tcPr>
        <w:p w:rsidR="00E44B43" w:rsidRPr="00FF6EEC" w:rsidRDefault="00E44B43" w:rsidP="00FF6EEC">
          <w:pPr>
            <w:rPr>
              <w:sz w:val="20"/>
              <w:szCs w:val="20"/>
            </w:rPr>
          </w:pPr>
          <w:r w:rsidRPr="00FF6EEC">
            <w:rPr>
              <w:sz w:val="20"/>
              <w:szCs w:val="20"/>
            </w:rPr>
            <w:t>PRONOUNCEMENTS OF APPEALS RESERVED</w:t>
          </w:r>
        </w:p>
      </w:tc>
      <w:tc>
        <w:tcPr>
          <w:tcW w:w="1200" w:type="dxa"/>
          <w:tcMar>
            <w:left w:w="0" w:type="dxa"/>
            <w:right w:w="0" w:type="dxa"/>
          </w:tcMar>
        </w:tcPr>
        <w:p w:rsidR="00E44B43" w:rsidRPr="00FF6EEC" w:rsidRDefault="00E44B43" w:rsidP="00FF6EEC">
          <w:pPr>
            <w:jc w:val="center"/>
            <w:rPr>
              <w:sz w:val="20"/>
              <w:szCs w:val="20"/>
            </w:rPr>
          </w:pPr>
        </w:p>
        <w:p w:rsidR="00E44B43" w:rsidRPr="00FF6EEC" w:rsidRDefault="00E44B43" w:rsidP="00FF6EEC">
          <w:pPr>
            <w:jc w:val="center"/>
            <w:rPr>
              <w:sz w:val="20"/>
              <w:szCs w:val="20"/>
            </w:rPr>
          </w:pPr>
        </w:p>
        <w:p w:rsidR="00E44B43" w:rsidRPr="00FF6EEC" w:rsidRDefault="00E44B43" w:rsidP="00FF6EEC">
          <w:pPr>
            <w:jc w:val="center"/>
            <w:rPr>
              <w:sz w:val="20"/>
              <w:szCs w:val="20"/>
            </w:rPr>
          </w:pPr>
        </w:p>
      </w:tc>
      <w:tc>
        <w:tcPr>
          <w:tcW w:w="4080" w:type="dxa"/>
          <w:tcMar>
            <w:left w:w="0" w:type="dxa"/>
            <w:right w:w="0" w:type="dxa"/>
          </w:tcMar>
        </w:tcPr>
        <w:p w:rsidR="00E44B43" w:rsidRPr="00FF6EEC" w:rsidRDefault="00E44B43" w:rsidP="00FF6EEC">
          <w:pPr>
            <w:rPr>
              <w:sz w:val="20"/>
              <w:szCs w:val="20"/>
              <w:lang w:val="fr-CA"/>
            </w:rPr>
          </w:pPr>
          <w:r w:rsidRPr="00FF6EEC">
            <w:rPr>
              <w:sz w:val="20"/>
              <w:szCs w:val="20"/>
              <w:lang w:val="fr-CA"/>
            </w:rPr>
            <w:t>JUGEMENTS RENDUS SUR LES APPELS EN DÉLIBÉRÉ</w:t>
          </w:r>
        </w:p>
      </w:tc>
    </w:tr>
  </w:tbl>
  <w:p w:rsidR="00E44B43" w:rsidRPr="003C2C0F" w:rsidRDefault="00E44B43"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43" w:rsidRDefault="00E44B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43" w:rsidRDefault="00E44B43">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E44B43">
      <w:tc>
        <w:tcPr>
          <w:tcW w:w="4230" w:type="dxa"/>
          <w:tcMar>
            <w:left w:w="0" w:type="dxa"/>
            <w:right w:w="0" w:type="dxa"/>
          </w:tcMar>
        </w:tcPr>
        <w:p w:rsidR="00E44B43" w:rsidRDefault="00E44B4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E44B43" w:rsidRDefault="00E44B4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E44B43" w:rsidRDefault="00E44B4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E44B43" w:rsidRDefault="00E44B4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44B43" w:rsidRDefault="00E44B4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E44B43" w:rsidRDefault="00E44B4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E44B43" w:rsidRDefault="00E44B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44B43" w:rsidRDefault="00E44B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E44B43" w:rsidRPr="00782AE4" w:rsidTr="00245129">
      <w:tc>
        <w:tcPr>
          <w:tcW w:w="4230" w:type="dxa"/>
          <w:tcMar>
            <w:left w:w="0" w:type="dxa"/>
            <w:right w:w="0" w:type="dxa"/>
          </w:tcMar>
        </w:tcPr>
        <w:p w:rsidR="00E44B43" w:rsidRPr="00782AE4" w:rsidRDefault="00E44B43" w:rsidP="00102926">
          <w:pPr>
            <w:keepNext/>
            <w:keepLines/>
            <w:tabs>
              <w:tab w:val="left" w:pos="-1440"/>
              <w:tab w:val="left" w:pos="-720"/>
            </w:tabs>
            <w:rPr>
              <w:sz w:val="20"/>
              <w:szCs w:val="20"/>
            </w:rPr>
          </w:pPr>
          <w:r w:rsidRPr="00782AE4">
            <w:rPr>
              <w:sz w:val="20"/>
              <w:szCs w:val="20"/>
            </w:rPr>
            <w:t xml:space="preserve">HEADNOTES OF RECENT </w:t>
          </w:r>
        </w:p>
        <w:p w:rsidR="00E44B43" w:rsidRPr="00782AE4" w:rsidRDefault="00E44B4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E44B43" w:rsidRDefault="00E44B43" w:rsidP="00102926">
          <w:pPr>
            <w:keepNext/>
            <w:keepLines/>
            <w:tabs>
              <w:tab w:val="left" w:pos="-1440"/>
              <w:tab w:val="left" w:pos="-720"/>
            </w:tabs>
            <w:jc w:val="center"/>
            <w:rPr>
              <w:sz w:val="20"/>
              <w:szCs w:val="20"/>
            </w:rPr>
          </w:pPr>
        </w:p>
        <w:p w:rsidR="00E44B43" w:rsidRDefault="00E44B43" w:rsidP="00102926">
          <w:pPr>
            <w:keepNext/>
            <w:keepLines/>
            <w:tabs>
              <w:tab w:val="left" w:pos="-1440"/>
              <w:tab w:val="left" w:pos="-720"/>
            </w:tabs>
            <w:jc w:val="center"/>
            <w:rPr>
              <w:sz w:val="20"/>
              <w:szCs w:val="20"/>
            </w:rPr>
          </w:pPr>
        </w:p>
        <w:p w:rsidR="00E44B43" w:rsidRPr="00782AE4" w:rsidRDefault="00E44B43" w:rsidP="00102926">
          <w:pPr>
            <w:keepNext/>
            <w:keepLines/>
            <w:tabs>
              <w:tab w:val="left" w:pos="-1440"/>
              <w:tab w:val="left" w:pos="-720"/>
            </w:tabs>
            <w:jc w:val="center"/>
            <w:rPr>
              <w:sz w:val="20"/>
              <w:szCs w:val="20"/>
            </w:rPr>
          </w:pPr>
        </w:p>
      </w:tc>
      <w:tc>
        <w:tcPr>
          <w:tcW w:w="4080" w:type="dxa"/>
          <w:tcMar>
            <w:left w:w="0" w:type="dxa"/>
            <w:right w:w="0" w:type="dxa"/>
          </w:tcMar>
        </w:tcPr>
        <w:p w:rsidR="00E44B43" w:rsidRPr="00102926" w:rsidRDefault="00E44B4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E44B43" w:rsidRPr="00782AE4" w:rsidRDefault="00E44B43" w:rsidP="00102926">
          <w:pPr>
            <w:keepLines/>
            <w:tabs>
              <w:tab w:val="left" w:pos="-1440"/>
              <w:tab w:val="left" w:pos="-720"/>
            </w:tabs>
            <w:rPr>
              <w:sz w:val="20"/>
              <w:szCs w:val="20"/>
            </w:rPr>
          </w:pPr>
          <w:r w:rsidRPr="00102926">
            <w:rPr>
              <w:sz w:val="20"/>
              <w:szCs w:val="20"/>
              <w:lang w:val="fr-CA"/>
            </w:rPr>
            <w:t>RÉCENTS</w:t>
          </w:r>
        </w:p>
      </w:tc>
    </w:tr>
  </w:tbl>
  <w:p w:rsidR="00E44B43" w:rsidRDefault="00E44B43"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43" w:rsidRDefault="00E44B43">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E44B43">
      <w:tc>
        <w:tcPr>
          <w:tcW w:w="4200" w:type="dxa"/>
          <w:tcMar>
            <w:left w:w="0" w:type="dxa"/>
            <w:right w:w="0" w:type="dxa"/>
          </w:tcMar>
        </w:tcPr>
        <w:p w:rsidR="00E44B43" w:rsidRDefault="00E44B43">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E44B43" w:rsidRDefault="00E44B43">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E44B43" w:rsidRDefault="00E44B43">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E44B43" w:rsidRDefault="00E44B43">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E44B43" w:rsidRDefault="00E44B43">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E44B43" w:rsidRDefault="00E44B43">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E44B43" w:rsidRPr="00C50A5C" w:rsidTr="00245129">
      <w:tc>
        <w:tcPr>
          <w:tcW w:w="4200" w:type="dxa"/>
          <w:tcMar>
            <w:left w:w="0" w:type="dxa"/>
            <w:right w:w="0" w:type="dxa"/>
          </w:tcMar>
        </w:tcPr>
        <w:p w:rsidR="00E44B43" w:rsidRPr="00C50A5C" w:rsidRDefault="00E44B43"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E44B43" w:rsidRPr="00C50A5C" w:rsidRDefault="00E44B43"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E44B43" w:rsidRPr="00C50A5C" w:rsidRDefault="00E44B43"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E44B43" w:rsidRPr="00C50A5C" w:rsidRDefault="00E44B43"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E44B43" w:rsidRDefault="00E44B43"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43" w:rsidRDefault="00E44B43">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E44B43" w:rsidRPr="005F263E" w:rsidTr="00245129">
      <w:tc>
        <w:tcPr>
          <w:tcW w:w="4200" w:type="dxa"/>
          <w:tcMar>
            <w:left w:w="0" w:type="dxa"/>
            <w:right w:w="0" w:type="dxa"/>
          </w:tcMar>
        </w:tcPr>
        <w:p w:rsidR="00E44B43" w:rsidRPr="005F263E" w:rsidRDefault="00E44B43"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E44B43" w:rsidRPr="005F263E" w:rsidRDefault="00E44B43" w:rsidP="00245129">
          <w:pPr>
            <w:keepNext/>
            <w:keepLines/>
            <w:tabs>
              <w:tab w:val="left" w:pos="-1440"/>
              <w:tab w:val="left" w:pos="-720"/>
            </w:tabs>
            <w:jc w:val="center"/>
            <w:rPr>
              <w:sz w:val="20"/>
              <w:szCs w:val="20"/>
            </w:rPr>
          </w:pPr>
        </w:p>
        <w:p w:rsidR="00E44B43" w:rsidRPr="005F263E" w:rsidRDefault="00E44B43" w:rsidP="00245129">
          <w:pPr>
            <w:keepNext/>
            <w:keepLines/>
            <w:tabs>
              <w:tab w:val="left" w:pos="-1440"/>
              <w:tab w:val="left" w:pos="-720"/>
            </w:tabs>
            <w:jc w:val="center"/>
            <w:rPr>
              <w:sz w:val="20"/>
              <w:szCs w:val="20"/>
            </w:rPr>
          </w:pPr>
        </w:p>
      </w:tc>
      <w:tc>
        <w:tcPr>
          <w:tcW w:w="4080" w:type="dxa"/>
          <w:tcMar>
            <w:left w:w="0" w:type="dxa"/>
            <w:right w:w="0" w:type="dxa"/>
          </w:tcMar>
        </w:tcPr>
        <w:p w:rsidR="00E44B43" w:rsidRPr="005F263E" w:rsidRDefault="00E44B43" w:rsidP="00245129">
          <w:pPr>
            <w:keepLines/>
            <w:tabs>
              <w:tab w:val="left" w:pos="-1440"/>
              <w:tab w:val="left" w:pos="-720"/>
            </w:tabs>
            <w:rPr>
              <w:sz w:val="20"/>
              <w:szCs w:val="20"/>
            </w:rPr>
          </w:pPr>
          <w:r w:rsidRPr="005F263E">
            <w:rPr>
              <w:sz w:val="20"/>
              <w:szCs w:val="20"/>
            </w:rPr>
            <w:t>RÉSUMÉS DES AFFAIRES</w:t>
          </w:r>
        </w:p>
      </w:tc>
    </w:tr>
  </w:tbl>
  <w:p w:rsidR="00E44B43" w:rsidRDefault="00E44B43" w:rsidP="005F263E"/>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43" w:rsidRDefault="00E44B43">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43" w:rsidRDefault="00E44B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43" w:rsidRDefault="00E44B4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E44B43" w:rsidRPr="0044776A" w:rsidTr="00245129">
      <w:tc>
        <w:tcPr>
          <w:tcW w:w="4290" w:type="dxa"/>
          <w:tcMar>
            <w:left w:w="0" w:type="dxa"/>
            <w:right w:w="0" w:type="dxa"/>
          </w:tcMar>
        </w:tcPr>
        <w:p w:rsidR="00E44B43" w:rsidRPr="0044776A" w:rsidRDefault="00E44B43"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E44B43" w:rsidRPr="0044776A" w:rsidRDefault="00E44B43" w:rsidP="002E2327">
          <w:pPr>
            <w:keepNext/>
            <w:keepLines/>
            <w:tabs>
              <w:tab w:val="left" w:pos="-1440"/>
              <w:tab w:val="left" w:pos="-720"/>
            </w:tabs>
            <w:jc w:val="center"/>
            <w:rPr>
              <w:sz w:val="20"/>
              <w:szCs w:val="20"/>
            </w:rPr>
          </w:pPr>
        </w:p>
        <w:p w:rsidR="00E44B43" w:rsidRPr="0044776A" w:rsidRDefault="00E44B43" w:rsidP="002E2327">
          <w:pPr>
            <w:keepNext/>
            <w:keepLines/>
            <w:tabs>
              <w:tab w:val="left" w:pos="-1440"/>
              <w:tab w:val="left" w:pos="-720"/>
            </w:tabs>
            <w:jc w:val="center"/>
            <w:rPr>
              <w:sz w:val="20"/>
              <w:szCs w:val="20"/>
            </w:rPr>
          </w:pPr>
        </w:p>
        <w:p w:rsidR="00E44B43" w:rsidRPr="0044776A" w:rsidRDefault="00E44B43" w:rsidP="002E2327">
          <w:pPr>
            <w:keepNext/>
            <w:keepLines/>
            <w:tabs>
              <w:tab w:val="left" w:pos="-1440"/>
              <w:tab w:val="left" w:pos="-720"/>
            </w:tabs>
            <w:jc w:val="center"/>
            <w:rPr>
              <w:sz w:val="20"/>
              <w:szCs w:val="20"/>
            </w:rPr>
          </w:pPr>
        </w:p>
      </w:tc>
      <w:tc>
        <w:tcPr>
          <w:tcW w:w="4320" w:type="dxa"/>
          <w:tcMar>
            <w:left w:w="0" w:type="dxa"/>
            <w:right w:w="0" w:type="dxa"/>
          </w:tcMar>
        </w:tcPr>
        <w:p w:rsidR="00E44B43" w:rsidRPr="0044776A" w:rsidRDefault="00E44B43" w:rsidP="002E2327">
          <w:pPr>
            <w:keepLines/>
            <w:rPr>
              <w:sz w:val="20"/>
              <w:szCs w:val="20"/>
              <w:lang w:val="fr-CA"/>
            </w:rPr>
          </w:pPr>
          <w:r w:rsidRPr="0044776A">
            <w:rPr>
              <w:sz w:val="20"/>
              <w:szCs w:val="20"/>
              <w:lang w:val="fr-CA"/>
            </w:rPr>
            <w:t>DEMANDES D'AUTORISATION D'APPEL DÉPOSÉES</w:t>
          </w:r>
        </w:p>
      </w:tc>
    </w:tr>
  </w:tbl>
  <w:p w:rsidR="00E44B43" w:rsidRDefault="00E44B4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43" w:rsidRDefault="00E44B4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E44B43" w:rsidRPr="00C4248C" w:rsidTr="00245129">
      <w:tc>
        <w:tcPr>
          <w:tcW w:w="4200" w:type="dxa"/>
          <w:tcMar>
            <w:left w:w="0" w:type="dxa"/>
            <w:right w:w="0" w:type="dxa"/>
          </w:tcMar>
        </w:tcPr>
        <w:p w:rsidR="00E44B43" w:rsidRPr="0044776A" w:rsidRDefault="00E44B43" w:rsidP="0044776A">
          <w:pPr>
            <w:keepNext/>
            <w:keepLines/>
            <w:widowControl w:val="0"/>
            <w:rPr>
              <w:sz w:val="20"/>
              <w:szCs w:val="20"/>
            </w:rPr>
          </w:pPr>
          <w:r>
            <w:rPr>
              <w:sz w:val="20"/>
              <w:szCs w:val="20"/>
            </w:rPr>
            <w:t>APPLICATIONS FOR LEAVE</w:t>
          </w:r>
        </w:p>
        <w:p w:rsidR="00E44B43" w:rsidRPr="0044776A" w:rsidRDefault="00E44B43"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E44B43" w:rsidRPr="0044776A" w:rsidRDefault="00E44B43" w:rsidP="0044776A">
          <w:pPr>
            <w:keepNext/>
            <w:keepLines/>
            <w:widowControl w:val="0"/>
            <w:jc w:val="center"/>
            <w:rPr>
              <w:sz w:val="20"/>
              <w:szCs w:val="20"/>
            </w:rPr>
          </w:pPr>
        </w:p>
        <w:p w:rsidR="00E44B43" w:rsidRPr="0044776A" w:rsidRDefault="00E44B43" w:rsidP="0044776A">
          <w:pPr>
            <w:keepNext/>
            <w:keepLines/>
            <w:widowControl w:val="0"/>
            <w:jc w:val="center"/>
            <w:rPr>
              <w:sz w:val="20"/>
              <w:szCs w:val="20"/>
            </w:rPr>
          </w:pPr>
        </w:p>
        <w:p w:rsidR="00E44B43" w:rsidRPr="0044776A" w:rsidRDefault="00E44B43" w:rsidP="0044776A">
          <w:pPr>
            <w:keepNext/>
            <w:keepLines/>
            <w:widowControl w:val="0"/>
            <w:jc w:val="center"/>
            <w:rPr>
              <w:sz w:val="20"/>
              <w:szCs w:val="20"/>
            </w:rPr>
          </w:pPr>
        </w:p>
      </w:tc>
      <w:tc>
        <w:tcPr>
          <w:tcW w:w="4080" w:type="dxa"/>
          <w:tcMar>
            <w:left w:w="0" w:type="dxa"/>
            <w:right w:w="0" w:type="dxa"/>
          </w:tcMar>
        </w:tcPr>
        <w:p w:rsidR="00E44B43" w:rsidRPr="0044776A" w:rsidRDefault="00E44B43" w:rsidP="0044776A">
          <w:pPr>
            <w:keepLines/>
            <w:widowControl w:val="0"/>
            <w:rPr>
              <w:sz w:val="20"/>
              <w:szCs w:val="20"/>
              <w:lang w:val="fr-CA"/>
            </w:rPr>
          </w:pPr>
          <w:r w:rsidRPr="0044776A">
            <w:rPr>
              <w:sz w:val="20"/>
              <w:szCs w:val="20"/>
              <w:lang w:val="fr-CA"/>
            </w:rPr>
            <w:t>DEMANDES SOUMISES À LA COUR DEPUIS LA DERNIÈRE PARUTION</w:t>
          </w:r>
        </w:p>
        <w:p w:rsidR="00E44B43" w:rsidRPr="0044776A" w:rsidRDefault="00E44B43" w:rsidP="0044776A">
          <w:pPr>
            <w:widowControl w:val="0"/>
            <w:rPr>
              <w:sz w:val="20"/>
              <w:szCs w:val="20"/>
              <w:lang w:val="fr-CA"/>
            </w:rPr>
          </w:pPr>
        </w:p>
      </w:tc>
    </w:tr>
  </w:tbl>
  <w:p w:rsidR="00E44B43" w:rsidRPr="002E2327" w:rsidRDefault="00E44B43">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43" w:rsidRDefault="00E44B43">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E44B43" w:rsidRPr="00C4248C">
      <w:tc>
        <w:tcPr>
          <w:tcW w:w="4200" w:type="dxa"/>
          <w:tcMar>
            <w:left w:w="0" w:type="dxa"/>
            <w:right w:w="0" w:type="dxa"/>
          </w:tcMar>
        </w:tcPr>
        <w:p w:rsidR="00E44B43" w:rsidRDefault="00E44B4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E44B43" w:rsidRDefault="00E44B4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E44B43" w:rsidRDefault="00E44B4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44B43" w:rsidRPr="00FF6BA5" w:rsidRDefault="00E44B4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E44B43" w:rsidRPr="00FF6BA5" w:rsidRDefault="00E44B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E44B43" w:rsidRPr="00FF6BA5" w:rsidRDefault="00E44B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E44B43" w:rsidRPr="00FF6BA5" w:rsidRDefault="00E44B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E44B43" w:rsidRPr="00C4248C" w:rsidTr="00245129">
      <w:tc>
        <w:tcPr>
          <w:tcW w:w="4200" w:type="dxa"/>
          <w:tcMar>
            <w:left w:w="0" w:type="dxa"/>
            <w:right w:w="0" w:type="dxa"/>
          </w:tcMar>
        </w:tcPr>
        <w:p w:rsidR="00E44B43" w:rsidRPr="00755F22" w:rsidRDefault="00E44B4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E44B43" w:rsidRPr="00755F22" w:rsidRDefault="00E44B4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E44B43" w:rsidRPr="00755F22" w:rsidRDefault="00E44B4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44B43" w:rsidRPr="00755F22" w:rsidRDefault="00E44B4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44B43" w:rsidRPr="00755F22" w:rsidRDefault="00E44B4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E44B43" w:rsidRPr="00755F22" w:rsidRDefault="00E44B4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E44B43" w:rsidRPr="00FF6BA5" w:rsidRDefault="00E44B43"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E5208"/>
    <w:multiLevelType w:val="hybridMultilevel"/>
    <w:tmpl w:val="7A442646"/>
    <w:lvl w:ilvl="0" w:tplc="FB22CF4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DE07ACD"/>
    <w:multiLevelType w:val="hybridMultilevel"/>
    <w:tmpl w:val="DDDA7F9E"/>
    <w:lvl w:ilvl="0" w:tplc="FB22CF4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D9067B"/>
    <w:multiLevelType w:val="hybridMultilevel"/>
    <w:tmpl w:val="7B68BD4A"/>
    <w:lvl w:ilvl="0" w:tplc="FB22CF4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defaultTabStop w:val="720"/>
  <w:drawingGridHorizontalSpacing w:val="120"/>
  <w:displayHorizontalDrawingGridEvery w:val="2"/>
  <w:characterSpacingControl w:val="doNotCompress"/>
  <w:hdrShapeDefaults>
    <o:shapedefaults v:ext="edit" spidmax="62483"/>
  </w:hdrShapeDefaults>
  <w:footnotePr>
    <w:footnote w:id="-1"/>
    <w:footnote w:id="0"/>
  </w:footnotePr>
  <w:endnotePr>
    <w:endnote w:id="-1"/>
    <w:endnote w:id="0"/>
  </w:endnotePr>
  <w:compat/>
  <w:rsids>
    <w:rsidRoot w:val="0083659D"/>
    <w:rsid w:val="00016AD0"/>
    <w:rsid w:val="0003223B"/>
    <w:rsid w:val="000327B2"/>
    <w:rsid w:val="000444B5"/>
    <w:rsid w:val="00064154"/>
    <w:rsid w:val="00073319"/>
    <w:rsid w:val="000773E9"/>
    <w:rsid w:val="00081392"/>
    <w:rsid w:val="00091FA6"/>
    <w:rsid w:val="00094C23"/>
    <w:rsid w:val="00096BD9"/>
    <w:rsid w:val="00097984"/>
    <w:rsid w:val="000A2784"/>
    <w:rsid w:val="000B2CD9"/>
    <w:rsid w:val="000B3C9A"/>
    <w:rsid w:val="000B40A2"/>
    <w:rsid w:val="000B4624"/>
    <w:rsid w:val="000C0ACD"/>
    <w:rsid w:val="000E6BB1"/>
    <w:rsid w:val="00102926"/>
    <w:rsid w:val="0010587F"/>
    <w:rsid w:val="00111C6B"/>
    <w:rsid w:val="0012102B"/>
    <w:rsid w:val="0013369E"/>
    <w:rsid w:val="00154DED"/>
    <w:rsid w:val="0015747E"/>
    <w:rsid w:val="00164E6D"/>
    <w:rsid w:val="00187D43"/>
    <w:rsid w:val="00191FDB"/>
    <w:rsid w:val="001B157C"/>
    <w:rsid w:val="001B5C23"/>
    <w:rsid w:val="001D0D5F"/>
    <w:rsid w:val="001D1FA4"/>
    <w:rsid w:val="001D6B8C"/>
    <w:rsid w:val="001F1F83"/>
    <w:rsid w:val="002021A9"/>
    <w:rsid w:val="00202C5F"/>
    <w:rsid w:val="002139A7"/>
    <w:rsid w:val="00215F7C"/>
    <w:rsid w:val="0022323B"/>
    <w:rsid w:val="00226423"/>
    <w:rsid w:val="002362CE"/>
    <w:rsid w:val="002410B8"/>
    <w:rsid w:val="00242AEE"/>
    <w:rsid w:val="00245129"/>
    <w:rsid w:val="00245879"/>
    <w:rsid w:val="00253151"/>
    <w:rsid w:val="00267FD5"/>
    <w:rsid w:val="00274D34"/>
    <w:rsid w:val="002868D0"/>
    <w:rsid w:val="00293108"/>
    <w:rsid w:val="002952AC"/>
    <w:rsid w:val="002A27D1"/>
    <w:rsid w:val="002A4AFA"/>
    <w:rsid w:val="002A5350"/>
    <w:rsid w:val="002B089E"/>
    <w:rsid w:val="002B516C"/>
    <w:rsid w:val="002D72EB"/>
    <w:rsid w:val="002E2327"/>
    <w:rsid w:val="002E3583"/>
    <w:rsid w:val="002E496C"/>
    <w:rsid w:val="002E5576"/>
    <w:rsid w:val="00321B75"/>
    <w:rsid w:val="00331B52"/>
    <w:rsid w:val="003359D3"/>
    <w:rsid w:val="003364B3"/>
    <w:rsid w:val="00351626"/>
    <w:rsid w:val="00351ED8"/>
    <w:rsid w:val="00355967"/>
    <w:rsid w:val="00382C47"/>
    <w:rsid w:val="00384384"/>
    <w:rsid w:val="003866AE"/>
    <w:rsid w:val="003971E9"/>
    <w:rsid w:val="003A4A44"/>
    <w:rsid w:val="003B3977"/>
    <w:rsid w:val="003B484D"/>
    <w:rsid w:val="003D5E6D"/>
    <w:rsid w:val="00432274"/>
    <w:rsid w:val="00432989"/>
    <w:rsid w:val="00440E24"/>
    <w:rsid w:val="0044776A"/>
    <w:rsid w:val="00460AFC"/>
    <w:rsid w:val="0047471F"/>
    <w:rsid w:val="004B195E"/>
    <w:rsid w:val="004B66B4"/>
    <w:rsid w:val="004B7F60"/>
    <w:rsid w:val="004C1AAC"/>
    <w:rsid w:val="004D2A97"/>
    <w:rsid w:val="004D5A51"/>
    <w:rsid w:val="004D5F27"/>
    <w:rsid w:val="004E1E0A"/>
    <w:rsid w:val="004F090E"/>
    <w:rsid w:val="004F5EAB"/>
    <w:rsid w:val="00517F31"/>
    <w:rsid w:val="00527CC7"/>
    <w:rsid w:val="00571CA4"/>
    <w:rsid w:val="00582136"/>
    <w:rsid w:val="0059282F"/>
    <w:rsid w:val="005A6129"/>
    <w:rsid w:val="005C446E"/>
    <w:rsid w:val="005C6840"/>
    <w:rsid w:val="005D3310"/>
    <w:rsid w:val="005E45BE"/>
    <w:rsid w:val="005F263E"/>
    <w:rsid w:val="005F7339"/>
    <w:rsid w:val="00600252"/>
    <w:rsid w:val="00612A40"/>
    <w:rsid w:val="00613A12"/>
    <w:rsid w:val="0062338B"/>
    <w:rsid w:val="0062714A"/>
    <w:rsid w:val="00633103"/>
    <w:rsid w:val="00667118"/>
    <w:rsid w:val="00675479"/>
    <w:rsid w:val="00680709"/>
    <w:rsid w:val="00696BF9"/>
    <w:rsid w:val="00696DB8"/>
    <w:rsid w:val="00697C62"/>
    <w:rsid w:val="006A329B"/>
    <w:rsid w:val="006A7EB8"/>
    <w:rsid w:val="006B6926"/>
    <w:rsid w:val="006C0B09"/>
    <w:rsid w:val="006C3F47"/>
    <w:rsid w:val="006C5F7A"/>
    <w:rsid w:val="006C6326"/>
    <w:rsid w:val="006D2FF2"/>
    <w:rsid w:val="006D3141"/>
    <w:rsid w:val="006E06AF"/>
    <w:rsid w:val="006E75A2"/>
    <w:rsid w:val="006F350F"/>
    <w:rsid w:val="00732DB7"/>
    <w:rsid w:val="0074238B"/>
    <w:rsid w:val="00745EF7"/>
    <w:rsid w:val="00753572"/>
    <w:rsid w:val="00755F22"/>
    <w:rsid w:val="00766E4A"/>
    <w:rsid w:val="007820CE"/>
    <w:rsid w:val="00782AE4"/>
    <w:rsid w:val="007858DA"/>
    <w:rsid w:val="0079724F"/>
    <w:rsid w:val="007A3EAE"/>
    <w:rsid w:val="007C04FC"/>
    <w:rsid w:val="007D3E0F"/>
    <w:rsid w:val="007E4282"/>
    <w:rsid w:val="007F387B"/>
    <w:rsid w:val="007F71A7"/>
    <w:rsid w:val="00802863"/>
    <w:rsid w:val="0081123C"/>
    <w:rsid w:val="00815B3C"/>
    <w:rsid w:val="00817761"/>
    <w:rsid w:val="0082783A"/>
    <w:rsid w:val="00831CA9"/>
    <w:rsid w:val="0083659D"/>
    <w:rsid w:val="00850E1F"/>
    <w:rsid w:val="00851BA9"/>
    <w:rsid w:val="0085476B"/>
    <w:rsid w:val="00857BA8"/>
    <w:rsid w:val="0087368F"/>
    <w:rsid w:val="00883B92"/>
    <w:rsid w:val="00890FEB"/>
    <w:rsid w:val="00897485"/>
    <w:rsid w:val="008B1E45"/>
    <w:rsid w:val="008D292F"/>
    <w:rsid w:val="008E03DC"/>
    <w:rsid w:val="00903D92"/>
    <w:rsid w:val="00907AF7"/>
    <w:rsid w:val="00912E1C"/>
    <w:rsid w:val="00924065"/>
    <w:rsid w:val="00930D68"/>
    <w:rsid w:val="00932DB4"/>
    <w:rsid w:val="009341C3"/>
    <w:rsid w:val="00941A4B"/>
    <w:rsid w:val="00946242"/>
    <w:rsid w:val="00946E80"/>
    <w:rsid w:val="0095096B"/>
    <w:rsid w:val="00953844"/>
    <w:rsid w:val="00970CD3"/>
    <w:rsid w:val="009723FA"/>
    <w:rsid w:val="00972708"/>
    <w:rsid w:val="0097300E"/>
    <w:rsid w:val="00984546"/>
    <w:rsid w:val="00996510"/>
    <w:rsid w:val="009D1F15"/>
    <w:rsid w:val="009D555E"/>
    <w:rsid w:val="009F3024"/>
    <w:rsid w:val="00A01E8B"/>
    <w:rsid w:val="00A0355E"/>
    <w:rsid w:val="00A07871"/>
    <w:rsid w:val="00A106D8"/>
    <w:rsid w:val="00A33A9D"/>
    <w:rsid w:val="00A375D1"/>
    <w:rsid w:val="00A51D10"/>
    <w:rsid w:val="00A52A83"/>
    <w:rsid w:val="00A57C27"/>
    <w:rsid w:val="00A60CE2"/>
    <w:rsid w:val="00A6552C"/>
    <w:rsid w:val="00A72437"/>
    <w:rsid w:val="00A86992"/>
    <w:rsid w:val="00A87207"/>
    <w:rsid w:val="00A935AA"/>
    <w:rsid w:val="00AA7948"/>
    <w:rsid w:val="00AB2201"/>
    <w:rsid w:val="00AD3259"/>
    <w:rsid w:val="00AF1715"/>
    <w:rsid w:val="00AF3904"/>
    <w:rsid w:val="00B010C0"/>
    <w:rsid w:val="00B07120"/>
    <w:rsid w:val="00B44C73"/>
    <w:rsid w:val="00B4740D"/>
    <w:rsid w:val="00B61629"/>
    <w:rsid w:val="00B7374B"/>
    <w:rsid w:val="00B74DD2"/>
    <w:rsid w:val="00B87D22"/>
    <w:rsid w:val="00B90DC0"/>
    <w:rsid w:val="00BA116A"/>
    <w:rsid w:val="00BA5582"/>
    <w:rsid w:val="00BA6468"/>
    <w:rsid w:val="00BB1D44"/>
    <w:rsid w:val="00BB35EE"/>
    <w:rsid w:val="00BD06DA"/>
    <w:rsid w:val="00BD0B21"/>
    <w:rsid w:val="00BD4217"/>
    <w:rsid w:val="00BF25F3"/>
    <w:rsid w:val="00C112D4"/>
    <w:rsid w:val="00C1697B"/>
    <w:rsid w:val="00C21CB5"/>
    <w:rsid w:val="00C322D8"/>
    <w:rsid w:val="00C4248C"/>
    <w:rsid w:val="00C50A5C"/>
    <w:rsid w:val="00C50FDF"/>
    <w:rsid w:val="00C56BE0"/>
    <w:rsid w:val="00C63381"/>
    <w:rsid w:val="00C73D06"/>
    <w:rsid w:val="00C73E1B"/>
    <w:rsid w:val="00C759B4"/>
    <w:rsid w:val="00C77713"/>
    <w:rsid w:val="00C85BB7"/>
    <w:rsid w:val="00C8743C"/>
    <w:rsid w:val="00CB0C5D"/>
    <w:rsid w:val="00CB43D5"/>
    <w:rsid w:val="00CB4878"/>
    <w:rsid w:val="00CC4D84"/>
    <w:rsid w:val="00CD4033"/>
    <w:rsid w:val="00CD7E00"/>
    <w:rsid w:val="00CE198A"/>
    <w:rsid w:val="00D105F3"/>
    <w:rsid w:val="00D12540"/>
    <w:rsid w:val="00D41649"/>
    <w:rsid w:val="00D535D8"/>
    <w:rsid w:val="00D64901"/>
    <w:rsid w:val="00D76BDF"/>
    <w:rsid w:val="00D85644"/>
    <w:rsid w:val="00D862C1"/>
    <w:rsid w:val="00D93B50"/>
    <w:rsid w:val="00D94670"/>
    <w:rsid w:val="00DA46F6"/>
    <w:rsid w:val="00DC14C3"/>
    <w:rsid w:val="00DD0B49"/>
    <w:rsid w:val="00DE0502"/>
    <w:rsid w:val="00DF75D7"/>
    <w:rsid w:val="00E06DFA"/>
    <w:rsid w:val="00E1638A"/>
    <w:rsid w:val="00E163E5"/>
    <w:rsid w:val="00E17F59"/>
    <w:rsid w:val="00E20A0A"/>
    <w:rsid w:val="00E225E2"/>
    <w:rsid w:val="00E26E38"/>
    <w:rsid w:val="00E341F8"/>
    <w:rsid w:val="00E356C7"/>
    <w:rsid w:val="00E44B43"/>
    <w:rsid w:val="00E45FE4"/>
    <w:rsid w:val="00E572B3"/>
    <w:rsid w:val="00E62032"/>
    <w:rsid w:val="00E64FA7"/>
    <w:rsid w:val="00E770CB"/>
    <w:rsid w:val="00E903A1"/>
    <w:rsid w:val="00E940EB"/>
    <w:rsid w:val="00E9703F"/>
    <w:rsid w:val="00EB2B90"/>
    <w:rsid w:val="00ED7E83"/>
    <w:rsid w:val="00EE091F"/>
    <w:rsid w:val="00EF21DE"/>
    <w:rsid w:val="00EF4B63"/>
    <w:rsid w:val="00F0068D"/>
    <w:rsid w:val="00F04CA9"/>
    <w:rsid w:val="00F0576D"/>
    <w:rsid w:val="00F124A6"/>
    <w:rsid w:val="00F14E6D"/>
    <w:rsid w:val="00F15EA8"/>
    <w:rsid w:val="00F16C8D"/>
    <w:rsid w:val="00F26C61"/>
    <w:rsid w:val="00F33CCE"/>
    <w:rsid w:val="00F40249"/>
    <w:rsid w:val="00F526C8"/>
    <w:rsid w:val="00F52F18"/>
    <w:rsid w:val="00F62CB5"/>
    <w:rsid w:val="00F761A3"/>
    <w:rsid w:val="00F900E4"/>
    <w:rsid w:val="00F90C95"/>
    <w:rsid w:val="00F9272D"/>
    <w:rsid w:val="00F9518C"/>
    <w:rsid w:val="00FA154D"/>
    <w:rsid w:val="00FA316E"/>
    <w:rsid w:val="00FA59EF"/>
    <w:rsid w:val="00FB19A2"/>
    <w:rsid w:val="00FB4595"/>
    <w:rsid w:val="00FD3581"/>
    <w:rsid w:val="00FE6CA2"/>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24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SCCLsocParty">
    <w:name w:val="SCC.Lsoc.Party"/>
    <w:basedOn w:val="Normal"/>
    <w:next w:val="Normal"/>
    <w:link w:val="SCCLsocPartyChar"/>
    <w:rsid w:val="00E26E38"/>
    <w:pPr>
      <w:jc w:val="both"/>
    </w:pPr>
    <w:rPr>
      <w:rFonts w:eastAsia="Calibri" w:cs="Times New Roman"/>
      <w:b/>
      <w:bCs/>
      <w:szCs w:val="24"/>
    </w:rPr>
  </w:style>
  <w:style w:type="character" w:customStyle="1" w:styleId="SCCLsocPartyChar">
    <w:name w:val="SCC.Lsoc.Party Char"/>
    <w:basedOn w:val="DefaultParagraphFont"/>
    <w:link w:val="SCCLsocParty"/>
    <w:locked/>
    <w:rsid w:val="00E26E38"/>
    <w:rPr>
      <w:rFonts w:eastAsia="Calibri" w:cs="Times New Roman"/>
      <w:b/>
      <w:bCs/>
      <w:szCs w:val="24"/>
      <w:lang w:val="en-CA"/>
    </w:rPr>
  </w:style>
  <w:style w:type="paragraph" w:customStyle="1" w:styleId="SCCBanSummary">
    <w:name w:val="SCC.BanSummary"/>
    <w:basedOn w:val="Normal"/>
    <w:next w:val="Normal"/>
    <w:link w:val="SCCBanSummaryChar"/>
    <w:rsid w:val="00E26E38"/>
    <w:pPr>
      <w:jc w:val="both"/>
    </w:pPr>
    <w:rPr>
      <w:rFonts w:eastAsia="Calibri" w:cs="Times New Roman"/>
      <w:smallCaps/>
    </w:rPr>
  </w:style>
  <w:style w:type="character" w:customStyle="1" w:styleId="SCCBanSummaryChar">
    <w:name w:val="SCC.BanSummary Char"/>
    <w:basedOn w:val="DefaultParagraphFont"/>
    <w:link w:val="SCCBanSummary"/>
    <w:locked/>
    <w:rsid w:val="00E26E38"/>
    <w:rPr>
      <w:rFonts w:eastAsia="Calibri" w:cs="Times New Roman"/>
      <w:smallCaps/>
      <w:lang w:val="en-CA"/>
    </w:rPr>
  </w:style>
  <w:style w:type="table" w:customStyle="1" w:styleId="TableGrid1">
    <w:name w:val="Table Grid1"/>
    <w:basedOn w:val="TableNormal"/>
    <w:next w:val="TableGrid"/>
    <w:uiPriority w:val="59"/>
    <w:rsid w:val="003971E9"/>
    <w:rPr>
      <w:rFonts w:eastAsia="Times New Roman" w:cs="Times New Roman"/>
      <w:sz w:val="20"/>
      <w:szCs w:val="20"/>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54DED"/>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54DED"/>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54DED"/>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154DED"/>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154DED"/>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154DED"/>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154DED"/>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154DED"/>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0773E9"/>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0773E9"/>
    <w:rPr>
      <w:rFonts w:eastAsia="Times New Roman" w:cs="Times New Roman"/>
      <w:i/>
      <w:iCs/>
      <w:color w:val="000000" w:themeColor="text1"/>
      <w:szCs w:val="20"/>
      <w:lang w:val="en-CA" w:eastAsia="en-CA"/>
    </w:rPr>
  </w:style>
  <w:style w:type="paragraph" w:customStyle="1" w:styleId="SCCLsocVersus">
    <w:name w:val="SCC.Lsoc.Versus"/>
    <w:basedOn w:val="Normal"/>
    <w:next w:val="Normal"/>
    <w:link w:val="SCCLsocVersusChar"/>
    <w:rsid w:val="000444B5"/>
    <w:rPr>
      <w:rFonts w:eastAsia="Times New Roman" w:cs="Times New Roman"/>
      <w:i/>
      <w:szCs w:val="20"/>
      <w:lang w:eastAsia="en-CA"/>
    </w:rPr>
  </w:style>
  <w:style w:type="character" w:customStyle="1" w:styleId="SCCLsocVersusChar">
    <w:name w:val="SCC.Lsoc.Versus Char"/>
    <w:basedOn w:val="DefaultParagraphFont"/>
    <w:link w:val="SCCLsocVersus"/>
    <w:rsid w:val="000444B5"/>
    <w:rPr>
      <w:rFonts w:eastAsia="Times New Roman" w:cs="Times New Roman"/>
      <w:i/>
      <w:szCs w:val="20"/>
      <w:lang w:val="en-CA" w:eastAsia="en-CA"/>
    </w:rPr>
  </w:style>
  <w:style w:type="paragraph" w:customStyle="1" w:styleId="SCCLsocOtherPartySeparator">
    <w:name w:val="SCC.Lsoc.OtherPartySeparator"/>
    <w:basedOn w:val="Normal"/>
    <w:next w:val="Normal"/>
    <w:link w:val="SCCLsocOtherPartySeparatorChar"/>
    <w:rsid w:val="000444B5"/>
    <w:rPr>
      <w:rFonts w:eastAsia="Times New Roman" w:cs="Times New Roman"/>
      <w:szCs w:val="20"/>
      <w:lang w:eastAsia="en-CA"/>
    </w:rPr>
  </w:style>
  <w:style w:type="character" w:customStyle="1" w:styleId="SCCLsocOtherPartySeparatorChar">
    <w:name w:val="SCC.Lsoc.OtherPartySeparator Char"/>
    <w:basedOn w:val="DefaultParagraphFont"/>
    <w:link w:val="SCCLsocOtherPartySeparator"/>
    <w:rsid w:val="000444B5"/>
    <w:rPr>
      <w:rFonts w:eastAsia="Times New Roman" w:cs="Times New Roman"/>
      <w:szCs w:val="20"/>
      <w:lang w:val="en-CA" w:eastAsia="en-CA"/>
    </w:rPr>
  </w:style>
</w:styles>
</file>

<file path=word/webSettings.xml><?xml version="1.0" encoding="utf-8"?>
<w:webSettings xmlns:r="http://schemas.openxmlformats.org/officeDocument/2006/relationships" xmlns:w="http://schemas.openxmlformats.org/wordprocessingml/2006/main">
  <w:divs>
    <w:div w:id="653529509">
      <w:bodyDiv w:val="1"/>
      <w:marLeft w:val="0"/>
      <w:marRight w:val="0"/>
      <w:marTop w:val="344"/>
      <w:marBottom w:val="0"/>
      <w:divBdr>
        <w:top w:val="none" w:sz="0" w:space="0" w:color="auto"/>
        <w:left w:val="none" w:sz="0" w:space="0" w:color="auto"/>
        <w:bottom w:val="none" w:sz="0" w:space="0" w:color="auto"/>
        <w:right w:val="none" w:sz="0" w:space="0" w:color="auto"/>
      </w:divBdr>
      <w:divsChild>
        <w:div w:id="436296785">
          <w:marLeft w:val="0"/>
          <w:marRight w:val="0"/>
          <w:marTop w:val="100"/>
          <w:marBottom w:val="100"/>
          <w:divBdr>
            <w:top w:val="none" w:sz="0" w:space="0" w:color="auto"/>
            <w:left w:val="none" w:sz="0" w:space="0" w:color="auto"/>
            <w:bottom w:val="none" w:sz="0" w:space="0" w:color="auto"/>
            <w:right w:val="none" w:sz="0" w:space="0" w:color="auto"/>
          </w:divBdr>
          <w:divsChild>
            <w:div w:id="807746655">
              <w:marLeft w:val="0"/>
              <w:marRight w:val="0"/>
              <w:marTop w:val="0"/>
              <w:marBottom w:val="0"/>
              <w:divBdr>
                <w:top w:val="none" w:sz="0" w:space="0" w:color="auto"/>
                <w:left w:val="none" w:sz="0" w:space="0" w:color="auto"/>
                <w:bottom w:val="none" w:sz="0" w:space="0" w:color="auto"/>
                <w:right w:val="none" w:sz="0" w:space="0" w:color="auto"/>
              </w:divBdr>
              <w:divsChild>
                <w:div w:id="137305058">
                  <w:marLeft w:val="0"/>
                  <w:marRight w:val="0"/>
                  <w:marTop w:val="0"/>
                  <w:marBottom w:val="430"/>
                  <w:divBdr>
                    <w:top w:val="none" w:sz="0" w:space="0" w:color="auto"/>
                    <w:left w:val="none" w:sz="0" w:space="0" w:color="auto"/>
                    <w:bottom w:val="none" w:sz="0" w:space="0" w:color="auto"/>
                    <w:right w:val="none" w:sz="0" w:space="0" w:color="auto"/>
                  </w:divBdr>
                  <w:divsChild>
                    <w:div w:id="1126507289">
                      <w:marLeft w:val="72"/>
                      <w:marRight w:val="72"/>
                      <w:marTop w:val="0"/>
                      <w:marBottom w:val="0"/>
                      <w:divBdr>
                        <w:top w:val="none" w:sz="0" w:space="0" w:color="auto"/>
                        <w:left w:val="none" w:sz="0" w:space="0" w:color="auto"/>
                        <w:bottom w:val="none" w:sz="0" w:space="0" w:color="auto"/>
                        <w:right w:val="none" w:sz="0" w:space="0" w:color="auto"/>
                      </w:divBdr>
                      <w:divsChild>
                        <w:div w:id="9854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813849">
      <w:bodyDiv w:val="1"/>
      <w:marLeft w:val="0"/>
      <w:marRight w:val="0"/>
      <w:marTop w:val="344"/>
      <w:marBottom w:val="0"/>
      <w:divBdr>
        <w:top w:val="none" w:sz="0" w:space="0" w:color="auto"/>
        <w:left w:val="none" w:sz="0" w:space="0" w:color="auto"/>
        <w:bottom w:val="none" w:sz="0" w:space="0" w:color="auto"/>
        <w:right w:val="none" w:sz="0" w:space="0" w:color="auto"/>
      </w:divBdr>
      <w:divsChild>
        <w:div w:id="1399672546">
          <w:marLeft w:val="0"/>
          <w:marRight w:val="0"/>
          <w:marTop w:val="100"/>
          <w:marBottom w:val="100"/>
          <w:divBdr>
            <w:top w:val="none" w:sz="0" w:space="0" w:color="auto"/>
            <w:left w:val="none" w:sz="0" w:space="0" w:color="auto"/>
            <w:bottom w:val="none" w:sz="0" w:space="0" w:color="auto"/>
            <w:right w:val="none" w:sz="0" w:space="0" w:color="auto"/>
          </w:divBdr>
          <w:divsChild>
            <w:div w:id="907573872">
              <w:marLeft w:val="0"/>
              <w:marRight w:val="0"/>
              <w:marTop w:val="0"/>
              <w:marBottom w:val="0"/>
              <w:divBdr>
                <w:top w:val="none" w:sz="0" w:space="0" w:color="auto"/>
                <w:left w:val="none" w:sz="0" w:space="0" w:color="auto"/>
                <w:bottom w:val="none" w:sz="0" w:space="0" w:color="auto"/>
                <w:right w:val="none" w:sz="0" w:space="0" w:color="auto"/>
              </w:divBdr>
              <w:divsChild>
                <w:div w:id="856115960">
                  <w:marLeft w:val="0"/>
                  <w:marRight w:val="0"/>
                  <w:marTop w:val="0"/>
                  <w:marBottom w:val="430"/>
                  <w:divBdr>
                    <w:top w:val="none" w:sz="0" w:space="0" w:color="auto"/>
                    <w:left w:val="none" w:sz="0" w:space="0" w:color="auto"/>
                    <w:bottom w:val="none" w:sz="0" w:space="0" w:color="auto"/>
                    <w:right w:val="none" w:sz="0" w:space="0" w:color="auto"/>
                  </w:divBdr>
                  <w:divsChild>
                    <w:div w:id="1021131448">
                      <w:marLeft w:val="72"/>
                      <w:marRight w:val="72"/>
                      <w:marTop w:val="0"/>
                      <w:marBottom w:val="0"/>
                      <w:divBdr>
                        <w:top w:val="none" w:sz="0" w:space="0" w:color="auto"/>
                        <w:left w:val="none" w:sz="0" w:space="0" w:color="auto"/>
                        <w:bottom w:val="none" w:sz="0" w:space="0" w:color="auto"/>
                        <w:right w:val="none" w:sz="0" w:space="0" w:color="auto"/>
                      </w:divBdr>
                      <w:divsChild>
                        <w:div w:id="4873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footer" Target="footer20.xml"/><Relationship Id="rId55" Type="http://schemas.openxmlformats.org/officeDocument/2006/relationships/header" Target="header24.xml"/><Relationship Id="rId63" Type="http://schemas.openxmlformats.org/officeDocument/2006/relationships/footer" Target="footer27.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footer" Target="footer22.xml"/><Relationship Id="rId58" Type="http://schemas.openxmlformats.org/officeDocument/2006/relationships/header" Target="header25.xm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21.xml"/><Relationship Id="rId57" Type="http://schemas.openxmlformats.org/officeDocument/2006/relationships/footer" Target="footer24.xml"/><Relationship Id="rId61" Type="http://schemas.openxmlformats.org/officeDocument/2006/relationships/footer" Target="footer2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header" Target="header22.xml"/><Relationship Id="rId60" Type="http://schemas.openxmlformats.org/officeDocument/2006/relationships/header" Target="header26.xml"/><Relationship Id="rId65" Type="http://schemas.openxmlformats.org/officeDocument/2006/relationships/footer" Target="footer28.xml"/><Relationship Id="rId4" Type="http://schemas.openxmlformats.org/officeDocument/2006/relationships/webSettings" Target="webSettings.xml"/><Relationship Id="rId9" Type="http://schemas.openxmlformats.org/officeDocument/2006/relationships/hyperlink" Target="http://www.scc-csc.g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header" Target="header20.xml"/><Relationship Id="rId56" Type="http://schemas.openxmlformats.org/officeDocument/2006/relationships/footer" Target="footer23.xml"/><Relationship Id="rId64" Type="http://schemas.openxmlformats.org/officeDocument/2006/relationships/header" Target="header28.xml"/><Relationship Id="rId8" Type="http://schemas.openxmlformats.org/officeDocument/2006/relationships/hyperlink" Target="http://www.scc-csc.gc.ca" TargetMode="External"/><Relationship Id="rId51" Type="http://schemas.openxmlformats.org/officeDocument/2006/relationships/footer" Target="footer21.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header" Target="header19.xml"/><Relationship Id="rId59" Type="http://schemas.openxmlformats.org/officeDocument/2006/relationships/footer" Target="footer25.xml"/><Relationship Id="rId67" Type="http://schemas.openxmlformats.org/officeDocument/2006/relationships/theme" Target="theme/theme1.xml"/><Relationship Id="rId20" Type="http://schemas.openxmlformats.org/officeDocument/2006/relationships/header" Target="header6.xml"/><Relationship Id="rId41" Type="http://schemas.openxmlformats.org/officeDocument/2006/relationships/footer" Target="footer16.xml"/><Relationship Id="rId54" Type="http://schemas.openxmlformats.org/officeDocument/2006/relationships/header" Target="header23.xml"/><Relationship Id="rId62"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23856</Words>
  <Characters>135985</Characters>
  <Application>Microsoft Office Word</Application>
  <DocSecurity>0</DocSecurity>
  <Lines>1133</Lines>
  <Paragraphs>319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2013-06-07T13:55:00Z</dcterms:created>
  <dcterms:modified xsi:type="dcterms:W3CDTF">2013-06-07T13:55:00Z</dcterms:modified>
</cp:coreProperties>
</file>